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44379" w14:textId="77777777" w:rsidR="0036262E" w:rsidRPr="0036262E" w:rsidRDefault="0036262E" w:rsidP="0036262E">
      <w:pPr>
        <w:spacing w:line="480" w:lineRule="auto"/>
        <w:rPr>
          <w:rFonts w:eastAsia="Times New Roman"/>
          <w:b/>
          <w:iCs w:val="0"/>
          <w:color w:val="auto"/>
          <w:lang w:val="en-US" w:eastAsia="zh-TW"/>
        </w:rPr>
      </w:pPr>
      <w:r w:rsidRPr="0036262E">
        <w:rPr>
          <w:rFonts w:eastAsia="Times New Roman"/>
          <w:b/>
          <w:iCs w:val="0"/>
          <w:color w:val="auto"/>
          <w:lang w:val="en-US" w:eastAsia="zh-TW"/>
        </w:rPr>
        <w:t>Supplementary Table 1</w:t>
      </w:r>
      <w:r w:rsidRPr="0036262E">
        <w:rPr>
          <w:rFonts w:eastAsia="Times New Roman"/>
          <w:iCs w:val="0"/>
          <w:color w:val="auto"/>
          <w:lang w:val="en-US" w:eastAsia="zh-TW"/>
        </w:rPr>
        <w:t xml:space="preserve"> ICD and ATC codes used for study variables data extraction</w:t>
      </w:r>
    </w:p>
    <w:tbl>
      <w:tblPr>
        <w:tblStyle w:val="Noverticallines"/>
        <w:tblW w:w="1036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620"/>
        <w:gridCol w:w="1987"/>
        <w:gridCol w:w="1159"/>
        <w:gridCol w:w="1482"/>
        <w:gridCol w:w="1160"/>
        <w:gridCol w:w="1389"/>
        <w:gridCol w:w="2569"/>
      </w:tblGrid>
      <w:tr w:rsidR="0036262E" w:rsidRPr="0036262E" w14:paraId="24FCC97D" w14:textId="77777777" w:rsidTr="003626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tcW w:w="620" w:type="dxa"/>
          </w:tcPr>
          <w:p w14:paraId="0D8D3C2C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#</w:t>
            </w:r>
          </w:p>
        </w:tc>
        <w:tc>
          <w:tcPr>
            <w:tcW w:w="1987" w:type="dxa"/>
          </w:tcPr>
          <w:p w14:paraId="7E4A14D6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Variables</w:t>
            </w:r>
          </w:p>
        </w:tc>
        <w:tc>
          <w:tcPr>
            <w:tcW w:w="1159" w:type="dxa"/>
          </w:tcPr>
          <w:p w14:paraId="7B0E401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ICD-9</w:t>
            </w:r>
          </w:p>
        </w:tc>
        <w:tc>
          <w:tcPr>
            <w:tcW w:w="1482" w:type="dxa"/>
          </w:tcPr>
          <w:p w14:paraId="6CBC9C6C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ICD-10</w:t>
            </w:r>
          </w:p>
        </w:tc>
        <w:tc>
          <w:tcPr>
            <w:tcW w:w="2549" w:type="dxa"/>
            <w:gridSpan w:val="2"/>
          </w:tcPr>
          <w:p w14:paraId="1AC9C9C2" w14:textId="77777777" w:rsidR="0036262E" w:rsidRPr="0036262E" w:rsidRDefault="0036262E" w:rsidP="0036262E">
            <w:pPr>
              <w:spacing w:line="360" w:lineRule="auto"/>
              <w:jc w:val="center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ATC</w:t>
            </w:r>
          </w:p>
        </w:tc>
        <w:tc>
          <w:tcPr>
            <w:tcW w:w="2569" w:type="dxa"/>
          </w:tcPr>
          <w:p w14:paraId="4A4DC7F4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Item/description</w:t>
            </w:r>
          </w:p>
        </w:tc>
      </w:tr>
      <w:tr w:rsidR="0036262E" w:rsidRPr="0036262E" w14:paraId="7B0B3CAA" w14:textId="77777777" w:rsidTr="0036262E">
        <w:trPr>
          <w:trHeight w:val="271"/>
        </w:trPr>
        <w:tc>
          <w:tcPr>
            <w:tcW w:w="620" w:type="dxa"/>
          </w:tcPr>
          <w:p w14:paraId="10CA7ED4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1</w:t>
            </w:r>
          </w:p>
        </w:tc>
        <w:tc>
          <w:tcPr>
            <w:tcW w:w="1987" w:type="dxa"/>
          </w:tcPr>
          <w:p w14:paraId="43704A41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Death</w:t>
            </w:r>
          </w:p>
        </w:tc>
        <w:tc>
          <w:tcPr>
            <w:tcW w:w="1159" w:type="dxa"/>
          </w:tcPr>
          <w:p w14:paraId="45DD8524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5E4994A3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 xml:space="preserve">PCa: C61 </w:t>
            </w:r>
          </w:p>
          <w:p w14:paraId="47D813E5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CV: I00–I99</w:t>
            </w:r>
          </w:p>
        </w:tc>
        <w:tc>
          <w:tcPr>
            <w:tcW w:w="1160" w:type="dxa"/>
          </w:tcPr>
          <w:p w14:paraId="47801A7F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18855FF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2569" w:type="dxa"/>
          </w:tcPr>
          <w:p w14:paraId="4FBF5ACD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</w:tr>
      <w:tr w:rsidR="0036262E" w:rsidRPr="0036262E" w14:paraId="201F7768" w14:textId="77777777" w:rsidTr="0036262E">
        <w:trPr>
          <w:trHeight w:val="271"/>
        </w:trPr>
        <w:tc>
          <w:tcPr>
            <w:tcW w:w="620" w:type="dxa"/>
            <w:vMerge w:val="restart"/>
          </w:tcPr>
          <w:p w14:paraId="79234FEC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2</w:t>
            </w:r>
          </w:p>
        </w:tc>
        <w:tc>
          <w:tcPr>
            <w:tcW w:w="1987" w:type="dxa"/>
            <w:vMerge w:val="restart"/>
          </w:tcPr>
          <w:p w14:paraId="5ABE0ED6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GnRH agonist</w:t>
            </w:r>
          </w:p>
          <w:p w14:paraId="484C1C8E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</w:p>
        </w:tc>
        <w:tc>
          <w:tcPr>
            <w:tcW w:w="1159" w:type="dxa"/>
          </w:tcPr>
          <w:p w14:paraId="2AF0543F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60DCB48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60" w:type="dxa"/>
          </w:tcPr>
          <w:p w14:paraId="0E057482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0253692F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L02AE02</w:t>
            </w:r>
          </w:p>
        </w:tc>
        <w:tc>
          <w:tcPr>
            <w:tcW w:w="2569" w:type="dxa"/>
          </w:tcPr>
          <w:p w14:paraId="54F6EE44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Leuprorelin/</w:t>
            </w:r>
            <w:r w:rsidRPr="0036262E">
              <w:rPr>
                <w:rFonts w:eastAsia="Times New Roman"/>
                <w:iCs w:val="0"/>
                <w:lang w:val="en-US" w:eastAsia="zh-TW"/>
              </w:rPr>
              <w:t>leuprolide</w:t>
            </w:r>
          </w:p>
        </w:tc>
      </w:tr>
      <w:tr w:rsidR="0036262E" w:rsidRPr="0036262E" w14:paraId="33F645B7" w14:textId="77777777" w:rsidTr="0036262E">
        <w:trPr>
          <w:trHeight w:val="271"/>
        </w:trPr>
        <w:tc>
          <w:tcPr>
            <w:tcW w:w="620" w:type="dxa"/>
            <w:vMerge/>
          </w:tcPr>
          <w:p w14:paraId="72348CF2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</w:p>
        </w:tc>
        <w:tc>
          <w:tcPr>
            <w:tcW w:w="1987" w:type="dxa"/>
            <w:vMerge/>
          </w:tcPr>
          <w:p w14:paraId="65101AA5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59" w:type="dxa"/>
          </w:tcPr>
          <w:p w14:paraId="35DB1A29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31877827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60" w:type="dxa"/>
          </w:tcPr>
          <w:p w14:paraId="3519412B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24E5CFA9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L02AE03</w:t>
            </w:r>
          </w:p>
        </w:tc>
        <w:tc>
          <w:tcPr>
            <w:tcW w:w="2569" w:type="dxa"/>
          </w:tcPr>
          <w:p w14:paraId="1F5C5359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Goserelin</w:t>
            </w:r>
          </w:p>
        </w:tc>
      </w:tr>
      <w:tr w:rsidR="0036262E" w:rsidRPr="0036262E" w14:paraId="6B439033" w14:textId="77777777" w:rsidTr="0036262E">
        <w:trPr>
          <w:trHeight w:val="271"/>
        </w:trPr>
        <w:tc>
          <w:tcPr>
            <w:tcW w:w="620" w:type="dxa"/>
            <w:vMerge/>
          </w:tcPr>
          <w:p w14:paraId="09DD42CB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</w:p>
        </w:tc>
        <w:tc>
          <w:tcPr>
            <w:tcW w:w="1987" w:type="dxa"/>
            <w:vMerge/>
          </w:tcPr>
          <w:p w14:paraId="085819E6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59" w:type="dxa"/>
          </w:tcPr>
          <w:p w14:paraId="36E65037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3CA028A5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60" w:type="dxa"/>
          </w:tcPr>
          <w:p w14:paraId="67441389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39AE678E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L02AE04</w:t>
            </w:r>
          </w:p>
        </w:tc>
        <w:tc>
          <w:tcPr>
            <w:tcW w:w="2569" w:type="dxa"/>
          </w:tcPr>
          <w:p w14:paraId="72C784EE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Triptorelin</w:t>
            </w:r>
          </w:p>
        </w:tc>
      </w:tr>
      <w:tr w:rsidR="0036262E" w:rsidRPr="0036262E" w14:paraId="63B5D85B" w14:textId="77777777" w:rsidTr="0036262E">
        <w:trPr>
          <w:trHeight w:val="271"/>
        </w:trPr>
        <w:tc>
          <w:tcPr>
            <w:tcW w:w="620" w:type="dxa"/>
          </w:tcPr>
          <w:p w14:paraId="19FFEA8B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3</w:t>
            </w:r>
          </w:p>
        </w:tc>
        <w:tc>
          <w:tcPr>
            <w:tcW w:w="1987" w:type="dxa"/>
          </w:tcPr>
          <w:p w14:paraId="09D58D46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GnRH antagonist</w:t>
            </w:r>
          </w:p>
        </w:tc>
        <w:tc>
          <w:tcPr>
            <w:tcW w:w="1159" w:type="dxa"/>
          </w:tcPr>
          <w:p w14:paraId="6099617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773BE99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60" w:type="dxa"/>
          </w:tcPr>
          <w:p w14:paraId="507C3E62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L02BX</w:t>
            </w:r>
          </w:p>
        </w:tc>
        <w:tc>
          <w:tcPr>
            <w:tcW w:w="1389" w:type="dxa"/>
          </w:tcPr>
          <w:p w14:paraId="4972263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L02BX02</w:t>
            </w:r>
          </w:p>
        </w:tc>
        <w:tc>
          <w:tcPr>
            <w:tcW w:w="2569" w:type="dxa"/>
          </w:tcPr>
          <w:p w14:paraId="3B310C6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Degarelix</w:t>
            </w:r>
          </w:p>
        </w:tc>
      </w:tr>
      <w:tr w:rsidR="0036262E" w:rsidRPr="0036262E" w14:paraId="69FCD718" w14:textId="77777777" w:rsidTr="0036262E">
        <w:trPr>
          <w:trHeight w:val="271"/>
        </w:trPr>
        <w:tc>
          <w:tcPr>
            <w:tcW w:w="620" w:type="dxa"/>
            <w:vMerge w:val="restart"/>
          </w:tcPr>
          <w:p w14:paraId="523A0E73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4</w:t>
            </w:r>
          </w:p>
        </w:tc>
        <w:tc>
          <w:tcPr>
            <w:tcW w:w="1987" w:type="dxa"/>
            <w:vMerge w:val="restart"/>
          </w:tcPr>
          <w:p w14:paraId="18492121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Concomitant therapy</w:t>
            </w:r>
          </w:p>
          <w:p w14:paraId="4888B02D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</w:p>
          <w:p w14:paraId="3EDB893C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</w:p>
        </w:tc>
        <w:tc>
          <w:tcPr>
            <w:tcW w:w="1159" w:type="dxa"/>
          </w:tcPr>
          <w:p w14:paraId="072CA94D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5767B50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60" w:type="dxa"/>
          </w:tcPr>
          <w:p w14:paraId="4098C76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4025950D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G03HA01</w:t>
            </w:r>
          </w:p>
        </w:tc>
        <w:tc>
          <w:tcPr>
            <w:tcW w:w="2569" w:type="dxa"/>
          </w:tcPr>
          <w:p w14:paraId="7CD3F221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Antiandrogens</w:t>
            </w:r>
          </w:p>
        </w:tc>
      </w:tr>
      <w:tr w:rsidR="0036262E" w:rsidRPr="0036262E" w14:paraId="3E4639EA" w14:textId="77777777" w:rsidTr="0036262E">
        <w:trPr>
          <w:trHeight w:val="271"/>
        </w:trPr>
        <w:tc>
          <w:tcPr>
            <w:tcW w:w="620" w:type="dxa"/>
            <w:vMerge/>
          </w:tcPr>
          <w:p w14:paraId="23D49E58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</w:p>
        </w:tc>
        <w:tc>
          <w:tcPr>
            <w:tcW w:w="1987" w:type="dxa"/>
            <w:vMerge/>
          </w:tcPr>
          <w:p w14:paraId="2ECB5BA7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59" w:type="dxa"/>
          </w:tcPr>
          <w:p w14:paraId="4A87ECA9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5B8EE4D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60" w:type="dxa"/>
          </w:tcPr>
          <w:p w14:paraId="13ECDC1A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00C4917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L02BB03</w:t>
            </w:r>
          </w:p>
        </w:tc>
        <w:tc>
          <w:tcPr>
            <w:tcW w:w="2569" w:type="dxa"/>
          </w:tcPr>
          <w:p w14:paraId="100C2DD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Bicalutamide</w:t>
            </w:r>
          </w:p>
        </w:tc>
      </w:tr>
      <w:tr w:rsidR="0036262E" w:rsidRPr="0036262E" w14:paraId="27EA6FDE" w14:textId="77777777" w:rsidTr="0036262E">
        <w:trPr>
          <w:trHeight w:val="271"/>
        </w:trPr>
        <w:tc>
          <w:tcPr>
            <w:tcW w:w="620" w:type="dxa"/>
            <w:vMerge/>
          </w:tcPr>
          <w:p w14:paraId="27289193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</w:p>
        </w:tc>
        <w:tc>
          <w:tcPr>
            <w:tcW w:w="1987" w:type="dxa"/>
            <w:vMerge/>
          </w:tcPr>
          <w:p w14:paraId="5A65822D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59" w:type="dxa"/>
          </w:tcPr>
          <w:p w14:paraId="033FE705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458E692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60" w:type="dxa"/>
          </w:tcPr>
          <w:p w14:paraId="0365022C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551105E9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L02BB04</w:t>
            </w:r>
          </w:p>
        </w:tc>
        <w:tc>
          <w:tcPr>
            <w:tcW w:w="2569" w:type="dxa"/>
          </w:tcPr>
          <w:p w14:paraId="091C90C4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Enzalutamide</w:t>
            </w:r>
          </w:p>
        </w:tc>
      </w:tr>
      <w:tr w:rsidR="0036262E" w:rsidRPr="0036262E" w14:paraId="6F63B037" w14:textId="77777777" w:rsidTr="0036262E">
        <w:trPr>
          <w:trHeight w:val="307"/>
        </w:trPr>
        <w:tc>
          <w:tcPr>
            <w:tcW w:w="620" w:type="dxa"/>
            <w:vMerge/>
          </w:tcPr>
          <w:p w14:paraId="67D2681F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</w:p>
        </w:tc>
        <w:tc>
          <w:tcPr>
            <w:tcW w:w="1987" w:type="dxa"/>
            <w:vMerge/>
          </w:tcPr>
          <w:p w14:paraId="0DF14A40" w14:textId="77777777" w:rsidR="0036262E" w:rsidRPr="0036262E" w:rsidRDefault="0036262E" w:rsidP="003626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59" w:type="dxa"/>
          </w:tcPr>
          <w:p w14:paraId="7CBA3CAF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0FB6F1B3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60" w:type="dxa"/>
          </w:tcPr>
          <w:p w14:paraId="786317B2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0C91064C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L02BX03</w:t>
            </w:r>
          </w:p>
        </w:tc>
        <w:tc>
          <w:tcPr>
            <w:tcW w:w="2569" w:type="dxa"/>
          </w:tcPr>
          <w:p w14:paraId="32AB443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Abiraterone</w:t>
            </w:r>
          </w:p>
        </w:tc>
      </w:tr>
      <w:tr w:rsidR="0036262E" w:rsidRPr="0036262E" w14:paraId="18002AD1" w14:textId="77777777" w:rsidTr="0036262E">
        <w:trPr>
          <w:trHeight w:val="815"/>
        </w:trPr>
        <w:tc>
          <w:tcPr>
            <w:tcW w:w="620" w:type="dxa"/>
          </w:tcPr>
          <w:p w14:paraId="5E6C1275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5</w:t>
            </w:r>
          </w:p>
        </w:tc>
        <w:tc>
          <w:tcPr>
            <w:tcW w:w="1987" w:type="dxa"/>
          </w:tcPr>
          <w:p w14:paraId="730D02AB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Hypertension</w:t>
            </w:r>
          </w:p>
        </w:tc>
        <w:tc>
          <w:tcPr>
            <w:tcW w:w="1159" w:type="dxa"/>
          </w:tcPr>
          <w:p w14:paraId="552C571A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401–405</w:t>
            </w:r>
          </w:p>
        </w:tc>
        <w:tc>
          <w:tcPr>
            <w:tcW w:w="1482" w:type="dxa"/>
          </w:tcPr>
          <w:p w14:paraId="21165963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I10–I15</w:t>
            </w:r>
          </w:p>
        </w:tc>
        <w:tc>
          <w:tcPr>
            <w:tcW w:w="1160" w:type="dxa"/>
          </w:tcPr>
          <w:p w14:paraId="716FF5BE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C02, C03, C07, C08, C09</w:t>
            </w:r>
          </w:p>
        </w:tc>
        <w:tc>
          <w:tcPr>
            <w:tcW w:w="1389" w:type="dxa"/>
          </w:tcPr>
          <w:p w14:paraId="6F335E8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2569" w:type="dxa"/>
          </w:tcPr>
          <w:p w14:paraId="20BD44AB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Hypertension (≥2 diagnoses within 6 months)</w:t>
            </w:r>
          </w:p>
        </w:tc>
      </w:tr>
      <w:tr w:rsidR="0036262E" w:rsidRPr="0036262E" w14:paraId="723788A0" w14:textId="77777777" w:rsidTr="0036262E">
        <w:trPr>
          <w:trHeight w:val="271"/>
        </w:trPr>
        <w:tc>
          <w:tcPr>
            <w:tcW w:w="620" w:type="dxa"/>
          </w:tcPr>
          <w:p w14:paraId="59774D7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6</w:t>
            </w:r>
          </w:p>
        </w:tc>
        <w:tc>
          <w:tcPr>
            <w:tcW w:w="1987" w:type="dxa"/>
          </w:tcPr>
          <w:p w14:paraId="50E3E19D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Cardiac therapy</w:t>
            </w:r>
          </w:p>
        </w:tc>
        <w:tc>
          <w:tcPr>
            <w:tcW w:w="1159" w:type="dxa"/>
          </w:tcPr>
          <w:p w14:paraId="515328E3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482" w:type="dxa"/>
          </w:tcPr>
          <w:p w14:paraId="7E54790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160" w:type="dxa"/>
          </w:tcPr>
          <w:p w14:paraId="09B42FAE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C01</w:t>
            </w:r>
          </w:p>
        </w:tc>
        <w:tc>
          <w:tcPr>
            <w:tcW w:w="1389" w:type="dxa"/>
          </w:tcPr>
          <w:p w14:paraId="6095DEC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2569" w:type="dxa"/>
          </w:tcPr>
          <w:p w14:paraId="70907DD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Cardiac therapy (at least≥ 2 prescriptions for drugs ATC code: C01)</w:t>
            </w:r>
          </w:p>
        </w:tc>
      </w:tr>
      <w:tr w:rsidR="0036262E" w:rsidRPr="0036262E" w14:paraId="7803B584" w14:textId="77777777" w:rsidTr="0036262E">
        <w:trPr>
          <w:trHeight w:val="543"/>
        </w:trPr>
        <w:tc>
          <w:tcPr>
            <w:tcW w:w="620" w:type="dxa"/>
          </w:tcPr>
          <w:p w14:paraId="578149E6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7</w:t>
            </w:r>
          </w:p>
        </w:tc>
        <w:tc>
          <w:tcPr>
            <w:tcW w:w="1987" w:type="dxa"/>
          </w:tcPr>
          <w:p w14:paraId="15FCEC6D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Acute myocardial infarction and other forms of ischemic heart disease</w:t>
            </w:r>
          </w:p>
        </w:tc>
        <w:tc>
          <w:tcPr>
            <w:tcW w:w="1159" w:type="dxa"/>
          </w:tcPr>
          <w:p w14:paraId="2306CC5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410–414</w:t>
            </w:r>
          </w:p>
        </w:tc>
        <w:tc>
          <w:tcPr>
            <w:tcW w:w="1482" w:type="dxa"/>
          </w:tcPr>
          <w:p w14:paraId="56DA0F07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I21–I25</w:t>
            </w:r>
          </w:p>
        </w:tc>
        <w:tc>
          <w:tcPr>
            <w:tcW w:w="1160" w:type="dxa"/>
          </w:tcPr>
          <w:p w14:paraId="067F6F31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61D950A3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2569" w:type="dxa"/>
          </w:tcPr>
          <w:p w14:paraId="68F7730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</w:tr>
      <w:tr w:rsidR="0036262E" w:rsidRPr="0036262E" w14:paraId="758FDE12" w14:textId="77777777" w:rsidTr="0036262E">
        <w:trPr>
          <w:trHeight w:val="271"/>
        </w:trPr>
        <w:tc>
          <w:tcPr>
            <w:tcW w:w="620" w:type="dxa"/>
          </w:tcPr>
          <w:p w14:paraId="41578615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8</w:t>
            </w:r>
          </w:p>
        </w:tc>
        <w:tc>
          <w:tcPr>
            <w:tcW w:w="1987" w:type="dxa"/>
          </w:tcPr>
          <w:p w14:paraId="55BFBAA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Stroke</w:t>
            </w:r>
          </w:p>
        </w:tc>
        <w:tc>
          <w:tcPr>
            <w:tcW w:w="1159" w:type="dxa"/>
          </w:tcPr>
          <w:p w14:paraId="37688F81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433, 434, 436</w:t>
            </w:r>
          </w:p>
        </w:tc>
        <w:tc>
          <w:tcPr>
            <w:tcW w:w="1482" w:type="dxa"/>
          </w:tcPr>
          <w:p w14:paraId="415624D9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G450</w:t>
            </w:r>
          </w:p>
          <w:p w14:paraId="20D082A2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G458</w:t>
            </w:r>
          </w:p>
          <w:p w14:paraId="7A30469B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G459</w:t>
            </w:r>
          </w:p>
          <w:p w14:paraId="2911ACA2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I630</w:t>
            </w:r>
          </w:p>
          <w:p w14:paraId="2618944D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I632</w:t>
            </w:r>
          </w:p>
          <w:p w14:paraId="17FE1276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I633</w:t>
            </w:r>
          </w:p>
          <w:p w14:paraId="0916ED19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I634</w:t>
            </w:r>
          </w:p>
          <w:p w14:paraId="4F927C59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I635</w:t>
            </w:r>
          </w:p>
          <w:p w14:paraId="41B938E0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I64</w:t>
            </w:r>
          </w:p>
          <w:p w14:paraId="79C7BB58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I650</w:t>
            </w:r>
          </w:p>
          <w:p w14:paraId="7E6B143A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lastRenderedPageBreak/>
              <w:t>I651</w:t>
            </w:r>
          </w:p>
          <w:p w14:paraId="6CF3FF9C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I652</w:t>
            </w:r>
          </w:p>
          <w:p w14:paraId="67A1FE54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I653</w:t>
            </w:r>
          </w:p>
          <w:p w14:paraId="4CA6C3B1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I658</w:t>
            </w:r>
          </w:p>
          <w:p w14:paraId="34AE3BB6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I659</w:t>
            </w:r>
          </w:p>
          <w:p w14:paraId="1B3589DD" w14:textId="77777777" w:rsidR="0036262E" w:rsidRPr="0036262E" w:rsidRDefault="0036262E" w:rsidP="0036262E">
            <w:pPr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I668</w:t>
            </w:r>
          </w:p>
          <w:p w14:paraId="6FF6A77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I669</w:t>
            </w:r>
          </w:p>
        </w:tc>
        <w:tc>
          <w:tcPr>
            <w:tcW w:w="1160" w:type="dxa"/>
          </w:tcPr>
          <w:p w14:paraId="64838BAC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259220AD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2569" w:type="dxa"/>
          </w:tcPr>
          <w:p w14:paraId="71FC427E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</w:tr>
      <w:tr w:rsidR="0036262E" w:rsidRPr="0036262E" w14:paraId="6F569C11" w14:textId="77777777" w:rsidTr="0036262E">
        <w:trPr>
          <w:trHeight w:val="274"/>
        </w:trPr>
        <w:tc>
          <w:tcPr>
            <w:tcW w:w="620" w:type="dxa"/>
          </w:tcPr>
          <w:p w14:paraId="2B4753F3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9</w:t>
            </w:r>
          </w:p>
        </w:tc>
        <w:tc>
          <w:tcPr>
            <w:tcW w:w="1987" w:type="dxa"/>
          </w:tcPr>
          <w:p w14:paraId="6A6C4B0B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Congestive heart failure</w:t>
            </w:r>
          </w:p>
        </w:tc>
        <w:tc>
          <w:tcPr>
            <w:tcW w:w="1159" w:type="dxa"/>
          </w:tcPr>
          <w:p w14:paraId="5787E6EC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428</w:t>
            </w:r>
          </w:p>
        </w:tc>
        <w:tc>
          <w:tcPr>
            <w:tcW w:w="1482" w:type="dxa"/>
          </w:tcPr>
          <w:p w14:paraId="13B2C43A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I50</w:t>
            </w:r>
          </w:p>
        </w:tc>
        <w:tc>
          <w:tcPr>
            <w:tcW w:w="1160" w:type="dxa"/>
          </w:tcPr>
          <w:p w14:paraId="4C1EAC67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4FC8C242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2569" w:type="dxa"/>
          </w:tcPr>
          <w:p w14:paraId="63D14BD2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</w:tr>
      <w:tr w:rsidR="0036262E" w:rsidRPr="0036262E" w14:paraId="4032732E" w14:textId="77777777" w:rsidTr="0036262E">
        <w:trPr>
          <w:trHeight w:val="274"/>
        </w:trPr>
        <w:tc>
          <w:tcPr>
            <w:tcW w:w="620" w:type="dxa"/>
          </w:tcPr>
          <w:p w14:paraId="68AE1DC7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10</w:t>
            </w:r>
          </w:p>
        </w:tc>
        <w:tc>
          <w:tcPr>
            <w:tcW w:w="1987" w:type="dxa"/>
          </w:tcPr>
          <w:p w14:paraId="7AB940D1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Diabetes</w:t>
            </w:r>
          </w:p>
        </w:tc>
        <w:tc>
          <w:tcPr>
            <w:tcW w:w="1159" w:type="dxa"/>
          </w:tcPr>
          <w:p w14:paraId="2FF896DA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250</w:t>
            </w:r>
          </w:p>
        </w:tc>
        <w:tc>
          <w:tcPr>
            <w:tcW w:w="1482" w:type="dxa"/>
          </w:tcPr>
          <w:p w14:paraId="6EBFE5A9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E11</w:t>
            </w:r>
          </w:p>
        </w:tc>
        <w:tc>
          <w:tcPr>
            <w:tcW w:w="1160" w:type="dxa"/>
          </w:tcPr>
          <w:p w14:paraId="52DA74A3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1389" w:type="dxa"/>
          </w:tcPr>
          <w:p w14:paraId="21B96EF4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2569" w:type="dxa"/>
          </w:tcPr>
          <w:p w14:paraId="61E24308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Diabetes (≥2 diagnoses within 6 months)</w:t>
            </w:r>
          </w:p>
        </w:tc>
      </w:tr>
      <w:tr w:rsidR="0036262E" w:rsidRPr="0036262E" w14:paraId="3B0C920C" w14:textId="77777777" w:rsidTr="0036262E">
        <w:trPr>
          <w:trHeight w:val="274"/>
        </w:trPr>
        <w:tc>
          <w:tcPr>
            <w:tcW w:w="620" w:type="dxa"/>
          </w:tcPr>
          <w:p w14:paraId="6A798D6A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11</w:t>
            </w:r>
          </w:p>
        </w:tc>
        <w:tc>
          <w:tcPr>
            <w:tcW w:w="1987" w:type="dxa"/>
          </w:tcPr>
          <w:p w14:paraId="54331650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b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b/>
                <w:iCs w:val="0"/>
                <w:color w:val="auto"/>
                <w:lang w:val="en-US" w:eastAsia="zh-TW"/>
              </w:rPr>
              <w:t>Dyslipidemia</w:t>
            </w:r>
          </w:p>
        </w:tc>
        <w:tc>
          <w:tcPr>
            <w:tcW w:w="1159" w:type="dxa"/>
          </w:tcPr>
          <w:p w14:paraId="46EBF01A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272</w:t>
            </w: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br/>
              <w:t>277.7</w:t>
            </w:r>
          </w:p>
        </w:tc>
        <w:tc>
          <w:tcPr>
            <w:tcW w:w="1482" w:type="dxa"/>
          </w:tcPr>
          <w:p w14:paraId="6466E4A5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E78</w:t>
            </w:r>
          </w:p>
        </w:tc>
        <w:tc>
          <w:tcPr>
            <w:tcW w:w="1160" w:type="dxa"/>
          </w:tcPr>
          <w:p w14:paraId="5A5E678E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C10</w:t>
            </w:r>
          </w:p>
        </w:tc>
        <w:tc>
          <w:tcPr>
            <w:tcW w:w="1389" w:type="dxa"/>
          </w:tcPr>
          <w:p w14:paraId="72B795B7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</w:p>
        </w:tc>
        <w:tc>
          <w:tcPr>
            <w:tcW w:w="2569" w:type="dxa"/>
          </w:tcPr>
          <w:p w14:paraId="07F7733D" w14:textId="77777777" w:rsidR="0036262E" w:rsidRPr="0036262E" w:rsidRDefault="0036262E" w:rsidP="0036262E">
            <w:pPr>
              <w:spacing w:line="360" w:lineRule="auto"/>
              <w:rPr>
                <w:rFonts w:eastAsia="Times New Roman"/>
                <w:iCs w:val="0"/>
                <w:color w:val="auto"/>
                <w:lang w:val="en-US" w:eastAsia="zh-TW"/>
              </w:rPr>
            </w:pPr>
            <w:r w:rsidRPr="0036262E">
              <w:rPr>
                <w:rFonts w:eastAsia="Times New Roman"/>
                <w:iCs w:val="0"/>
                <w:color w:val="auto"/>
                <w:lang w:val="en-US" w:eastAsia="zh-TW"/>
              </w:rPr>
              <w:t>dyslipidemia (≥2 diagnoses within 6 months)</w:t>
            </w:r>
          </w:p>
        </w:tc>
      </w:tr>
    </w:tbl>
    <w:p w14:paraId="6C4BBA9C" w14:textId="77777777" w:rsidR="0036262E" w:rsidRPr="0036262E" w:rsidRDefault="0036262E" w:rsidP="0036262E">
      <w:pPr>
        <w:spacing w:line="480" w:lineRule="auto"/>
        <w:jc w:val="both"/>
        <w:rPr>
          <w:rFonts w:eastAsia="Times New Roman"/>
          <w:b/>
          <w:iCs w:val="0"/>
          <w:color w:val="auto"/>
          <w:lang w:val="en-US" w:eastAsia="zh-TW"/>
        </w:rPr>
      </w:pPr>
      <w:r w:rsidRPr="0036262E">
        <w:rPr>
          <w:rFonts w:eastAsia="Times New Roman"/>
          <w:i/>
          <w:iCs w:val="0"/>
          <w:color w:val="auto"/>
          <w:lang w:val="en-US" w:eastAsia="zh-TW"/>
        </w:rPr>
        <w:t>ATC</w:t>
      </w:r>
      <w:r w:rsidRPr="0036262E">
        <w:rPr>
          <w:rFonts w:eastAsia="Times New Roman"/>
          <w:iCs w:val="0"/>
          <w:color w:val="auto"/>
          <w:lang w:val="en-US" w:eastAsia="zh-TW"/>
        </w:rPr>
        <w:t xml:space="preserve"> anatomical therapeutic chemical classification system, </w:t>
      </w:r>
      <w:r w:rsidRPr="0036262E">
        <w:rPr>
          <w:rFonts w:eastAsia="Times New Roman"/>
          <w:i/>
          <w:iCs w:val="0"/>
          <w:lang w:val="en-US" w:eastAsia="zh-TW"/>
        </w:rPr>
        <w:t>GnRH</w:t>
      </w:r>
      <w:r w:rsidRPr="0036262E">
        <w:rPr>
          <w:rFonts w:eastAsia="Times New Roman"/>
          <w:iCs w:val="0"/>
          <w:lang w:val="en-US" w:eastAsia="zh-TW"/>
        </w:rPr>
        <w:t xml:space="preserve"> gonadotropin-releasing hormone,</w:t>
      </w:r>
      <w:r w:rsidRPr="0036262E">
        <w:rPr>
          <w:rFonts w:eastAsia="Times New Roman"/>
          <w:i/>
          <w:iCs w:val="0"/>
          <w:color w:val="auto"/>
          <w:lang w:val="en-US" w:eastAsia="zh-TW"/>
        </w:rPr>
        <w:t xml:space="preserve"> ICD</w:t>
      </w:r>
      <w:r w:rsidRPr="0036262E">
        <w:rPr>
          <w:rFonts w:eastAsia="Times New Roman"/>
          <w:iCs w:val="0"/>
          <w:color w:val="auto"/>
          <w:lang w:val="en-US" w:eastAsia="zh-TW"/>
        </w:rPr>
        <w:t xml:space="preserve"> International classification of disease</w:t>
      </w:r>
      <w:r w:rsidRPr="0036262E">
        <w:rPr>
          <w:rFonts w:eastAsia="Times New Roman"/>
          <w:iCs w:val="0"/>
          <w:lang w:val="en-US" w:eastAsia="zh-TW"/>
        </w:rPr>
        <w:t>.</w:t>
      </w:r>
    </w:p>
    <w:p w14:paraId="5AFFBE72" w14:textId="77777777" w:rsidR="005C7735" w:rsidRDefault="005C7735"/>
    <w:sectPr w:rsidR="005C7735">
      <w:pgSz w:w="11906" w:h="16838"/>
      <w:pgMar w:top="1440" w:right="1440" w:bottom="993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2E"/>
    <w:rsid w:val="0036262E"/>
    <w:rsid w:val="005C7735"/>
    <w:rsid w:val="006A7DC3"/>
    <w:rsid w:val="006F0F2C"/>
    <w:rsid w:val="00C20DFA"/>
    <w:rsid w:val="00D43A6E"/>
    <w:rsid w:val="00DA609A"/>
    <w:rsid w:val="00E1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6EFB1"/>
  <w15:chartTrackingRefBased/>
  <w15:docId w15:val="{CC852300-EB18-4569-B339-8D02209E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novertticallinesplain">
    <w:name w:val="no verttical lines plain"/>
    <w:basedOn w:val="ListTable6Colorful"/>
    <w:uiPriority w:val="99"/>
    <w:rsid w:val="00C20DFA"/>
    <w:rPr>
      <w:rFonts w:ascii="Calibri" w:eastAsiaTheme="minorEastAsia" w:hAnsi="Calibri" w:cs="Calibri"/>
      <w:sz w:val="20"/>
      <w:szCs w:val="20"/>
      <w:lang w:val="en-US" w:eastAsia="zh-TW"/>
    </w:rPr>
    <w:tblPr/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C20DF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aliases w:val="PLOS ONE"/>
    <w:basedOn w:val="TableNormal"/>
    <w:uiPriority w:val="47"/>
    <w:rsid w:val="00E1147D"/>
    <w:pPr>
      <w:spacing w:after="0" w:line="240" w:lineRule="auto"/>
    </w:pPr>
    <w:rPr>
      <w:rFonts w:eastAsiaTheme="minorEastAsia"/>
      <w:kern w:val="2"/>
      <w:lang w:val="en-US" w:eastAsia="ja-JP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verticallines">
    <w:name w:val="No vertical lines"/>
    <w:basedOn w:val="TableNormal"/>
    <w:uiPriority w:val="99"/>
    <w:rsid w:val="006A7DC3"/>
    <w:pPr>
      <w:spacing w:after="0" w:line="240" w:lineRule="auto"/>
    </w:p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table" w:styleId="TableGridLight">
    <w:name w:val="Grid Table Light"/>
    <w:aliases w:val="PLOS ONE1"/>
    <w:basedOn w:val="TableNormal"/>
    <w:uiPriority w:val="40"/>
    <w:rsid w:val="00DA609A"/>
    <w:pPr>
      <w:spacing w:after="0" w:line="240" w:lineRule="auto"/>
    </w:pPr>
    <w:tblPr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MIMS MW-1</dc:creator>
  <cp:keywords/>
  <dc:description/>
  <cp:lastModifiedBy>MIMS MW-1</cp:lastModifiedBy>
  <cp:revision>1</cp:revision>
  <dcterms:created xsi:type="dcterms:W3CDTF">2022-01-25T09:05:00Z</dcterms:created>
  <dcterms:modified xsi:type="dcterms:W3CDTF">2022-01-25T09:07:00Z</dcterms:modified>
</cp:coreProperties>
</file>