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510" w:rsidRPr="00970198" w:rsidRDefault="00E54BC0" w:rsidP="00E54BC0">
      <w:pPr>
        <w:spacing w:line="276" w:lineRule="auto"/>
        <w:rPr>
          <w:rFonts w:ascii="Times New Roman" w:eastAsiaTheme="minorEastAsia" w:hAnsi="Times New Roman" w:cs="Times New Roman"/>
          <w:b/>
          <w:bCs/>
          <w:lang w:val="en-US"/>
        </w:rPr>
      </w:pPr>
      <w:r w:rsidRPr="00970198">
        <w:rPr>
          <w:rFonts w:ascii="Times New Roman" w:hAnsi="Times New Roman" w:cs="Times New Roman"/>
          <w:b/>
          <w:bCs/>
          <w:lang w:val="en-US"/>
        </w:rPr>
        <w:t>Supplementary Table (1): Perioperative outcomes of lobe</w:t>
      </w:r>
      <w:r w:rsidR="00970198" w:rsidRPr="00970198">
        <w:rPr>
          <w:rFonts w:ascii="Times New Roman" w:hAnsi="Times New Roman" w:cs="Times New Roman"/>
          <w:b/>
          <w:bCs/>
          <w:lang w:val="en-US"/>
        </w:rPr>
        <w:t>-</w:t>
      </w:r>
      <w:r w:rsidRPr="00970198">
        <w:rPr>
          <w:rFonts w:ascii="Times New Roman" w:hAnsi="Times New Roman" w:cs="Times New Roman"/>
          <w:b/>
          <w:bCs/>
          <w:lang w:val="en-US"/>
        </w:rPr>
        <w:t>by</w:t>
      </w:r>
      <w:r w:rsidR="00970198" w:rsidRPr="00970198">
        <w:rPr>
          <w:rFonts w:ascii="Times New Roman" w:hAnsi="Times New Roman" w:cs="Times New Roman"/>
          <w:b/>
          <w:bCs/>
          <w:lang w:val="en-US"/>
        </w:rPr>
        <w:t>-</w:t>
      </w:r>
      <w:r w:rsidRPr="00970198">
        <w:rPr>
          <w:rFonts w:ascii="Times New Roman" w:hAnsi="Times New Roman" w:cs="Times New Roman"/>
          <w:b/>
          <w:bCs/>
          <w:lang w:val="en-US"/>
        </w:rPr>
        <w:t>lobe v</w:t>
      </w:r>
      <w:r w:rsidR="00970198" w:rsidRPr="00970198">
        <w:rPr>
          <w:rFonts w:ascii="Times New Roman" w:hAnsi="Times New Roman" w:cs="Times New Roman"/>
          <w:b/>
          <w:bCs/>
          <w:lang w:val="en-US"/>
        </w:rPr>
        <w:t>ersu</w:t>
      </w:r>
      <w:r w:rsidRPr="00970198">
        <w:rPr>
          <w:rFonts w:ascii="Times New Roman" w:hAnsi="Times New Roman" w:cs="Times New Roman"/>
          <w:b/>
          <w:bCs/>
          <w:lang w:val="en-US"/>
        </w:rPr>
        <w:t>s E</w:t>
      </w:r>
      <w:proofErr w:type="spellStart"/>
      <w:r w:rsidRPr="00970198">
        <w:rPr>
          <w:rFonts w:ascii="Times New Roman" w:hAnsi="Times New Roman" w:cs="Times New Roman"/>
          <w:b/>
          <w:bCs/>
          <w:lang w:val="en-US"/>
        </w:rPr>
        <w:t>n</w:t>
      </w:r>
      <w:proofErr w:type="spellEnd"/>
      <w:r w:rsidRPr="00970198">
        <w:rPr>
          <w:rFonts w:ascii="Times New Roman" w:hAnsi="Times New Roman" w:cs="Times New Roman"/>
          <w:b/>
          <w:bCs/>
          <w:lang w:val="en-US"/>
        </w:rPr>
        <w:t>-</w:t>
      </w:r>
      <w:proofErr w:type="gramStart"/>
      <w:r w:rsidRPr="00970198">
        <w:rPr>
          <w:rFonts w:ascii="Times New Roman" w:hAnsi="Times New Roman" w:cs="Times New Roman"/>
          <w:b/>
          <w:bCs/>
          <w:lang w:val="en-US"/>
        </w:rPr>
        <w:t xml:space="preserve">bloc  </w:t>
      </w:r>
      <w:proofErr w:type="spellStart"/>
      <w:r w:rsidRPr="00970198">
        <w:rPr>
          <w:rFonts w:ascii="Times New Roman" w:hAnsi="Times New Roman" w:cs="Times New Roman"/>
          <w:b/>
          <w:bCs/>
          <w:lang w:val="en-US"/>
        </w:rPr>
        <w:t>HoLEP</w:t>
      </w:r>
      <w:proofErr w:type="spellEnd"/>
      <w:proofErr w:type="gramEnd"/>
      <w:r w:rsidRPr="00970198">
        <w:rPr>
          <w:rFonts w:ascii="Times New Roman" w:hAnsi="Times New Roman" w:cs="Times New Roman"/>
          <w:b/>
          <w:bCs/>
          <w:lang w:val="en-US"/>
        </w:rPr>
        <w:t xml:space="preserve"> for prostates</w:t>
      </w:r>
      <m:oMath>
        <m:r>
          <m:rPr>
            <m:sty m:val="bi"/>
          </m:rPr>
          <w:rPr>
            <w:rFonts w:ascii="Cambria Math" w:hAnsi="Cambria Math" w:cs="Times New Roman"/>
            <w:lang w:val="en-US"/>
          </w:rPr>
          <m:t>≥</m:t>
        </m:r>
      </m:oMath>
      <w:r w:rsidRPr="00970198">
        <w:rPr>
          <w:rFonts w:ascii="Times New Roman" w:eastAsiaTheme="minorEastAsia" w:hAnsi="Times New Roman" w:cs="Times New Roman"/>
          <w:b/>
          <w:bCs/>
          <w:lang w:val="en-US"/>
        </w:rPr>
        <w:t xml:space="preserve"> 150 ml</w:t>
      </w:r>
    </w:p>
    <w:p w:rsidR="00E54BC0" w:rsidRDefault="00E54BC0" w:rsidP="00E54BC0">
      <w:pPr>
        <w:spacing w:line="276" w:lineRule="auto"/>
        <w:rPr>
          <w:rFonts w:ascii="Times New Roman" w:eastAsiaTheme="minorEastAsia" w:hAnsi="Times New Roman" w:cs="Times New Roman"/>
          <w:b/>
          <w:bCs/>
          <w:lang w:val="en-US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5812"/>
        <w:gridCol w:w="1985"/>
        <w:gridCol w:w="1843"/>
      </w:tblGrid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Lobe</w:t>
            </w:r>
            <w:r w:rsidR="0053427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-</w:t>
            </w: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by</w:t>
            </w:r>
            <w:r w:rsidR="0053427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-</w:t>
            </w: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Lobe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En</w:t>
            </w:r>
            <w:proofErr w:type="spellEnd"/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-bloc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 xml:space="preserve">Age </w:t>
            </w: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>(years): mean ± SD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65.4</w:t>
            </w:r>
            <m:oMath>
              <m:r>
                <w:rPr>
                  <w:rFonts w:ascii="Cambria Math" w:hAnsi="Cambria Math" w:cstheme="majorBidi"/>
                  <w:sz w:val="22"/>
                  <w:szCs w:val="22"/>
                  <w:lang w:val="en-US"/>
                </w:rPr>
                <m:t>±</m:t>
              </m:r>
            </m:oMath>
            <w:r w:rsidRPr="001354BE">
              <w:rPr>
                <w:rFonts w:asciiTheme="majorBidi" w:eastAsiaTheme="minorEastAsia" w:hAnsiTheme="majorBidi" w:cstheme="majorBidi"/>
                <w:sz w:val="22"/>
                <w:szCs w:val="22"/>
                <w:lang w:val="en-US"/>
              </w:rPr>
              <w:t>11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66.3</w:t>
            </w:r>
            <m:oMath>
              <m:r>
                <w:rPr>
                  <w:rFonts w:ascii="Cambria Math" w:hAnsi="Cambria Math" w:cstheme="majorBidi"/>
                  <w:sz w:val="22"/>
                  <w:szCs w:val="22"/>
                  <w:lang w:val="en-US"/>
                </w:rPr>
                <m:t>±6.8</m:t>
              </m:r>
            </m:oMath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 xml:space="preserve">BMI </w:t>
            </w: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>(kg/m</w:t>
            </w: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>):  mean ± SD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29</w:t>
            </w:r>
            <m:oMath>
              <m:r>
                <w:rPr>
                  <w:rFonts w:ascii="Cambria Math" w:hAnsi="Cambria Math" w:cstheme="majorBidi"/>
                  <w:sz w:val="22"/>
                  <w:szCs w:val="22"/>
                  <w:lang w:val="en-US"/>
                </w:rPr>
                <m:t>±6.3</m:t>
              </m:r>
            </m:oMath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30.5</w:t>
            </w:r>
            <m:oMath>
              <m:r>
                <w:rPr>
                  <w:rFonts w:ascii="Cambria Math" w:hAnsi="Cambria Math" w:cstheme="majorBidi"/>
                  <w:sz w:val="22"/>
                  <w:szCs w:val="22"/>
                  <w:lang w:val="en-US"/>
                </w:rPr>
                <m:t>±5.4</m:t>
              </m:r>
            </m:oMath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PSA (ng/ml): median (range)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11.3 </w:t>
            </w:r>
            <m:oMath>
              <m:r>
                <w:rPr>
                  <w:rFonts w:ascii="Cambria Math" w:hAnsi="Cambria Math" w:cstheme="majorBidi"/>
                  <w:sz w:val="22"/>
                  <w:szCs w:val="22"/>
                  <w:lang w:val="en-US"/>
                </w:rPr>
                <m:t>±6.7</m:t>
              </m:r>
            </m:oMath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9.6 </w:t>
            </w:r>
            <m:oMath>
              <m:r>
                <w:rPr>
                  <w:rFonts w:ascii="Cambria Math" w:hAnsi="Cambria Math" w:cstheme="majorBidi"/>
                  <w:sz w:val="22"/>
                  <w:szCs w:val="22"/>
                  <w:lang w:val="en-US"/>
                </w:rPr>
                <m:t>±6</m:t>
              </m:r>
            </m:oMath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Total prostate volume in ml: mean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2"/>
                  <w:szCs w:val="22"/>
                  <w:lang w:val="en-US"/>
                </w:rPr>
                <m:t>±SD</m:t>
              </m:r>
            </m:oMath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177.8</w:t>
            </w:r>
            <m:oMath>
              <m:r>
                <w:rPr>
                  <w:rFonts w:ascii="Cambria Math" w:hAnsi="Cambria Math" w:cstheme="majorBidi"/>
                  <w:sz w:val="22"/>
                  <w:szCs w:val="22"/>
                  <w:lang w:val="en-US"/>
                </w:rPr>
                <m:t>±14</m:t>
              </m:r>
            </m:oMath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176.7</w:t>
            </w:r>
            <m:oMath>
              <m:r>
                <w:rPr>
                  <w:rFonts w:ascii="Cambria Math" w:hAnsi="Cambria Math" w:cstheme="majorBidi"/>
                  <w:sz w:val="22"/>
                  <w:szCs w:val="22"/>
                  <w:lang w:val="en-US"/>
                </w:rPr>
                <m:t>± 16</m:t>
              </m:r>
            </m:oMath>
          </w:p>
        </w:tc>
      </w:tr>
      <w:tr w:rsidR="00A064C7" w:rsidRPr="006031E2" w:rsidTr="00A064C7">
        <w:tc>
          <w:tcPr>
            <w:tcW w:w="9640" w:type="dxa"/>
            <w:gridSpan w:val="3"/>
            <w:shd w:val="clear" w:color="auto" w:fill="D0CECE" w:themeFill="background2" w:themeFillShade="E6"/>
          </w:tcPr>
          <w:p w:rsidR="00A064C7" w:rsidRPr="001354BE" w:rsidRDefault="00A064C7" w:rsidP="00970198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>Baseline Urine flow parameters for non-catheterized patients: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 xml:space="preserve">    IPSS:  mean ± SD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30.5 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  <w:lang w:val="en-US"/>
              </w:rPr>
              <w:t xml:space="preserve"> 5.5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27 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  <w:lang w:val="en-US"/>
              </w:rPr>
              <w:t>6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 xml:space="preserve">    QoL:  mean ± SD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5.5 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  <w:lang w:val="en-US"/>
              </w:rPr>
              <w:t>0.7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5.1 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  <w:lang w:val="en-US"/>
              </w:rPr>
              <w:t xml:space="preserve"> 0.7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 xml:space="preserve">    Q max</w:t>
            </w: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>ml/sec</w:t>
            </w: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US"/>
              </w:rPr>
              <w:t>)</w:t>
            </w: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>: mean ± SD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10 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  <w:lang w:val="en-US"/>
              </w:rPr>
              <w:t>3.3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8.5 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eastAsia="Calibri" w:hAnsiTheme="majorBidi" w:cstheme="majorBidi"/>
                <w:sz w:val="22"/>
                <w:szCs w:val="22"/>
                <w:lang w:val="en-US"/>
              </w:rPr>
              <w:t xml:space="preserve"> 3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US"/>
              </w:rPr>
              <w:t xml:space="preserve">    </w:t>
            </w: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>PVR in ml:  median (range)</w:t>
            </w:r>
          </w:p>
        </w:tc>
        <w:tc>
          <w:tcPr>
            <w:tcW w:w="1985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6A0FF4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 (0-80)</w:t>
            </w:r>
          </w:p>
        </w:tc>
        <w:tc>
          <w:tcPr>
            <w:tcW w:w="1843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6A0FF4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21 (0-200)</w:t>
            </w:r>
          </w:p>
        </w:tc>
      </w:tr>
      <w:tr w:rsidR="00A064C7" w:rsidRPr="006031E2" w:rsidTr="00A064C7">
        <w:tc>
          <w:tcPr>
            <w:tcW w:w="9640" w:type="dxa"/>
            <w:gridSpan w:val="3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 xml:space="preserve">   Intraoperative Measures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tabs>
                <w:tab w:val="left" w:pos="4425"/>
              </w:tabs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 LASER Energy (KJ)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166.2 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39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152.4 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41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tabs>
                <w:tab w:val="left" w:pos="442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Operative Time (min) mean ± SD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113.5 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31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92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36.7</w:t>
            </w:r>
          </w:p>
        </w:tc>
      </w:tr>
      <w:tr w:rsidR="00A064C7" w:rsidRPr="006031E2" w:rsidTr="0053427E">
        <w:trPr>
          <w:trHeight w:val="249"/>
        </w:trPr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tabs>
                <w:tab w:val="left" w:pos="442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Enucleation Time (min) mean ± SD    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84.3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21.4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71.4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30.4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tabs>
                <w:tab w:val="left" w:pos="442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Enucleated Weight (gm) mean ± SD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91.7 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25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89.8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27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 xml:space="preserve">Enucleation Efficiency (gm/min): mean ± SD                              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1.1 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0.4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1.3 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0.5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Operative Efficiency (gm/min):  mean ± SD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0.8 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0.3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1 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0.3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Laser density (KJ/gm):              mean ± SD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0.5 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0.2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0.5 </w:t>
            </w:r>
            <w:r w:rsidRPr="001354BE">
              <w:rPr>
                <w:rFonts w:asciiTheme="majorBidi" w:hAnsiTheme="majorBidi" w:cstheme="majorBidi"/>
                <w:sz w:val="22"/>
                <w:szCs w:val="22"/>
              </w:rPr>
              <w:t>±</w:t>
            </w: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0.1</w:t>
            </w:r>
          </w:p>
        </w:tc>
      </w:tr>
      <w:tr w:rsidR="00A064C7" w:rsidRPr="006031E2" w:rsidTr="00A064C7">
        <w:tc>
          <w:tcPr>
            <w:tcW w:w="9640" w:type="dxa"/>
            <w:gridSpan w:val="3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Intraoperative Safety Measures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Bladder Injury: N. (%)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4 (22.2%)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Need of electrocautery for haemostasis:  N. (%)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3 (16.7%)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 (5.5%)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Auxiliary TURP for residual tissues:  N. (%)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 (5.6%)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</w:tr>
      <w:tr w:rsidR="00A064C7" w:rsidRPr="006031E2" w:rsidTr="00A064C7">
        <w:tc>
          <w:tcPr>
            <w:tcW w:w="9640" w:type="dxa"/>
            <w:gridSpan w:val="3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Postoperative Measures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  <w:t xml:space="preserve">Blood transfusion </w:t>
            </w: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N. (%)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 (5.6%)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 (5.9%)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  <w:t xml:space="preserve">Hemoglobin deficit </w:t>
            </w:r>
            <w:r w:rsidRPr="001354BE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>median (range)</w:t>
            </w:r>
          </w:p>
        </w:tc>
        <w:tc>
          <w:tcPr>
            <w:tcW w:w="1985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1.4 (0.7-2.4)</w:t>
            </w:r>
          </w:p>
        </w:tc>
        <w:tc>
          <w:tcPr>
            <w:tcW w:w="1843" w:type="dxa"/>
          </w:tcPr>
          <w:p w:rsidR="00A064C7" w:rsidRPr="001354BE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1354BE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1.2 (0.2-1.8)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  <w:t xml:space="preserve">Length of hospital stay (days): </w:t>
            </w: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mean ± SD</w:t>
            </w:r>
          </w:p>
        </w:tc>
        <w:tc>
          <w:tcPr>
            <w:tcW w:w="1985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6A0FF4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2.7 </w:t>
            </w:r>
            <w:r w:rsidRPr="006A0FF4">
              <w:rPr>
                <w:rFonts w:asciiTheme="majorBidi" w:eastAsia="Times New Roman" w:hAnsiTheme="majorBidi" w:cstheme="majorBidi"/>
                <w:sz w:val="22"/>
                <w:szCs w:val="22"/>
              </w:rPr>
              <w:t>±</w:t>
            </w:r>
            <w:r w:rsidRPr="006A0FF4">
              <w:rPr>
                <w:rFonts w:asciiTheme="majorBidi" w:eastAsia="Times New Roman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6A0FF4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3 </w:t>
            </w:r>
            <w:r w:rsidRPr="006A0FF4">
              <w:rPr>
                <w:rFonts w:asciiTheme="majorBidi" w:eastAsia="Times New Roman" w:hAnsiTheme="majorBidi" w:cstheme="majorBidi"/>
                <w:sz w:val="22"/>
                <w:szCs w:val="22"/>
              </w:rPr>
              <w:t>±</w:t>
            </w:r>
            <w:r w:rsidRPr="006A0FF4">
              <w:rPr>
                <w:rFonts w:asciiTheme="majorBidi" w:eastAsia="Times New Roman" w:hAnsiTheme="majorBidi" w:cstheme="majorBidi"/>
                <w:sz w:val="22"/>
                <w:szCs w:val="22"/>
                <w:lang w:val="en-US"/>
              </w:rPr>
              <w:t>0.7</w:t>
            </w:r>
          </w:p>
        </w:tc>
      </w:tr>
      <w:tr w:rsidR="00A064C7" w:rsidRPr="006031E2" w:rsidTr="00A064C7">
        <w:tc>
          <w:tcPr>
            <w:tcW w:w="9640" w:type="dxa"/>
            <w:gridSpan w:val="3"/>
            <w:shd w:val="clear" w:color="auto" w:fill="D0CECE" w:themeFill="background2" w:themeFillShade="E6"/>
          </w:tcPr>
          <w:p w:rsidR="00A064C7" w:rsidRPr="0057798B" w:rsidRDefault="00A064C7" w:rsidP="00970198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57798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Postoperative Stress and Urge Urinary Incontinence</w:t>
            </w:r>
            <w:r w:rsidRPr="0057798B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 xml:space="preserve"> ( 2 weeks)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  <w:t xml:space="preserve">Urge incontinence </w:t>
            </w: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N. (%)</w:t>
            </w:r>
          </w:p>
        </w:tc>
        <w:tc>
          <w:tcPr>
            <w:tcW w:w="1985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 (16.6%)</w:t>
            </w:r>
          </w:p>
        </w:tc>
        <w:tc>
          <w:tcPr>
            <w:tcW w:w="1843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 (35.2%)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1354BE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  <w:t xml:space="preserve">Stress incontinence </w:t>
            </w:r>
            <w:r w:rsidRPr="001354B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N. (%)</w:t>
            </w:r>
          </w:p>
        </w:tc>
        <w:tc>
          <w:tcPr>
            <w:tcW w:w="1985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 (17.6%)</w:t>
            </w:r>
          </w:p>
        </w:tc>
      </w:tr>
      <w:tr w:rsidR="00A064C7" w:rsidRPr="006031E2" w:rsidTr="00A064C7">
        <w:tc>
          <w:tcPr>
            <w:tcW w:w="9640" w:type="dxa"/>
            <w:gridSpan w:val="3"/>
            <w:shd w:val="clear" w:color="auto" w:fill="D0CECE" w:themeFill="background2" w:themeFillShade="E6"/>
          </w:tcPr>
          <w:p w:rsidR="00A064C7" w:rsidRPr="0057798B" w:rsidRDefault="00A064C7" w:rsidP="00970198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57798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Postoperative Stress and Urge Urinary Incontinence</w:t>
            </w:r>
            <w:r w:rsidRPr="0057798B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 xml:space="preserve"> ( 3 months)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A452D7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A452D7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  <w:t xml:space="preserve">Urge incontinence </w:t>
            </w:r>
            <w:r w:rsidRPr="00A452D7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N. (%)</w:t>
            </w:r>
          </w:p>
        </w:tc>
        <w:tc>
          <w:tcPr>
            <w:tcW w:w="1985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 (5.5%)</w:t>
            </w:r>
          </w:p>
        </w:tc>
        <w:tc>
          <w:tcPr>
            <w:tcW w:w="1843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 (23.5%)</w:t>
            </w:r>
          </w:p>
        </w:tc>
      </w:tr>
      <w:tr w:rsidR="00A064C7" w:rsidRPr="006031E2" w:rsidTr="0053427E">
        <w:tc>
          <w:tcPr>
            <w:tcW w:w="5812" w:type="dxa"/>
            <w:shd w:val="clear" w:color="auto" w:fill="D0CECE" w:themeFill="background2" w:themeFillShade="E6"/>
          </w:tcPr>
          <w:p w:rsidR="00A064C7" w:rsidRPr="00A452D7" w:rsidRDefault="00A064C7" w:rsidP="0097019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A452D7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  <w:lang w:val="en-US"/>
              </w:rPr>
              <w:t xml:space="preserve">Stress incontinence </w:t>
            </w:r>
            <w:r w:rsidRPr="00A452D7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N. (%)</w:t>
            </w:r>
          </w:p>
        </w:tc>
        <w:tc>
          <w:tcPr>
            <w:tcW w:w="1985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</w:tcPr>
          <w:p w:rsidR="00A064C7" w:rsidRPr="006A0FF4" w:rsidRDefault="00A064C7" w:rsidP="00970198">
            <w:pPr>
              <w:spacing w:line="276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 (6.7%)</w:t>
            </w:r>
          </w:p>
        </w:tc>
      </w:tr>
      <w:tr w:rsidR="00970198" w:rsidRPr="006031E2" w:rsidTr="00147BE3">
        <w:tc>
          <w:tcPr>
            <w:tcW w:w="9640" w:type="dxa"/>
            <w:gridSpan w:val="3"/>
            <w:shd w:val="clear" w:color="auto" w:fill="D0CECE" w:themeFill="background2" w:themeFillShade="E6"/>
          </w:tcPr>
          <w:p w:rsidR="00970198" w:rsidRPr="00970198" w:rsidRDefault="00970198" w:rsidP="00970198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9701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Note: Values are presented as mean ± standard deviation or number (percentage). No statistical comparisons were performed for this subgroup, as the analysis was exploratory and the study was not powered for this subset.</w:t>
            </w:r>
          </w:p>
        </w:tc>
      </w:tr>
    </w:tbl>
    <w:p w:rsidR="00E54BC0" w:rsidRPr="006031E2" w:rsidRDefault="00E54BC0" w:rsidP="00E54BC0">
      <w:pPr>
        <w:spacing w:line="276" w:lineRule="auto"/>
        <w:rPr>
          <w:rFonts w:asciiTheme="majorBidi" w:hAnsiTheme="majorBidi" w:cstheme="majorBidi"/>
          <w:b/>
          <w:bCs/>
          <w:lang w:val="en-US"/>
        </w:rPr>
      </w:pPr>
    </w:p>
    <w:sectPr w:rsidR="00E54BC0" w:rsidRPr="006031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C0"/>
    <w:rsid w:val="00004489"/>
    <w:rsid w:val="00005FAA"/>
    <w:rsid w:val="000254A1"/>
    <w:rsid w:val="000B764A"/>
    <w:rsid w:val="000E4BCC"/>
    <w:rsid w:val="001052DB"/>
    <w:rsid w:val="00111859"/>
    <w:rsid w:val="00122607"/>
    <w:rsid w:val="00124510"/>
    <w:rsid w:val="0013099C"/>
    <w:rsid w:val="001354BE"/>
    <w:rsid w:val="00154158"/>
    <w:rsid w:val="00155E30"/>
    <w:rsid w:val="00172F83"/>
    <w:rsid w:val="001B3DF3"/>
    <w:rsid w:val="001F0550"/>
    <w:rsid w:val="0020583C"/>
    <w:rsid w:val="00243AE1"/>
    <w:rsid w:val="00245BB9"/>
    <w:rsid w:val="002779B2"/>
    <w:rsid w:val="002C10DD"/>
    <w:rsid w:val="00332851"/>
    <w:rsid w:val="00334072"/>
    <w:rsid w:val="003A6991"/>
    <w:rsid w:val="003F24F1"/>
    <w:rsid w:val="0040622A"/>
    <w:rsid w:val="00407B3D"/>
    <w:rsid w:val="00431589"/>
    <w:rsid w:val="004664E5"/>
    <w:rsid w:val="00480413"/>
    <w:rsid w:val="00486AE8"/>
    <w:rsid w:val="00492FC2"/>
    <w:rsid w:val="004C21B3"/>
    <w:rsid w:val="004E1224"/>
    <w:rsid w:val="004E1465"/>
    <w:rsid w:val="00503138"/>
    <w:rsid w:val="005148A7"/>
    <w:rsid w:val="0053427E"/>
    <w:rsid w:val="00544364"/>
    <w:rsid w:val="00572012"/>
    <w:rsid w:val="0057798B"/>
    <w:rsid w:val="00582565"/>
    <w:rsid w:val="00592842"/>
    <w:rsid w:val="00596908"/>
    <w:rsid w:val="005F40AC"/>
    <w:rsid w:val="006031E2"/>
    <w:rsid w:val="00676DD6"/>
    <w:rsid w:val="006A0FF4"/>
    <w:rsid w:val="006A5F62"/>
    <w:rsid w:val="006B771F"/>
    <w:rsid w:val="006F4AF9"/>
    <w:rsid w:val="0071603E"/>
    <w:rsid w:val="007544E0"/>
    <w:rsid w:val="00783466"/>
    <w:rsid w:val="00787C25"/>
    <w:rsid w:val="0079736D"/>
    <w:rsid w:val="007C3446"/>
    <w:rsid w:val="007C5410"/>
    <w:rsid w:val="007D0055"/>
    <w:rsid w:val="007F4056"/>
    <w:rsid w:val="008018F9"/>
    <w:rsid w:val="00831B5C"/>
    <w:rsid w:val="00844994"/>
    <w:rsid w:val="008D0398"/>
    <w:rsid w:val="008F2CF7"/>
    <w:rsid w:val="008F66EA"/>
    <w:rsid w:val="00960954"/>
    <w:rsid w:val="00970198"/>
    <w:rsid w:val="00971B8E"/>
    <w:rsid w:val="00980312"/>
    <w:rsid w:val="009B4065"/>
    <w:rsid w:val="009B5AE5"/>
    <w:rsid w:val="009B7684"/>
    <w:rsid w:val="009E0807"/>
    <w:rsid w:val="00A064C7"/>
    <w:rsid w:val="00A30E94"/>
    <w:rsid w:val="00A35802"/>
    <w:rsid w:val="00A452D7"/>
    <w:rsid w:val="00A55AD3"/>
    <w:rsid w:val="00A7165E"/>
    <w:rsid w:val="00A811CE"/>
    <w:rsid w:val="00A96145"/>
    <w:rsid w:val="00AA35D7"/>
    <w:rsid w:val="00AC0E5E"/>
    <w:rsid w:val="00B62030"/>
    <w:rsid w:val="00B85609"/>
    <w:rsid w:val="00B905EA"/>
    <w:rsid w:val="00B966F2"/>
    <w:rsid w:val="00BB2EED"/>
    <w:rsid w:val="00BC4094"/>
    <w:rsid w:val="00BF50BD"/>
    <w:rsid w:val="00C024F1"/>
    <w:rsid w:val="00C064F2"/>
    <w:rsid w:val="00C4605C"/>
    <w:rsid w:val="00C5602C"/>
    <w:rsid w:val="00C9623D"/>
    <w:rsid w:val="00CA2F7D"/>
    <w:rsid w:val="00CB6932"/>
    <w:rsid w:val="00CE4AF1"/>
    <w:rsid w:val="00CF5BCA"/>
    <w:rsid w:val="00D32125"/>
    <w:rsid w:val="00D827E8"/>
    <w:rsid w:val="00DE3062"/>
    <w:rsid w:val="00DF05AA"/>
    <w:rsid w:val="00E0034D"/>
    <w:rsid w:val="00E20B91"/>
    <w:rsid w:val="00E33027"/>
    <w:rsid w:val="00E373AD"/>
    <w:rsid w:val="00E5020A"/>
    <w:rsid w:val="00E54BC0"/>
    <w:rsid w:val="00EA74F5"/>
    <w:rsid w:val="00F16091"/>
    <w:rsid w:val="00F36287"/>
    <w:rsid w:val="00F445A6"/>
    <w:rsid w:val="00F82D9E"/>
    <w:rsid w:val="00F9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48A5E8"/>
  <w15:chartTrackingRefBased/>
  <w15:docId w15:val="{16FDDAF4-BA9F-0F44-AAE8-00B94A39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Q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BC0"/>
    <w:rPr>
      <w:color w:val="808080"/>
    </w:rPr>
  </w:style>
  <w:style w:type="table" w:styleId="TableGrid">
    <w:name w:val="Table Grid"/>
    <w:basedOn w:val="TableNormal"/>
    <w:uiPriority w:val="39"/>
    <w:rsid w:val="00E54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Laymon</dc:creator>
  <cp:keywords/>
  <dc:description/>
  <cp:lastModifiedBy>Mahmoud Laymon</cp:lastModifiedBy>
  <cp:revision>12</cp:revision>
  <dcterms:created xsi:type="dcterms:W3CDTF">2025-08-03T14:33:00Z</dcterms:created>
  <dcterms:modified xsi:type="dcterms:W3CDTF">2025-08-09T13:27:00Z</dcterms:modified>
</cp:coreProperties>
</file>