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3D329" w14:textId="77777777" w:rsidR="00122520" w:rsidRPr="00580D41" w:rsidRDefault="00122520" w:rsidP="00122520">
      <w:pPr>
        <w:spacing w:after="0" w:line="276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t xml:space="preserve">Supplementary Figure S1. </w:t>
      </w:r>
      <w:r w:rsidRPr="00580D41">
        <w:rPr>
          <w:rFonts w:ascii="Arial" w:hAnsi="Arial" w:cs="Arial"/>
        </w:rPr>
        <w:t>Consort diagram</w:t>
      </w:r>
    </w:p>
    <w:p w14:paraId="7F98AD73" w14:textId="77777777" w:rsidR="00122520" w:rsidRPr="00580D41" w:rsidRDefault="00122520" w:rsidP="00122520">
      <w:pPr>
        <w:rPr>
          <w:rFonts w:ascii="Arial" w:hAnsi="Arial" w:cs="Arial"/>
          <w:sz w:val="20"/>
          <w:szCs w:val="20"/>
        </w:rPr>
      </w:pPr>
      <w:r w:rsidRPr="00580D41">
        <w:rPr>
          <w:rFonts w:ascii="Arial" w:hAnsi="Arial" w:cs="Arial"/>
          <w:noProof/>
          <w14:ligatures w14:val="standardContextual"/>
        </w:rPr>
        <w:drawing>
          <wp:inline distT="0" distB="0" distL="0" distR="0" wp14:anchorId="68A3144B" wp14:editId="534E7D07">
            <wp:extent cx="5730296" cy="6533867"/>
            <wp:effectExtent l="0" t="0" r="0" b="0"/>
            <wp:docPr id="820798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98112" name="Picture 8207981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96" cy="653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D41">
        <w:rPr>
          <w:rFonts w:ascii="Arial" w:hAnsi="Arial" w:cs="Arial"/>
          <w:sz w:val="20"/>
          <w:szCs w:val="20"/>
        </w:rPr>
        <w:t xml:space="preserve"> </w:t>
      </w:r>
      <w:r w:rsidRPr="00580D41">
        <w:rPr>
          <w:rFonts w:ascii="Arial" w:hAnsi="Arial" w:cs="Arial"/>
          <w:sz w:val="20"/>
          <w:szCs w:val="20"/>
        </w:rPr>
        <w:br/>
        <w:t xml:space="preserve">Of 154 with temporal molecular data available, 62% had </w:t>
      </w:r>
      <w:proofErr w:type="spellStart"/>
      <w:r w:rsidRPr="00580D41">
        <w:rPr>
          <w:rFonts w:ascii="Arial" w:hAnsi="Arial" w:cs="Arial"/>
          <w:sz w:val="20"/>
          <w:szCs w:val="20"/>
        </w:rPr>
        <w:t>FoundationOne</w:t>
      </w:r>
      <w:proofErr w:type="spellEnd"/>
      <w:r w:rsidRPr="00580D41">
        <w:rPr>
          <w:rFonts w:ascii="Arial" w:hAnsi="Arial" w:cs="Arial"/>
          <w:sz w:val="20"/>
          <w:szCs w:val="20"/>
        </w:rPr>
        <w:t xml:space="preserve"> CDx tissue testing (107 primary tissue, 32 metastatic tissue) and 87 (38%) had cfDNA testing (85 Guardant360, 2 </w:t>
      </w:r>
      <w:proofErr w:type="spellStart"/>
      <w:r w:rsidRPr="00580D41">
        <w:rPr>
          <w:rFonts w:ascii="Arial" w:hAnsi="Arial" w:cs="Arial"/>
          <w:sz w:val="20"/>
          <w:szCs w:val="20"/>
        </w:rPr>
        <w:t>FoundationOne</w:t>
      </w:r>
      <w:proofErr w:type="spellEnd"/>
      <w:r w:rsidRPr="00580D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0D41">
        <w:rPr>
          <w:rFonts w:ascii="Arial" w:hAnsi="Arial" w:cs="Arial"/>
          <w:sz w:val="20"/>
          <w:szCs w:val="20"/>
        </w:rPr>
        <w:t>LiquidDx</w:t>
      </w:r>
      <w:proofErr w:type="spellEnd"/>
      <w:r w:rsidRPr="00580D41">
        <w:rPr>
          <w:rFonts w:ascii="Arial" w:hAnsi="Arial" w:cs="Arial"/>
          <w:sz w:val="20"/>
          <w:szCs w:val="20"/>
        </w:rPr>
        <w:t>).</w:t>
      </w:r>
    </w:p>
    <w:p w14:paraId="1F4301A7" w14:textId="77777777" w:rsidR="00122520" w:rsidRPr="00580D41" w:rsidRDefault="00122520" w:rsidP="00122520">
      <w:pPr>
        <w:rPr>
          <w:rFonts w:ascii="Arial" w:hAnsi="Arial" w:cs="Arial"/>
          <w:sz w:val="20"/>
          <w:szCs w:val="20"/>
        </w:rPr>
      </w:pPr>
      <w:r w:rsidRPr="00580D41">
        <w:rPr>
          <w:rFonts w:ascii="Arial" w:hAnsi="Arial" w:cs="Arial"/>
          <w:sz w:val="20"/>
          <w:szCs w:val="20"/>
        </w:rPr>
        <w:t xml:space="preserve">ARPI = androgen receptor pathway inhibitor, </w:t>
      </w:r>
      <w:proofErr w:type="spellStart"/>
      <w:r w:rsidRPr="00580D41">
        <w:rPr>
          <w:rFonts w:ascii="Arial" w:hAnsi="Arial" w:cs="Arial"/>
          <w:sz w:val="20"/>
          <w:szCs w:val="20"/>
        </w:rPr>
        <w:t>mAPMS</w:t>
      </w:r>
      <w:proofErr w:type="spellEnd"/>
      <w:r w:rsidRPr="00580D41">
        <w:rPr>
          <w:rFonts w:ascii="Arial" w:hAnsi="Arial" w:cs="Arial"/>
          <w:sz w:val="20"/>
          <w:szCs w:val="20"/>
        </w:rPr>
        <w:t xml:space="preserve"> = metastatic androgen pathway modulation sensitive prostate cancer, </w:t>
      </w:r>
      <w:proofErr w:type="spellStart"/>
      <w:r w:rsidRPr="00580D41">
        <w:rPr>
          <w:rFonts w:ascii="Arial" w:hAnsi="Arial" w:cs="Arial"/>
          <w:sz w:val="20"/>
          <w:szCs w:val="20"/>
        </w:rPr>
        <w:t>mAPMR</w:t>
      </w:r>
      <w:proofErr w:type="spellEnd"/>
      <w:r w:rsidRPr="00580D41">
        <w:rPr>
          <w:rFonts w:ascii="Arial" w:hAnsi="Arial" w:cs="Arial"/>
          <w:sz w:val="20"/>
          <w:szCs w:val="20"/>
        </w:rPr>
        <w:t xml:space="preserve"> = metastatic androgen pathway modulation resistant prostate cancer. </w:t>
      </w:r>
    </w:p>
    <w:p w14:paraId="049A18E0" w14:textId="77777777" w:rsidR="00F02AFC" w:rsidRDefault="00F02AFC"/>
    <w:sectPr w:rsidR="00F02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520"/>
    <w:rsid w:val="00122520"/>
    <w:rsid w:val="004B065C"/>
    <w:rsid w:val="00E54EE3"/>
    <w:rsid w:val="00F0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34CDA"/>
  <w15:chartTrackingRefBased/>
  <w15:docId w15:val="{15EE3A2C-4C61-4F0A-B312-CB84732B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52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5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5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52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52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52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52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52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52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52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5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5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2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52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2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52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2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52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25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5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5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Armstrong, M.D.</dc:creator>
  <cp:keywords/>
  <dc:description/>
  <cp:lastModifiedBy>Andrew Armstrong, M.D.</cp:lastModifiedBy>
  <cp:revision>1</cp:revision>
  <dcterms:created xsi:type="dcterms:W3CDTF">2026-06-12T12:24:00Z</dcterms:created>
  <dcterms:modified xsi:type="dcterms:W3CDTF">2026-06-12T12:25:00Z</dcterms:modified>
</cp:coreProperties>
</file>