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27AD2" w14:textId="77777777" w:rsidR="00454297" w:rsidRPr="00CE7FB1" w:rsidRDefault="00454297" w:rsidP="00DC641F">
      <w:pPr>
        <w:rPr>
          <w:rFonts w:ascii="Times New Roman" w:hAnsi="Times New Roman"/>
          <w:sz w:val="36"/>
          <w:szCs w:val="36"/>
        </w:rPr>
      </w:pPr>
      <w:r w:rsidRPr="00CE7FB1">
        <w:rPr>
          <w:rFonts w:ascii="Times New Roman" w:hAnsi="Times New Roman"/>
          <w:sz w:val="36"/>
          <w:szCs w:val="36"/>
        </w:rPr>
        <w:t>Supplement</w:t>
      </w:r>
      <w:bookmarkStart w:id="0" w:name="_GoBack"/>
      <w:bookmarkEnd w:id="0"/>
      <w:r w:rsidRPr="00CE7FB1">
        <w:rPr>
          <w:rFonts w:ascii="Times New Roman" w:hAnsi="Times New Roman"/>
          <w:sz w:val="36"/>
          <w:szCs w:val="36"/>
        </w:rPr>
        <w:t>ary Materials</w:t>
      </w:r>
    </w:p>
    <w:p w14:paraId="1E3EA9FA" w14:textId="03788454" w:rsidR="00454297" w:rsidRPr="00CE7FB1" w:rsidRDefault="00454297" w:rsidP="00454297">
      <w:pPr>
        <w:spacing w:line="480" w:lineRule="auto"/>
        <w:rPr>
          <w:rFonts w:ascii="Times New Roman" w:hAnsi="Times New Roman"/>
          <w:sz w:val="24"/>
          <w:szCs w:val="24"/>
          <w:lang w:val="en-GB"/>
        </w:rPr>
      </w:pPr>
      <w:r w:rsidRPr="00CE7FB1">
        <w:rPr>
          <w:rFonts w:ascii="Times New Roman" w:hAnsi="Times New Roman"/>
          <w:b/>
          <w:bCs/>
          <w:sz w:val="24"/>
          <w:szCs w:val="24"/>
        </w:rPr>
        <w:t xml:space="preserve">Title: </w:t>
      </w:r>
      <w:bookmarkStart w:id="1" w:name="_Hlk38838710"/>
      <w:r w:rsidR="00F10D54" w:rsidRPr="00CE7FB1">
        <w:rPr>
          <w:rFonts w:ascii="Times New Roman" w:hAnsi="Times New Roman"/>
          <w:sz w:val="24"/>
          <w:szCs w:val="24"/>
        </w:rPr>
        <w:t>Bexarotene Combined with Lapatinib for the Treatment of Cushing’s Disease: Evidence Based on Drug Repositioning and Experimental Confirmation</w:t>
      </w:r>
      <w:bookmarkEnd w:id="1"/>
    </w:p>
    <w:p w14:paraId="650B8D92" w14:textId="77777777" w:rsidR="00454297" w:rsidRPr="00CE7FB1" w:rsidRDefault="00454297" w:rsidP="00454297">
      <w:pPr>
        <w:spacing w:line="480" w:lineRule="auto"/>
        <w:rPr>
          <w:rFonts w:ascii="Times New Roman" w:hAnsi="Times New Roman"/>
          <w:sz w:val="24"/>
          <w:szCs w:val="24"/>
          <w:lang w:val="pt-BR"/>
        </w:rPr>
      </w:pPr>
      <w:bookmarkStart w:id="2" w:name="_Hlk28071259"/>
      <w:r w:rsidRPr="00CE7FB1">
        <w:rPr>
          <w:rFonts w:ascii="Times New Roman" w:hAnsi="Times New Roman"/>
          <w:b/>
          <w:bCs/>
          <w:sz w:val="24"/>
          <w:szCs w:val="24"/>
          <w:lang w:val="pt-BR"/>
        </w:rPr>
        <w:t>A</w:t>
      </w:r>
      <w:r w:rsidRPr="00CE7FB1">
        <w:rPr>
          <w:rFonts w:ascii="Times New Roman" w:hAnsi="Times New Roman" w:hint="eastAsia"/>
          <w:b/>
          <w:bCs/>
          <w:sz w:val="24"/>
          <w:szCs w:val="24"/>
          <w:lang w:val="pt-BR"/>
        </w:rPr>
        <w:t>uth</w:t>
      </w:r>
      <w:r w:rsidRPr="00CE7FB1">
        <w:rPr>
          <w:rFonts w:ascii="Times New Roman" w:hAnsi="Times New Roman"/>
          <w:b/>
          <w:bCs/>
          <w:sz w:val="24"/>
          <w:szCs w:val="24"/>
          <w:lang w:val="pt-BR"/>
        </w:rPr>
        <w:t>ors:</w:t>
      </w:r>
      <w:r w:rsidRPr="00CE7FB1">
        <w:rPr>
          <w:rFonts w:ascii="Times New Roman" w:hAnsi="Times New Roman"/>
          <w:sz w:val="24"/>
          <w:szCs w:val="24"/>
          <w:lang w:val="pt-BR"/>
        </w:rPr>
        <w:t xml:space="preserve"> Haoying Yu</w:t>
      </w:r>
      <w:r w:rsidRPr="00CE7FB1">
        <w:rPr>
          <w:rFonts w:ascii="Times New Roman" w:hAnsi="Times New Roman"/>
          <w:sz w:val="24"/>
          <w:szCs w:val="24"/>
          <w:vertAlign w:val="superscript"/>
          <w:lang w:val="pt-BR"/>
        </w:rPr>
        <w:t>1,2</w:t>
      </w:r>
      <w:r w:rsidRPr="00CE7FB1">
        <w:rPr>
          <w:rFonts w:ascii="Times New Roman" w:hAnsi="Times New Roman"/>
          <w:sz w:val="24"/>
          <w:szCs w:val="24"/>
          <w:lang w:val="pt-BR"/>
        </w:rPr>
        <w:t>, Shuyu Ren</w:t>
      </w:r>
      <w:r w:rsidRPr="00CE7FB1">
        <w:rPr>
          <w:rFonts w:ascii="Times New Roman" w:hAnsi="Times New Roman"/>
          <w:sz w:val="24"/>
          <w:szCs w:val="24"/>
          <w:vertAlign w:val="superscript"/>
          <w:lang w:val="pt-BR"/>
        </w:rPr>
        <w:t>1,3</w:t>
      </w:r>
      <w:r w:rsidRPr="00CE7FB1">
        <w:rPr>
          <w:rFonts w:ascii="Times New Roman" w:hAnsi="Times New Roman"/>
          <w:sz w:val="24"/>
          <w:szCs w:val="24"/>
          <w:lang w:val="pt-BR"/>
        </w:rPr>
        <w:t xml:space="preserve">, Jingrong Wang </w:t>
      </w:r>
      <w:r w:rsidRPr="00CE7FB1">
        <w:rPr>
          <w:rFonts w:ascii="Times New Roman" w:hAnsi="Times New Roman"/>
          <w:sz w:val="24"/>
          <w:szCs w:val="24"/>
          <w:vertAlign w:val="superscript"/>
          <w:lang w:val="pt-BR"/>
        </w:rPr>
        <w:t>1,3</w:t>
      </w:r>
      <w:bookmarkEnd w:id="2"/>
      <w:r w:rsidRPr="00CE7FB1">
        <w:rPr>
          <w:rFonts w:ascii="Times New Roman" w:hAnsi="Times New Roman" w:hint="eastAsia"/>
          <w:sz w:val="24"/>
          <w:szCs w:val="24"/>
          <w:lang w:val="pt-BR"/>
        </w:rPr>
        <w:t>,</w:t>
      </w:r>
      <w:r w:rsidRPr="00CE7FB1">
        <w:rPr>
          <w:rFonts w:ascii="Times New Roman" w:hAnsi="Times New Roman"/>
          <w:sz w:val="24"/>
          <w:szCs w:val="24"/>
          <w:lang w:val="pt-BR"/>
        </w:rPr>
        <w:t xml:space="preserve"> Tingting Lv</w:t>
      </w:r>
      <w:r w:rsidRPr="00CE7FB1">
        <w:rPr>
          <w:rFonts w:ascii="Times New Roman" w:hAnsi="Times New Roman"/>
          <w:sz w:val="24"/>
          <w:szCs w:val="24"/>
          <w:vertAlign w:val="superscript"/>
          <w:lang w:val="pt-BR"/>
        </w:rPr>
        <w:t>1,2</w:t>
      </w:r>
      <w:r w:rsidRPr="00CE7FB1">
        <w:rPr>
          <w:rFonts w:ascii="Times New Roman" w:hAnsi="Times New Roman"/>
          <w:sz w:val="24"/>
          <w:szCs w:val="24"/>
          <w:lang w:val="pt-BR"/>
        </w:rPr>
        <w:t>,</w:t>
      </w:r>
      <w:r w:rsidRPr="00CE7FB1">
        <w:rPr>
          <w:rFonts w:ascii="Times New Roman" w:hAnsi="Times New Roman"/>
          <w:sz w:val="24"/>
          <w:szCs w:val="24"/>
          <w:vertAlign w:val="superscript"/>
          <w:lang w:val="pt-BR"/>
        </w:rPr>
        <w:t xml:space="preserve"> </w:t>
      </w:r>
      <w:r w:rsidRPr="00CE7FB1">
        <w:rPr>
          <w:rFonts w:ascii="Times New Roman" w:hAnsi="Times New Roman"/>
          <w:sz w:val="24"/>
          <w:szCs w:val="24"/>
          <w:lang w:val="pt-BR"/>
        </w:rPr>
        <w:t xml:space="preserve">Lan Sun </w:t>
      </w:r>
      <w:r w:rsidRPr="00CE7FB1">
        <w:rPr>
          <w:rFonts w:ascii="Times New Roman" w:hAnsi="Times New Roman"/>
          <w:sz w:val="24"/>
          <w:szCs w:val="24"/>
          <w:vertAlign w:val="superscript"/>
          <w:lang w:val="pt-BR"/>
        </w:rPr>
        <w:t>1,2,3</w:t>
      </w:r>
      <w:r w:rsidRPr="00CE7FB1">
        <w:rPr>
          <w:rFonts w:ascii="Times New Roman" w:hAnsi="Times New Roman"/>
          <w:sz w:val="24"/>
          <w:szCs w:val="24"/>
          <w:lang w:val="pt-BR"/>
        </w:rPr>
        <w:t xml:space="preserve">*and </w:t>
      </w:r>
      <w:r w:rsidRPr="00CE7FB1">
        <w:rPr>
          <w:rFonts w:ascii="Times New Roman" w:hAnsi="Times New Roman" w:hint="eastAsia"/>
          <w:sz w:val="24"/>
          <w:szCs w:val="24"/>
          <w:lang w:val="pt-BR"/>
        </w:rPr>
        <w:t>Gua</w:t>
      </w:r>
      <w:r w:rsidRPr="00CE7FB1">
        <w:rPr>
          <w:rFonts w:ascii="Times New Roman" w:hAnsi="Times New Roman"/>
          <w:sz w:val="24"/>
          <w:szCs w:val="24"/>
          <w:lang w:val="pt-BR"/>
        </w:rPr>
        <w:t xml:space="preserve">nhua Du </w:t>
      </w:r>
      <w:r w:rsidRPr="00CE7FB1">
        <w:rPr>
          <w:rFonts w:ascii="Times New Roman" w:hAnsi="Times New Roman"/>
          <w:sz w:val="24"/>
          <w:szCs w:val="24"/>
          <w:vertAlign w:val="superscript"/>
          <w:lang w:val="pt-BR"/>
        </w:rPr>
        <w:t>1,2,3*</w:t>
      </w:r>
    </w:p>
    <w:p w14:paraId="07430B42" w14:textId="77777777" w:rsidR="00454297" w:rsidRPr="00CE7FB1" w:rsidRDefault="00454297" w:rsidP="00454297">
      <w:pPr>
        <w:spacing w:line="480" w:lineRule="auto"/>
        <w:rPr>
          <w:rFonts w:ascii="Times New Roman" w:hAnsi="Times New Roman"/>
          <w:sz w:val="24"/>
          <w:szCs w:val="24"/>
          <w:lang w:val="pt-BR"/>
        </w:rPr>
      </w:pPr>
      <w:bookmarkStart w:id="3" w:name="_Hlk534103114"/>
      <w:bookmarkStart w:id="4" w:name="_Hlk28071531"/>
      <w:r w:rsidRPr="00CE7FB1">
        <w:rPr>
          <w:rFonts w:ascii="Times New Roman" w:hAnsi="Times New Roman"/>
          <w:sz w:val="24"/>
          <w:szCs w:val="24"/>
          <w:lang w:val="pt-BR"/>
        </w:rPr>
        <w:t xml:space="preserve">1. Institute of Materia Medica, Chinese Academy of Medical Science and Peking Union Medical College,1 Xian Nong Tan Street, Beijing 100050, China. </w:t>
      </w:r>
    </w:p>
    <w:p w14:paraId="3213A810" w14:textId="77777777" w:rsidR="00454297" w:rsidRPr="00CE7FB1" w:rsidRDefault="00454297" w:rsidP="00454297">
      <w:pPr>
        <w:spacing w:line="480" w:lineRule="auto"/>
        <w:rPr>
          <w:rFonts w:ascii="Times New Roman" w:hAnsi="Times New Roman"/>
          <w:sz w:val="24"/>
          <w:szCs w:val="24"/>
          <w:lang w:val="pt-BR"/>
        </w:rPr>
      </w:pPr>
      <w:r w:rsidRPr="00CE7FB1">
        <w:rPr>
          <w:rFonts w:ascii="Times New Roman" w:hAnsi="Times New Roman"/>
          <w:sz w:val="24"/>
          <w:szCs w:val="24"/>
          <w:lang w:val="pt-BR"/>
        </w:rPr>
        <w:t>2. The State Key Laboratory of Bioactive Substance and Function of Natural Medicines 1 Xian Nong Tan Street, Beijing 100050, China</w:t>
      </w:r>
    </w:p>
    <w:p w14:paraId="3723336C" w14:textId="77777777" w:rsidR="00454297" w:rsidRPr="00CE7FB1" w:rsidRDefault="00454297" w:rsidP="00454297">
      <w:pPr>
        <w:spacing w:line="480" w:lineRule="auto"/>
        <w:rPr>
          <w:rFonts w:ascii="Times New Roman" w:hAnsi="Times New Roman"/>
          <w:sz w:val="24"/>
          <w:szCs w:val="24"/>
          <w:lang w:val="pt-BR"/>
        </w:rPr>
      </w:pPr>
      <w:r w:rsidRPr="00CE7FB1">
        <w:rPr>
          <w:rFonts w:ascii="Times New Roman" w:hAnsi="Times New Roman"/>
          <w:sz w:val="24"/>
          <w:szCs w:val="24"/>
          <w:lang w:val="pt-BR"/>
        </w:rPr>
        <w:t xml:space="preserve">3. Beijing Key Laboratory of Drug Targets Identification and Drug Screening Beijing 100050, China. </w:t>
      </w:r>
    </w:p>
    <w:bookmarkEnd w:id="3"/>
    <w:p w14:paraId="5C788642" w14:textId="77777777" w:rsidR="00454297" w:rsidRPr="00CE7FB1" w:rsidRDefault="00454297" w:rsidP="00454297">
      <w:pPr>
        <w:spacing w:line="480" w:lineRule="auto"/>
        <w:rPr>
          <w:rFonts w:ascii="Times New Roman" w:hAnsi="Times New Roman"/>
          <w:sz w:val="24"/>
          <w:szCs w:val="24"/>
          <w:lang w:val="pt-BR"/>
        </w:rPr>
      </w:pPr>
      <w:r w:rsidRPr="00CE7FB1">
        <w:rPr>
          <w:rFonts w:ascii="Times New Roman" w:hAnsi="Times New Roman"/>
          <w:sz w:val="24"/>
          <w:szCs w:val="24"/>
          <w:lang w:val="pt-BR"/>
        </w:rPr>
        <w:t xml:space="preserve">*: Corresponding Authors: Prof. Lan Sun; E-mail: </w:t>
      </w:r>
      <w:r w:rsidR="0055284A" w:rsidRPr="00CE7FB1">
        <w:fldChar w:fldCharType="begin"/>
      </w:r>
      <w:r w:rsidR="0055284A" w:rsidRPr="00CE7FB1">
        <w:instrText xml:space="preserve"> HYPERLINK "mailto:sunhanxing2005@imm.ac.cn;%20Prof" </w:instrText>
      </w:r>
      <w:r w:rsidR="0055284A" w:rsidRPr="00CE7FB1">
        <w:fldChar w:fldCharType="separate"/>
      </w:r>
      <w:r w:rsidRPr="00CE7FB1">
        <w:rPr>
          <w:rStyle w:val="a3"/>
          <w:rFonts w:ascii="Times New Roman" w:hAnsi="Times New Roman"/>
          <w:sz w:val="24"/>
          <w:szCs w:val="24"/>
          <w:lang w:val="pt-BR"/>
        </w:rPr>
        <w:t xml:space="preserve">sunhanxing2005@imm.ac.cn; </w:t>
      </w:r>
      <w:r w:rsidRPr="00CE7FB1">
        <w:rPr>
          <w:rStyle w:val="a3"/>
          <w:rFonts w:ascii="Times New Roman" w:hAnsi="Times New Roman" w:hint="eastAsia"/>
          <w:sz w:val="24"/>
          <w:szCs w:val="24"/>
          <w:lang w:val="pt-BR"/>
        </w:rPr>
        <w:t>P</w:t>
      </w:r>
      <w:r w:rsidRPr="00CE7FB1">
        <w:rPr>
          <w:rStyle w:val="a3"/>
          <w:rFonts w:ascii="Times New Roman" w:hAnsi="Times New Roman"/>
          <w:sz w:val="24"/>
          <w:szCs w:val="24"/>
          <w:lang w:val="pt-BR"/>
        </w:rPr>
        <w:t>rof</w:t>
      </w:r>
      <w:r w:rsidR="0055284A" w:rsidRPr="00CE7FB1">
        <w:rPr>
          <w:rStyle w:val="a3"/>
          <w:rFonts w:ascii="Times New Roman" w:hAnsi="Times New Roman"/>
          <w:sz w:val="24"/>
          <w:szCs w:val="24"/>
          <w:lang w:val="pt-BR"/>
        </w:rPr>
        <w:fldChar w:fldCharType="end"/>
      </w:r>
      <w:r w:rsidRPr="00CE7FB1">
        <w:rPr>
          <w:rFonts w:ascii="Times New Roman" w:hAnsi="Times New Roman" w:hint="eastAsia"/>
          <w:sz w:val="24"/>
          <w:szCs w:val="24"/>
          <w:lang w:val="pt-BR"/>
        </w:rPr>
        <w:t>.</w:t>
      </w:r>
      <w:r w:rsidRPr="00CE7FB1">
        <w:rPr>
          <w:rFonts w:ascii="Times New Roman" w:hAnsi="Times New Roman"/>
          <w:sz w:val="24"/>
          <w:szCs w:val="24"/>
          <w:lang w:val="pt-BR"/>
        </w:rPr>
        <w:t xml:space="preserve"> Guanhua Du; E-mail:dugh@imm.ac.cn</w:t>
      </w:r>
    </w:p>
    <w:bookmarkEnd w:id="4"/>
    <w:p w14:paraId="16C36B85" w14:textId="77777777" w:rsidR="00454297" w:rsidRPr="00CE7FB1" w:rsidRDefault="00454297" w:rsidP="00454297">
      <w:pPr>
        <w:spacing w:line="480" w:lineRule="auto"/>
        <w:rPr>
          <w:rFonts w:ascii="Times New Roman" w:hAnsi="Times New Roman"/>
          <w:sz w:val="24"/>
          <w:szCs w:val="24"/>
          <w:lang w:val="pt-BR"/>
        </w:rPr>
      </w:pPr>
      <w:r w:rsidRPr="00CE7FB1">
        <w:rPr>
          <w:rFonts w:ascii="Times New Roman" w:hAnsi="Times New Roman"/>
          <w:sz w:val="24"/>
          <w:szCs w:val="24"/>
          <w:lang w:val="pt-BR"/>
        </w:rPr>
        <w:t xml:space="preserve">Additional email for co-authors: </w:t>
      </w:r>
      <w:r w:rsidR="0055284A" w:rsidRPr="00CE7FB1">
        <w:fldChar w:fldCharType="begin"/>
      </w:r>
      <w:r w:rsidR="0055284A" w:rsidRPr="00CE7FB1">
        <w:instrText xml:space="preserve"> HYPERLINK "mailto:yhy@imm.ac.cn" </w:instrText>
      </w:r>
      <w:r w:rsidR="0055284A" w:rsidRPr="00CE7FB1">
        <w:fldChar w:fldCharType="separate"/>
      </w:r>
      <w:r w:rsidRPr="00CE7FB1">
        <w:rPr>
          <w:rStyle w:val="a3"/>
          <w:rFonts w:ascii="Times New Roman" w:hAnsi="Times New Roman"/>
          <w:sz w:val="24"/>
          <w:szCs w:val="24"/>
          <w:lang w:val="pt-BR"/>
        </w:rPr>
        <w:t>yhy@imm.ac.cn</w:t>
      </w:r>
      <w:r w:rsidR="0055284A" w:rsidRPr="00CE7FB1">
        <w:rPr>
          <w:rStyle w:val="a3"/>
          <w:rFonts w:ascii="Times New Roman" w:hAnsi="Times New Roman"/>
          <w:sz w:val="24"/>
          <w:szCs w:val="24"/>
          <w:lang w:val="pt-BR"/>
        </w:rPr>
        <w:fldChar w:fldCharType="end"/>
      </w:r>
      <w:r w:rsidRPr="00CE7FB1">
        <w:rPr>
          <w:rFonts w:ascii="Times New Roman" w:hAnsi="Times New Roman"/>
          <w:sz w:val="24"/>
          <w:szCs w:val="24"/>
          <w:lang w:val="pt-BR"/>
        </w:rPr>
        <w:t xml:space="preserve"> to Haoying Yu;</w:t>
      </w:r>
      <w:r w:rsidRPr="00CE7FB1">
        <w:t xml:space="preserve"> </w:t>
      </w:r>
      <w:hyperlink r:id="rId7" w:history="1">
        <w:r w:rsidRPr="00CE7FB1">
          <w:rPr>
            <w:rFonts w:ascii="Times New Roman" w:hAnsi="Times New Roman"/>
            <w:sz w:val="24"/>
            <w:szCs w:val="24"/>
            <w:lang w:val="pt-BR"/>
          </w:rPr>
          <w:t>renshuyue@imm.ac.cn</w:t>
        </w:r>
      </w:hyperlink>
      <w:r w:rsidRPr="00CE7FB1">
        <w:rPr>
          <w:rFonts w:ascii="Times New Roman" w:hAnsi="Times New Roman"/>
          <w:sz w:val="24"/>
          <w:szCs w:val="24"/>
          <w:lang w:val="pt-BR"/>
        </w:rPr>
        <w:t xml:space="preserve"> to Shuyue Ren; </w:t>
      </w:r>
      <w:r w:rsidR="0055284A" w:rsidRPr="00CE7FB1">
        <w:fldChar w:fldCharType="begin"/>
      </w:r>
      <w:r w:rsidR="0055284A" w:rsidRPr="00CE7FB1">
        <w:instrText xml:space="preserve"> HYPERLINK "mailto:wangjingrong@imm.ac.cn" </w:instrText>
      </w:r>
      <w:r w:rsidR="0055284A" w:rsidRPr="00CE7FB1">
        <w:fldChar w:fldCharType="separate"/>
      </w:r>
      <w:r w:rsidRPr="00CE7FB1">
        <w:rPr>
          <w:rStyle w:val="a3"/>
          <w:rFonts w:ascii="Times New Roman" w:hAnsi="Times New Roman"/>
          <w:sz w:val="24"/>
          <w:szCs w:val="24"/>
          <w:lang w:val="pt-BR"/>
        </w:rPr>
        <w:t>wangjingrong@imm.ac.cn</w:t>
      </w:r>
      <w:r w:rsidR="0055284A" w:rsidRPr="00CE7FB1">
        <w:rPr>
          <w:rStyle w:val="a3"/>
          <w:rFonts w:ascii="Times New Roman" w:hAnsi="Times New Roman"/>
          <w:sz w:val="24"/>
          <w:szCs w:val="24"/>
          <w:lang w:val="pt-BR"/>
        </w:rPr>
        <w:fldChar w:fldCharType="end"/>
      </w:r>
      <w:r w:rsidRPr="00CE7FB1">
        <w:rPr>
          <w:rFonts w:ascii="Times New Roman" w:hAnsi="Times New Roman"/>
          <w:sz w:val="24"/>
          <w:szCs w:val="24"/>
          <w:lang w:val="pt-BR"/>
        </w:rPr>
        <w:t xml:space="preserve"> to Jingrong Wang. </w:t>
      </w:r>
      <w:r w:rsidRPr="00CE7FB1">
        <w:rPr>
          <w:rFonts w:ascii="Times New Roman" w:hAnsi="Times New Roman"/>
          <w:sz w:val="24"/>
          <w:szCs w:val="24"/>
        </w:rPr>
        <w:t>lvtingting@imm.ac.cn</w:t>
      </w:r>
      <w:r w:rsidRPr="00CE7FB1">
        <w:rPr>
          <w:rFonts w:ascii="Times New Roman" w:hAnsi="Times New Roman"/>
          <w:sz w:val="24"/>
          <w:szCs w:val="24"/>
          <w:lang w:val="pt-BR"/>
        </w:rPr>
        <w:t xml:space="preserve"> to Tingting Lv.</w:t>
      </w:r>
    </w:p>
    <w:p w14:paraId="6200831D" w14:textId="77777777" w:rsidR="00DC641F" w:rsidRPr="00CE7FB1" w:rsidRDefault="00DC641F" w:rsidP="00DC641F">
      <w:pPr>
        <w:tabs>
          <w:tab w:val="right" w:leader="middleDot" w:pos="8400"/>
        </w:tabs>
        <w:spacing w:line="480" w:lineRule="auto"/>
        <w:rPr>
          <w:rFonts w:ascii="Times New Roman" w:eastAsia="宋体" w:hAnsi="Times New Roman"/>
          <w:b/>
          <w:sz w:val="24"/>
          <w:szCs w:val="24"/>
        </w:rPr>
      </w:pPr>
      <w:r w:rsidRPr="00CE7FB1">
        <w:rPr>
          <w:rFonts w:ascii="Times New Roman" w:eastAsia="宋体" w:hAnsi="Times New Roman"/>
          <w:b/>
          <w:sz w:val="24"/>
          <w:szCs w:val="24"/>
        </w:rPr>
        <w:t>This file includes:</w:t>
      </w:r>
    </w:p>
    <w:p w14:paraId="48B2D969" w14:textId="5E380BF0" w:rsidR="00DC641F" w:rsidRPr="00CE7FB1" w:rsidRDefault="00F31F7B" w:rsidP="007B25CF">
      <w:pPr>
        <w:tabs>
          <w:tab w:val="right" w:leader="middleDot" w:pos="8400"/>
        </w:tabs>
        <w:spacing w:line="480" w:lineRule="auto"/>
        <w:rPr>
          <w:rFonts w:ascii="Times New Roman" w:eastAsia="宋体" w:hAnsi="Times New Roman"/>
          <w:b/>
          <w:bCs/>
          <w:sz w:val="24"/>
          <w:szCs w:val="24"/>
        </w:rPr>
      </w:pPr>
      <w:r w:rsidRPr="00CE7FB1">
        <w:rPr>
          <w:rFonts w:ascii="Times New Roman" w:eastAsia="宋体" w:hAnsi="Times New Roman"/>
          <w:b/>
          <w:bCs/>
          <w:sz w:val="24"/>
          <w:szCs w:val="24"/>
        </w:rPr>
        <w:t>M</w:t>
      </w:r>
      <w:r w:rsidRPr="00CE7FB1">
        <w:rPr>
          <w:rFonts w:ascii="Times New Roman" w:eastAsia="宋体" w:hAnsi="Times New Roman" w:hint="eastAsia"/>
          <w:b/>
          <w:bCs/>
          <w:sz w:val="24"/>
          <w:szCs w:val="24"/>
        </w:rPr>
        <w:t>a</w:t>
      </w:r>
      <w:r w:rsidRPr="00CE7FB1">
        <w:rPr>
          <w:rFonts w:ascii="Times New Roman" w:eastAsia="宋体" w:hAnsi="Times New Roman"/>
          <w:b/>
          <w:bCs/>
          <w:sz w:val="24"/>
          <w:szCs w:val="24"/>
        </w:rPr>
        <w:t>terials and methods,</w:t>
      </w:r>
      <w:r w:rsidRPr="00CE7FB1">
        <w:rPr>
          <w:rFonts w:ascii="Times New Roman" w:eastAsia="宋体" w:hAnsi="Times New Roman" w:hint="eastAsia"/>
          <w:b/>
          <w:bCs/>
          <w:sz w:val="24"/>
          <w:szCs w:val="24"/>
        </w:rPr>
        <w:t xml:space="preserve"> </w:t>
      </w:r>
      <w:r w:rsidR="00DC641F" w:rsidRPr="00CE7FB1">
        <w:rPr>
          <w:rFonts w:ascii="Times New Roman" w:eastAsia="宋体" w:hAnsi="Times New Roman" w:hint="eastAsia"/>
          <w:b/>
          <w:bCs/>
          <w:sz w:val="24"/>
          <w:szCs w:val="24"/>
        </w:rPr>
        <w:t>S</w:t>
      </w:r>
      <w:r w:rsidR="00DC641F" w:rsidRPr="00CE7FB1">
        <w:rPr>
          <w:rFonts w:ascii="Times New Roman" w:eastAsia="宋体" w:hAnsi="Times New Roman"/>
          <w:b/>
          <w:bCs/>
          <w:sz w:val="24"/>
          <w:szCs w:val="24"/>
        </w:rPr>
        <w:t>upplemental Figures</w:t>
      </w:r>
      <w:r w:rsidRPr="00CE7FB1">
        <w:rPr>
          <w:rFonts w:ascii="Times New Roman" w:eastAsia="宋体" w:hAnsi="Times New Roman"/>
          <w:b/>
          <w:bCs/>
          <w:sz w:val="24"/>
          <w:szCs w:val="24"/>
        </w:rPr>
        <w:t xml:space="preserve"> and</w:t>
      </w:r>
      <w:r w:rsidR="006A0907" w:rsidRPr="00CE7FB1">
        <w:rPr>
          <w:rFonts w:ascii="Times New Roman" w:eastAsia="宋体" w:hAnsi="Times New Roman"/>
          <w:b/>
          <w:bCs/>
          <w:sz w:val="24"/>
          <w:szCs w:val="24"/>
        </w:rPr>
        <w:t xml:space="preserve"> Supplemental </w:t>
      </w:r>
      <w:r w:rsidR="004C32BE" w:rsidRPr="00CE7FB1">
        <w:rPr>
          <w:rFonts w:ascii="Times New Roman" w:eastAsia="宋体" w:hAnsi="Times New Roman"/>
          <w:b/>
          <w:bCs/>
          <w:sz w:val="24"/>
          <w:szCs w:val="24"/>
        </w:rPr>
        <w:t>T</w:t>
      </w:r>
      <w:r w:rsidR="006A0907" w:rsidRPr="00CE7FB1">
        <w:rPr>
          <w:rFonts w:ascii="Times New Roman" w:eastAsia="宋体" w:hAnsi="Times New Roman"/>
          <w:b/>
          <w:bCs/>
          <w:sz w:val="24"/>
          <w:szCs w:val="24"/>
        </w:rPr>
        <w:t xml:space="preserve">ables </w:t>
      </w:r>
    </w:p>
    <w:p w14:paraId="104B5DE0" w14:textId="77777777" w:rsidR="006A0907" w:rsidRPr="00CE7FB1" w:rsidRDefault="006A0907" w:rsidP="007B25CF">
      <w:pPr>
        <w:spacing w:line="480" w:lineRule="auto"/>
        <w:rPr>
          <w:rFonts w:ascii="Times New Roman" w:hAnsi="Times New Roman"/>
          <w:b/>
          <w:bCs/>
          <w:sz w:val="24"/>
          <w:szCs w:val="24"/>
        </w:rPr>
      </w:pPr>
      <w:r w:rsidRPr="00CE7FB1">
        <w:rPr>
          <w:rFonts w:ascii="Times New Roman" w:hAnsi="Times New Roman" w:hint="eastAsia"/>
          <w:b/>
          <w:bCs/>
          <w:sz w:val="24"/>
          <w:szCs w:val="24"/>
        </w:rPr>
        <w:t>S</w:t>
      </w:r>
      <w:r w:rsidRPr="00CE7FB1">
        <w:rPr>
          <w:rFonts w:ascii="Times New Roman" w:hAnsi="Times New Roman"/>
          <w:b/>
          <w:bCs/>
          <w:sz w:val="24"/>
          <w:szCs w:val="24"/>
        </w:rPr>
        <w:t>upplemental Figures:</w:t>
      </w:r>
    </w:p>
    <w:p w14:paraId="06E50E6A" w14:textId="2A341078" w:rsidR="005D6C6B" w:rsidRPr="00CE7FB1" w:rsidRDefault="005D6C6B" w:rsidP="007B25CF">
      <w:pPr>
        <w:spacing w:line="480" w:lineRule="auto"/>
        <w:rPr>
          <w:rFonts w:ascii="Times New Roman" w:hAnsi="Times New Roman"/>
          <w:b/>
          <w:bCs/>
          <w:sz w:val="24"/>
          <w:szCs w:val="24"/>
        </w:rPr>
      </w:pPr>
      <w:r w:rsidRPr="00CE7FB1">
        <w:rPr>
          <w:rFonts w:ascii="Times New Roman" w:hAnsi="Times New Roman"/>
          <w:b/>
          <w:bCs/>
          <w:sz w:val="24"/>
          <w:szCs w:val="24"/>
        </w:rPr>
        <w:t>Figure S1. RXRα and AKT were selected as targets through PPI analysis centered by Nur77.</w:t>
      </w:r>
    </w:p>
    <w:p w14:paraId="365D0DDA" w14:textId="383883B8" w:rsidR="00B268DD" w:rsidRPr="00CE7FB1" w:rsidRDefault="005D6C6B" w:rsidP="007B25CF">
      <w:pPr>
        <w:spacing w:line="480" w:lineRule="auto"/>
        <w:rPr>
          <w:rFonts w:ascii="Times New Roman" w:eastAsia="宋体" w:hAnsi="Times New Roman"/>
          <w:b/>
          <w:bCs/>
          <w:sz w:val="24"/>
          <w:szCs w:val="24"/>
        </w:rPr>
      </w:pPr>
      <w:r w:rsidRPr="00CE7FB1">
        <w:rPr>
          <w:rFonts w:ascii="Times New Roman" w:hAnsi="Times New Roman"/>
          <w:b/>
          <w:bCs/>
          <w:sz w:val="24"/>
          <w:szCs w:val="24"/>
        </w:rPr>
        <w:t>Figure S2.</w:t>
      </w:r>
      <w:r w:rsidR="00DC641F" w:rsidRPr="00CE7FB1">
        <w:rPr>
          <w:rFonts w:ascii="Times New Roman" w:eastAsia="宋体" w:hAnsi="Times New Roman"/>
          <w:b/>
          <w:bCs/>
          <w:sz w:val="24"/>
          <w:szCs w:val="24"/>
        </w:rPr>
        <w:t xml:space="preserve"> The interactions </w:t>
      </w:r>
      <w:bookmarkStart w:id="5" w:name="OLE_LINK71"/>
      <w:bookmarkStart w:id="6" w:name="OLE_LINK72"/>
      <w:r w:rsidR="00DC641F" w:rsidRPr="00CE7FB1">
        <w:rPr>
          <w:rFonts w:ascii="Times New Roman" w:eastAsia="宋体" w:hAnsi="Times New Roman"/>
          <w:b/>
          <w:bCs/>
          <w:sz w:val="24"/>
          <w:szCs w:val="24"/>
        </w:rPr>
        <w:t>between BEXA and</w:t>
      </w:r>
      <w:bookmarkEnd w:id="5"/>
      <w:bookmarkEnd w:id="6"/>
      <w:r w:rsidR="00DC641F" w:rsidRPr="00CE7FB1">
        <w:rPr>
          <w:rFonts w:ascii="Times New Roman" w:eastAsia="宋体" w:hAnsi="Times New Roman"/>
          <w:b/>
          <w:bCs/>
          <w:sz w:val="24"/>
          <w:szCs w:val="24"/>
        </w:rPr>
        <w:t xml:space="preserve"> RARs.</w:t>
      </w:r>
    </w:p>
    <w:p w14:paraId="2AE935DE" w14:textId="5F8DEDED" w:rsidR="00DC641F" w:rsidRPr="00CE7FB1" w:rsidRDefault="005D6C6B" w:rsidP="007B25CF">
      <w:pPr>
        <w:spacing w:line="480" w:lineRule="auto"/>
        <w:rPr>
          <w:rFonts w:ascii="Times New Roman" w:eastAsia="宋体" w:hAnsi="Times New Roman"/>
          <w:b/>
          <w:bCs/>
          <w:sz w:val="24"/>
          <w:szCs w:val="24"/>
        </w:rPr>
      </w:pPr>
      <w:r w:rsidRPr="00CE7FB1">
        <w:rPr>
          <w:rFonts w:ascii="Times New Roman" w:hAnsi="Times New Roman"/>
          <w:b/>
          <w:bCs/>
          <w:sz w:val="24"/>
          <w:szCs w:val="24"/>
        </w:rPr>
        <w:lastRenderedPageBreak/>
        <w:t>Figure S3.</w:t>
      </w:r>
      <w:r w:rsidR="000F7864" w:rsidRPr="00CE7FB1">
        <w:rPr>
          <w:rFonts w:ascii="Times New Roman" w:eastAsia="宋体" w:hAnsi="Times New Roman"/>
          <w:b/>
          <w:bCs/>
          <w:sz w:val="24"/>
          <w:szCs w:val="24"/>
        </w:rPr>
        <w:t xml:space="preserve"> PPI network analysis cent</w:t>
      </w:r>
      <w:r w:rsidR="00344C0C" w:rsidRPr="00CE7FB1">
        <w:rPr>
          <w:rFonts w:ascii="Times New Roman" w:eastAsia="宋体" w:hAnsi="Times New Roman"/>
          <w:b/>
          <w:bCs/>
          <w:sz w:val="24"/>
          <w:szCs w:val="24"/>
        </w:rPr>
        <w:t>e</w:t>
      </w:r>
      <w:r w:rsidR="000F7864" w:rsidRPr="00CE7FB1">
        <w:rPr>
          <w:rFonts w:ascii="Times New Roman" w:eastAsia="宋体" w:hAnsi="Times New Roman"/>
          <w:b/>
          <w:bCs/>
          <w:sz w:val="24"/>
          <w:szCs w:val="24"/>
        </w:rPr>
        <w:t xml:space="preserve">red </w:t>
      </w:r>
      <w:r w:rsidR="004C32BE" w:rsidRPr="00CE7FB1">
        <w:rPr>
          <w:rFonts w:ascii="Times New Roman" w:eastAsia="宋体" w:hAnsi="Times New Roman"/>
          <w:b/>
          <w:bCs/>
          <w:sz w:val="24"/>
          <w:szCs w:val="24"/>
        </w:rPr>
        <w:t>on</w:t>
      </w:r>
      <w:r w:rsidR="000F7864" w:rsidRPr="00CE7FB1">
        <w:rPr>
          <w:rFonts w:ascii="Times New Roman" w:eastAsia="宋体" w:hAnsi="Times New Roman"/>
          <w:b/>
          <w:bCs/>
          <w:sz w:val="24"/>
          <w:szCs w:val="24"/>
        </w:rPr>
        <w:t xml:space="preserve"> RXRα.</w:t>
      </w:r>
    </w:p>
    <w:p w14:paraId="57B0D45C" w14:textId="61C86314" w:rsidR="005D6C6B" w:rsidRPr="00CE7FB1" w:rsidRDefault="005D6C6B" w:rsidP="005D6C6B">
      <w:pPr>
        <w:spacing w:line="480" w:lineRule="auto"/>
        <w:rPr>
          <w:rFonts w:ascii="Times New Roman" w:eastAsia="宋体" w:hAnsi="Times New Roman"/>
          <w:b/>
          <w:bCs/>
          <w:sz w:val="24"/>
          <w:szCs w:val="24"/>
        </w:rPr>
      </w:pPr>
      <w:r w:rsidRPr="00CE7FB1">
        <w:rPr>
          <w:rFonts w:ascii="Times New Roman" w:eastAsia="宋体" w:hAnsi="Times New Roman" w:hint="eastAsia"/>
          <w:b/>
          <w:bCs/>
          <w:sz w:val="24"/>
          <w:szCs w:val="24"/>
        </w:rPr>
        <w:t>F</w:t>
      </w:r>
      <w:r w:rsidRPr="00CE7FB1">
        <w:rPr>
          <w:rFonts w:ascii="Times New Roman" w:eastAsia="宋体" w:hAnsi="Times New Roman"/>
          <w:b/>
          <w:bCs/>
          <w:sz w:val="24"/>
          <w:szCs w:val="24"/>
        </w:rPr>
        <w:t xml:space="preserve">igure S4. BEXA and LAPA synergistically inhibit AtT20 cell proliferation via the inactivation of </w:t>
      </w:r>
      <w:r w:rsidR="004C32BE" w:rsidRPr="00CE7FB1">
        <w:rPr>
          <w:rFonts w:ascii="Times New Roman" w:eastAsia="宋体" w:hAnsi="Times New Roman"/>
          <w:b/>
          <w:bCs/>
          <w:sz w:val="24"/>
          <w:szCs w:val="24"/>
        </w:rPr>
        <w:t xml:space="preserve">the </w:t>
      </w:r>
      <w:r w:rsidRPr="00CE7FB1">
        <w:rPr>
          <w:rFonts w:ascii="Times New Roman" w:eastAsia="宋体" w:hAnsi="Times New Roman"/>
          <w:b/>
          <w:bCs/>
          <w:sz w:val="24"/>
          <w:szCs w:val="24"/>
        </w:rPr>
        <w:t>PI3K-AKT signaling pathway.</w:t>
      </w:r>
    </w:p>
    <w:p w14:paraId="5531199F" w14:textId="4F3D98AA" w:rsidR="005D6C6B" w:rsidRPr="00CE7FB1" w:rsidRDefault="005D6C6B" w:rsidP="005D6C6B">
      <w:pPr>
        <w:spacing w:line="480" w:lineRule="auto"/>
        <w:rPr>
          <w:rFonts w:ascii="Times New Roman" w:eastAsia="TimesNewRomanPSMT" w:hAnsi="Times New Roman"/>
          <w:b/>
          <w:kern w:val="0"/>
          <w:sz w:val="24"/>
          <w:szCs w:val="24"/>
        </w:rPr>
      </w:pPr>
      <w:r w:rsidRPr="00CE7FB1">
        <w:rPr>
          <w:rFonts w:ascii="Times New Roman" w:eastAsia="TimesNewRomanPSMT" w:hAnsi="Times New Roman"/>
          <w:b/>
          <w:kern w:val="0"/>
          <w:sz w:val="24"/>
          <w:szCs w:val="24"/>
        </w:rPr>
        <w:t>Figure S5. The ACTH expression and secretion levels and the POMC expression levels in AtT20 cells in response to BEXA in a concentration dependent manner.</w:t>
      </w:r>
    </w:p>
    <w:p w14:paraId="1C5F19DC" w14:textId="1966F6D3" w:rsidR="00E225C1" w:rsidRPr="00CE7FB1" w:rsidRDefault="00E225C1" w:rsidP="005D6C6B">
      <w:pPr>
        <w:spacing w:line="480" w:lineRule="auto"/>
        <w:rPr>
          <w:rFonts w:ascii="Times New Roman" w:eastAsia="宋体" w:hAnsi="Times New Roman"/>
          <w:b/>
          <w:bCs/>
          <w:sz w:val="24"/>
          <w:szCs w:val="24"/>
        </w:rPr>
      </w:pPr>
      <w:r w:rsidRPr="00CE7FB1">
        <w:rPr>
          <w:rFonts w:ascii="Times New Roman" w:eastAsia="TimesNewRomanPSMT" w:hAnsi="Times New Roman"/>
          <w:b/>
          <w:bCs/>
          <w:kern w:val="0"/>
          <w:sz w:val="24"/>
          <w:szCs w:val="24"/>
        </w:rPr>
        <w:t>Figure S6.</w:t>
      </w:r>
      <w:r w:rsidRPr="00CE7FB1">
        <w:rPr>
          <w:b/>
          <w:sz w:val="24"/>
          <w:szCs w:val="24"/>
        </w:rPr>
        <w:t xml:space="preserve"> </w:t>
      </w:r>
      <w:r w:rsidRPr="00CE7FB1">
        <w:rPr>
          <w:rFonts w:ascii="Times New Roman" w:eastAsia="TimesNewRomanPSMT" w:hAnsi="Times New Roman"/>
          <w:b/>
          <w:kern w:val="0"/>
          <w:sz w:val="24"/>
          <w:szCs w:val="24"/>
        </w:rPr>
        <w:t>Mechanism of synergistic inhibitory effects of LAPA and BEXA on ACTH production and on pituitary adenoma cell proliferation.</w:t>
      </w:r>
    </w:p>
    <w:p w14:paraId="3B7ED0DC" w14:textId="77777777" w:rsidR="004860C9" w:rsidRPr="00CE7FB1" w:rsidRDefault="004860C9" w:rsidP="007B25CF">
      <w:pPr>
        <w:spacing w:line="480" w:lineRule="auto"/>
        <w:rPr>
          <w:rFonts w:ascii="Times New Roman" w:eastAsia="宋体" w:hAnsi="Times New Roman"/>
          <w:b/>
          <w:bCs/>
          <w:sz w:val="24"/>
          <w:szCs w:val="24"/>
        </w:rPr>
      </w:pPr>
      <w:r w:rsidRPr="00CE7FB1">
        <w:rPr>
          <w:rFonts w:ascii="Times New Roman" w:eastAsia="宋体" w:hAnsi="Times New Roman" w:hint="eastAsia"/>
          <w:b/>
          <w:bCs/>
          <w:sz w:val="24"/>
          <w:szCs w:val="24"/>
        </w:rPr>
        <w:t>S</w:t>
      </w:r>
      <w:r w:rsidRPr="00CE7FB1">
        <w:rPr>
          <w:rFonts w:ascii="Times New Roman" w:eastAsia="宋体" w:hAnsi="Times New Roman"/>
          <w:b/>
          <w:bCs/>
          <w:sz w:val="24"/>
          <w:szCs w:val="24"/>
        </w:rPr>
        <w:t>upplemental Tables</w:t>
      </w:r>
      <w:r w:rsidR="006A0907" w:rsidRPr="00CE7FB1">
        <w:rPr>
          <w:rFonts w:ascii="Times New Roman" w:eastAsia="宋体" w:hAnsi="Times New Roman"/>
          <w:b/>
          <w:bCs/>
          <w:sz w:val="24"/>
          <w:szCs w:val="24"/>
        </w:rPr>
        <w:t>:</w:t>
      </w:r>
    </w:p>
    <w:p w14:paraId="0B1F53AE" w14:textId="62101C9F" w:rsidR="003815BD" w:rsidRPr="00CE7FB1" w:rsidRDefault="004860C9" w:rsidP="007B25CF">
      <w:pPr>
        <w:widowControl/>
        <w:spacing w:line="480" w:lineRule="auto"/>
        <w:rPr>
          <w:rFonts w:ascii="Times New Roman" w:hAnsi="Times New Roman"/>
          <w:color w:val="000000"/>
          <w:kern w:val="0"/>
        </w:rPr>
      </w:pPr>
      <w:r w:rsidRPr="00CE7FB1">
        <w:rPr>
          <w:rFonts w:ascii="Times New Roman" w:eastAsia="宋体" w:hAnsi="Times New Roman" w:hint="eastAsia"/>
          <w:b/>
          <w:bCs/>
          <w:sz w:val="24"/>
          <w:szCs w:val="24"/>
        </w:rPr>
        <w:t>T</w:t>
      </w:r>
      <w:r w:rsidRPr="00CE7FB1">
        <w:rPr>
          <w:rFonts w:ascii="Times New Roman" w:eastAsia="宋体" w:hAnsi="Times New Roman"/>
          <w:b/>
          <w:bCs/>
          <w:sz w:val="24"/>
          <w:szCs w:val="24"/>
        </w:rPr>
        <w:t xml:space="preserve">able S1. </w:t>
      </w:r>
      <w:r w:rsidR="003815BD" w:rsidRPr="00CE7FB1">
        <w:rPr>
          <w:rFonts w:ascii="Times New Roman" w:hAnsi="Times New Roman"/>
          <w:b/>
          <w:bCs/>
          <w:color w:val="000000"/>
          <w:kern w:val="0"/>
        </w:rPr>
        <w:t>Top 10</w:t>
      </w:r>
      <w:r w:rsidR="003815BD" w:rsidRPr="00CE7FB1">
        <w:rPr>
          <w:rFonts w:ascii="Times New Roman" w:hAnsi="Times New Roman" w:hint="eastAsia"/>
          <w:b/>
          <w:bCs/>
          <w:color w:val="000000"/>
          <w:kern w:val="0"/>
        </w:rPr>
        <w:t xml:space="preserve"> scored</w:t>
      </w:r>
      <w:r w:rsidR="003815BD" w:rsidRPr="00CE7FB1">
        <w:rPr>
          <w:rFonts w:ascii="Times New Roman" w:hAnsi="Times New Roman"/>
          <w:b/>
          <w:bCs/>
          <w:color w:val="000000"/>
          <w:kern w:val="0"/>
        </w:rPr>
        <w:t xml:space="preserve"> hub proteins in</w:t>
      </w:r>
      <w:r w:rsidR="004C32BE" w:rsidRPr="00CE7FB1">
        <w:rPr>
          <w:rFonts w:ascii="Times New Roman" w:hAnsi="Times New Roman"/>
          <w:b/>
          <w:bCs/>
          <w:color w:val="000000"/>
          <w:kern w:val="0"/>
        </w:rPr>
        <w:t xml:space="preserve"> the</w:t>
      </w:r>
      <w:r w:rsidR="003815BD" w:rsidRPr="00CE7FB1">
        <w:rPr>
          <w:rFonts w:ascii="Times New Roman" w:hAnsi="Times New Roman"/>
          <w:b/>
          <w:bCs/>
          <w:color w:val="000000"/>
          <w:kern w:val="0"/>
        </w:rPr>
        <w:t xml:space="preserve"> Nur77 (NR4A1) PPI network.</w:t>
      </w:r>
    </w:p>
    <w:p w14:paraId="4BD9DFD3" w14:textId="753DC39B" w:rsidR="004860C9" w:rsidRPr="00CE7FB1" w:rsidRDefault="003815BD" w:rsidP="007B25CF">
      <w:pPr>
        <w:widowControl/>
        <w:spacing w:line="480"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T</w:t>
      </w:r>
      <w:r w:rsidRPr="00CE7FB1">
        <w:rPr>
          <w:rFonts w:ascii="Times New Roman" w:hAnsi="Times New Roman"/>
          <w:b/>
          <w:bCs/>
          <w:color w:val="000000"/>
          <w:kern w:val="0"/>
          <w:sz w:val="24"/>
          <w:szCs w:val="24"/>
        </w:rPr>
        <w:t>able S2. Approved drugs target</w:t>
      </w:r>
      <w:r w:rsidR="004C32BE" w:rsidRPr="00CE7FB1">
        <w:rPr>
          <w:rFonts w:ascii="Times New Roman" w:hAnsi="Times New Roman"/>
          <w:b/>
          <w:bCs/>
          <w:color w:val="000000"/>
          <w:kern w:val="0"/>
          <w:sz w:val="24"/>
          <w:szCs w:val="24"/>
        </w:rPr>
        <w:t>ing</w:t>
      </w:r>
      <w:r w:rsidRPr="00CE7FB1">
        <w:rPr>
          <w:rFonts w:ascii="Times New Roman" w:hAnsi="Times New Roman"/>
          <w:b/>
          <w:bCs/>
          <w:color w:val="000000"/>
          <w:kern w:val="0"/>
          <w:sz w:val="24"/>
          <w:szCs w:val="24"/>
        </w:rPr>
        <w:t xml:space="preserve"> RXRα.</w:t>
      </w:r>
    </w:p>
    <w:p w14:paraId="006C828A" w14:textId="77777777" w:rsidR="00755494" w:rsidRPr="00CE7FB1" w:rsidRDefault="00755494" w:rsidP="007B25CF">
      <w:pPr>
        <w:widowControl/>
        <w:spacing w:line="480"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T</w:t>
      </w:r>
      <w:r w:rsidRPr="00CE7FB1">
        <w:rPr>
          <w:rFonts w:ascii="Times New Roman" w:hAnsi="Times New Roman"/>
          <w:b/>
          <w:bCs/>
          <w:color w:val="000000"/>
          <w:kern w:val="0"/>
          <w:sz w:val="24"/>
          <w:szCs w:val="24"/>
        </w:rPr>
        <w:t>able S3. The -docking energy between BEXA and RAR family proteins</w:t>
      </w:r>
    </w:p>
    <w:p w14:paraId="5DD8964A" w14:textId="0B201F8F" w:rsidR="00CB0788" w:rsidRPr="00CE7FB1" w:rsidRDefault="00CB0788" w:rsidP="007B25CF">
      <w:pPr>
        <w:widowControl/>
        <w:spacing w:line="480"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T</w:t>
      </w:r>
      <w:r w:rsidRPr="00CE7FB1">
        <w:rPr>
          <w:rFonts w:ascii="Times New Roman" w:hAnsi="Times New Roman"/>
          <w:b/>
          <w:bCs/>
          <w:color w:val="000000"/>
          <w:kern w:val="0"/>
          <w:sz w:val="24"/>
          <w:szCs w:val="24"/>
        </w:rPr>
        <w:t xml:space="preserve">able S4. </w:t>
      </w:r>
      <w:r w:rsidR="001D1D38" w:rsidRPr="00CE7FB1">
        <w:rPr>
          <w:rFonts w:ascii="Times New Roman" w:hAnsi="Times New Roman"/>
          <w:b/>
          <w:bCs/>
          <w:color w:val="000000"/>
          <w:kern w:val="0"/>
          <w:sz w:val="24"/>
          <w:szCs w:val="24"/>
        </w:rPr>
        <w:t xml:space="preserve">Top 22 scored proteins predicted to interact with BEXA in </w:t>
      </w:r>
      <w:r w:rsidR="004C32BE" w:rsidRPr="00CE7FB1">
        <w:rPr>
          <w:rFonts w:ascii="Times New Roman" w:hAnsi="Times New Roman"/>
          <w:b/>
          <w:bCs/>
          <w:color w:val="000000"/>
          <w:kern w:val="0"/>
          <w:sz w:val="24"/>
          <w:szCs w:val="24"/>
        </w:rPr>
        <w:t xml:space="preserve">the </w:t>
      </w:r>
      <w:r w:rsidR="001D1D38" w:rsidRPr="00CE7FB1">
        <w:rPr>
          <w:rFonts w:ascii="Times New Roman" w:hAnsi="Times New Roman"/>
          <w:b/>
          <w:bCs/>
          <w:color w:val="000000"/>
          <w:kern w:val="0"/>
          <w:sz w:val="24"/>
          <w:szCs w:val="24"/>
        </w:rPr>
        <w:t>CD protein network.</w:t>
      </w:r>
    </w:p>
    <w:p w14:paraId="590A6A87" w14:textId="29BA6CCB" w:rsidR="001D1D38" w:rsidRPr="00CE7FB1" w:rsidRDefault="001D1D38" w:rsidP="007B25CF">
      <w:pPr>
        <w:widowControl/>
        <w:spacing w:line="480"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T</w:t>
      </w:r>
      <w:r w:rsidRPr="00CE7FB1">
        <w:rPr>
          <w:rFonts w:ascii="Times New Roman" w:hAnsi="Times New Roman"/>
          <w:b/>
          <w:bCs/>
          <w:color w:val="000000"/>
          <w:kern w:val="0"/>
          <w:sz w:val="24"/>
          <w:szCs w:val="24"/>
        </w:rPr>
        <w:t xml:space="preserve">able S5. </w:t>
      </w:r>
      <w:r w:rsidR="003531C7" w:rsidRPr="00CE7FB1">
        <w:rPr>
          <w:rFonts w:ascii="Times New Roman" w:hAnsi="Times New Roman"/>
          <w:b/>
          <w:bCs/>
          <w:color w:val="000000"/>
          <w:kern w:val="0"/>
          <w:sz w:val="24"/>
          <w:szCs w:val="24"/>
        </w:rPr>
        <w:t>KEGG enrichment analysis of genes</w:t>
      </w:r>
      <w:r w:rsidR="004C32BE" w:rsidRPr="00CE7FB1">
        <w:rPr>
          <w:rFonts w:ascii="Times New Roman" w:hAnsi="Times New Roman"/>
          <w:b/>
          <w:bCs/>
          <w:color w:val="000000"/>
          <w:kern w:val="0"/>
          <w:sz w:val="24"/>
          <w:szCs w:val="24"/>
        </w:rPr>
        <w:t xml:space="preserve"> of interest</w:t>
      </w:r>
      <w:r w:rsidR="003531C7" w:rsidRPr="00CE7FB1">
        <w:rPr>
          <w:rFonts w:ascii="Times New Roman" w:hAnsi="Times New Roman"/>
          <w:b/>
          <w:bCs/>
          <w:color w:val="000000"/>
          <w:kern w:val="0"/>
          <w:sz w:val="24"/>
          <w:szCs w:val="24"/>
        </w:rPr>
        <w:t>.</w:t>
      </w:r>
    </w:p>
    <w:p w14:paraId="7FA59395" w14:textId="2665CC16" w:rsidR="003531C7" w:rsidRPr="00CE7FB1" w:rsidRDefault="003531C7" w:rsidP="007B25CF">
      <w:pPr>
        <w:widowControl/>
        <w:spacing w:line="480"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T</w:t>
      </w:r>
      <w:r w:rsidRPr="00CE7FB1">
        <w:rPr>
          <w:rFonts w:ascii="Times New Roman" w:hAnsi="Times New Roman"/>
          <w:b/>
          <w:bCs/>
          <w:color w:val="000000"/>
          <w:kern w:val="0"/>
          <w:sz w:val="24"/>
          <w:szCs w:val="24"/>
        </w:rPr>
        <w:t>able S6. Drugs target</w:t>
      </w:r>
      <w:r w:rsidR="004C32BE" w:rsidRPr="00CE7FB1">
        <w:rPr>
          <w:rFonts w:ascii="Times New Roman" w:hAnsi="Times New Roman"/>
          <w:b/>
          <w:bCs/>
          <w:color w:val="000000"/>
          <w:kern w:val="0"/>
          <w:sz w:val="24"/>
          <w:szCs w:val="24"/>
        </w:rPr>
        <w:t>ing</w:t>
      </w:r>
      <w:r w:rsidRPr="00CE7FB1">
        <w:rPr>
          <w:rFonts w:ascii="Times New Roman" w:hAnsi="Times New Roman"/>
          <w:b/>
          <w:bCs/>
          <w:color w:val="000000"/>
          <w:kern w:val="0"/>
          <w:sz w:val="24"/>
          <w:szCs w:val="24"/>
        </w:rPr>
        <w:t xml:space="preserve"> EGFR.</w:t>
      </w:r>
    </w:p>
    <w:p w14:paraId="0E1BB378" w14:textId="51CA56D5" w:rsidR="003531C7" w:rsidRPr="00CE7FB1" w:rsidRDefault="002258BB" w:rsidP="007B25CF">
      <w:pPr>
        <w:widowControl/>
        <w:spacing w:line="480"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T</w:t>
      </w:r>
      <w:r w:rsidRPr="00CE7FB1">
        <w:rPr>
          <w:rFonts w:ascii="Times New Roman" w:hAnsi="Times New Roman"/>
          <w:b/>
          <w:bCs/>
          <w:color w:val="000000"/>
          <w:kern w:val="0"/>
          <w:sz w:val="24"/>
          <w:szCs w:val="24"/>
        </w:rPr>
        <w:t>able S7. IC50</w:t>
      </w:r>
      <w:r w:rsidR="004C32BE" w:rsidRPr="00CE7FB1">
        <w:rPr>
          <w:rFonts w:ascii="Times New Roman" w:hAnsi="Times New Roman"/>
          <w:b/>
          <w:bCs/>
          <w:color w:val="000000"/>
          <w:kern w:val="0"/>
          <w:sz w:val="24"/>
          <w:szCs w:val="24"/>
        </w:rPr>
        <w:t>s</w:t>
      </w:r>
      <w:r w:rsidRPr="00CE7FB1">
        <w:rPr>
          <w:rFonts w:ascii="Times New Roman" w:hAnsi="Times New Roman"/>
          <w:b/>
          <w:bCs/>
          <w:color w:val="000000"/>
          <w:kern w:val="0"/>
          <w:sz w:val="24"/>
          <w:szCs w:val="24"/>
        </w:rPr>
        <w:t xml:space="preserve"> of bexarotene and lapatinib</w:t>
      </w:r>
      <w:r w:rsidR="004C32BE" w:rsidRPr="00CE7FB1">
        <w:rPr>
          <w:rFonts w:ascii="Times New Roman" w:hAnsi="Times New Roman"/>
          <w:b/>
          <w:bCs/>
          <w:color w:val="000000"/>
          <w:kern w:val="0"/>
          <w:sz w:val="24"/>
          <w:szCs w:val="24"/>
        </w:rPr>
        <w:t>.</w:t>
      </w:r>
    </w:p>
    <w:p w14:paraId="57C0AB47" w14:textId="65AFAD75" w:rsidR="002258BB" w:rsidRPr="00CE7FB1" w:rsidRDefault="00315FB6" w:rsidP="007B25CF">
      <w:pPr>
        <w:widowControl/>
        <w:spacing w:line="480"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T</w:t>
      </w:r>
      <w:r w:rsidRPr="00CE7FB1">
        <w:rPr>
          <w:rFonts w:ascii="Times New Roman" w:hAnsi="Times New Roman"/>
          <w:b/>
          <w:bCs/>
          <w:color w:val="000000"/>
          <w:kern w:val="0"/>
          <w:sz w:val="24"/>
          <w:szCs w:val="24"/>
        </w:rPr>
        <w:t xml:space="preserve">able S8. Combination </w:t>
      </w:r>
      <w:r w:rsidR="004C32BE" w:rsidRPr="00CE7FB1">
        <w:rPr>
          <w:rFonts w:ascii="Times New Roman" w:hAnsi="Times New Roman"/>
          <w:b/>
          <w:bCs/>
          <w:color w:val="000000"/>
          <w:kern w:val="0"/>
          <w:sz w:val="24"/>
          <w:szCs w:val="24"/>
        </w:rPr>
        <w:t>i</w:t>
      </w:r>
      <w:r w:rsidRPr="00CE7FB1">
        <w:rPr>
          <w:rFonts w:ascii="Times New Roman" w:hAnsi="Times New Roman"/>
          <w:b/>
          <w:bCs/>
          <w:color w:val="000000"/>
          <w:kern w:val="0"/>
          <w:sz w:val="24"/>
          <w:szCs w:val="24"/>
        </w:rPr>
        <w:t>ndex of bexarotene and lapatinib.</w:t>
      </w:r>
    </w:p>
    <w:p w14:paraId="1577B4D6" w14:textId="77777777" w:rsidR="00373556" w:rsidRPr="00CE7FB1" w:rsidRDefault="00373556" w:rsidP="007B25CF">
      <w:pPr>
        <w:widowControl/>
        <w:spacing w:line="480" w:lineRule="auto"/>
        <w:rPr>
          <w:rFonts w:ascii="Times New Roman" w:hAnsi="Times New Roman"/>
          <w:b/>
          <w:bCs/>
          <w:color w:val="000000"/>
          <w:kern w:val="0"/>
          <w:sz w:val="24"/>
          <w:szCs w:val="24"/>
        </w:rPr>
      </w:pPr>
    </w:p>
    <w:p w14:paraId="2C613AC1" w14:textId="77777777" w:rsidR="007B25CF" w:rsidRPr="00CE7FB1" w:rsidRDefault="007B25CF" w:rsidP="007B25CF">
      <w:pPr>
        <w:widowControl/>
        <w:spacing w:line="480" w:lineRule="auto"/>
        <w:rPr>
          <w:rFonts w:ascii="Times New Roman" w:hAnsi="Times New Roman"/>
          <w:b/>
          <w:bCs/>
          <w:color w:val="000000"/>
          <w:kern w:val="0"/>
          <w:sz w:val="24"/>
          <w:szCs w:val="24"/>
        </w:rPr>
      </w:pPr>
    </w:p>
    <w:p w14:paraId="2917BCC1" w14:textId="77777777" w:rsidR="007B25CF" w:rsidRPr="00CE7FB1" w:rsidRDefault="007B25CF" w:rsidP="007B25CF">
      <w:pPr>
        <w:widowControl/>
        <w:spacing w:line="480" w:lineRule="auto"/>
        <w:rPr>
          <w:rFonts w:ascii="Times New Roman" w:hAnsi="Times New Roman"/>
          <w:b/>
          <w:bCs/>
          <w:color w:val="000000"/>
          <w:kern w:val="0"/>
          <w:sz w:val="24"/>
          <w:szCs w:val="24"/>
        </w:rPr>
      </w:pPr>
    </w:p>
    <w:p w14:paraId="0EB10C43" w14:textId="77777777" w:rsidR="007B25CF" w:rsidRPr="00CE7FB1" w:rsidRDefault="007B25CF" w:rsidP="007B25CF">
      <w:pPr>
        <w:widowControl/>
        <w:spacing w:line="480" w:lineRule="auto"/>
        <w:rPr>
          <w:rFonts w:ascii="Times New Roman" w:hAnsi="Times New Roman"/>
          <w:b/>
          <w:bCs/>
          <w:color w:val="000000"/>
          <w:kern w:val="0"/>
          <w:sz w:val="24"/>
          <w:szCs w:val="24"/>
        </w:rPr>
      </w:pPr>
    </w:p>
    <w:p w14:paraId="785F5C01" w14:textId="77777777" w:rsidR="007B25CF" w:rsidRPr="00CE7FB1" w:rsidRDefault="007B25CF" w:rsidP="007B25CF">
      <w:pPr>
        <w:widowControl/>
        <w:spacing w:line="480" w:lineRule="auto"/>
        <w:rPr>
          <w:rFonts w:ascii="Times New Roman" w:hAnsi="Times New Roman"/>
          <w:b/>
          <w:bCs/>
          <w:color w:val="000000"/>
          <w:kern w:val="0"/>
          <w:sz w:val="24"/>
          <w:szCs w:val="24"/>
        </w:rPr>
      </w:pPr>
    </w:p>
    <w:p w14:paraId="40C2E6D2" w14:textId="104F3BF6" w:rsidR="00616934" w:rsidRPr="00CE7FB1" w:rsidRDefault="00616934" w:rsidP="00FB3C9A">
      <w:pPr>
        <w:pStyle w:val="p1"/>
        <w:spacing w:line="480" w:lineRule="auto"/>
        <w:rPr>
          <w:rFonts w:ascii="Times New Roman" w:eastAsia="宋体" w:hAnsi="Times New Roman"/>
          <w:b/>
          <w:bCs/>
          <w:sz w:val="24"/>
          <w:szCs w:val="24"/>
        </w:rPr>
      </w:pPr>
      <w:r w:rsidRPr="00CE7FB1">
        <w:rPr>
          <w:rFonts w:ascii="Times New Roman" w:eastAsia="宋体" w:hAnsi="Times New Roman" w:hint="eastAsia"/>
          <w:b/>
          <w:bCs/>
          <w:sz w:val="24"/>
          <w:szCs w:val="24"/>
        </w:rPr>
        <w:lastRenderedPageBreak/>
        <w:t>M</w:t>
      </w:r>
      <w:r w:rsidRPr="00CE7FB1">
        <w:rPr>
          <w:rFonts w:ascii="Times New Roman" w:eastAsia="宋体" w:hAnsi="Times New Roman"/>
          <w:b/>
          <w:bCs/>
          <w:sz w:val="24"/>
          <w:szCs w:val="24"/>
        </w:rPr>
        <w:t>aterials and methods</w:t>
      </w:r>
    </w:p>
    <w:p w14:paraId="4D869D0A" w14:textId="77777777" w:rsidR="00FB3C9A" w:rsidRPr="00CE7FB1" w:rsidRDefault="00FB3C9A" w:rsidP="00FB3C9A">
      <w:pPr>
        <w:pStyle w:val="p1"/>
        <w:spacing w:line="480" w:lineRule="auto"/>
        <w:rPr>
          <w:rFonts w:ascii="Times New Roman" w:eastAsia="宋体" w:hAnsi="Times New Roman"/>
          <w:bCs/>
          <w:sz w:val="24"/>
          <w:szCs w:val="24"/>
        </w:rPr>
      </w:pPr>
      <w:r w:rsidRPr="00CE7FB1">
        <w:rPr>
          <w:rFonts w:ascii="Times New Roman" w:eastAsia="宋体" w:hAnsi="Times New Roman"/>
          <w:bCs/>
          <w:sz w:val="24"/>
          <w:szCs w:val="24"/>
        </w:rPr>
        <w:t>Databases and platforms</w:t>
      </w:r>
    </w:p>
    <w:p w14:paraId="40436971" w14:textId="4ABBFDE5" w:rsidR="00FB3C9A" w:rsidRPr="00CE7FB1" w:rsidRDefault="00FB3C9A" w:rsidP="00695C51">
      <w:pPr>
        <w:spacing w:line="480" w:lineRule="auto"/>
        <w:ind w:firstLineChars="150" w:firstLine="360"/>
        <w:rPr>
          <w:rFonts w:ascii="Times New Roman" w:hAnsi="Times New Roman"/>
          <w:bCs/>
          <w:sz w:val="24"/>
          <w:szCs w:val="24"/>
        </w:rPr>
      </w:pPr>
      <w:r w:rsidRPr="00CE7FB1">
        <w:rPr>
          <w:rFonts w:ascii="Times New Roman" w:eastAsia="Times New Roman" w:hAnsi="Times New Roman"/>
          <w:sz w:val="24"/>
          <w:szCs w:val="24"/>
        </w:rPr>
        <w:t xml:space="preserve">PPI network analysis was conducted by Search Tool for the Retrieval of Interacting Genes (STRING; http://string-db.org) (version 11.0) and diagrams were produced using </w:t>
      </w:r>
      <w:proofErr w:type="spellStart"/>
      <w:r w:rsidRPr="00CE7FB1">
        <w:rPr>
          <w:rFonts w:ascii="Times New Roman" w:eastAsia="Times New Roman" w:hAnsi="Times New Roman"/>
          <w:sz w:val="24"/>
          <w:szCs w:val="24"/>
        </w:rPr>
        <w:t>Cytoscape</w:t>
      </w:r>
      <w:proofErr w:type="spellEnd"/>
      <w:r w:rsidRPr="00CE7FB1">
        <w:rPr>
          <w:rFonts w:ascii="Times New Roman" w:eastAsia="Times New Roman" w:hAnsi="Times New Roman"/>
          <w:sz w:val="24"/>
          <w:szCs w:val="24"/>
        </w:rPr>
        <w:t>.</w:t>
      </w:r>
      <w:r w:rsidRPr="00CE7FB1">
        <w:rPr>
          <w:rFonts w:ascii="Times New Roman" w:eastAsia="Times New Roman" w:hAnsi="Times New Roman"/>
          <w:sz w:val="24"/>
          <w:szCs w:val="24"/>
          <w:vertAlign w:val="superscript"/>
        </w:rPr>
        <w:t xml:space="preserve"> </w:t>
      </w:r>
      <w:r w:rsidRPr="00CE7FB1">
        <w:rPr>
          <w:rFonts w:ascii="Times New Roman" w:eastAsia="Times New Roman" w:hAnsi="Times New Roman"/>
          <w:sz w:val="24"/>
          <w:szCs w:val="24"/>
        </w:rPr>
        <w:t xml:space="preserve">Drug enrichment analysis was executed on WEB-based </w:t>
      </w:r>
      <w:proofErr w:type="spellStart"/>
      <w:r w:rsidRPr="00CE7FB1">
        <w:rPr>
          <w:rFonts w:ascii="Times New Roman" w:eastAsia="Times New Roman" w:hAnsi="Times New Roman"/>
          <w:sz w:val="24"/>
          <w:szCs w:val="24"/>
        </w:rPr>
        <w:t>GEne</w:t>
      </w:r>
      <w:proofErr w:type="spellEnd"/>
      <w:r w:rsidRPr="00CE7FB1">
        <w:rPr>
          <w:rFonts w:ascii="Times New Roman" w:eastAsia="Times New Roman" w:hAnsi="Times New Roman"/>
          <w:sz w:val="24"/>
          <w:szCs w:val="24"/>
        </w:rPr>
        <w:t xml:space="preserve"> </w:t>
      </w:r>
      <w:proofErr w:type="spellStart"/>
      <w:r w:rsidRPr="00CE7FB1">
        <w:rPr>
          <w:rFonts w:ascii="Times New Roman" w:eastAsia="Times New Roman" w:hAnsi="Times New Roman"/>
          <w:sz w:val="24"/>
          <w:szCs w:val="24"/>
        </w:rPr>
        <w:t>SeT</w:t>
      </w:r>
      <w:proofErr w:type="spellEnd"/>
      <w:r w:rsidRPr="00CE7FB1">
        <w:rPr>
          <w:rFonts w:ascii="Times New Roman" w:eastAsia="Times New Roman" w:hAnsi="Times New Roman"/>
          <w:sz w:val="24"/>
          <w:szCs w:val="24"/>
        </w:rPr>
        <w:t xml:space="preserve"> </w:t>
      </w:r>
      <w:proofErr w:type="spellStart"/>
      <w:r w:rsidRPr="00CE7FB1">
        <w:rPr>
          <w:rFonts w:ascii="Times New Roman" w:eastAsia="Times New Roman" w:hAnsi="Times New Roman"/>
          <w:sz w:val="24"/>
          <w:szCs w:val="24"/>
        </w:rPr>
        <w:t>AnaLysis</w:t>
      </w:r>
      <w:proofErr w:type="spellEnd"/>
      <w:r w:rsidRPr="00CE7FB1">
        <w:rPr>
          <w:rFonts w:ascii="Times New Roman" w:eastAsia="Times New Roman" w:hAnsi="Times New Roman"/>
          <w:sz w:val="24"/>
          <w:szCs w:val="24"/>
        </w:rPr>
        <w:t xml:space="preserve"> Toolkit (</w:t>
      </w:r>
      <w:proofErr w:type="spellStart"/>
      <w:r w:rsidRPr="00CE7FB1">
        <w:rPr>
          <w:rFonts w:ascii="Times New Roman" w:eastAsia="Times New Roman" w:hAnsi="Times New Roman"/>
          <w:sz w:val="24"/>
          <w:szCs w:val="24"/>
        </w:rPr>
        <w:t>WebGestalt</w:t>
      </w:r>
      <w:proofErr w:type="spellEnd"/>
      <w:r w:rsidRPr="00CE7FB1">
        <w:rPr>
          <w:rFonts w:ascii="Times New Roman" w:eastAsia="Times New Roman" w:hAnsi="Times New Roman"/>
          <w:sz w:val="24"/>
          <w:szCs w:val="24"/>
        </w:rPr>
        <w:t xml:space="preserve">; </w:t>
      </w:r>
      <w:r w:rsidRPr="00CE7FB1">
        <w:rPr>
          <w:rFonts w:ascii="Times New Roman" w:hAnsi="Times New Roman"/>
          <w:sz w:val="24"/>
          <w:szCs w:val="24"/>
        </w:rPr>
        <w:t>http://www.webgestalt.org/option.php</w:t>
      </w:r>
      <w:r w:rsidRPr="00CE7FB1">
        <w:rPr>
          <w:rFonts w:ascii="Times New Roman" w:eastAsia="Times New Roman" w:hAnsi="Times New Roman"/>
          <w:sz w:val="24"/>
          <w:szCs w:val="24"/>
        </w:rPr>
        <w:t xml:space="preserve">) (version 2019) platform based on </w:t>
      </w:r>
      <w:proofErr w:type="spellStart"/>
      <w:r w:rsidRPr="00CE7FB1">
        <w:rPr>
          <w:rFonts w:ascii="Times New Roman" w:eastAsia="Times New Roman" w:hAnsi="Times New Roman"/>
          <w:sz w:val="24"/>
          <w:szCs w:val="24"/>
        </w:rPr>
        <w:t>DrugBank</w:t>
      </w:r>
      <w:proofErr w:type="spellEnd"/>
      <w:r w:rsidRPr="00CE7FB1">
        <w:rPr>
          <w:rFonts w:ascii="Times New Roman" w:eastAsia="Times New Roman" w:hAnsi="Times New Roman"/>
          <w:sz w:val="24"/>
          <w:szCs w:val="24"/>
        </w:rPr>
        <w:t xml:space="preserve"> and GLAD4U databases. KEGG pathway analysis was conducted through The Database for Annotation, Visualization and Integrated Discovery (</w:t>
      </w:r>
      <w:proofErr w:type="spellStart"/>
      <w:proofErr w:type="gramStart"/>
      <w:r w:rsidRPr="00CE7FB1">
        <w:rPr>
          <w:rFonts w:ascii="Times New Roman" w:eastAsia="Times New Roman" w:hAnsi="Times New Roman"/>
          <w:sz w:val="24"/>
          <w:szCs w:val="24"/>
        </w:rPr>
        <w:t>DAVID;http</w:t>
      </w:r>
      <w:proofErr w:type="spellEnd"/>
      <w:r w:rsidRPr="00CE7FB1">
        <w:rPr>
          <w:rFonts w:ascii="Times New Roman" w:eastAsia="Times New Roman" w:hAnsi="Times New Roman"/>
          <w:sz w:val="24"/>
          <w:szCs w:val="24"/>
        </w:rPr>
        <w:t>://david.ncifcrf.gov</w:t>
      </w:r>
      <w:proofErr w:type="gramEnd"/>
      <w:r w:rsidRPr="00CE7FB1">
        <w:rPr>
          <w:rFonts w:ascii="Times New Roman" w:eastAsia="Times New Roman" w:hAnsi="Times New Roman"/>
          <w:sz w:val="24"/>
          <w:szCs w:val="24"/>
        </w:rPr>
        <w:t xml:space="preserve">) (version 6.8) based on Kyoto Encyclopedia of Genes and Genomes (KEGG) database. Information of drugs directed to specific targets were collected through </w:t>
      </w:r>
      <w:proofErr w:type="spellStart"/>
      <w:r w:rsidRPr="00CE7FB1">
        <w:rPr>
          <w:rFonts w:ascii="Times New Roman" w:eastAsia="Times New Roman" w:hAnsi="Times New Roman"/>
          <w:sz w:val="24"/>
          <w:szCs w:val="24"/>
        </w:rPr>
        <w:t>DrugBank</w:t>
      </w:r>
      <w:proofErr w:type="spellEnd"/>
      <w:r w:rsidRPr="00CE7FB1">
        <w:rPr>
          <w:rFonts w:ascii="Times New Roman" w:eastAsia="Times New Roman" w:hAnsi="Times New Roman"/>
          <w:sz w:val="24"/>
          <w:szCs w:val="24"/>
        </w:rPr>
        <w:t xml:space="preserve"> database. (</w:t>
      </w:r>
      <w:r w:rsidRPr="00CE7FB1">
        <w:rPr>
          <w:rFonts w:ascii="Times New Roman" w:hAnsi="Times New Roman"/>
          <w:sz w:val="24"/>
          <w:szCs w:val="24"/>
        </w:rPr>
        <w:t>https://www.drugbank.ca/</w:t>
      </w:r>
      <w:r w:rsidRPr="00CE7FB1">
        <w:rPr>
          <w:rFonts w:ascii="Times New Roman" w:eastAsia="Times New Roman" w:hAnsi="Times New Roman"/>
          <w:sz w:val="24"/>
          <w:szCs w:val="24"/>
        </w:rPr>
        <w:t>).</w:t>
      </w:r>
      <w:r w:rsidRPr="00CE7FB1">
        <w:rPr>
          <w:rFonts w:ascii="Times New Roman" w:hAnsi="Times New Roman"/>
          <w:bCs/>
          <w:sz w:val="24"/>
          <w:szCs w:val="24"/>
        </w:rPr>
        <w:t xml:space="preserve"> Prediction of targets interacted with BEXA was implemented on Ligand Express platform provided by CYCLICA Inc. </w:t>
      </w:r>
    </w:p>
    <w:p w14:paraId="6F4BAAB5" w14:textId="77777777" w:rsidR="00FB3C9A" w:rsidRPr="00CE7FB1" w:rsidRDefault="00FB3C9A" w:rsidP="00FB3C9A">
      <w:pPr>
        <w:spacing w:line="480" w:lineRule="auto"/>
        <w:rPr>
          <w:rFonts w:ascii="Times New Roman" w:hAnsi="Times New Roman"/>
          <w:sz w:val="24"/>
          <w:szCs w:val="24"/>
        </w:rPr>
      </w:pPr>
      <w:r w:rsidRPr="00CE7FB1">
        <w:rPr>
          <w:rFonts w:ascii="Times New Roman" w:hAnsi="Times New Roman"/>
          <w:sz w:val="24"/>
          <w:szCs w:val="24"/>
        </w:rPr>
        <w:t>Molecular docking</w:t>
      </w:r>
    </w:p>
    <w:p w14:paraId="44E0D2F8" w14:textId="77777777" w:rsidR="00FB3C9A" w:rsidRPr="00CE7FB1" w:rsidRDefault="00FB3C9A" w:rsidP="00FB3C9A">
      <w:pPr>
        <w:spacing w:line="480" w:lineRule="auto"/>
        <w:rPr>
          <w:rFonts w:ascii="Times New Roman" w:hAnsi="Times New Roman"/>
          <w:bCs/>
          <w:sz w:val="24"/>
          <w:szCs w:val="24"/>
        </w:rPr>
      </w:pPr>
      <w:r w:rsidRPr="00CE7FB1">
        <w:rPr>
          <w:rFonts w:ascii="Times New Roman" w:hAnsi="Times New Roman"/>
          <w:bCs/>
          <w:sz w:val="24"/>
          <w:szCs w:val="24"/>
        </w:rPr>
        <w:t xml:space="preserve">Molecular docking performed using Discovery Studio 2016 software </w:t>
      </w:r>
      <w:r w:rsidRPr="00CE7FB1">
        <w:rPr>
          <w:rFonts w:ascii="Times New Roman" w:hAnsi="Times New Roman" w:hint="eastAsia"/>
          <w:bCs/>
          <w:sz w:val="24"/>
          <w:szCs w:val="24"/>
        </w:rPr>
        <w:t>(</w:t>
      </w:r>
      <w:r w:rsidRPr="00CE7FB1">
        <w:rPr>
          <w:rFonts w:ascii="Times New Roman" w:hAnsi="Times New Roman"/>
          <w:bCs/>
          <w:sz w:val="24"/>
          <w:szCs w:val="24"/>
        </w:rPr>
        <w:t>BIOVIA, CA, US ) based on protein data bank (PDB</w:t>
      </w:r>
      <w:r w:rsidRPr="00CE7FB1">
        <w:rPr>
          <w:rFonts w:ascii="Times New Roman" w:hAnsi="Times New Roman"/>
          <w:bCs/>
          <w:sz w:val="24"/>
          <w:szCs w:val="24"/>
        </w:rPr>
        <w:t>）</w:t>
      </w:r>
      <w:r w:rsidRPr="00CE7FB1">
        <w:rPr>
          <w:rFonts w:ascii="Times New Roman" w:hAnsi="Times New Roman"/>
          <w:bCs/>
          <w:sz w:val="24"/>
          <w:szCs w:val="24"/>
        </w:rPr>
        <w:t>and (</w:t>
      </w:r>
      <w:proofErr w:type="spellStart"/>
      <w:r w:rsidRPr="00CE7FB1">
        <w:rPr>
          <w:rFonts w:ascii="Times New Roman" w:hAnsi="Times New Roman"/>
          <w:bCs/>
          <w:sz w:val="24"/>
          <w:szCs w:val="24"/>
        </w:rPr>
        <w:t>Pubchem</w:t>
      </w:r>
      <w:proofErr w:type="spellEnd"/>
      <w:r w:rsidRPr="00CE7FB1">
        <w:rPr>
          <w:rFonts w:ascii="Times New Roman" w:hAnsi="Times New Roman"/>
          <w:bCs/>
          <w:sz w:val="24"/>
          <w:szCs w:val="24"/>
        </w:rPr>
        <w:t>).</w:t>
      </w:r>
    </w:p>
    <w:p w14:paraId="000A5F9F" w14:textId="77777777" w:rsidR="00FB3C9A" w:rsidRPr="00CE7FB1" w:rsidRDefault="00FB3C9A" w:rsidP="00FB3C9A">
      <w:pPr>
        <w:spacing w:line="480" w:lineRule="auto"/>
        <w:ind w:firstLineChars="150" w:firstLine="360"/>
        <w:rPr>
          <w:rFonts w:ascii="Times New Roman" w:hAnsi="Times New Roman"/>
          <w:bCs/>
          <w:sz w:val="24"/>
          <w:szCs w:val="24"/>
        </w:rPr>
      </w:pPr>
      <w:r w:rsidRPr="00CE7FB1">
        <w:rPr>
          <w:rFonts w:ascii="Times New Roman" w:hAnsi="Times New Roman"/>
          <w:bCs/>
          <w:sz w:val="24"/>
          <w:szCs w:val="24"/>
        </w:rPr>
        <w:t xml:space="preserve">The crystal structure of RAR α, RAR β, RAR γ, PPAR α, PPAR δ and PPAR γ complexed with the inverse agonist BMS493 and a corepressor fragment, selective partial agonist BMS641 [3-chloro-4-[(E)-2-(5,5-dimethyl-8-phenyl-5,6-dihydronaphthalen-2-yl)ethenyl]benzoic acid], </w:t>
      </w:r>
      <w:proofErr w:type="spellStart"/>
      <w:r w:rsidRPr="00CE7FB1">
        <w:rPr>
          <w:rFonts w:ascii="Times New Roman" w:hAnsi="Times New Roman"/>
          <w:bCs/>
          <w:sz w:val="24"/>
          <w:szCs w:val="24"/>
        </w:rPr>
        <w:t>trifarotene</w:t>
      </w:r>
      <w:proofErr w:type="spellEnd"/>
      <w:r w:rsidRPr="00CE7FB1">
        <w:rPr>
          <w:rFonts w:ascii="Times New Roman" w:hAnsi="Times New Roman"/>
          <w:bCs/>
          <w:sz w:val="24"/>
          <w:szCs w:val="24"/>
        </w:rPr>
        <w:t xml:space="preserve"> (CD5789), agonist AZ 242, a </w:t>
      </w:r>
      <w:proofErr w:type="spellStart"/>
      <w:r w:rsidRPr="00CE7FB1">
        <w:rPr>
          <w:rFonts w:ascii="Times New Roman" w:hAnsi="Times New Roman"/>
          <w:bCs/>
          <w:sz w:val="24"/>
          <w:szCs w:val="24"/>
        </w:rPr>
        <w:t>phenoxyacetic</w:t>
      </w:r>
      <w:proofErr w:type="spellEnd"/>
      <w:r w:rsidRPr="00CE7FB1">
        <w:rPr>
          <w:rFonts w:ascii="Times New Roman" w:hAnsi="Times New Roman"/>
          <w:bCs/>
          <w:sz w:val="24"/>
          <w:szCs w:val="24"/>
        </w:rPr>
        <w:t xml:space="preserve"> acid partial agonist and T2384, respectively, were retrieved from the Protein Data Bank (PDB ID: 3kmz, 4jyi, 6FX0, 1i7g, 3PEQ and 3k8s). Wherein the </w:t>
      </w:r>
      <w:r w:rsidRPr="00CE7FB1">
        <w:rPr>
          <w:rFonts w:ascii="Times New Roman" w:hAnsi="Times New Roman"/>
          <w:bCs/>
          <w:sz w:val="24"/>
          <w:szCs w:val="24"/>
        </w:rPr>
        <w:lastRenderedPageBreak/>
        <w:t>resolutions of protein structures were 2.1 Å, 1.9 Å, 1.9 Å, 2.2 Å, 2.4Å and 2.55 Å, separately.</w:t>
      </w:r>
    </w:p>
    <w:p w14:paraId="2902FCFA" w14:textId="77777777" w:rsidR="00FB3C9A" w:rsidRPr="00CE7FB1" w:rsidRDefault="00FB3C9A" w:rsidP="00FB3C9A">
      <w:pPr>
        <w:spacing w:line="480" w:lineRule="auto"/>
        <w:ind w:firstLineChars="150" w:firstLine="360"/>
        <w:rPr>
          <w:rFonts w:ascii="Times New Roman" w:hAnsi="Times New Roman"/>
          <w:bCs/>
          <w:sz w:val="24"/>
          <w:szCs w:val="24"/>
        </w:rPr>
      </w:pPr>
      <w:r w:rsidRPr="00CE7FB1">
        <w:rPr>
          <w:rFonts w:ascii="Times New Roman" w:hAnsi="Times New Roman"/>
          <w:bCs/>
          <w:sz w:val="24"/>
          <w:szCs w:val="24"/>
        </w:rPr>
        <w:t>Preparation</w:t>
      </w:r>
      <w:r w:rsidRPr="00CE7FB1">
        <w:rPr>
          <w:rFonts w:ascii="Times New Roman" w:hAnsi="Times New Roman" w:hint="eastAsia"/>
          <w:bCs/>
          <w:sz w:val="24"/>
          <w:szCs w:val="24"/>
        </w:rPr>
        <w:t xml:space="preserve"> </w:t>
      </w:r>
      <w:r w:rsidRPr="00CE7FB1">
        <w:rPr>
          <w:rFonts w:ascii="Times New Roman" w:hAnsi="Times New Roman"/>
          <w:bCs/>
          <w:sz w:val="24"/>
          <w:szCs w:val="24"/>
        </w:rPr>
        <w:t xml:space="preserve">of </w:t>
      </w:r>
      <w:r w:rsidRPr="00CE7FB1">
        <w:rPr>
          <w:rFonts w:ascii="Times New Roman" w:hAnsi="Times New Roman" w:hint="eastAsia"/>
          <w:bCs/>
          <w:sz w:val="24"/>
          <w:szCs w:val="24"/>
        </w:rPr>
        <w:t>compound</w:t>
      </w:r>
      <w:r w:rsidRPr="00CE7FB1">
        <w:rPr>
          <w:rFonts w:ascii="Times New Roman" w:hAnsi="Times New Roman"/>
          <w:bCs/>
          <w:sz w:val="24"/>
          <w:szCs w:val="24"/>
        </w:rPr>
        <w:t xml:space="preserve"> and proteins Bexarotene was prepared with prepare ligands module of small molecules</w:t>
      </w:r>
      <w:r w:rsidRPr="00CE7FB1">
        <w:rPr>
          <w:rFonts w:ascii="Times New Roman" w:hAnsi="Times New Roman" w:hint="eastAsia"/>
          <w:bCs/>
          <w:sz w:val="24"/>
          <w:szCs w:val="24"/>
        </w:rPr>
        <w:t>.</w:t>
      </w:r>
      <w:r w:rsidRPr="00CE7FB1">
        <w:rPr>
          <w:rFonts w:ascii="Times New Roman" w:hAnsi="Times New Roman"/>
          <w:bCs/>
          <w:sz w:val="24"/>
          <w:szCs w:val="24"/>
        </w:rPr>
        <w:t xml:space="preserve"> For the</w:t>
      </w:r>
      <w:r w:rsidRPr="00CE7FB1">
        <w:rPr>
          <w:rFonts w:ascii="Times New Roman" w:hAnsi="Times New Roman" w:hint="eastAsia"/>
          <w:bCs/>
          <w:sz w:val="24"/>
          <w:szCs w:val="24"/>
        </w:rPr>
        <w:t xml:space="preserve"> </w:t>
      </w:r>
      <w:r w:rsidRPr="00CE7FB1">
        <w:rPr>
          <w:rFonts w:ascii="Times New Roman" w:hAnsi="Times New Roman"/>
          <w:bCs/>
          <w:sz w:val="24"/>
          <w:szCs w:val="24"/>
        </w:rPr>
        <w:t xml:space="preserve">preparation of proteins, the water and the co-crystallized complex were removed, and hydrogens </w:t>
      </w:r>
      <w:r w:rsidRPr="00CE7FB1">
        <w:rPr>
          <w:rFonts w:ascii="Times New Roman" w:hAnsi="Times New Roman" w:hint="eastAsia"/>
          <w:bCs/>
          <w:sz w:val="24"/>
          <w:szCs w:val="24"/>
        </w:rPr>
        <w:t>atoms</w:t>
      </w:r>
      <w:r w:rsidRPr="00CE7FB1">
        <w:rPr>
          <w:rFonts w:ascii="Times New Roman" w:hAnsi="Times New Roman"/>
          <w:bCs/>
          <w:sz w:val="24"/>
          <w:szCs w:val="24"/>
        </w:rPr>
        <w:t xml:space="preserve"> were added, generating valid single 3D conformation by means of washing and energy minimizing. The</w:t>
      </w:r>
      <w:r w:rsidRPr="00CE7FB1">
        <w:rPr>
          <w:rFonts w:ascii="Times New Roman" w:hAnsi="Times New Roman" w:hint="eastAsia"/>
          <w:bCs/>
          <w:sz w:val="24"/>
          <w:szCs w:val="24"/>
        </w:rPr>
        <w:t xml:space="preserve"> </w:t>
      </w:r>
      <w:r w:rsidRPr="00CE7FB1">
        <w:rPr>
          <w:rFonts w:ascii="Times New Roman" w:hAnsi="Times New Roman"/>
          <w:bCs/>
          <w:sz w:val="24"/>
          <w:szCs w:val="24"/>
        </w:rPr>
        <w:t>RAR α, RAR β, RAR γ, PPARα, PPAR δ and PPAR γ proteins were then further processed with the prepare</w:t>
      </w:r>
      <w:r w:rsidRPr="00CE7FB1">
        <w:rPr>
          <w:rFonts w:ascii="Times New Roman" w:hAnsi="Times New Roman" w:hint="eastAsia"/>
          <w:bCs/>
          <w:sz w:val="24"/>
          <w:szCs w:val="24"/>
        </w:rPr>
        <w:t xml:space="preserve"> </w:t>
      </w:r>
      <w:r w:rsidRPr="00CE7FB1">
        <w:rPr>
          <w:rFonts w:ascii="Times New Roman" w:hAnsi="Times New Roman"/>
          <w:bCs/>
          <w:sz w:val="24"/>
          <w:szCs w:val="24"/>
        </w:rPr>
        <w:t>protein module to model missing loop regions, calculate</w:t>
      </w:r>
      <w:r w:rsidRPr="00CE7FB1">
        <w:rPr>
          <w:rFonts w:ascii="Times New Roman" w:hAnsi="Times New Roman" w:hint="eastAsia"/>
          <w:bCs/>
          <w:sz w:val="24"/>
          <w:szCs w:val="24"/>
        </w:rPr>
        <w:t xml:space="preserve"> </w:t>
      </w:r>
      <w:r w:rsidRPr="00CE7FB1">
        <w:rPr>
          <w:rFonts w:ascii="Times New Roman" w:hAnsi="Times New Roman"/>
          <w:bCs/>
          <w:sz w:val="24"/>
          <w:szCs w:val="24"/>
        </w:rPr>
        <w:t xml:space="preserve">protein ionization and protonate the protein structure. </w:t>
      </w:r>
      <w:bookmarkStart w:id="7" w:name="OLE_LINK7"/>
      <w:r w:rsidRPr="00CE7FB1">
        <w:rPr>
          <w:rFonts w:ascii="Times New Roman" w:hAnsi="Times New Roman"/>
          <w:bCs/>
          <w:sz w:val="24"/>
          <w:szCs w:val="24"/>
        </w:rPr>
        <w:t>The</w:t>
      </w:r>
      <w:r w:rsidRPr="00CE7FB1">
        <w:rPr>
          <w:rFonts w:ascii="Times New Roman" w:hAnsi="Times New Roman" w:hint="eastAsia"/>
          <w:bCs/>
          <w:sz w:val="24"/>
          <w:szCs w:val="24"/>
        </w:rPr>
        <w:t xml:space="preserve"> </w:t>
      </w:r>
      <w:r w:rsidRPr="00CE7FB1">
        <w:rPr>
          <w:rFonts w:ascii="Times New Roman" w:hAnsi="Times New Roman"/>
          <w:bCs/>
          <w:sz w:val="24"/>
          <w:szCs w:val="24"/>
        </w:rPr>
        <w:t>prepared proteins were defined as the receptors and the binding</w:t>
      </w:r>
      <w:r w:rsidRPr="00CE7FB1">
        <w:rPr>
          <w:rFonts w:ascii="Times New Roman" w:hAnsi="Times New Roman" w:hint="eastAsia"/>
          <w:bCs/>
          <w:sz w:val="24"/>
          <w:szCs w:val="24"/>
        </w:rPr>
        <w:t xml:space="preserve"> </w:t>
      </w:r>
      <w:r w:rsidRPr="00CE7FB1">
        <w:rPr>
          <w:rFonts w:ascii="Times New Roman" w:hAnsi="Times New Roman"/>
          <w:bCs/>
          <w:sz w:val="24"/>
          <w:szCs w:val="24"/>
        </w:rPr>
        <w:t>site were defined from PDB site records with the define and edit</w:t>
      </w:r>
      <w:r w:rsidRPr="00CE7FB1">
        <w:rPr>
          <w:rFonts w:ascii="Times New Roman" w:hAnsi="Times New Roman" w:hint="eastAsia"/>
          <w:bCs/>
          <w:sz w:val="24"/>
          <w:szCs w:val="24"/>
        </w:rPr>
        <w:t xml:space="preserve"> </w:t>
      </w:r>
      <w:r w:rsidRPr="00CE7FB1">
        <w:rPr>
          <w:rFonts w:ascii="Times New Roman" w:hAnsi="Times New Roman"/>
          <w:bCs/>
          <w:sz w:val="24"/>
          <w:szCs w:val="24"/>
        </w:rPr>
        <w:t>binding site module. Finally, the binding site sphere of 3kmz, 4jyi, 6FX0, 1i7g, 3PEQ and 3k8s</w:t>
      </w:r>
      <w:r w:rsidRPr="00CE7FB1">
        <w:rPr>
          <w:rFonts w:ascii="Times New Roman" w:hAnsi="Times New Roman" w:hint="eastAsia"/>
          <w:bCs/>
          <w:sz w:val="24"/>
          <w:szCs w:val="24"/>
        </w:rPr>
        <w:t xml:space="preserve"> </w:t>
      </w:r>
      <w:r w:rsidRPr="00CE7FB1">
        <w:rPr>
          <w:rFonts w:ascii="Times New Roman" w:hAnsi="Times New Roman"/>
          <w:bCs/>
          <w:sz w:val="24"/>
          <w:szCs w:val="24"/>
        </w:rPr>
        <w:t>were selected separately for molecular</w:t>
      </w:r>
      <w:r w:rsidRPr="00CE7FB1">
        <w:rPr>
          <w:rFonts w:ascii="Times New Roman" w:hAnsi="Times New Roman" w:hint="eastAsia"/>
          <w:bCs/>
          <w:sz w:val="24"/>
          <w:szCs w:val="24"/>
        </w:rPr>
        <w:t xml:space="preserve"> </w:t>
      </w:r>
      <w:r w:rsidRPr="00CE7FB1">
        <w:rPr>
          <w:rFonts w:ascii="Times New Roman" w:hAnsi="Times New Roman"/>
          <w:bCs/>
          <w:sz w:val="24"/>
          <w:szCs w:val="24"/>
        </w:rPr>
        <w:t xml:space="preserve">docking analysis. </w:t>
      </w:r>
      <w:bookmarkEnd w:id="7"/>
    </w:p>
    <w:p w14:paraId="72AFCEB9" w14:textId="77777777" w:rsidR="00FB3C9A" w:rsidRPr="00CE7FB1" w:rsidRDefault="00FB3C9A" w:rsidP="00FB3C9A">
      <w:pPr>
        <w:spacing w:line="480" w:lineRule="auto"/>
        <w:ind w:firstLineChars="150" w:firstLine="360"/>
        <w:rPr>
          <w:rFonts w:ascii="Times New Roman" w:hAnsi="Times New Roman"/>
          <w:bCs/>
          <w:sz w:val="24"/>
          <w:szCs w:val="24"/>
        </w:rPr>
      </w:pPr>
      <w:r w:rsidRPr="00CE7FB1">
        <w:rPr>
          <w:rFonts w:ascii="Times New Roman" w:hAnsi="Times New Roman"/>
          <w:bCs/>
          <w:sz w:val="24"/>
          <w:szCs w:val="24"/>
        </w:rPr>
        <w:t>In the CDOCKER modules, we set the hearting steps, hearting target temperature, cooling steps, cooling target temperature and Forcefield to 2000</w:t>
      </w:r>
      <w:r w:rsidRPr="00CE7FB1">
        <w:rPr>
          <w:rFonts w:ascii="Times New Roman" w:hAnsi="Times New Roman"/>
          <w:bCs/>
          <w:sz w:val="24"/>
          <w:szCs w:val="24"/>
        </w:rPr>
        <w:t>，</w:t>
      </w:r>
      <w:r w:rsidRPr="00CE7FB1">
        <w:rPr>
          <w:rFonts w:ascii="Times New Roman" w:hAnsi="Times New Roman"/>
          <w:bCs/>
          <w:sz w:val="24"/>
          <w:szCs w:val="24"/>
        </w:rPr>
        <w:t>700</w:t>
      </w:r>
      <w:r w:rsidRPr="00CE7FB1">
        <w:rPr>
          <w:rFonts w:ascii="Times New Roman" w:hAnsi="Times New Roman"/>
          <w:bCs/>
          <w:sz w:val="24"/>
          <w:szCs w:val="24"/>
        </w:rPr>
        <w:t>，</w:t>
      </w:r>
      <w:r w:rsidRPr="00CE7FB1">
        <w:rPr>
          <w:rFonts w:ascii="Times New Roman" w:hAnsi="Times New Roman"/>
          <w:bCs/>
          <w:sz w:val="24"/>
          <w:szCs w:val="24"/>
        </w:rPr>
        <w:t>5000</w:t>
      </w:r>
      <w:r w:rsidRPr="00CE7FB1">
        <w:rPr>
          <w:rFonts w:ascii="Times New Roman" w:hAnsi="Times New Roman"/>
          <w:bCs/>
          <w:sz w:val="24"/>
          <w:szCs w:val="24"/>
        </w:rPr>
        <w:t>，</w:t>
      </w:r>
      <w:r w:rsidRPr="00CE7FB1">
        <w:rPr>
          <w:rFonts w:ascii="Times New Roman" w:hAnsi="Times New Roman"/>
          <w:bCs/>
          <w:sz w:val="24"/>
          <w:szCs w:val="24"/>
        </w:rPr>
        <w:t>300</w:t>
      </w:r>
      <w:r w:rsidRPr="00CE7FB1">
        <w:rPr>
          <w:rFonts w:ascii="Times New Roman" w:hAnsi="Times New Roman"/>
          <w:bCs/>
          <w:sz w:val="24"/>
          <w:szCs w:val="24"/>
        </w:rPr>
        <w:t>和</w:t>
      </w:r>
      <w:proofErr w:type="spellStart"/>
      <w:r w:rsidRPr="00CE7FB1">
        <w:rPr>
          <w:rFonts w:ascii="Times New Roman" w:hAnsi="Times New Roman"/>
          <w:bCs/>
          <w:sz w:val="24"/>
          <w:szCs w:val="24"/>
        </w:rPr>
        <w:t>CHARMm</w:t>
      </w:r>
      <w:proofErr w:type="spellEnd"/>
      <w:r w:rsidRPr="00CE7FB1">
        <w:rPr>
          <w:rFonts w:ascii="Times New Roman" w:hAnsi="Times New Roman"/>
          <w:bCs/>
          <w:sz w:val="24"/>
          <w:szCs w:val="24"/>
        </w:rPr>
        <w:t>, separately. Bexarotene was docked into the binding site by utilizing the CDOCKER modules.</w:t>
      </w:r>
    </w:p>
    <w:p w14:paraId="09CACB85" w14:textId="77777777" w:rsidR="00FB3C9A" w:rsidRPr="00CE7FB1" w:rsidRDefault="00FB3C9A" w:rsidP="00FB3C9A">
      <w:pPr>
        <w:spacing w:line="480" w:lineRule="auto"/>
        <w:rPr>
          <w:rFonts w:ascii="Times New Roman" w:eastAsia="Times New Roman" w:hAnsi="Times New Roman"/>
          <w:sz w:val="24"/>
          <w:szCs w:val="24"/>
        </w:rPr>
      </w:pPr>
      <w:r w:rsidRPr="00CE7FB1">
        <w:rPr>
          <w:rFonts w:ascii="Times New Roman" w:eastAsia="Times New Roman" w:hAnsi="Times New Roman"/>
          <w:sz w:val="24"/>
          <w:szCs w:val="24"/>
        </w:rPr>
        <w:t>Reagents</w:t>
      </w:r>
    </w:p>
    <w:p w14:paraId="43EE5507" w14:textId="77777777" w:rsidR="00FB3C9A" w:rsidRPr="00CE7FB1" w:rsidRDefault="00FB3C9A" w:rsidP="00FB3C9A">
      <w:pPr>
        <w:spacing w:line="480" w:lineRule="auto"/>
        <w:ind w:firstLineChars="150" w:firstLine="360"/>
        <w:rPr>
          <w:rFonts w:ascii="Times New Roman" w:eastAsia="Times New Roman" w:hAnsi="Times New Roman"/>
          <w:sz w:val="24"/>
          <w:szCs w:val="24"/>
        </w:rPr>
      </w:pPr>
      <w:r w:rsidRPr="00CE7FB1">
        <w:rPr>
          <w:rFonts w:ascii="Times New Roman" w:eastAsia="Times New Roman" w:hAnsi="Times New Roman"/>
          <w:sz w:val="24"/>
          <w:szCs w:val="24"/>
        </w:rPr>
        <w:t xml:space="preserve">Murine pituitary corticotrophin tumor AtT20 cells (ATCC CRL-1795) and HEK293T cells were obtained from the ATCC (ATCC, VA, USA). Dulbecco's modified Eagle medium (DMEM) and fetal bovine serum (FBS) were purchased from Thermo Fisher Scientific (Thermo, MA, USA). The penicillin/streptomycin was from </w:t>
      </w:r>
      <w:proofErr w:type="spellStart"/>
      <w:r w:rsidRPr="00CE7FB1">
        <w:rPr>
          <w:rFonts w:ascii="Times New Roman" w:eastAsia="Times New Roman" w:hAnsi="Times New Roman"/>
          <w:sz w:val="24"/>
          <w:szCs w:val="24"/>
        </w:rPr>
        <w:t>Solarbio</w:t>
      </w:r>
      <w:proofErr w:type="spellEnd"/>
      <w:r w:rsidRPr="00CE7FB1">
        <w:rPr>
          <w:rFonts w:ascii="Times New Roman" w:eastAsia="Times New Roman" w:hAnsi="Times New Roman"/>
          <w:sz w:val="24"/>
          <w:szCs w:val="24"/>
        </w:rPr>
        <w:t xml:space="preserve"> (</w:t>
      </w:r>
      <w:proofErr w:type="spellStart"/>
      <w:r w:rsidRPr="00CE7FB1">
        <w:rPr>
          <w:rFonts w:ascii="Times New Roman" w:eastAsia="Times New Roman" w:hAnsi="Times New Roman"/>
          <w:sz w:val="24"/>
          <w:szCs w:val="24"/>
        </w:rPr>
        <w:t>Solarbio</w:t>
      </w:r>
      <w:proofErr w:type="spellEnd"/>
      <w:r w:rsidRPr="00CE7FB1">
        <w:rPr>
          <w:rFonts w:ascii="Times New Roman" w:eastAsia="Times New Roman" w:hAnsi="Times New Roman"/>
          <w:sz w:val="24"/>
          <w:szCs w:val="24"/>
        </w:rPr>
        <w:t xml:space="preserve">, Beijing, CHN). Lapatinib, gefitinib, and temozolomide were purchased from </w:t>
      </w:r>
      <w:r w:rsidRPr="00CE7FB1">
        <w:rPr>
          <w:rFonts w:ascii="Times New Roman" w:eastAsia="Times New Roman" w:hAnsi="Times New Roman"/>
          <w:sz w:val="24"/>
          <w:szCs w:val="24"/>
        </w:rPr>
        <w:lastRenderedPageBreak/>
        <w:t xml:space="preserve">Selleck Chemical (Selleck, TX, USA). Bexarotene was provided by Dr. </w:t>
      </w:r>
      <w:proofErr w:type="spellStart"/>
      <w:r w:rsidRPr="00CE7FB1">
        <w:rPr>
          <w:rFonts w:ascii="Times New Roman" w:eastAsia="Times New Roman" w:hAnsi="Times New Roman"/>
          <w:sz w:val="24"/>
          <w:szCs w:val="24"/>
        </w:rPr>
        <w:t>Lv</w:t>
      </w:r>
      <w:proofErr w:type="spellEnd"/>
      <w:r w:rsidRPr="00CE7FB1">
        <w:rPr>
          <w:rFonts w:ascii="Times New Roman" w:eastAsia="Times New Roman" w:hAnsi="Times New Roman"/>
          <w:sz w:val="24"/>
          <w:szCs w:val="24"/>
        </w:rPr>
        <w:t xml:space="preserve"> Yang, Beijing Key Laboratory of Polymorphic Drugs, Center of Pharmaceutical Polymorphs.</w:t>
      </w:r>
    </w:p>
    <w:p w14:paraId="36BA7A6D" w14:textId="77777777" w:rsidR="00FB3C9A" w:rsidRPr="00CE7FB1" w:rsidRDefault="00FB3C9A" w:rsidP="00FB3C9A">
      <w:pPr>
        <w:spacing w:line="480" w:lineRule="auto"/>
        <w:rPr>
          <w:rFonts w:ascii="Times New Roman" w:eastAsia="Times New Roman" w:hAnsi="Times New Roman"/>
          <w:sz w:val="24"/>
          <w:szCs w:val="24"/>
        </w:rPr>
      </w:pPr>
      <w:r w:rsidRPr="00CE7FB1">
        <w:rPr>
          <w:rFonts w:ascii="Times New Roman" w:eastAsia="Times New Roman" w:hAnsi="Times New Roman"/>
          <w:sz w:val="24"/>
          <w:szCs w:val="24"/>
        </w:rPr>
        <w:t xml:space="preserve">Cell culture and </w:t>
      </w:r>
      <w:r w:rsidRPr="00CE7FB1">
        <w:rPr>
          <w:rFonts w:ascii="Times New Roman" w:eastAsia="Times New Roman" w:hAnsi="Times New Roman" w:hint="eastAsia"/>
          <w:sz w:val="24"/>
          <w:szCs w:val="24"/>
        </w:rPr>
        <w:t>p</w:t>
      </w:r>
      <w:r w:rsidRPr="00CE7FB1">
        <w:rPr>
          <w:rFonts w:ascii="Times New Roman" w:eastAsia="Times New Roman" w:hAnsi="Times New Roman"/>
          <w:sz w:val="24"/>
          <w:szCs w:val="24"/>
        </w:rPr>
        <w:t>roliferation assay</w:t>
      </w:r>
    </w:p>
    <w:p w14:paraId="2AF787BB" w14:textId="77777777" w:rsidR="00FB3C9A" w:rsidRPr="00CE7FB1" w:rsidRDefault="00FB3C9A" w:rsidP="008538EF">
      <w:pPr>
        <w:pStyle w:val="p1"/>
        <w:spacing w:line="480" w:lineRule="auto"/>
        <w:ind w:firstLineChars="150" w:firstLine="360"/>
        <w:rPr>
          <w:rFonts w:ascii="Times New Roman" w:eastAsia="Times New Roman" w:hAnsi="Times New Roman"/>
          <w:sz w:val="24"/>
          <w:szCs w:val="24"/>
        </w:rPr>
      </w:pPr>
      <w:r w:rsidRPr="00CE7FB1">
        <w:rPr>
          <w:rFonts w:ascii="Times New Roman" w:eastAsia="Times New Roman" w:hAnsi="Times New Roman"/>
          <w:sz w:val="24"/>
          <w:szCs w:val="24"/>
        </w:rPr>
        <w:t xml:space="preserve">AtT20 and HEK293T cells were cultured in DMEM supplemented with 10% FBS, 100 IU/mL penicillin and 100 </w:t>
      </w:r>
      <w:proofErr w:type="spellStart"/>
      <w:r w:rsidRPr="00CE7FB1">
        <w:rPr>
          <w:rFonts w:ascii="Times New Roman" w:eastAsia="Times New Roman" w:hAnsi="Times New Roman"/>
          <w:sz w:val="24"/>
          <w:szCs w:val="24"/>
        </w:rPr>
        <w:t>μg</w:t>
      </w:r>
      <w:proofErr w:type="spellEnd"/>
      <w:r w:rsidRPr="00CE7FB1">
        <w:rPr>
          <w:rFonts w:ascii="Times New Roman" w:eastAsia="Times New Roman" w:hAnsi="Times New Roman"/>
          <w:sz w:val="24"/>
          <w:szCs w:val="24"/>
        </w:rPr>
        <w:t>/mL streptomycin. Cells were cultured in a humidified incubator at 37°C with 5% CO</w:t>
      </w:r>
      <w:r w:rsidRPr="00CE7FB1">
        <w:rPr>
          <w:rFonts w:ascii="Times New Roman" w:eastAsia="Times New Roman" w:hAnsi="Times New Roman"/>
          <w:sz w:val="24"/>
          <w:szCs w:val="24"/>
          <w:vertAlign w:val="subscript"/>
        </w:rPr>
        <w:t>2</w:t>
      </w:r>
      <w:r w:rsidRPr="00CE7FB1">
        <w:rPr>
          <w:rFonts w:ascii="Times New Roman" w:eastAsia="Times New Roman" w:hAnsi="Times New Roman"/>
          <w:sz w:val="24"/>
          <w:szCs w:val="24"/>
        </w:rPr>
        <w:t xml:space="preserve">. </w:t>
      </w:r>
    </w:p>
    <w:p w14:paraId="751EEC7E" w14:textId="300629DE" w:rsidR="00FB3C9A" w:rsidRPr="00CE7FB1" w:rsidRDefault="00FB3C9A" w:rsidP="00FB3C9A">
      <w:pPr>
        <w:spacing w:line="480" w:lineRule="auto"/>
        <w:ind w:firstLineChars="150" w:firstLine="360"/>
        <w:rPr>
          <w:rFonts w:ascii="Times New Roman" w:eastAsia="Times New Roman" w:hAnsi="Times New Roman"/>
          <w:sz w:val="24"/>
          <w:szCs w:val="24"/>
          <w:vertAlign w:val="superscript"/>
        </w:rPr>
      </w:pPr>
      <w:r w:rsidRPr="00CE7FB1">
        <w:rPr>
          <w:rFonts w:ascii="Times New Roman" w:eastAsia="Times New Roman" w:hAnsi="Times New Roman"/>
          <w:sz w:val="24"/>
          <w:szCs w:val="24"/>
        </w:rPr>
        <w:t>AtT20 cells were seeded in 96-well plates (2000 cells per well) and incubated with drugs at appropriate concentrations for 72 hours. Then the cell numbers were counted using a Cell Counting Kit-8 (</w:t>
      </w:r>
      <w:proofErr w:type="spellStart"/>
      <w:r w:rsidRPr="00CE7FB1">
        <w:rPr>
          <w:rFonts w:ascii="Times New Roman" w:eastAsia="Times New Roman" w:hAnsi="Times New Roman"/>
          <w:sz w:val="24"/>
          <w:szCs w:val="24"/>
        </w:rPr>
        <w:t>KeyGen</w:t>
      </w:r>
      <w:proofErr w:type="spellEnd"/>
      <w:r w:rsidRPr="00CE7FB1">
        <w:rPr>
          <w:rFonts w:ascii="Times New Roman" w:eastAsia="Times New Roman" w:hAnsi="Times New Roman"/>
          <w:sz w:val="24"/>
          <w:szCs w:val="24"/>
        </w:rPr>
        <w:t xml:space="preserve"> Biotech, Nanjing, Jiangsu, CHN) according to the instruction of manufacturer at the absorbance of 450 nm. Combination index (CI) of two drugs was calculated as method introduction by Chou and </w:t>
      </w:r>
      <w:proofErr w:type="spellStart"/>
      <w:r w:rsidRPr="00CE7FB1">
        <w:rPr>
          <w:rFonts w:ascii="Times New Roman" w:eastAsia="Times New Roman" w:hAnsi="Times New Roman"/>
          <w:sz w:val="24"/>
          <w:szCs w:val="24"/>
        </w:rPr>
        <w:t>Talalay</w:t>
      </w:r>
      <w:proofErr w:type="spellEnd"/>
      <w:r w:rsidRPr="00CE7FB1">
        <w:rPr>
          <w:rFonts w:ascii="Times New Roman" w:eastAsia="Times New Roman" w:hAnsi="Times New Roman"/>
          <w:sz w:val="24"/>
          <w:szCs w:val="24"/>
        </w:rPr>
        <w:t>.</w:t>
      </w:r>
    </w:p>
    <w:p w14:paraId="3E639CA1" w14:textId="77777777" w:rsidR="00FB3C9A" w:rsidRPr="00CE7FB1" w:rsidRDefault="00FB3C9A" w:rsidP="00FB3C9A">
      <w:pPr>
        <w:spacing w:line="480" w:lineRule="auto"/>
        <w:ind w:firstLine="380"/>
        <w:rPr>
          <w:rFonts w:ascii="Times New Roman" w:eastAsia="Times New Roman" w:hAnsi="Times New Roman"/>
          <w:sz w:val="24"/>
          <w:szCs w:val="24"/>
        </w:rPr>
      </w:pPr>
      <w:r w:rsidRPr="00CE7FB1">
        <w:rPr>
          <w:rFonts w:ascii="Times New Roman" w:eastAsia="Times New Roman" w:hAnsi="Times New Roman"/>
          <w:sz w:val="24"/>
          <w:szCs w:val="24"/>
        </w:rPr>
        <w:t xml:space="preserve">Cell proliferating activity was detected using </w:t>
      </w:r>
      <w:proofErr w:type="spellStart"/>
      <w:r w:rsidRPr="00CE7FB1">
        <w:rPr>
          <w:rFonts w:ascii="Times New Roman" w:eastAsia="Times New Roman" w:hAnsi="Times New Roman"/>
          <w:sz w:val="24"/>
          <w:szCs w:val="24"/>
        </w:rPr>
        <w:t>EdU</w:t>
      </w:r>
      <w:proofErr w:type="spellEnd"/>
      <w:r w:rsidRPr="00CE7FB1">
        <w:rPr>
          <w:rFonts w:ascii="Times New Roman" w:eastAsia="Times New Roman" w:hAnsi="Times New Roman"/>
          <w:sz w:val="24"/>
          <w:szCs w:val="24"/>
        </w:rPr>
        <w:t xml:space="preserve"> Cell Proliferation Kit for Imaging (</w:t>
      </w:r>
      <w:proofErr w:type="spellStart"/>
      <w:r w:rsidRPr="00CE7FB1">
        <w:rPr>
          <w:rFonts w:ascii="Times New Roman" w:eastAsia="Times New Roman" w:hAnsi="Times New Roman"/>
          <w:sz w:val="24"/>
          <w:szCs w:val="24"/>
        </w:rPr>
        <w:t>KeyGen</w:t>
      </w:r>
      <w:proofErr w:type="spellEnd"/>
      <w:r w:rsidRPr="00CE7FB1">
        <w:rPr>
          <w:rFonts w:ascii="Times New Roman" w:eastAsia="Times New Roman" w:hAnsi="Times New Roman"/>
          <w:sz w:val="24"/>
          <w:szCs w:val="24"/>
        </w:rPr>
        <w:t xml:space="preserve"> Biotech, Nanjing, Jiangsu, CHN) according to the instruction.</w:t>
      </w:r>
    </w:p>
    <w:p w14:paraId="5C429600" w14:textId="77777777" w:rsidR="00FB3C9A" w:rsidRPr="00CE7FB1" w:rsidRDefault="00FB3C9A" w:rsidP="00FB3C9A">
      <w:pPr>
        <w:spacing w:line="480" w:lineRule="auto"/>
        <w:rPr>
          <w:rFonts w:ascii="Times New Roman" w:eastAsia="Times New Roman" w:hAnsi="Times New Roman"/>
          <w:sz w:val="24"/>
          <w:szCs w:val="24"/>
        </w:rPr>
      </w:pPr>
      <w:r w:rsidRPr="00CE7FB1">
        <w:rPr>
          <w:rFonts w:ascii="Times New Roman" w:eastAsia="Times New Roman" w:hAnsi="Times New Roman"/>
          <w:sz w:val="24"/>
          <w:szCs w:val="24"/>
        </w:rPr>
        <w:t xml:space="preserve">Animals and tumor formation </w:t>
      </w:r>
    </w:p>
    <w:p w14:paraId="018167BA" w14:textId="4221AC7C" w:rsidR="00FB3C9A" w:rsidRPr="00CE7FB1" w:rsidRDefault="00FB3C9A" w:rsidP="00616934">
      <w:pPr>
        <w:spacing w:line="480" w:lineRule="auto"/>
        <w:ind w:firstLineChars="150" w:firstLine="360"/>
        <w:rPr>
          <w:rFonts w:ascii="Times New Roman" w:eastAsia="Times New Roman" w:hAnsi="Times New Roman"/>
          <w:sz w:val="24"/>
          <w:szCs w:val="24"/>
        </w:rPr>
      </w:pPr>
      <w:r w:rsidRPr="00CE7FB1">
        <w:rPr>
          <w:rFonts w:ascii="Times New Roman" w:hAnsi="Times New Roman"/>
          <w:sz w:val="24"/>
          <w:szCs w:val="24"/>
        </w:rPr>
        <w:t xml:space="preserve">All experiments were approved by the Animal Studies Committee of Peking Union Medical </w:t>
      </w:r>
      <w:proofErr w:type="spellStart"/>
      <w:r w:rsidRPr="00CE7FB1">
        <w:rPr>
          <w:rFonts w:ascii="Times New Roman" w:hAnsi="Times New Roman"/>
          <w:sz w:val="24"/>
          <w:szCs w:val="24"/>
        </w:rPr>
        <w:t>College.</w:t>
      </w:r>
      <w:r w:rsidRPr="00CE7FB1">
        <w:rPr>
          <w:rFonts w:ascii="Times New Roman" w:eastAsia="Times New Roman" w:hAnsi="Times New Roman"/>
          <w:sz w:val="24"/>
          <w:szCs w:val="24"/>
        </w:rPr>
        <w:t>Seven</w:t>
      </w:r>
      <w:proofErr w:type="spellEnd"/>
      <w:r w:rsidRPr="00CE7FB1">
        <w:rPr>
          <w:rFonts w:ascii="Times New Roman" w:eastAsia="Times New Roman" w:hAnsi="Times New Roman"/>
          <w:sz w:val="24"/>
          <w:szCs w:val="24"/>
        </w:rPr>
        <w:t xml:space="preserve"> to eight-week-old female BALB/c mouse were bred at Charles River (Charles River Laboratories, Beijing, CHN). Adopt the mice to the environment for 24 </w:t>
      </w:r>
      <w:proofErr w:type="spellStart"/>
      <w:r w:rsidRPr="00CE7FB1">
        <w:rPr>
          <w:rFonts w:ascii="Times New Roman" w:eastAsia="Times New Roman" w:hAnsi="Times New Roman"/>
          <w:i/>
          <w:iCs/>
          <w:sz w:val="24"/>
          <w:szCs w:val="24"/>
        </w:rPr>
        <w:t>hs</w:t>
      </w:r>
      <w:proofErr w:type="spellEnd"/>
      <w:r w:rsidRPr="00CE7FB1">
        <w:rPr>
          <w:rFonts w:ascii="Times New Roman" w:eastAsia="Times New Roman" w:hAnsi="Times New Roman"/>
          <w:sz w:val="24"/>
          <w:szCs w:val="24"/>
        </w:rPr>
        <w:t xml:space="preserve"> and removed hair under the armpits with small animal shavers and hair removal cream. Mouse was inoculated with AtT-20 cells (5</w:t>
      </w:r>
      <w:r w:rsidRPr="00CE7FB1">
        <w:rPr>
          <w:rFonts w:asciiTheme="minorEastAsia" w:hAnsiTheme="minorEastAsia" w:hint="eastAsia"/>
          <w:sz w:val="24"/>
          <w:szCs w:val="24"/>
        </w:rPr>
        <w:t>×</w:t>
      </w:r>
      <w:r w:rsidRPr="00CE7FB1">
        <w:rPr>
          <w:rFonts w:ascii="Times New Roman" w:eastAsia="Times New Roman" w:hAnsi="Times New Roman"/>
          <w:sz w:val="24"/>
          <w:szCs w:val="24"/>
        </w:rPr>
        <w:t>10</w:t>
      </w:r>
      <w:r w:rsidRPr="00CE7FB1">
        <w:rPr>
          <w:rFonts w:ascii="Times New Roman" w:eastAsia="Times New Roman" w:hAnsi="Times New Roman"/>
          <w:sz w:val="24"/>
          <w:szCs w:val="24"/>
          <w:vertAlign w:val="superscript"/>
        </w:rPr>
        <w:t>5</w:t>
      </w:r>
      <w:r w:rsidRPr="00CE7FB1">
        <w:rPr>
          <w:rFonts w:ascii="Times New Roman" w:eastAsia="Times New Roman" w:hAnsi="Times New Roman"/>
          <w:sz w:val="24"/>
          <w:szCs w:val="24"/>
        </w:rPr>
        <w:t xml:space="preserve"> cells per mice, 0.2 mL of suspension) in logarithmic growth phase. About 5 days after inoculation, tumor diameters reached 3-5 mm deemed as qualified models and they were grouped randomly and administrated with different treatment for next 21 days. Body weight and </w:t>
      </w:r>
      <w:r w:rsidRPr="00CE7FB1">
        <w:rPr>
          <w:rFonts w:ascii="Times New Roman" w:eastAsia="Times New Roman" w:hAnsi="Times New Roman"/>
          <w:sz w:val="24"/>
          <w:szCs w:val="24"/>
        </w:rPr>
        <w:lastRenderedPageBreak/>
        <w:t>tumor volumes of animals were measured every 3 days, tumor volumes were measured with a caliper and calculated as π/6</w:t>
      </w:r>
      <w:r w:rsidRPr="00CE7FB1">
        <w:rPr>
          <w:rFonts w:asciiTheme="minorEastAsia" w:hAnsiTheme="minorEastAsia" w:hint="eastAsia"/>
          <w:sz w:val="24"/>
          <w:szCs w:val="24"/>
        </w:rPr>
        <w:t>×</w:t>
      </w:r>
      <w:r w:rsidRPr="00CE7FB1">
        <w:rPr>
          <w:rFonts w:ascii="Times New Roman" w:eastAsia="Times New Roman" w:hAnsi="Times New Roman"/>
          <w:sz w:val="24"/>
          <w:szCs w:val="24"/>
        </w:rPr>
        <w:t>large diameter</w:t>
      </w:r>
      <w:r w:rsidRPr="00CE7FB1">
        <w:rPr>
          <w:rFonts w:asciiTheme="minorEastAsia" w:hAnsiTheme="minorEastAsia" w:hint="eastAsia"/>
          <w:sz w:val="24"/>
          <w:szCs w:val="24"/>
        </w:rPr>
        <w:t>×</w:t>
      </w:r>
      <w:r w:rsidRPr="00CE7FB1">
        <w:rPr>
          <w:rFonts w:ascii="Times New Roman" w:eastAsia="Times New Roman" w:hAnsi="Times New Roman"/>
          <w:sz w:val="24"/>
          <w:szCs w:val="24"/>
        </w:rPr>
        <w:t xml:space="preserve"> small diameter</w:t>
      </w:r>
      <w:r w:rsidRPr="00CE7FB1">
        <w:rPr>
          <w:rFonts w:ascii="Times New Roman" w:eastAsia="Times New Roman" w:hAnsi="Times New Roman"/>
          <w:sz w:val="24"/>
          <w:szCs w:val="24"/>
          <w:vertAlign w:val="superscript"/>
        </w:rPr>
        <w:t>2</w:t>
      </w:r>
      <w:r w:rsidRPr="00CE7FB1">
        <w:rPr>
          <w:rFonts w:ascii="Times New Roman" w:eastAsia="Times New Roman" w:hAnsi="Times New Roman"/>
          <w:sz w:val="24"/>
          <w:szCs w:val="24"/>
        </w:rPr>
        <w:t>, as previously described.</w:t>
      </w:r>
      <w:r w:rsidRPr="00CE7FB1">
        <w:rPr>
          <w:rFonts w:ascii="Times New Roman" w:eastAsia="Times New Roman" w:hAnsi="Times New Roman"/>
          <w:sz w:val="24"/>
          <w:szCs w:val="24"/>
          <w:vertAlign w:val="superscript"/>
        </w:rPr>
        <w:t>24</w:t>
      </w:r>
      <w:r w:rsidRPr="00CE7FB1">
        <w:rPr>
          <w:rFonts w:ascii="Times New Roman" w:eastAsia="Times New Roman" w:hAnsi="Times New Roman"/>
          <w:sz w:val="24"/>
          <w:szCs w:val="24"/>
        </w:rPr>
        <w:t xml:space="preserve"> On the last treatment day (day 21), blood was collected with EDTA tubes and tumors, spleens as well as thymus were excised and weighed. </w:t>
      </w:r>
    </w:p>
    <w:p w14:paraId="10F4F082" w14:textId="77777777" w:rsidR="00FB3C9A" w:rsidRPr="00CE7FB1" w:rsidRDefault="00FB3C9A" w:rsidP="00FB3C9A">
      <w:pPr>
        <w:spacing w:line="480" w:lineRule="auto"/>
        <w:rPr>
          <w:rFonts w:ascii="Times New Roman" w:hAnsi="Times New Roman"/>
          <w:sz w:val="24"/>
          <w:szCs w:val="24"/>
        </w:rPr>
      </w:pPr>
      <w:r w:rsidRPr="00CE7FB1">
        <w:rPr>
          <w:rFonts w:ascii="Times New Roman" w:eastAsia="Times New Roman" w:hAnsi="Times New Roman"/>
          <w:sz w:val="24"/>
          <w:szCs w:val="24"/>
        </w:rPr>
        <w:t>Measurement of hormones concentration</w:t>
      </w:r>
    </w:p>
    <w:p w14:paraId="1FBB6141" w14:textId="77777777" w:rsidR="00FB3C9A" w:rsidRPr="00CE7FB1" w:rsidRDefault="00FB3C9A" w:rsidP="007154EA">
      <w:pPr>
        <w:spacing w:line="480" w:lineRule="auto"/>
        <w:ind w:firstLineChars="150" w:firstLine="360"/>
        <w:rPr>
          <w:rFonts w:ascii="Times New Roman" w:eastAsia="Times New Roman" w:hAnsi="Times New Roman"/>
          <w:sz w:val="24"/>
          <w:szCs w:val="24"/>
        </w:rPr>
      </w:pPr>
      <w:r w:rsidRPr="00CE7FB1">
        <w:rPr>
          <w:rFonts w:ascii="Times New Roman" w:eastAsia="Times New Roman" w:hAnsi="Times New Roman"/>
          <w:sz w:val="24"/>
          <w:szCs w:val="24"/>
        </w:rPr>
        <w:t>Protein of cells, blood samples were collected after different treatments for the measurement of ACTH concentration. Adrenal, hypothalamus and pituitary were extracted and frozen in liquid nitrogen immediately and were ground with tissue homogenizer to extract the proteins followed by the detection of cortisol and CRH. The ACTH, cortisol and CRH expression levels in cells, blood and tissues were detected using ELISA assay according to the manufacturer's instructions immediately (CUSABIO, Wuhan, Hubei, CHN).</w:t>
      </w:r>
    </w:p>
    <w:p w14:paraId="6682DC7C" w14:textId="77777777" w:rsidR="00FB3C9A" w:rsidRPr="00CE7FB1" w:rsidRDefault="00FB3C9A" w:rsidP="00FB3C9A">
      <w:pPr>
        <w:spacing w:before="180" w:line="480" w:lineRule="auto"/>
        <w:rPr>
          <w:rFonts w:ascii="Times New Roman" w:eastAsia="Times New Roman" w:hAnsi="Times New Roman"/>
          <w:sz w:val="24"/>
          <w:szCs w:val="24"/>
        </w:rPr>
      </w:pPr>
      <w:r w:rsidRPr="00CE7FB1">
        <w:rPr>
          <w:rFonts w:ascii="Times New Roman" w:eastAsia="Times New Roman" w:hAnsi="Times New Roman"/>
          <w:sz w:val="24"/>
          <w:szCs w:val="24"/>
        </w:rPr>
        <w:t>Western blot analysis</w:t>
      </w:r>
    </w:p>
    <w:p w14:paraId="45515C16" w14:textId="77777777" w:rsidR="00FB3C9A" w:rsidRPr="00CE7FB1" w:rsidRDefault="00FB3C9A" w:rsidP="00444F16">
      <w:pPr>
        <w:spacing w:line="480" w:lineRule="auto"/>
        <w:ind w:firstLineChars="150" w:firstLine="360"/>
        <w:rPr>
          <w:rFonts w:ascii="Times New Roman" w:eastAsia="Times New Roman" w:hAnsi="Times New Roman"/>
          <w:sz w:val="24"/>
          <w:szCs w:val="24"/>
        </w:rPr>
      </w:pPr>
      <w:r w:rsidRPr="00CE7FB1">
        <w:rPr>
          <w:rFonts w:ascii="Times New Roman" w:eastAsia="Times New Roman" w:hAnsi="Times New Roman"/>
          <w:sz w:val="24"/>
          <w:szCs w:val="24"/>
        </w:rPr>
        <w:t>The AtT-20 cells and tumors were lysed using the radio immunoprecipitation assay (RIPA) lysis buffer (</w:t>
      </w:r>
      <w:proofErr w:type="spellStart"/>
      <w:r w:rsidRPr="00CE7FB1">
        <w:rPr>
          <w:rFonts w:ascii="Times New Roman" w:eastAsia="Times New Roman" w:hAnsi="Times New Roman"/>
          <w:sz w:val="24"/>
          <w:szCs w:val="24"/>
        </w:rPr>
        <w:t>Solarbio</w:t>
      </w:r>
      <w:proofErr w:type="spellEnd"/>
      <w:r w:rsidRPr="00CE7FB1">
        <w:rPr>
          <w:rFonts w:ascii="Times New Roman" w:eastAsia="Times New Roman" w:hAnsi="Times New Roman"/>
          <w:sz w:val="24"/>
          <w:szCs w:val="24"/>
        </w:rPr>
        <w:t>, Beijing, CHN) containing protease inhibitor and phosphatase inhibitor cocktails. The anti-phospho-CREB, anti-CREB, anti-phospho-</w:t>
      </w:r>
      <w:proofErr w:type="spellStart"/>
      <w:r w:rsidRPr="00CE7FB1">
        <w:rPr>
          <w:rFonts w:ascii="Times New Roman" w:eastAsia="Times New Roman" w:hAnsi="Times New Roman"/>
          <w:sz w:val="24"/>
          <w:szCs w:val="24"/>
        </w:rPr>
        <w:t>cJun</w:t>
      </w:r>
      <w:proofErr w:type="spellEnd"/>
      <w:r w:rsidRPr="00CE7FB1">
        <w:rPr>
          <w:rFonts w:ascii="Times New Roman" w:eastAsia="Times New Roman" w:hAnsi="Times New Roman"/>
          <w:sz w:val="24"/>
          <w:szCs w:val="24"/>
        </w:rPr>
        <w:t>, anti-</w:t>
      </w:r>
      <w:proofErr w:type="spellStart"/>
      <w:r w:rsidRPr="00CE7FB1">
        <w:rPr>
          <w:rFonts w:ascii="Times New Roman" w:eastAsia="Times New Roman" w:hAnsi="Times New Roman"/>
          <w:sz w:val="24"/>
          <w:szCs w:val="24"/>
        </w:rPr>
        <w:t>cJun</w:t>
      </w:r>
      <w:proofErr w:type="spellEnd"/>
      <w:r w:rsidRPr="00CE7FB1">
        <w:rPr>
          <w:rFonts w:ascii="Times New Roman" w:eastAsia="Times New Roman" w:hAnsi="Times New Roman"/>
          <w:sz w:val="24"/>
          <w:szCs w:val="24"/>
        </w:rPr>
        <w:t>, anti-phospho-JNK, anti-phospho-</w:t>
      </w:r>
      <w:proofErr w:type="spellStart"/>
      <w:r w:rsidRPr="00CE7FB1">
        <w:rPr>
          <w:rFonts w:ascii="Times New Roman" w:eastAsia="Times New Roman" w:hAnsi="Times New Roman"/>
          <w:sz w:val="24"/>
          <w:szCs w:val="24"/>
        </w:rPr>
        <w:t>Akt</w:t>
      </w:r>
      <w:proofErr w:type="spellEnd"/>
      <w:r w:rsidRPr="00CE7FB1">
        <w:rPr>
          <w:rFonts w:ascii="Times New Roman" w:eastAsia="Times New Roman" w:hAnsi="Times New Roman"/>
          <w:sz w:val="24"/>
          <w:szCs w:val="24"/>
        </w:rPr>
        <w:t xml:space="preserve"> (Cell Signaling, Danvers, MA, USA), anti-Nur77, anti-p27/Kip1, (Abcam, Cambridge, MA, USA), anti-GAPDH (</w:t>
      </w:r>
      <w:proofErr w:type="spellStart"/>
      <w:r w:rsidRPr="00CE7FB1">
        <w:rPr>
          <w:rFonts w:ascii="Times New Roman" w:eastAsia="Times New Roman" w:hAnsi="Times New Roman"/>
          <w:sz w:val="24"/>
          <w:szCs w:val="24"/>
        </w:rPr>
        <w:t>Proteintech</w:t>
      </w:r>
      <w:proofErr w:type="spellEnd"/>
      <w:r w:rsidRPr="00CE7FB1">
        <w:rPr>
          <w:rFonts w:ascii="Times New Roman" w:eastAsia="Times New Roman" w:hAnsi="Times New Roman"/>
          <w:sz w:val="24"/>
          <w:szCs w:val="24"/>
        </w:rPr>
        <w:t>, Wuhan, Hubei, China), anti-</w:t>
      </w:r>
      <w:proofErr w:type="spellStart"/>
      <w:r w:rsidRPr="00CE7FB1">
        <w:rPr>
          <w:rFonts w:ascii="Times New Roman" w:eastAsia="Times New Roman" w:hAnsi="Times New Roman"/>
          <w:sz w:val="24"/>
          <w:szCs w:val="24"/>
        </w:rPr>
        <w:t>Akt</w:t>
      </w:r>
      <w:proofErr w:type="spellEnd"/>
      <w:r w:rsidRPr="00CE7FB1">
        <w:rPr>
          <w:rFonts w:ascii="Times New Roman" w:eastAsia="Times New Roman" w:hAnsi="Times New Roman"/>
          <w:sz w:val="24"/>
          <w:szCs w:val="24"/>
        </w:rPr>
        <w:t xml:space="preserve">, anti-JNK, anti-ACTH/POMC (Santa </w:t>
      </w:r>
      <w:proofErr w:type="spellStart"/>
      <w:r w:rsidRPr="00CE7FB1">
        <w:rPr>
          <w:rFonts w:ascii="Times New Roman" w:eastAsia="Times New Roman" w:hAnsi="Times New Roman"/>
          <w:sz w:val="24"/>
          <w:szCs w:val="24"/>
        </w:rPr>
        <w:t>cruz</w:t>
      </w:r>
      <w:proofErr w:type="spellEnd"/>
      <w:r w:rsidRPr="00CE7FB1">
        <w:rPr>
          <w:rFonts w:ascii="Times New Roman" w:eastAsia="Times New Roman" w:hAnsi="Times New Roman"/>
          <w:sz w:val="24"/>
          <w:szCs w:val="24"/>
        </w:rPr>
        <w:t>, CA, USA) and anti-RXRα (Thermo, MA, USA) antibodies were used as the primary antibodies.</w:t>
      </w:r>
      <w:r w:rsidRPr="00CE7FB1">
        <w:rPr>
          <w:rFonts w:ascii="Times New Roman" w:hAnsi="Times New Roman"/>
          <w:sz w:val="24"/>
          <w:szCs w:val="24"/>
        </w:rPr>
        <w:t xml:space="preserve"> The signals were detected using the enhanced chemiluminescence detection method and were quantified by densitometry.</w:t>
      </w:r>
      <w:r w:rsidRPr="00CE7FB1">
        <w:rPr>
          <w:rFonts w:ascii="Times New Roman" w:eastAsia="Times New Roman" w:hAnsi="Times New Roman"/>
          <w:sz w:val="24"/>
          <w:szCs w:val="24"/>
        </w:rPr>
        <w:t xml:space="preserve"> </w:t>
      </w:r>
    </w:p>
    <w:p w14:paraId="75921E5A" w14:textId="77777777" w:rsidR="00FB3C9A" w:rsidRPr="00CE7FB1" w:rsidRDefault="00FB3C9A" w:rsidP="00FB3C9A">
      <w:pPr>
        <w:spacing w:line="480" w:lineRule="auto"/>
        <w:rPr>
          <w:rFonts w:ascii="Times New Roman" w:eastAsia="Times New Roman" w:hAnsi="Times New Roman"/>
          <w:sz w:val="24"/>
          <w:szCs w:val="24"/>
        </w:rPr>
      </w:pPr>
      <w:r w:rsidRPr="00CE7FB1">
        <w:rPr>
          <w:rFonts w:ascii="Times New Roman" w:eastAsia="Times New Roman" w:hAnsi="Times New Roman"/>
          <w:sz w:val="24"/>
          <w:szCs w:val="24"/>
        </w:rPr>
        <w:lastRenderedPageBreak/>
        <w:t>RNA isolation and quantitative real-time PCR</w:t>
      </w:r>
    </w:p>
    <w:p w14:paraId="01A35D48" w14:textId="77777777" w:rsidR="00FB3C9A" w:rsidRPr="00CE7FB1" w:rsidRDefault="00FB3C9A" w:rsidP="00444F16">
      <w:pPr>
        <w:pStyle w:val="p1"/>
        <w:spacing w:line="480" w:lineRule="auto"/>
        <w:ind w:firstLineChars="150" w:firstLine="360"/>
        <w:rPr>
          <w:rFonts w:ascii="Times New Roman" w:eastAsia="Times New Roman" w:hAnsi="Times New Roman"/>
          <w:sz w:val="24"/>
          <w:szCs w:val="24"/>
        </w:rPr>
      </w:pPr>
      <w:r w:rsidRPr="00CE7FB1">
        <w:rPr>
          <w:rFonts w:ascii="Times New Roman" w:eastAsia="Times New Roman" w:hAnsi="Times New Roman"/>
          <w:sz w:val="24"/>
          <w:szCs w:val="24"/>
        </w:rPr>
        <w:t xml:space="preserve">The total RNA of AtT20 cells were isolated using </w:t>
      </w:r>
      <w:proofErr w:type="spellStart"/>
      <w:r w:rsidRPr="00CE7FB1">
        <w:rPr>
          <w:rFonts w:ascii="Times New Roman" w:eastAsia="Times New Roman" w:hAnsi="Times New Roman"/>
          <w:sz w:val="24"/>
          <w:szCs w:val="24"/>
        </w:rPr>
        <w:t>Trizol</w:t>
      </w:r>
      <w:proofErr w:type="spellEnd"/>
      <w:r w:rsidRPr="00CE7FB1">
        <w:rPr>
          <w:rFonts w:ascii="Times New Roman" w:eastAsia="Times New Roman" w:hAnsi="Times New Roman"/>
          <w:sz w:val="24"/>
          <w:szCs w:val="24"/>
        </w:rPr>
        <w:t xml:space="preserve"> (Thermo, MA, USA) according to the manufacturer's protocol. The quality and quantity of RNA was measured by a Nanodrop Thermo, MA, USA). A260/A280 of RNA samples approximately 2.0 were qualified for the gene expression analysis.</w:t>
      </w:r>
      <w:r w:rsidRPr="00CE7FB1">
        <w:rPr>
          <w:rFonts w:ascii="Times New Roman" w:hAnsi="Times New Roman" w:hint="eastAsia"/>
          <w:sz w:val="24"/>
          <w:szCs w:val="24"/>
        </w:rPr>
        <w:t xml:space="preserve"> </w:t>
      </w:r>
      <w:r w:rsidRPr="00CE7FB1">
        <w:rPr>
          <w:rFonts w:ascii="Times New Roman" w:eastAsia="Times New Roman" w:hAnsi="Times New Roman"/>
          <w:sz w:val="24"/>
          <w:szCs w:val="24"/>
        </w:rPr>
        <w:t xml:space="preserve">0.5 </w:t>
      </w:r>
      <w:proofErr w:type="spellStart"/>
      <w:r w:rsidRPr="00CE7FB1">
        <w:rPr>
          <w:rFonts w:ascii="Times New Roman" w:eastAsia="Times New Roman" w:hAnsi="Times New Roman"/>
          <w:sz w:val="24"/>
          <w:szCs w:val="24"/>
        </w:rPr>
        <w:t>μg</w:t>
      </w:r>
      <w:proofErr w:type="spellEnd"/>
      <w:r w:rsidRPr="00CE7FB1">
        <w:rPr>
          <w:rFonts w:ascii="Times New Roman" w:eastAsia="Times New Roman" w:hAnsi="Times New Roman"/>
          <w:sz w:val="24"/>
          <w:szCs w:val="24"/>
        </w:rPr>
        <w:t xml:space="preserve"> of RNA was used as a template for synthesizing cDNA with Prime Script RT reagent Kit (</w:t>
      </w:r>
      <w:proofErr w:type="spellStart"/>
      <w:r w:rsidRPr="00CE7FB1">
        <w:rPr>
          <w:rFonts w:ascii="Times New Roman" w:eastAsia="Times New Roman" w:hAnsi="Times New Roman"/>
          <w:sz w:val="24"/>
          <w:szCs w:val="24"/>
        </w:rPr>
        <w:t>TaKaRa</w:t>
      </w:r>
      <w:proofErr w:type="spellEnd"/>
      <w:r w:rsidRPr="00CE7FB1">
        <w:rPr>
          <w:rFonts w:ascii="Times New Roman" w:eastAsia="Times New Roman" w:hAnsi="Times New Roman"/>
          <w:sz w:val="24"/>
          <w:szCs w:val="24"/>
        </w:rPr>
        <w:t xml:space="preserve">, Beijing, CHN) according to the manufacturer's instruction. TB Green Premix Ex </w:t>
      </w:r>
      <w:proofErr w:type="spellStart"/>
      <w:r w:rsidRPr="00CE7FB1">
        <w:rPr>
          <w:rFonts w:ascii="Times New Roman" w:eastAsia="Times New Roman" w:hAnsi="Times New Roman"/>
          <w:sz w:val="24"/>
          <w:szCs w:val="24"/>
        </w:rPr>
        <w:t>Taq</w:t>
      </w:r>
      <w:proofErr w:type="spellEnd"/>
      <w:r w:rsidRPr="00CE7FB1">
        <w:rPr>
          <w:rFonts w:ascii="Times New Roman" w:eastAsia="Times New Roman" w:hAnsi="Times New Roman"/>
          <w:sz w:val="24"/>
          <w:szCs w:val="24"/>
        </w:rPr>
        <w:t xml:space="preserve"> </w:t>
      </w:r>
      <w:r w:rsidRPr="00CE7FB1">
        <w:rPr>
          <w:rFonts w:ascii="Times New Roman" w:eastAsia="Times New Roman" w:hAnsi="Times New Roman"/>
          <w:sz w:val="24"/>
          <w:szCs w:val="24"/>
        </w:rPr>
        <w:fldChar w:fldCharType="begin"/>
      </w:r>
      <w:r w:rsidRPr="00CE7FB1">
        <w:rPr>
          <w:rFonts w:ascii="Times New Roman" w:eastAsia="Times New Roman" w:hAnsi="Times New Roman"/>
          <w:sz w:val="24"/>
          <w:szCs w:val="24"/>
        </w:rPr>
        <w:instrText xml:space="preserve"> = 2 \* roman </w:instrText>
      </w:r>
      <w:r w:rsidRPr="00CE7FB1">
        <w:rPr>
          <w:rFonts w:ascii="Times New Roman" w:eastAsia="Times New Roman" w:hAnsi="Times New Roman"/>
          <w:sz w:val="24"/>
          <w:szCs w:val="24"/>
        </w:rPr>
        <w:fldChar w:fldCharType="separate"/>
      </w:r>
      <w:r w:rsidRPr="00CE7FB1">
        <w:rPr>
          <w:rFonts w:ascii="Times New Roman" w:eastAsia="Times New Roman" w:hAnsi="Times New Roman"/>
          <w:noProof/>
          <w:sz w:val="24"/>
          <w:szCs w:val="24"/>
        </w:rPr>
        <w:t>ii</w:t>
      </w:r>
      <w:r w:rsidRPr="00CE7FB1">
        <w:rPr>
          <w:rFonts w:ascii="Times New Roman" w:eastAsia="Times New Roman" w:hAnsi="Times New Roman"/>
          <w:sz w:val="24"/>
          <w:szCs w:val="24"/>
        </w:rPr>
        <w:fldChar w:fldCharType="end"/>
      </w:r>
      <w:r w:rsidRPr="00CE7FB1">
        <w:rPr>
          <w:rFonts w:ascii="Times New Roman" w:eastAsia="Times New Roman" w:hAnsi="Times New Roman"/>
          <w:sz w:val="24"/>
          <w:szCs w:val="24"/>
        </w:rPr>
        <w:t xml:space="preserve"> (</w:t>
      </w:r>
      <w:proofErr w:type="spellStart"/>
      <w:r w:rsidRPr="00CE7FB1">
        <w:rPr>
          <w:rFonts w:ascii="Times New Roman" w:eastAsia="Times New Roman" w:hAnsi="Times New Roman"/>
          <w:sz w:val="24"/>
          <w:szCs w:val="24"/>
        </w:rPr>
        <w:t>TaKaRa</w:t>
      </w:r>
      <w:proofErr w:type="spellEnd"/>
      <w:r w:rsidRPr="00CE7FB1">
        <w:rPr>
          <w:rFonts w:ascii="Times New Roman" w:eastAsia="Times New Roman" w:hAnsi="Times New Roman"/>
          <w:sz w:val="24"/>
          <w:szCs w:val="24"/>
        </w:rPr>
        <w:t>, Beijing, CHN) were used to perform quantitative real-time PCR to assay the expression levels of POMC (NM_008895.3) mRNA transcripts. The following primer sequences were used: mouse POMC (forward, 5'-CAGTGCCAGGACCTCACC-3', reverse, 5'-CAGCGAGAGGTCGAGTTTG-3') and mouse β-actin (forward, 5'-AGGCCAACCGTGAAAAGATG-3'; reverse, 5'-TGGCGTGAGGGAGAGCATAG-3'). β-actin was used as a reference gene to standardize gene-expression levels. Results are expressed as ratio of POMC and β-actin.</w:t>
      </w:r>
    </w:p>
    <w:p w14:paraId="3819FBA9" w14:textId="77777777" w:rsidR="00FB3C9A" w:rsidRPr="00CE7FB1" w:rsidRDefault="00FB3C9A" w:rsidP="00FB3C9A">
      <w:pPr>
        <w:spacing w:line="480" w:lineRule="auto"/>
        <w:rPr>
          <w:rFonts w:ascii="Times New Roman" w:eastAsia="Times New Roman" w:hAnsi="Times New Roman"/>
          <w:sz w:val="24"/>
          <w:szCs w:val="24"/>
        </w:rPr>
      </w:pPr>
      <w:r w:rsidRPr="00CE7FB1">
        <w:rPr>
          <w:rFonts w:ascii="Times New Roman" w:eastAsia="Times New Roman" w:hAnsi="Times New Roman"/>
          <w:sz w:val="24"/>
          <w:szCs w:val="24"/>
        </w:rPr>
        <w:t>Co-immunoprecipitation assay</w:t>
      </w:r>
    </w:p>
    <w:p w14:paraId="57D8666C" w14:textId="77777777" w:rsidR="00FB3C9A" w:rsidRPr="00CE7FB1" w:rsidRDefault="00FB3C9A" w:rsidP="00444F16">
      <w:pPr>
        <w:pStyle w:val="p1"/>
        <w:spacing w:line="480" w:lineRule="auto"/>
        <w:ind w:firstLineChars="150" w:firstLine="360"/>
        <w:rPr>
          <w:rFonts w:ascii="Times New Roman" w:eastAsia="Times New Roman" w:hAnsi="Times New Roman"/>
          <w:sz w:val="24"/>
          <w:szCs w:val="24"/>
        </w:rPr>
      </w:pPr>
      <w:r w:rsidRPr="00CE7FB1">
        <w:rPr>
          <w:rFonts w:ascii="Times New Roman" w:eastAsia="Times New Roman" w:hAnsi="Times New Roman"/>
          <w:sz w:val="24"/>
          <w:szCs w:val="24"/>
        </w:rPr>
        <w:t xml:space="preserve">For co-immunoprecipitation assay, Co-Immunoprecipitation Kit (Thermo, MA, USA) was used according to the instruction. Briefly, Anti-mouse primary antibody to RXRα (Thermo, MA, USA) and anti-rabbit primary antibody to Nur77(Abcam, Cambridge, MA, USA) were fixed by incubation with protein A/G agarose for 2 hours at room temperature. Normal mouse IgG and rabbit IgG were incubated as non-specific control. Proteins (antigens)- antibody- agarose complex was formed by </w:t>
      </w:r>
      <w:r w:rsidRPr="00CE7FB1">
        <w:rPr>
          <w:rFonts w:ascii="Times New Roman" w:eastAsia="Times New Roman" w:hAnsi="Times New Roman"/>
          <w:sz w:val="24"/>
          <w:szCs w:val="24"/>
        </w:rPr>
        <w:lastRenderedPageBreak/>
        <w:t>incubating antibody-agarose with the supernatants overnight at 4°C. Proteins-antibody was made to dissociate with agarose and heated for 5 minutes at 100°C with loading buffer. Precipitated protein complexes were separated by SDS-PAGE as described above. Blots for RXRα were incubated with anti- rabbit primary RXRα antibody (</w:t>
      </w:r>
      <w:proofErr w:type="spellStart"/>
      <w:r w:rsidRPr="00CE7FB1">
        <w:rPr>
          <w:rFonts w:ascii="Times New Roman" w:eastAsia="Times New Roman" w:hAnsi="Times New Roman"/>
          <w:sz w:val="24"/>
          <w:szCs w:val="24"/>
        </w:rPr>
        <w:t>Proteintech</w:t>
      </w:r>
      <w:proofErr w:type="spellEnd"/>
      <w:r w:rsidRPr="00CE7FB1">
        <w:rPr>
          <w:rFonts w:ascii="Times New Roman" w:eastAsia="Times New Roman" w:hAnsi="Times New Roman"/>
          <w:sz w:val="24"/>
          <w:szCs w:val="24"/>
        </w:rPr>
        <w:t>, Wuhan, Hubei, China) to avoid interference of heavy chain of fragmented antibody at 55kD.</w:t>
      </w:r>
    </w:p>
    <w:p w14:paraId="24C56665" w14:textId="77777777" w:rsidR="00FB3C9A" w:rsidRPr="00CE7FB1" w:rsidRDefault="00FB3C9A" w:rsidP="007B25CF">
      <w:pPr>
        <w:widowControl/>
        <w:spacing w:line="480" w:lineRule="auto"/>
        <w:rPr>
          <w:rFonts w:ascii="Times New Roman" w:hAnsi="Times New Roman"/>
          <w:b/>
          <w:bCs/>
          <w:color w:val="000000"/>
          <w:kern w:val="0"/>
          <w:sz w:val="24"/>
          <w:szCs w:val="24"/>
        </w:rPr>
      </w:pPr>
    </w:p>
    <w:p w14:paraId="20E2F20A" w14:textId="77777777" w:rsidR="00FB3C9A" w:rsidRPr="00CE7FB1" w:rsidRDefault="00FB3C9A" w:rsidP="007B25CF">
      <w:pPr>
        <w:widowControl/>
        <w:spacing w:line="480" w:lineRule="auto"/>
        <w:rPr>
          <w:rFonts w:ascii="Times New Roman" w:hAnsi="Times New Roman"/>
          <w:b/>
          <w:bCs/>
          <w:color w:val="000000"/>
          <w:kern w:val="0"/>
          <w:sz w:val="24"/>
          <w:szCs w:val="24"/>
        </w:rPr>
      </w:pPr>
    </w:p>
    <w:p w14:paraId="3D6C2DD1" w14:textId="77777777" w:rsidR="00FB3C9A" w:rsidRPr="00CE7FB1" w:rsidRDefault="00FB3C9A" w:rsidP="007B25CF">
      <w:pPr>
        <w:widowControl/>
        <w:spacing w:line="480" w:lineRule="auto"/>
        <w:rPr>
          <w:rFonts w:ascii="Times New Roman" w:hAnsi="Times New Roman"/>
          <w:b/>
          <w:bCs/>
          <w:color w:val="000000"/>
          <w:kern w:val="0"/>
          <w:sz w:val="24"/>
          <w:szCs w:val="24"/>
        </w:rPr>
      </w:pPr>
    </w:p>
    <w:p w14:paraId="7A269000" w14:textId="77777777" w:rsidR="00FB3C9A" w:rsidRPr="00CE7FB1" w:rsidRDefault="00FB3C9A" w:rsidP="007B25CF">
      <w:pPr>
        <w:widowControl/>
        <w:spacing w:line="480" w:lineRule="auto"/>
        <w:rPr>
          <w:rFonts w:ascii="Times New Roman" w:hAnsi="Times New Roman"/>
          <w:b/>
          <w:bCs/>
          <w:color w:val="000000"/>
          <w:kern w:val="0"/>
          <w:sz w:val="24"/>
          <w:szCs w:val="24"/>
        </w:rPr>
      </w:pPr>
    </w:p>
    <w:p w14:paraId="346F517A" w14:textId="77777777" w:rsidR="00FB3C9A" w:rsidRPr="00CE7FB1" w:rsidRDefault="00FB3C9A" w:rsidP="007B25CF">
      <w:pPr>
        <w:widowControl/>
        <w:spacing w:line="480" w:lineRule="auto"/>
        <w:rPr>
          <w:rFonts w:ascii="Times New Roman" w:hAnsi="Times New Roman"/>
          <w:b/>
          <w:bCs/>
          <w:color w:val="000000"/>
          <w:kern w:val="0"/>
          <w:sz w:val="24"/>
          <w:szCs w:val="24"/>
        </w:rPr>
      </w:pPr>
    </w:p>
    <w:p w14:paraId="2D958A5E" w14:textId="77777777" w:rsidR="00FB3C9A" w:rsidRPr="00CE7FB1" w:rsidRDefault="00FB3C9A" w:rsidP="007B25CF">
      <w:pPr>
        <w:widowControl/>
        <w:spacing w:line="480" w:lineRule="auto"/>
        <w:rPr>
          <w:rFonts w:ascii="Times New Roman" w:hAnsi="Times New Roman"/>
          <w:b/>
          <w:bCs/>
          <w:color w:val="000000"/>
          <w:kern w:val="0"/>
          <w:sz w:val="24"/>
          <w:szCs w:val="24"/>
        </w:rPr>
      </w:pPr>
    </w:p>
    <w:p w14:paraId="5CE9F1D7" w14:textId="77777777" w:rsidR="00FB3C9A" w:rsidRPr="00CE7FB1" w:rsidRDefault="00FB3C9A" w:rsidP="007B25CF">
      <w:pPr>
        <w:widowControl/>
        <w:spacing w:line="480" w:lineRule="auto"/>
        <w:rPr>
          <w:rFonts w:ascii="Times New Roman" w:hAnsi="Times New Roman"/>
          <w:b/>
          <w:bCs/>
          <w:color w:val="000000"/>
          <w:kern w:val="0"/>
          <w:sz w:val="24"/>
          <w:szCs w:val="24"/>
        </w:rPr>
      </w:pPr>
    </w:p>
    <w:p w14:paraId="15EFC011" w14:textId="4462DAFB" w:rsidR="00FB3C9A" w:rsidRPr="00CE7FB1" w:rsidRDefault="00FB3C9A" w:rsidP="007B25CF">
      <w:pPr>
        <w:widowControl/>
        <w:spacing w:line="480" w:lineRule="auto"/>
        <w:rPr>
          <w:rFonts w:ascii="Times New Roman" w:hAnsi="Times New Roman"/>
          <w:b/>
          <w:bCs/>
          <w:color w:val="000000"/>
          <w:kern w:val="0"/>
          <w:sz w:val="24"/>
          <w:szCs w:val="24"/>
        </w:rPr>
      </w:pPr>
    </w:p>
    <w:p w14:paraId="1F77B6BD" w14:textId="4EAA252F" w:rsidR="007216C5" w:rsidRPr="00CE7FB1" w:rsidRDefault="007216C5" w:rsidP="007B25CF">
      <w:pPr>
        <w:widowControl/>
        <w:spacing w:line="480" w:lineRule="auto"/>
        <w:rPr>
          <w:rFonts w:ascii="Times New Roman" w:hAnsi="Times New Roman"/>
          <w:b/>
          <w:bCs/>
          <w:color w:val="000000"/>
          <w:kern w:val="0"/>
          <w:sz w:val="24"/>
          <w:szCs w:val="24"/>
        </w:rPr>
      </w:pPr>
    </w:p>
    <w:p w14:paraId="70616293" w14:textId="630F8DD2" w:rsidR="007216C5" w:rsidRPr="00CE7FB1" w:rsidRDefault="007216C5" w:rsidP="007B25CF">
      <w:pPr>
        <w:widowControl/>
        <w:spacing w:line="480" w:lineRule="auto"/>
        <w:rPr>
          <w:rFonts w:ascii="Times New Roman" w:hAnsi="Times New Roman"/>
          <w:b/>
          <w:bCs/>
          <w:color w:val="000000"/>
          <w:kern w:val="0"/>
          <w:sz w:val="24"/>
          <w:szCs w:val="24"/>
        </w:rPr>
      </w:pPr>
    </w:p>
    <w:p w14:paraId="66C0AB32" w14:textId="08748B50" w:rsidR="007216C5" w:rsidRPr="00CE7FB1" w:rsidRDefault="007216C5" w:rsidP="007B25CF">
      <w:pPr>
        <w:widowControl/>
        <w:spacing w:line="480" w:lineRule="auto"/>
        <w:rPr>
          <w:rFonts w:ascii="Times New Roman" w:hAnsi="Times New Roman"/>
          <w:b/>
          <w:bCs/>
          <w:color w:val="000000"/>
          <w:kern w:val="0"/>
          <w:sz w:val="24"/>
          <w:szCs w:val="24"/>
        </w:rPr>
      </w:pPr>
    </w:p>
    <w:p w14:paraId="7A112FFC" w14:textId="006AD208" w:rsidR="007216C5" w:rsidRPr="00CE7FB1" w:rsidRDefault="007216C5" w:rsidP="007B25CF">
      <w:pPr>
        <w:widowControl/>
        <w:spacing w:line="480" w:lineRule="auto"/>
        <w:rPr>
          <w:rFonts w:ascii="Times New Roman" w:hAnsi="Times New Roman"/>
          <w:b/>
          <w:bCs/>
          <w:color w:val="000000"/>
          <w:kern w:val="0"/>
          <w:sz w:val="24"/>
          <w:szCs w:val="24"/>
        </w:rPr>
      </w:pPr>
    </w:p>
    <w:p w14:paraId="1D083D92" w14:textId="602EDA83" w:rsidR="007216C5" w:rsidRPr="00CE7FB1" w:rsidRDefault="007216C5" w:rsidP="007B25CF">
      <w:pPr>
        <w:widowControl/>
        <w:spacing w:line="480" w:lineRule="auto"/>
        <w:rPr>
          <w:rFonts w:ascii="Times New Roman" w:hAnsi="Times New Roman"/>
          <w:b/>
          <w:bCs/>
          <w:color w:val="000000"/>
          <w:kern w:val="0"/>
          <w:sz w:val="24"/>
          <w:szCs w:val="24"/>
        </w:rPr>
      </w:pPr>
    </w:p>
    <w:p w14:paraId="0081BC15" w14:textId="0C191D64" w:rsidR="007216C5" w:rsidRPr="00CE7FB1" w:rsidRDefault="007216C5" w:rsidP="007B25CF">
      <w:pPr>
        <w:widowControl/>
        <w:spacing w:line="480" w:lineRule="auto"/>
        <w:rPr>
          <w:rFonts w:ascii="Times New Roman" w:hAnsi="Times New Roman"/>
          <w:b/>
          <w:bCs/>
          <w:color w:val="000000"/>
          <w:kern w:val="0"/>
          <w:sz w:val="24"/>
          <w:szCs w:val="24"/>
        </w:rPr>
      </w:pPr>
    </w:p>
    <w:p w14:paraId="3A893BCE" w14:textId="3DC80ED6" w:rsidR="007216C5" w:rsidRPr="00CE7FB1" w:rsidRDefault="007216C5" w:rsidP="007B25CF">
      <w:pPr>
        <w:widowControl/>
        <w:spacing w:line="480" w:lineRule="auto"/>
        <w:rPr>
          <w:rFonts w:ascii="Times New Roman" w:hAnsi="Times New Roman"/>
          <w:b/>
          <w:bCs/>
          <w:color w:val="000000"/>
          <w:kern w:val="0"/>
          <w:sz w:val="24"/>
          <w:szCs w:val="24"/>
        </w:rPr>
      </w:pPr>
    </w:p>
    <w:p w14:paraId="3EEE045B" w14:textId="77777777" w:rsidR="007216C5" w:rsidRPr="00CE7FB1" w:rsidRDefault="007216C5" w:rsidP="007B25CF">
      <w:pPr>
        <w:widowControl/>
        <w:spacing w:line="480" w:lineRule="auto"/>
        <w:rPr>
          <w:rFonts w:ascii="Times New Roman" w:hAnsi="Times New Roman"/>
          <w:b/>
          <w:bCs/>
          <w:color w:val="000000"/>
          <w:kern w:val="0"/>
          <w:sz w:val="24"/>
          <w:szCs w:val="24"/>
        </w:rPr>
      </w:pPr>
    </w:p>
    <w:p w14:paraId="7D598A05" w14:textId="77777777" w:rsidR="00373556" w:rsidRPr="00CE7FB1" w:rsidRDefault="00373556" w:rsidP="007B25CF">
      <w:pPr>
        <w:widowControl/>
        <w:spacing w:line="480" w:lineRule="auto"/>
        <w:rPr>
          <w:rFonts w:ascii="Times New Roman" w:hAnsi="Times New Roman"/>
          <w:b/>
          <w:bCs/>
          <w:color w:val="000000"/>
          <w:kern w:val="0"/>
          <w:sz w:val="24"/>
          <w:szCs w:val="24"/>
        </w:rPr>
      </w:pPr>
      <w:r w:rsidRPr="00CE7FB1">
        <w:rPr>
          <w:rFonts w:ascii="Times New Roman" w:hAnsi="Times New Roman"/>
          <w:b/>
          <w:bCs/>
          <w:color w:val="000000"/>
          <w:kern w:val="0"/>
          <w:sz w:val="24"/>
          <w:szCs w:val="24"/>
        </w:rPr>
        <w:lastRenderedPageBreak/>
        <w:t xml:space="preserve">Supplemental </w:t>
      </w:r>
      <w:r w:rsidRPr="00CE7FB1">
        <w:rPr>
          <w:rFonts w:ascii="Times New Roman" w:hAnsi="Times New Roman" w:hint="eastAsia"/>
          <w:b/>
          <w:bCs/>
          <w:color w:val="000000"/>
          <w:kern w:val="0"/>
          <w:sz w:val="24"/>
          <w:szCs w:val="24"/>
        </w:rPr>
        <w:t>F</w:t>
      </w:r>
      <w:r w:rsidRPr="00CE7FB1">
        <w:rPr>
          <w:rFonts w:ascii="Times New Roman" w:hAnsi="Times New Roman"/>
          <w:b/>
          <w:bCs/>
          <w:color w:val="000000"/>
          <w:kern w:val="0"/>
          <w:sz w:val="24"/>
          <w:szCs w:val="24"/>
        </w:rPr>
        <w:t>igures and Figure legends</w:t>
      </w:r>
    </w:p>
    <w:p w14:paraId="6F10E52A" w14:textId="77777777" w:rsidR="00411558" w:rsidRPr="00CE7FB1" w:rsidRDefault="00411558" w:rsidP="007B25CF">
      <w:pPr>
        <w:widowControl/>
        <w:spacing w:line="480" w:lineRule="auto"/>
        <w:rPr>
          <w:rFonts w:ascii="Times New Roman" w:hAnsi="Times New Roman"/>
          <w:b/>
          <w:bCs/>
          <w:sz w:val="24"/>
          <w:szCs w:val="24"/>
        </w:rPr>
      </w:pPr>
      <w:r w:rsidRPr="00CE7FB1">
        <w:rPr>
          <w:rFonts w:ascii="Times New Roman" w:hAnsi="Times New Roman"/>
          <w:b/>
          <w:bCs/>
          <w:sz w:val="24"/>
          <w:szCs w:val="24"/>
        </w:rPr>
        <w:t>Figure S1</w:t>
      </w:r>
    </w:p>
    <w:p w14:paraId="244718CD" w14:textId="66F63D44" w:rsidR="006E1C5C" w:rsidRPr="00CE7FB1" w:rsidRDefault="006E1C5C" w:rsidP="007B25CF">
      <w:pPr>
        <w:widowControl/>
        <w:spacing w:line="480" w:lineRule="auto"/>
        <w:rPr>
          <w:rFonts w:ascii="Times New Roman" w:hAnsi="Times New Roman"/>
          <w:b/>
          <w:bCs/>
          <w:sz w:val="24"/>
          <w:szCs w:val="24"/>
        </w:rPr>
      </w:pPr>
      <w:r w:rsidRPr="00CE7FB1">
        <w:rPr>
          <w:rFonts w:ascii="Times New Roman" w:hAnsi="Times New Roman"/>
          <w:b/>
          <w:bCs/>
          <w:noProof/>
          <w:sz w:val="24"/>
          <w:szCs w:val="24"/>
        </w:rPr>
        <w:drawing>
          <wp:inline distT="0" distB="0" distL="0" distR="0" wp14:anchorId="65960046" wp14:editId="7266A5DE">
            <wp:extent cx="5260340" cy="2980055"/>
            <wp:effectExtent l="0" t="0" r="0" b="0"/>
            <wp:docPr id="5" name="图片 5" desc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0340" cy="2980055"/>
                    </a:xfrm>
                    <a:prstGeom prst="rect">
                      <a:avLst/>
                    </a:prstGeom>
                    <a:noFill/>
                    <a:ln>
                      <a:noFill/>
                    </a:ln>
                  </pic:spPr>
                </pic:pic>
              </a:graphicData>
            </a:graphic>
          </wp:inline>
        </w:drawing>
      </w:r>
    </w:p>
    <w:p w14:paraId="76346621" w14:textId="582A54D5" w:rsidR="00577BD8" w:rsidRPr="00CE7FB1" w:rsidRDefault="00411558" w:rsidP="002E071A">
      <w:pPr>
        <w:widowControl/>
        <w:spacing w:line="480" w:lineRule="auto"/>
        <w:rPr>
          <w:rFonts w:ascii="Times New Roman" w:hAnsi="Times New Roman"/>
          <w:sz w:val="24"/>
          <w:szCs w:val="24"/>
        </w:rPr>
      </w:pPr>
      <w:r w:rsidRPr="00CE7FB1">
        <w:rPr>
          <w:rFonts w:ascii="Times New Roman" w:hAnsi="Times New Roman"/>
          <w:b/>
          <w:bCs/>
          <w:sz w:val="24"/>
          <w:szCs w:val="24"/>
        </w:rPr>
        <w:t>Fig S1</w:t>
      </w:r>
      <w:r w:rsidR="006E1C5C" w:rsidRPr="00CE7FB1">
        <w:rPr>
          <w:rFonts w:ascii="Times New Roman" w:hAnsi="Times New Roman"/>
          <w:b/>
          <w:bCs/>
          <w:sz w:val="24"/>
          <w:szCs w:val="24"/>
        </w:rPr>
        <w:t>.</w:t>
      </w:r>
      <w:r w:rsidR="002E071A" w:rsidRPr="00CE7FB1">
        <w:rPr>
          <w:rFonts w:ascii="Times New Roman" w:hAnsi="Times New Roman"/>
          <w:b/>
          <w:bCs/>
          <w:sz w:val="24"/>
          <w:szCs w:val="24"/>
        </w:rPr>
        <w:t xml:space="preserve"> RXRα and AKT were selected as targets through </w:t>
      </w:r>
      <w:r w:rsidR="00003CCD" w:rsidRPr="00CE7FB1">
        <w:rPr>
          <w:rFonts w:ascii="Times New Roman" w:hAnsi="Times New Roman"/>
          <w:b/>
          <w:bCs/>
          <w:sz w:val="24"/>
          <w:szCs w:val="24"/>
        </w:rPr>
        <w:t xml:space="preserve">the </w:t>
      </w:r>
      <w:r w:rsidR="002E071A" w:rsidRPr="00CE7FB1">
        <w:rPr>
          <w:rFonts w:ascii="Times New Roman" w:hAnsi="Times New Roman"/>
          <w:b/>
          <w:bCs/>
          <w:sz w:val="24"/>
          <w:szCs w:val="24"/>
        </w:rPr>
        <w:t xml:space="preserve">PPI </w:t>
      </w:r>
      <w:r w:rsidR="00003CCD" w:rsidRPr="00CE7FB1">
        <w:rPr>
          <w:rFonts w:ascii="Times New Roman" w:hAnsi="Times New Roman"/>
          <w:b/>
          <w:bCs/>
          <w:sz w:val="24"/>
          <w:szCs w:val="24"/>
        </w:rPr>
        <w:t xml:space="preserve">network </w:t>
      </w:r>
      <w:r w:rsidR="002E071A" w:rsidRPr="00CE7FB1">
        <w:rPr>
          <w:rFonts w:ascii="Times New Roman" w:hAnsi="Times New Roman"/>
          <w:b/>
          <w:bCs/>
          <w:sz w:val="24"/>
          <w:szCs w:val="24"/>
        </w:rPr>
        <w:t xml:space="preserve">analysis </w:t>
      </w:r>
      <w:proofErr w:type="spellStart"/>
      <w:r w:rsidR="002E071A" w:rsidRPr="00CE7FB1">
        <w:rPr>
          <w:rFonts w:ascii="Times New Roman" w:hAnsi="Times New Roman"/>
          <w:b/>
          <w:bCs/>
          <w:sz w:val="24"/>
          <w:szCs w:val="24"/>
        </w:rPr>
        <w:t>centred</w:t>
      </w:r>
      <w:proofErr w:type="spellEnd"/>
      <w:r w:rsidR="002E071A" w:rsidRPr="00CE7FB1">
        <w:rPr>
          <w:rFonts w:ascii="Times New Roman" w:hAnsi="Times New Roman"/>
          <w:b/>
          <w:bCs/>
          <w:sz w:val="24"/>
          <w:szCs w:val="24"/>
        </w:rPr>
        <w:t xml:space="preserve"> </w:t>
      </w:r>
      <w:r w:rsidR="00003CCD" w:rsidRPr="00CE7FB1">
        <w:rPr>
          <w:rFonts w:ascii="Times New Roman" w:hAnsi="Times New Roman"/>
          <w:b/>
          <w:bCs/>
          <w:sz w:val="24"/>
          <w:szCs w:val="24"/>
        </w:rPr>
        <w:t xml:space="preserve">on </w:t>
      </w:r>
      <w:r w:rsidR="002E071A" w:rsidRPr="00CE7FB1">
        <w:rPr>
          <w:rFonts w:ascii="Times New Roman" w:hAnsi="Times New Roman"/>
          <w:b/>
          <w:bCs/>
          <w:sz w:val="24"/>
          <w:szCs w:val="24"/>
        </w:rPr>
        <w:t xml:space="preserve">Nur77. </w:t>
      </w:r>
      <w:r w:rsidR="00D21060" w:rsidRPr="00CE7FB1">
        <w:rPr>
          <w:rFonts w:ascii="Times New Roman" w:hAnsi="Times New Roman"/>
          <w:sz w:val="24"/>
          <w:szCs w:val="24"/>
        </w:rPr>
        <w:t>a: Result of</w:t>
      </w:r>
      <w:r w:rsidR="00003CCD" w:rsidRPr="00CE7FB1">
        <w:rPr>
          <w:rFonts w:ascii="Times New Roman" w:hAnsi="Times New Roman"/>
          <w:sz w:val="24"/>
          <w:szCs w:val="24"/>
        </w:rPr>
        <w:t xml:space="preserve"> the</w:t>
      </w:r>
      <w:r w:rsidR="00D21060" w:rsidRPr="00CE7FB1">
        <w:rPr>
          <w:rFonts w:ascii="Times New Roman" w:hAnsi="Times New Roman"/>
          <w:sz w:val="24"/>
          <w:szCs w:val="24"/>
        </w:rPr>
        <w:t xml:space="preserve"> Nur77 related PPI network analysis. The minimum required interaction score was 0.9</w:t>
      </w:r>
      <w:r w:rsidR="00003CCD" w:rsidRPr="00CE7FB1">
        <w:rPr>
          <w:rFonts w:ascii="Times New Roman" w:hAnsi="Times New Roman"/>
          <w:sz w:val="24"/>
          <w:szCs w:val="24"/>
        </w:rPr>
        <w:t>,</w:t>
      </w:r>
      <w:r w:rsidR="00D21060" w:rsidRPr="00CE7FB1">
        <w:rPr>
          <w:rFonts w:ascii="Times New Roman" w:hAnsi="Times New Roman"/>
          <w:sz w:val="24"/>
          <w:szCs w:val="24"/>
        </w:rPr>
        <w:t xml:space="preserve"> and </w:t>
      </w:r>
      <w:r w:rsidR="00003CCD" w:rsidRPr="00CE7FB1">
        <w:rPr>
          <w:rFonts w:ascii="Times New Roman" w:hAnsi="Times New Roman"/>
          <w:sz w:val="24"/>
          <w:szCs w:val="24"/>
        </w:rPr>
        <w:t xml:space="preserve">the </w:t>
      </w:r>
      <w:r w:rsidR="00D21060" w:rsidRPr="00CE7FB1">
        <w:rPr>
          <w:rFonts w:ascii="Times New Roman" w:hAnsi="Times New Roman"/>
          <w:sz w:val="24"/>
          <w:szCs w:val="24"/>
        </w:rPr>
        <w:t>max</w:t>
      </w:r>
      <w:r w:rsidR="00003CCD" w:rsidRPr="00CE7FB1">
        <w:rPr>
          <w:rFonts w:ascii="Times New Roman" w:hAnsi="Times New Roman"/>
          <w:sz w:val="24"/>
          <w:szCs w:val="24"/>
        </w:rPr>
        <w:t>imum</w:t>
      </w:r>
      <w:r w:rsidR="00D21060" w:rsidRPr="00CE7FB1">
        <w:rPr>
          <w:rFonts w:ascii="Times New Roman" w:hAnsi="Times New Roman"/>
          <w:sz w:val="24"/>
          <w:szCs w:val="24"/>
        </w:rPr>
        <w:t xml:space="preserve"> number of interactors to show was 50.</w:t>
      </w:r>
      <w:r w:rsidR="00003CCD" w:rsidRPr="00CE7FB1">
        <w:rPr>
          <w:rFonts w:ascii="Times New Roman" w:hAnsi="Times New Roman"/>
          <w:sz w:val="24"/>
          <w:szCs w:val="24"/>
        </w:rPr>
        <w:t xml:space="preserve"> </w:t>
      </w:r>
      <w:r w:rsidR="00D21060" w:rsidRPr="00CE7FB1">
        <w:rPr>
          <w:rFonts w:ascii="Times New Roman" w:hAnsi="Times New Roman"/>
          <w:sz w:val="24"/>
          <w:szCs w:val="24"/>
        </w:rPr>
        <w:t>b</w:t>
      </w:r>
      <w:r w:rsidR="00577BD8" w:rsidRPr="00CE7FB1">
        <w:rPr>
          <w:rFonts w:ascii="Times New Roman" w:hAnsi="Times New Roman"/>
          <w:sz w:val="24"/>
          <w:szCs w:val="24"/>
        </w:rPr>
        <w:t xml:space="preserve">: Enrichment results of </w:t>
      </w:r>
      <w:r w:rsidR="00003CCD" w:rsidRPr="00CE7FB1">
        <w:rPr>
          <w:rFonts w:ascii="Times New Roman" w:hAnsi="Times New Roman"/>
          <w:sz w:val="24"/>
          <w:szCs w:val="24"/>
        </w:rPr>
        <w:t xml:space="preserve">the </w:t>
      </w:r>
      <w:r w:rsidR="00577BD8" w:rsidRPr="00CE7FB1">
        <w:rPr>
          <w:rFonts w:ascii="Times New Roman" w:hAnsi="Times New Roman"/>
          <w:sz w:val="24"/>
          <w:szCs w:val="24"/>
        </w:rPr>
        <w:t>hub proteins</w:t>
      </w:r>
      <w:r w:rsidR="00003CCD" w:rsidRPr="00CE7FB1">
        <w:rPr>
          <w:rFonts w:ascii="Times New Roman" w:hAnsi="Times New Roman"/>
          <w:sz w:val="24"/>
          <w:szCs w:val="24"/>
        </w:rPr>
        <w:t xml:space="preserve"> revealed by</w:t>
      </w:r>
      <w:r w:rsidR="00577BD8" w:rsidRPr="00CE7FB1">
        <w:rPr>
          <w:rFonts w:ascii="Times New Roman" w:hAnsi="Times New Roman"/>
          <w:sz w:val="24"/>
          <w:szCs w:val="24"/>
        </w:rPr>
        <w:t xml:space="preserve"> setting </w:t>
      </w:r>
      <w:r w:rsidR="00B62D29" w:rsidRPr="00CE7FB1">
        <w:rPr>
          <w:rFonts w:ascii="Times New Roman" w:hAnsi="Times New Roman"/>
          <w:sz w:val="24"/>
          <w:szCs w:val="24"/>
        </w:rPr>
        <w:t xml:space="preserve">GLAD4U </w:t>
      </w:r>
      <w:r w:rsidR="00577BD8" w:rsidRPr="00CE7FB1">
        <w:rPr>
          <w:rFonts w:ascii="Times New Roman" w:hAnsi="Times New Roman"/>
          <w:sz w:val="24"/>
          <w:szCs w:val="24"/>
        </w:rPr>
        <w:t xml:space="preserve">(the upper panel) and </w:t>
      </w:r>
      <w:r w:rsidR="00B62D29" w:rsidRPr="00CE7FB1">
        <w:rPr>
          <w:rFonts w:ascii="Times New Roman" w:hAnsi="Times New Roman"/>
          <w:sz w:val="24"/>
          <w:szCs w:val="24"/>
        </w:rPr>
        <w:t>DRUGBANK</w:t>
      </w:r>
      <w:r w:rsidR="00577BD8" w:rsidRPr="00CE7FB1">
        <w:rPr>
          <w:rFonts w:ascii="Times New Roman" w:hAnsi="Times New Roman"/>
          <w:sz w:val="24"/>
          <w:szCs w:val="24"/>
        </w:rPr>
        <w:t xml:space="preserve"> (the down panel)</w:t>
      </w:r>
      <w:r w:rsidR="00003CCD" w:rsidRPr="00CE7FB1">
        <w:rPr>
          <w:rFonts w:ascii="Times New Roman" w:hAnsi="Times New Roman"/>
          <w:sz w:val="24"/>
          <w:szCs w:val="24"/>
        </w:rPr>
        <w:t>, which were utilized</w:t>
      </w:r>
      <w:r w:rsidR="00577BD8" w:rsidRPr="00CE7FB1">
        <w:rPr>
          <w:rFonts w:ascii="Times New Roman" w:hAnsi="Times New Roman"/>
          <w:sz w:val="24"/>
          <w:szCs w:val="24"/>
        </w:rPr>
        <w:t xml:space="preserve"> as functional data</w:t>
      </w:r>
      <w:r w:rsidR="004E3CA3" w:rsidRPr="00CE7FB1">
        <w:rPr>
          <w:rFonts w:ascii="Times New Roman" w:hAnsi="Times New Roman"/>
          <w:sz w:val="24"/>
          <w:szCs w:val="24"/>
        </w:rPr>
        <w:t xml:space="preserve">base using </w:t>
      </w:r>
      <w:proofErr w:type="spellStart"/>
      <w:r w:rsidR="004E3CA3" w:rsidRPr="00CE7FB1">
        <w:rPr>
          <w:rFonts w:ascii="Times New Roman" w:hAnsi="Times New Roman"/>
          <w:sz w:val="24"/>
          <w:szCs w:val="24"/>
        </w:rPr>
        <w:t>WebGestalt</w:t>
      </w:r>
      <w:proofErr w:type="spellEnd"/>
      <w:r w:rsidR="004E3CA3" w:rsidRPr="00CE7FB1">
        <w:rPr>
          <w:rFonts w:ascii="Times New Roman" w:hAnsi="Times New Roman"/>
          <w:sz w:val="24"/>
          <w:szCs w:val="24"/>
        </w:rPr>
        <w:t xml:space="preserve"> platform.</w:t>
      </w:r>
    </w:p>
    <w:p w14:paraId="533EF327" w14:textId="6B05465E" w:rsidR="00373556" w:rsidRPr="00CE7FB1" w:rsidRDefault="00373556" w:rsidP="007B25CF">
      <w:pPr>
        <w:widowControl/>
        <w:spacing w:line="480"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F</w:t>
      </w:r>
      <w:r w:rsidRPr="00CE7FB1">
        <w:rPr>
          <w:rFonts w:ascii="Times New Roman" w:hAnsi="Times New Roman"/>
          <w:b/>
          <w:bCs/>
          <w:color w:val="000000"/>
          <w:kern w:val="0"/>
          <w:sz w:val="24"/>
          <w:szCs w:val="24"/>
        </w:rPr>
        <w:t>ig S</w:t>
      </w:r>
      <w:r w:rsidR="006E076B" w:rsidRPr="00CE7FB1">
        <w:rPr>
          <w:rFonts w:ascii="Times New Roman" w:hAnsi="Times New Roman"/>
          <w:b/>
          <w:bCs/>
          <w:color w:val="000000"/>
          <w:kern w:val="0"/>
          <w:sz w:val="24"/>
          <w:szCs w:val="24"/>
        </w:rPr>
        <w:t>2</w:t>
      </w:r>
    </w:p>
    <w:p w14:paraId="3103000D" w14:textId="2A095201" w:rsidR="00373556" w:rsidRPr="00CE7FB1" w:rsidRDefault="002A2709" w:rsidP="003815BD">
      <w:pPr>
        <w:widowControl/>
        <w:spacing w:line="276" w:lineRule="auto"/>
        <w:rPr>
          <w:rFonts w:ascii="Times New Roman" w:hAnsi="Times New Roman"/>
          <w:b/>
          <w:bCs/>
          <w:color w:val="000000"/>
          <w:kern w:val="0"/>
          <w:sz w:val="24"/>
          <w:szCs w:val="24"/>
        </w:rPr>
      </w:pPr>
      <w:r w:rsidRPr="00CE7FB1">
        <w:rPr>
          <w:noProof/>
        </w:rPr>
        <w:lastRenderedPageBreak/>
        <w:drawing>
          <wp:inline distT="0" distB="0" distL="0" distR="0" wp14:anchorId="4E18C9CB" wp14:editId="585E2F19">
            <wp:extent cx="5274310" cy="3002915"/>
            <wp:effectExtent l="0" t="0" r="254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002915"/>
                    </a:xfrm>
                    <a:prstGeom prst="rect">
                      <a:avLst/>
                    </a:prstGeom>
                    <a:noFill/>
                    <a:ln>
                      <a:noFill/>
                    </a:ln>
                  </pic:spPr>
                </pic:pic>
              </a:graphicData>
            </a:graphic>
          </wp:inline>
        </w:drawing>
      </w:r>
    </w:p>
    <w:p w14:paraId="5B25C73E" w14:textId="77777777" w:rsidR="005902E1" w:rsidRPr="00CE7FB1" w:rsidRDefault="005902E1" w:rsidP="005902E1">
      <w:pPr>
        <w:spacing w:line="480" w:lineRule="auto"/>
        <w:rPr>
          <w:rFonts w:ascii="Times New Roman" w:eastAsia="宋体" w:hAnsi="Times New Roman"/>
          <w:sz w:val="24"/>
          <w:szCs w:val="24"/>
        </w:rPr>
      </w:pPr>
      <w:r w:rsidRPr="00CE7FB1">
        <w:rPr>
          <w:rFonts w:ascii="Times New Roman" w:hAnsi="Times New Roman"/>
          <w:b/>
          <w:bCs/>
          <w:sz w:val="24"/>
          <w:szCs w:val="24"/>
        </w:rPr>
        <w:t>Fig S</w:t>
      </w:r>
      <w:r w:rsidR="006E076B" w:rsidRPr="00CE7FB1">
        <w:rPr>
          <w:rFonts w:ascii="Times New Roman" w:hAnsi="Times New Roman"/>
          <w:b/>
          <w:bCs/>
          <w:sz w:val="24"/>
          <w:szCs w:val="24"/>
        </w:rPr>
        <w:t>2</w:t>
      </w:r>
      <w:r w:rsidRPr="00CE7FB1">
        <w:rPr>
          <w:rFonts w:ascii="Times New Roman" w:hAnsi="Times New Roman"/>
          <w:b/>
          <w:bCs/>
          <w:sz w:val="24"/>
          <w:szCs w:val="24"/>
        </w:rPr>
        <w:t>.</w:t>
      </w:r>
      <w:r w:rsidRPr="00CE7FB1">
        <w:rPr>
          <w:rFonts w:ascii="Times New Roman" w:eastAsia="宋体" w:hAnsi="Times New Roman"/>
          <w:b/>
          <w:bCs/>
          <w:sz w:val="24"/>
          <w:szCs w:val="24"/>
        </w:rPr>
        <w:t xml:space="preserve"> The interactions between BEXA and RARs. </w:t>
      </w:r>
      <w:r w:rsidRPr="00CE7FB1">
        <w:rPr>
          <w:rFonts w:ascii="Times New Roman" w:eastAsia="宋体" w:hAnsi="Times New Roman"/>
          <w:sz w:val="24"/>
          <w:szCs w:val="24"/>
        </w:rPr>
        <w:t xml:space="preserve">a-b: The docking mode between BEXA and RARα; c-d: The docking mode between BEXA and RARβ; e-f: The docking mode between BEXA and </w:t>
      </w:r>
      <w:proofErr w:type="spellStart"/>
      <w:r w:rsidRPr="00CE7FB1">
        <w:rPr>
          <w:rFonts w:ascii="Times New Roman" w:eastAsia="宋体" w:hAnsi="Times New Roman"/>
          <w:sz w:val="24"/>
          <w:szCs w:val="24"/>
        </w:rPr>
        <w:t>RARγ</w:t>
      </w:r>
      <w:proofErr w:type="spellEnd"/>
      <w:r w:rsidRPr="00CE7FB1">
        <w:rPr>
          <w:rFonts w:ascii="Times New Roman" w:eastAsia="宋体" w:hAnsi="Times New Roman"/>
          <w:sz w:val="24"/>
          <w:szCs w:val="24"/>
        </w:rPr>
        <w:t>.</w:t>
      </w:r>
    </w:p>
    <w:p w14:paraId="53596B2A" w14:textId="77777777" w:rsidR="00BF4743" w:rsidRPr="00CE7FB1" w:rsidRDefault="00BF4743" w:rsidP="00BF4743">
      <w:pPr>
        <w:rPr>
          <w:rFonts w:ascii="Times New Roman" w:eastAsia="宋体" w:hAnsi="Times New Roman"/>
          <w:b/>
          <w:bCs/>
          <w:sz w:val="24"/>
          <w:szCs w:val="24"/>
        </w:rPr>
      </w:pPr>
    </w:p>
    <w:p w14:paraId="28711BB3" w14:textId="44697FEE" w:rsidR="00BF4743" w:rsidRPr="00CE7FB1" w:rsidRDefault="006E1C5C" w:rsidP="006E1C5C">
      <w:pPr>
        <w:widowControl/>
        <w:spacing w:line="480"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F</w:t>
      </w:r>
      <w:r w:rsidRPr="00CE7FB1">
        <w:rPr>
          <w:rFonts w:ascii="Times New Roman" w:hAnsi="Times New Roman"/>
          <w:b/>
          <w:bCs/>
          <w:color w:val="000000"/>
          <w:kern w:val="0"/>
          <w:sz w:val="24"/>
          <w:szCs w:val="24"/>
        </w:rPr>
        <w:t>ig S3</w:t>
      </w:r>
    </w:p>
    <w:p w14:paraId="19BABBD7" w14:textId="2346ED14" w:rsidR="00582CA0" w:rsidRPr="00CE7FB1" w:rsidRDefault="00582CA0" w:rsidP="006E1C5C">
      <w:pPr>
        <w:widowControl/>
        <w:spacing w:line="480" w:lineRule="auto"/>
        <w:rPr>
          <w:rFonts w:ascii="Times New Roman" w:hAnsi="Times New Roman"/>
          <w:b/>
          <w:bCs/>
          <w:color w:val="000000"/>
          <w:kern w:val="0"/>
          <w:sz w:val="24"/>
          <w:szCs w:val="24"/>
        </w:rPr>
      </w:pPr>
      <w:r w:rsidRPr="00CE7FB1">
        <w:rPr>
          <w:rFonts w:ascii="Times New Roman" w:hAnsi="Times New Roman"/>
          <w:b/>
          <w:bCs/>
          <w:noProof/>
          <w:color w:val="000000"/>
          <w:kern w:val="0"/>
          <w:sz w:val="24"/>
          <w:szCs w:val="24"/>
        </w:rPr>
        <w:drawing>
          <wp:inline distT="0" distB="0" distL="0" distR="0" wp14:anchorId="39BA7B09" wp14:editId="0385136D">
            <wp:extent cx="5260340" cy="2664460"/>
            <wp:effectExtent l="0" t="0" r="0" b="2540"/>
            <wp:docPr id="6" name="图片 6" descr="../../../未命名文件夹%202/Figure%20修/supplemental/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未命名文件夹%202/Figure%20修/supplemental/s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0340" cy="2664460"/>
                    </a:xfrm>
                    <a:prstGeom prst="rect">
                      <a:avLst/>
                    </a:prstGeom>
                    <a:noFill/>
                    <a:ln>
                      <a:noFill/>
                    </a:ln>
                  </pic:spPr>
                </pic:pic>
              </a:graphicData>
            </a:graphic>
          </wp:inline>
        </w:drawing>
      </w:r>
    </w:p>
    <w:p w14:paraId="42E28510" w14:textId="7A5EA99A" w:rsidR="00371C10" w:rsidRPr="00CE7FB1" w:rsidRDefault="00BF4743" w:rsidP="00371C10">
      <w:pPr>
        <w:pStyle w:val="p1"/>
        <w:spacing w:line="480" w:lineRule="auto"/>
        <w:rPr>
          <w:rFonts w:ascii="Times New Roman" w:hAnsi="Times New Roman"/>
          <w:sz w:val="24"/>
          <w:szCs w:val="24"/>
        </w:rPr>
      </w:pPr>
      <w:r w:rsidRPr="00CE7FB1">
        <w:rPr>
          <w:rFonts w:ascii="Times New Roman" w:eastAsia="宋体" w:hAnsi="Times New Roman"/>
          <w:b/>
          <w:bCs/>
          <w:sz w:val="24"/>
          <w:szCs w:val="24"/>
        </w:rPr>
        <w:t>Fig S</w:t>
      </w:r>
      <w:r w:rsidR="00371C10" w:rsidRPr="00CE7FB1">
        <w:rPr>
          <w:rFonts w:ascii="Times New Roman" w:eastAsia="宋体" w:hAnsi="Times New Roman"/>
          <w:b/>
          <w:bCs/>
          <w:sz w:val="24"/>
          <w:szCs w:val="24"/>
        </w:rPr>
        <w:t>3</w:t>
      </w:r>
      <w:r w:rsidRPr="00CE7FB1">
        <w:rPr>
          <w:rFonts w:ascii="Times New Roman" w:eastAsia="宋体" w:hAnsi="Times New Roman"/>
          <w:b/>
          <w:bCs/>
          <w:sz w:val="24"/>
          <w:szCs w:val="24"/>
        </w:rPr>
        <w:t>. PPI network analysis cent</w:t>
      </w:r>
      <w:r w:rsidR="00344C0C" w:rsidRPr="00CE7FB1">
        <w:rPr>
          <w:rFonts w:ascii="Times New Roman" w:eastAsia="宋体" w:hAnsi="Times New Roman"/>
          <w:b/>
          <w:bCs/>
          <w:sz w:val="24"/>
          <w:szCs w:val="24"/>
        </w:rPr>
        <w:t>e</w:t>
      </w:r>
      <w:r w:rsidRPr="00CE7FB1">
        <w:rPr>
          <w:rFonts w:ascii="Times New Roman" w:eastAsia="宋体" w:hAnsi="Times New Roman"/>
          <w:b/>
          <w:bCs/>
          <w:sz w:val="24"/>
          <w:szCs w:val="24"/>
        </w:rPr>
        <w:t xml:space="preserve">red </w:t>
      </w:r>
      <w:r w:rsidR="00DE7E88" w:rsidRPr="00CE7FB1">
        <w:rPr>
          <w:rFonts w:ascii="Times New Roman" w:eastAsia="宋体" w:hAnsi="Times New Roman"/>
          <w:b/>
          <w:bCs/>
          <w:sz w:val="24"/>
          <w:szCs w:val="24"/>
        </w:rPr>
        <w:t xml:space="preserve">on </w:t>
      </w:r>
      <w:r w:rsidRPr="00CE7FB1">
        <w:rPr>
          <w:rFonts w:ascii="Times New Roman" w:eastAsia="宋体" w:hAnsi="Times New Roman"/>
          <w:b/>
          <w:bCs/>
          <w:sz w:val="24"/>
          <w:szCs w:val="24"/>
        </w:rPr>
        <w:t>RXRα.</w:t>
      </w:r>
      <w:r w:rsidR="00371C10" w:rsidRPr="00CE7FB1">
        <w:rPr>
          <w:rFonts w:ascii="Times New Roman" w:hAnsi="Times New Roman"/>
          <w:sz w:val="24"/>
          <w:szCs w:val="24"/>
        </w:rPr>
        <w:t xml:space="preserve"> a: Result</w:t>
      </w:r>
      <w:r w:rsidR="00DE7E88" w:rsidRPr="00CE7FB1">
        <w:rPr>
          <w:rFonts w:ascii="Times New Roman" w:hAnsi="Times New Roman"/>
          <w:sz w:val="24"/>
          <w:szCs w:val="24"/>
        </w:rPr>
        <w:t>s</w:t>
      </w:r>
      <w:r w:rsidR="00371C10" w:rsidRPr="00CE7FB1">
        <w:rPr>
          <w:rFonts w:ascii="Times New Roman" w:hAnsi="Times New Roman"/>
          <w:sz w:val="24"/>
          <w:szCs w:val="24"/>
        </w:rPr>
        <w:t xml:space="preserve"> of </w:t>
      </w:r>
      <w:r w:rsidR="00DE7E88" w:rsidRPr="00CE7FB1">
        <w:rPr>
          <w:rFonts w:ascii="Times New Roman" w:hAnsi="Times New Roman"/>
          <w:sz w:val="24"/>
          <w:szCs w:val="24"/>
        </w:rPr>
        <w:t xml:space="preserve">the </w:t>
      </w:r>
      <w:r w:rsidR="00371C10" w:rsidRPr="00CE7FB1">
        <w:rPr>
          <w:rFonts w:ascii="Times New Roman" w:hAnsi="Times New Roman"/>
          <w:sz w:val="24"/>
          <w:szCs w:val="24"/>
        </w:rPr>
        <w:t>PPI network analysis cent</w:t>
      </w:r>
      <w:r w:rsidR="00344C0C" w:rsidRPr="00CE7FB1">
        <w:rPr>
          <w:rFonts w:ascii="Times New Roman" w:hAnsi="Times New Roman"/>
          <w:sz w:val="24"/>
          <w:szCs w:val="24"/>
        </w:rPr>
        <w:t>e</w:t>
      </w:r>
      <w:r w:rsidR="00371C10" w:rsidRPr="00CE7FB1">
        <w:rPr>
          <w:rFonts w:ascii="Times New Roman" w:hAnsi="Times New Roman"/>
          <w:sz w:val="24"/>
          <w:szCs w:val="24"/>
        </w:rPr>
        <w:t>red by RXRα. The minimum required interaction score was 0.9</w:t>
      </w:r>
      <w:r w:rsidR="00DE7E88" w:rsidRPr="00CE7FB1">
        <w:rPr>
          <w:rFonts w:ascii="Times New Roman" w:hAnsi="Times New Roman"/>
          <w:sz w:val="24"/>
          <w:szCs w:val="24"/>
        </w:rPr>
        <w:t>,</w:t>
      </w:r>
      <w:r w:rsidR="00371C10" w:rsidRPr="00CE7FB1">
        <w:rPr>
          <w:rFonts w:ascii="Times New Roman" w:hAnsi="Times New Roman"/>
          <w:sz w:val="24"/>
          <w:szCs w:val="24"/>
        </w:rPr>
        <w:t xml:space="preserve"> and </w:t>
      </w:r>
      <w:r w:rsidR="00DE7E88" w:rsidRPr="00CE7FB1">
        <w:rPr>
          <w:rFonts w:ascii="Times New Roman" w:hAnsi="Times New Roman"/>
          <w:sz w:val="24"/>
          <w:szCs w:val="24"/>
        </w:rPr>
        <w:t xml:space="preserve">the </w:t>
      </w:r>
      <w:r w:rsidR="00371C10" w:rsidRPr="00CE7FB1">
        <w:rPr>
          <w:rFonts w:ascii="Times New Roman" w:hAnsi="Times New Roman"/>
          <w:sz w:val="24"/>
          <w:szCs w:val="24"/>
        </w:rPr>
        <w:t>max</w:t>
      </w:r>
      <w:r w:rsidR="00DE7E88" w:rsidRPr="00CE7FB1">
        <w:rPr>
          <w:rFonts w:ascii="Times New Roman" w:hAnsi="Times New Roman"/>
          <w:sz w:val="24"/>
          <w:szCs w:val="24"/>
        </w:rPr>
        <w:t>imum</w:t>
      </w:r>
      <w:r w:rsidR="00371C10" w:rsidRPr="00CE7FB1">
        <w:rPr>
          <w:rFonts w:ascii="Times New Roman" w:hAnsi="Times New Roman"/>
          <w:sz w:val="24"/>
          <w:szCs w:val="24"/>
        </w:rPr>
        <w:t xml:space="preserve"> number of interactors to show was 10. </w:t>
      </w:r>
      <w:r w:rsidR="00DE7E88" w:rsidRPr="00CE7FB1">
        <w:rPr>
          <w:rFonts w:ascii="Times New Roman" w:hAnsi="Times New Roman"/>
          <w:sz w:val="24"/>
          <w:szCs w:val="24"/>
        </w:rPr>
        <w:t>The l</w:t>
      </w:r>
      <w:r w:rsidR="00371C10" w:rsidRPr="00CE7FB1">
        <w:rPr>
          <w:rFonts w:ascii="Times New Roman" w:hAnsi="Times New Roman"/>
          <w:sz w:val="24"/>
          <w:szCs w:val="24"/>
        </w:rPr>
        <w:t xml:space="preserve">ine thickness indicates the </w:t>
      </w:r>
      <w:r w:rsidR="00371C10" w:rsidRPr="00CE7FB1">
        <w:rPr>
          <w:rFonts w:ascii="Times New Roman" w:hAnsi="Times New Roman"/>
          <w:sz w:val="24"/>
          <w:szCs w:val="24"/>
        </w:rPr>
        <w:lastRenderedPageBreak/>
        <w:t xml:space="preserve">strength of </w:t>
      </w:r>
      <w:r w:rsidR="00DE7E88" w:rsidRPr="00CE7FB1">
        <w:rPr>
          <w:rFonts w:ascii="Times New Roman" w:hAnsi="Times New Roman"/>
          <w:sz w:val="24"/>
          <w:szCs w:val="24"/>
        </w:rPr>
        <w:t xml:space="preserve">the </w:t>
      </w:r>
      <w:r w:rsidR="00371C10" w:rsidRPr="00CE7FB1">
        <w:rPr>
          <w:rFonts w:ascii="Times New Roman" w:hAnsi="Times New Roman"/>
          <w:sz w:val="24"/>
          <w:szCs w:val="24"/>
        </w:rPr>
        <w:t xml:space="preserve">data support, </w:t>
      </w:r>
      <w:r w:rsidR="00DE7E88" w:rsidRPr="00CE7FB1">
        <w:rPr>
          <w:rFonts w:ascii="Times New Roman" w:hAnsi="Times New Roman"/>
          <w:sz w:val="24"/>
          <w:szCs w:val="24"/>
        </w:rPr>
        <w:t xml:space="preserve">and the </w:t>
      </w:r>
      <w:r w:rsidR="00371C10" w:rsidRPr="00CE7FB1">
        <w:rPr>
          <w:rFonts w:ascii="Times New Roman" w:hAnsi="Times New Roman"/>
          <w:sz w:val="24"/>
          <w:szCs w:val="24"/>
        </w:rPr>
        <w:t>results inside the circle represent</w:t>
      </w:r>
      <w:r w:rsidR="00DE7E88" w:rsidRPr="00CE7FB1">
        <w:rPr>
          <w:rFonts w:ascii="Times New Roman" w:hAnsi="Times New Roman"/>
          <w:sz w:val="24"/>
          <w:szCs w:val="24"/>
        </w:rPr>
        <w:t xml:space="preserve"> the</w:t>
      </w:r>
      <w:r w:rsidR="00371C10" w:rsidRPr="00CE7FB1">
        <w:rPr>
          <w:rFonts w:ascii="Times New Roman" w:hAnsi="Times New Roman"/>
          <w:sz w:val="24"/>
          <w:szCs w:val="24"/>
        </w:rPr>
        <w:t xml:space="preserve"> protein structure. The </w:t>
      </w:r>
      <w:r w:rsidR="00DE7E88" w:rsidRPr="00CE7FB1">
        <w:rPr>
          <w:rFonts w:ascii="Times New Roman" w:hAnsi="Times New Roman"/>
          <w:sz w:val="24"/>
          <w:szCs w:val="24"/>
        </w:rPr>
        <w:t>n</w:t>
      </w:r>
      <w:r w:rsidR="00371C10" w:rsidRPr="00CE7FB1">
        <w:rPr>
          <w:rFonts w:ascii="Times New Roman" w:hAnsi="Times New Roman"/>
          <w:sz w:val="24"/>
          <w:szCs w:val="24"/>
        </w:rPr>
        <w:t xml:space="preserve">etwork is clustered </w:t>
      </w:r>
      <w:r w:rsidR="00DE7E88" w:rsidRPr="00CE7FB1">
        <w:rPr>
          <w:rFonts w:ascii="Times New Roman" w:hAnsi="Times New Roman"/>
          <w:sz w:val="24"/>
          <w:szCs w:val="24"/>
        </w:rPr>
        <w:t>in</w:t>
      </w:r>
      <w:r w:rsidR="00371C10" w:rsidRPr="00CE7FB1">
        <w:rPr>
          <w:rFonts w:ascii="Times New Roman" w:hAnsi="Times New Roman"/>
          <w:sz w:val="24"/>
          <w:szCs w:val="24"/>
        </w:rPr>
        <w:t xml:space="preserve">to 3 clusters and the </w:t>
      </w:r>
      <w:r w:rsidR="00F612B1" w:rsidRPr="00CE7FB1">
        <w:rPr>
          <w:rFonts w:ascii="Times New Roman" w:hAnsi="Times New Roman"/>
          <w:sz w:val="24"/>
          <w:szCs w:val="24"/>
        </w:rPr>
        <w:t>color</w:t>
      </w:r>
      <w:r w:rsidR="00371C10" w:rsidRPr="00CE7FB1">
        <w:rPr>
          <w:rFonts w:ascii="Times New Roman" w:hAnsi="Times New Roman"/>
          <w:sz w:val="24"/>
          <w:szCs w:val="24"/>
        </w:rPr>
        <w:t xml:space="preserve"> </w:t>
      </w:r>
      <w:r w:rsidR="00DE7E88" w:rsidRPr="00CE7FB1">
        <w:rPr>
          <w:rFonts w:ascii="Times New Roman" w:hAnsi="Times New Roman"/>
          <w:sz w:val="24"/>
          <w:szCs w:val="24"/>
        </w:rPr>
        <w:t>represents</w:t>
      </w:r>
      <w:r w:rsidR="00371C10" w:rsidRPr="00CE7FB1">
        <w:rPr>
          <w:rFonts w:ascii="Times New Roman" w:hAnsi="Times New Roman"/>
          <w:sz w:val="24"/>
          <w:szCs w:val="24"/>
        </w:rPr>
        <w:t xml:space="preserve"> different cluster. b: Result</w:t>
      </w:r>
      <w:r w:rsidR="00DE7E88" w:rsidRPr="00CE7FB1">
        <w:rPr>
          <w:rFonts w:ascii="Times New Roman" w:hAnsi="Times New Roman"/>
          <w:sz w:val="24"/>
          <w:szCs w:val="24"/>
        </w:rPr>
        <w:t>s</w:t>
      </w:r>
      <w:r w:rsidR="00371C10" w:rsidRPr="00CE7FB1">
        <w:rPr>
          <w:rFonts w:ascii="Times New Roman" w:hAnsi="Times New Roman"/>
          <w:sz w:val="24"/>
          <w:szCs w:val="24"/>
        </w:rPr>
        <w:t xml:space="preserve"> of </w:t>
      </w:r>
      <w:r w:rsidR="00DE7E88" w:rsidRPr="00CE7FB1">
        <w:rPr>
          <w:rFonts w:ascii="Times New Roman" w:hAnsi="Times New Roman"/>
          <w:sz w:val="24"/>
          <w:szCs w:val="24"/>
        </w:rPr>
        <w:t xml:space="preserve">the </w:t>
      </w:r>
      <w:r w:rsidR="00371C10" w:rsidRPr="00CE7FB1">
        <w:rPr>
          <w:rFonts w:ascii="Times New Roman" w:hAnsi="Times New Roman"/>
          <w:sz w:val="24"/>
          <w:szCs w:val="24"/>
        </w:rPr>
        <w:t>KEGG pathway enrichment</w:t>
      </w:r>
      <w:r w:rsidR="00DE7E88" w:rsidRPr="00CE7FB1">
        <w:rPr>
          <w:rFonts w:ascii="Times New Roman" w:hAnsi="Times New Roman"/>
          <w:sz w:val="24"/>
          <w:szCs w:val="24"/>
        </w:rPr>
        <w:t xml:space="preserve"> analysis</w:t>
      </w:r>
      <w:r w:rsidR="00371C10" w:rsidRPr="00CE7FB1">
        <w:rPr>
          <w:rFonts w:ascii="Times New Roman" w:hAnsi="Times New Roman"/>
          <w:sz w:val="24"/>
          <w:szCs w:val="24"/>
        </w:rPr>
        <w:t xml:space="preserve"> of proteins</w:t>
      </w:r>
      <w:r w:rsidR="00DE7E88" w:rsidRPr="00CE7FB1">
        <w:rPr>
          <w:rFonts w:ascii="Times New Roman" w:hAnsi="Times New Roman"/>
          <w:sz w:val="24"/>
          <w:szCs w:val="24"/>
        </w:rPr>
        <w:t xml:space="preserve"> of interest</w:t>
      </w:r>
      <w:r w:rsidR="00371C10" w:rsidRPr="00CE7FB1">
        <w:rPr>
          <w:rFonts w:ascii="Times New Roman" w:hAnsi="Times New Roman"/>
          <w:sz w:val="24"/>
          <w:szCs w:val="24"/>
        </w:rPr>
        <w:t>. Red represent</w:t>
      </w:r>
      <w:r w:rsidR="00DE7E88" w:rsidRPr="00CE7FB1">
        <w:rPr>
          <w:rFonts w:ascii="Times New Roman" w:hAnsi="Times New Roman"/>
          <w:sz w:val="24"/>
          <w:szCs w:val="24"/>
        </w:rPr>
        <w:t>s</w:t>
      </w:r>
      <w:r w:rsidR="00371C10" w:rsidRPr="00CE7FB1">
        <w:rPr>
          <w:rFonts w:ascii="Times New Roman" w:hAnsi="Times New Roman"/>
          <w:sz w:val="24"/>
          <w:szCs w:val="24"/>
        </w:rPr>
        <w:t xml:space="preserve"> the most interest</w:t>
      </w:r>
      <w:r w:rsidR="00DE7E88" w:rsidRPr="00CE7FB1">
        <w:rPr>
          <w:rFonts w:ascii="Times New Roman" w:hAnsi="Times New Roman"/>
          <w:sz w:val="24"/>
          <w:szCs w:val="24"/>
        </w:rPr>
        <w:t>ing</w:t>
      </w:r>
      <w:r w:rsidR="00371C10" w:rsidRPr="00CE7FB1">
        <w:rPr>
          <w:rFonts w:ascii="Times New Roman" w:hAnsi="Times New Roman"/>
          <w:sz w:val="24"/>
          <w:szCs w:val="24"/>
        </w:rPr>
        <w:t xml:space="preserve"> proteins and yellow represent</w:t>
      </w:r>
      <w:r w:rsidR="00DE7E88" w:rsidRPr="00CE7FB1">
        <w:rPr>
          <w:rFonts w:ascii="Times New Roman" w:hAnsi="Times New Roman"/>
          <w:sz w:val="24"/>
          <w:szCs w:val="24"/>
        </w:rPr>
        <w:t>s</w:t>
      </w:r>
      <w:r w:rsidR="00371C10" w:rsidRPr="00CE7FB1">
        <w:rPr>
          <w:rFonts w:ascii="Times New Roman" w:hAnsi="Times New Roman"/>
          <w:sz w:val="24"/>
          <w:szCs w:val="24"/>
        </w:rPr>
        <w:t xml:space="preserve"> other CD related proteins.</w:t>
      </w:r>
    </w:p>
    <w:p w14:paraId="71B62F57" w14:textId="5C6CFF8B" w:rsidR="00BF4743" w:rsidRPr="00CE7FB1" w:rsidRDefault="00F77ED8" w:rsidP="00F77ED8">
      <w:pPr>
        <w:widowControl/>
        <w:spacing w:line="480"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F</w:t>
      </w:r>
      <w:r w:rsidRPr="00CE7FB1">
        <w:rPr>
          <w:rFonts w:ascii="Times New Roman" w:hAnsi="Times New Roman"/>
          <w:b/>
          <w:bCs/>
          <w:color w:val="000000"/>
          <w:kern w:val="0"/>
          <w:sz w:val="24"/>
          <w:szCs w:val="24"/>
        </w:rPr>
        <w:t>ig S4</w:t>
      </w:r>
    </w:p>
    <w:p w14:paraId="7543013B" w14:textId="665B986A" w:rsidR="00C01297" w:rsidRPr="00CE7FB1" w:rsidRDefault="00F77ED8" w:rsidP="005902E1">
      <w:pPr>
        <w:spacing w:line="480" w:lineRule="auto"/>
        <w:rPr>
          <w:rFonts w:ascii="Times New Roman" w:eastAsia="宋体" w:hAnsi="Times New Roman"/>
          <w:sz w:val="24"/>
          <w:szCs w:val="24"/>
        </w:rPr>
      </w:pPr>
      <w:r w:rsidRPr="00CE7FB1">
        <w:rPr>
          <w:noProof/>
        </w:rPr>
        <w:drawing>
          <wp:inline distT="0" distB="0" distL="0" distR="0" wp14:anchorId="07F1812E" wp14:editId="1899FBBF">
            <wp:extent cx="5260340" cy="4312285"/>
            <wp:effectExtent l="0" t="0" r="0" b="5715"/>
            <wp:docPr id="7" name="图片 7" descr="../../../未命名文件夹%202/Figure%20修/supplemental/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未命名文件夹%202/Figure%20修/supplemental/S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0340" cy="4312285"/>
                    </a:xfrm>
                    <a:prstGeom prst="rect">
                      <a:avLst/>
                    </a:prstGeom>
                    <a:noFill/>
                    <a:ln>
                      <a:noFill/>
                    </a:ln>
                  </pic:spPr>
                </pic:pic>
              </a:graphicData>
            </a:graphic>
          </wp:inline>
        </w:drawing>
      </w:r>
    </w:p>
    <w:p w14:paraId="6BB57538" w14:textId="20A129AC" w:rsidR="009E71E5" w:rsidRPr="00CE7FB1" w:rsidRDefault="00C01297" w:rsidP="005D6C6B">
      <w:pPr>
        <w:autoSpaceDE w:val="0"/>
        <w:autoSpaceDN w:val="0"/>
        <w:adjustRightInd w:val="0"/>
        <w:spacing w:line="480" w:lineRule="auto"/>
        <w:jc w:val="left"/>
        <w:rPr>
          <w:rFonts w:ascii="Times New Roman" w:eastAsia="TimesNewRomanPSMT" w:hAnsi="Times New Roman"/>
          <w:kern w:val="0"/>
          <w:sz w:val="24"/>
          <w:szCs w:val="24"/>
        </w:rPr>
      </w:pPr>
      <w:r w:rsidRPr="00CE7FB1">
        <w:rPr>
          <w:rFonts w:ascii="Times New Roman" w:eastAsia="宋体" w:hAnsi="Times New Roman" w:hint="eastAsia"/>
          <w:b/>
          <w:bCs/>
          <w:sz w:val="24"/>
          <w:szCs w:val="24"/>
        </w:rPr>
        <w:t>F</w:t>
      </w:r>
      <w:r w:rsidRPr="00CE7FB1">
        <w:rPr>
          <w:rFonts w:ascii="Times New Roman" w:eastAsia="宋体" w:hAnsi="Times New Roman"/>
          <w:b/>
          <w:bCs/>
          <w:sz w:val="24"/>
          <w:szCs w:val="24"/>
        </w:rPr>
        <w:t>ig S</w:t>
      </w:r>
      <w:r w:rsidR="00B00105" w:rsidRPr="00CE7FB1">
        <w:rPr>
          <w:rFonts w:ascii="Times New Roman" w:eastAsia="宋体" w:hAnsi="Times New Roman"/>
          <w:b/>
          <w:bCs/>
          <w:sz w:val="24"/>
          <w:szCs w:val="24"/>
        </w:rPr>
        <w:t>4</w:t>
      </w:r>
      <w:r w:rsidRPr="00CE7FB1">
        <w:rPr>
          <w:rFonts w:ascii="Times New Roman" w:eastAsia="宋体" w:hAnsi="Times New Roman"/>
          <w:b/>
          <w:bCs/>
          <w:sz w:val="24"/>
          <w:szCs w:val="24"/>
        </w:rPr>
        <w:t xml:space="preserve">. BEXA and LAPA synergistically inhibit AtT20 cell proliferation via the inactivation of </w:t>
      </w:r>
      <w:r w:rsidR="00A03F3C" w:rsidRPr="00CE7FB1">
        <w:rPr>
          <w:rFonts w:ascii="Times New Roman" w:eastAsia="宋体" w:hAnsi="Times New Roman"/>
          <w:b/>
          <w:bCs/>
          <w:sz w:val="24"/>
          <w:szCs w:val="24"/>
        </w:rPr>
        <w:t xml:space="preserve">the </w:t>
      </w:r>
      <w:r w:rsidRPr="00CE7FB1">
        <w:rPr>
          <w:rFonts w:ascii="Times New Roman" w:eastAsia="宋体" w:hAnsi="Times New Roman"/>
          <w:b/>
          <w:bCs/>
          <w:sz w:val="24"/>
          <w:szCs w:val="24"/>
        </w:rPr>
        <w:t>PI3K-AKT signaling pathway.</w:t>
      </w:r>
      <w:r w:rsidRPr="00CE7FB1">
        <w:rPr>
          <w:rFonts w:ascii="Times New Roman" w:eastAsia="宋体" w:hAnsi="Times New Roman"/>
        </w:rPr>
        <w:t xml:space="preserve"> </w:t>
      </w:r>
      <w:proofErr w:type="spellStart"/>
      <w:r w:rsidRPr="00CE7FB1">
        <w:rPr>
          <w:rFonts w:ascii="Times New Roman" w:eastAsia="宋体" w:hAnsi="Times New Roman"/>
          <w:b/>
        </w:rPr>
        <w:t>a</w:t>
      </w:r>
      <w:proofErr w:type="spellEnd"/>
      <w:r w:rsidRPr="00CE7FB1">
        <w:rPr>
          <w:rFonts w:ascii="Times New Roman" w:eastAsia="宋体" w:hAnsi="Times New Roman"/>
          <w:b/>
        </w:rPr>
        <w:t xml:space="preserve"> </w:t>
      </w:r>
      <w:r w:rsidRPr="00CE7FB1">
        <w:rPr>
          <w:rFonts w:ascii="Times New Roman" w:eastAsia="TimesNewRomanPSMT" w:hAnsi="Times New Roman"/>
          <w:kern w:val="0"/>
          <w:sz w:val="24"/>
          <w:szCs w:val="24"/>
        </w:rPr>
        <w:t xml:space="preserve">AtT-20 cells were seeded </w:t>
      </w:r>
      <w:r w:rsidR="00A03F3C" w:rsidRPr="00CE7FB1">
        <w:rPr>
          <w:rFonts w:ascii="Times New Roman" w:eastAsia="TimesNewRomanPSMT" w:hAnsi="Times New Roman"/>
          <w:kern w:val="0"/>
          <w:sz w:val="24"/>
          <w:szCs w:val="24"/>
        </w:rPr>
        <w:t>onto</w:t>
      </w:r>
      <w:r w:rsidRPr="00CE7FB1">
        <w:rPr>
          <w:rFonts w:ascii="Times New Roman" w:eastAsia="TimesNewRomanPSMT" w:hAnsi="Times New Roman"/>
          <w:kern w:val="0"/>
          <w:sz w:val="24"/>
          <w:szCs w:val="24"/>
        </w:rPr>
        <w:t xml:space="preserve"> 96-well plates at </w:t>
      </w:r>
      <w:r w:rsidR="00A03F3C" w:rsidRPr="00CE7FB1">
        <w:rPr>
          <w:rFonts w:ascii="Times New Roman" w:eastAsia="TimesNewRomanPSMT" w:hAnsi="Times New Roman"/>
          <w:kern w:val="0"/>
          <w:sz w:val="24"/>
          <w:szCs w:val="24"/>
        </w:rPr>
        <w:t>a</w:t>
      </w:r>
      <w:r w:rsidRPr="00CE7FB1">
        <w:rPr>
          <w:rFonts w:ascii="Times New Roman" w:eastAsia="TimesNewRomanPSMT" w:hAnsi="Times New Roman"/>
          <w:kern w:val="0"/>
          <w:sz w:val="24"/>
          <w:szCs w:val="24"/>
        </w:rPr>
        <w:t xml:space="preserve"> concentration of 2000 cells per well and incubated with BEXA, LAPA or the combination of BEXA/LAPA for next 72 </w:t>
      </w:r>
      <w:r w:rsidR="00A03F3C" w:rsidRPr="00CE7FB1">
        <w:rPr>
          <w:rFonts w:ascii="Times New Roman" w:eastAsia="TimesNewRomanPSMT" w:hAnsi="Times New Roman"/>
          <w:kern w:val="0"/>
          <w:sz w:val="24"/>
          <w:szCs w:val="24"/>
        </w:rPr>
        <w:t>h</w:t>
      </w:r>
      <w:r w:rsidRPr="00CE7FB1">
        <w:rPr>
          <w:rFonts w:ascii="Times New Roman" w:eastAsia="TimesNewRomanPSMT" w:hAnsi="Times New Roman"/>
          <w:kern w:val="0"/>
          <w:sz w:val="24"/>
          <w:szCs w:val="24"/>
        </w:rPr>
        <w:t xml:space="preserve">. Cell survival rate was assessed using </w:t>
      </w:r>
      <w:r w:rsidR="00A03F3C" w:rsidRPr="00CE7FB1">
        <w:rPr>
          <w:rFonts w:ascii="Times New Roman" w:eastAsia="TimesNewRomanPSMT" w:hAnsi="Times New Roman"/>
          <w:kern w:val="0"/>
          <w:sz w:val="24"/>
          <w:szCs w:val="24"/>
        </w:rPr>
        <w:t xml:space="preserve">the </w:t>
      </w:r>
      <w:r w:rsidRPr="00CE7FB1">
        <w:rPr>
          <w:rFonts w:ascii="Times New Roman" w:eastAsia="TimesNewRomanPSMT" w:hAnsi="Times New Roman"/>
          <w:kern w:val="0"/>
          <w:sz w:val="24"/>
          <w:szCs w:val="24"/>
        </w:rPr>
        <w:t xml:space="preserve">CCK-8 assay according to the ratio of </w:t>
      </w:r>
      <w:r w:rsidR="00A03F3C" w:rsidRPr="00CE7FB1">
        <w:rPr>
          <w:rFonts w:ascii="Times New Roman" w:eastAsia="TimesNewRomanPSMT" w:hAnsi="Times New Roman"/>
          <w:kern w:val="0"/>
          <w:sz w:val="24"/>
          <w:szCs w:val="24"/>
        </w:rPr>
        <w:t xml:space="preserve">the </w:t>
      </w:r>
      <w:r w:rsidRPr="00CE7FB1">
        <w:rPr>
          <w:rFonts w:ascii="Times New Roman" w:eastAsia="TimesNewRomanPSMT" w:hAnsi="Times New Roman"/>
          <w:kern w:val="0"/>
          <w:sz w:val="24"/>
          <w:szCs w:val="24"/>
        </w:rPr>
        <w:t xml:space="preserve">OD value in cells </w:t>
      </w:r>
      <w:r w:rsidR="00A03F3C" w:rsidRPr="00CE7FB1">
        <w:rPr>
          <w:rFonts w:ascii="Times New Roman" w:eastAsia="TimesNewRomanPSMT" w:hAnsi="Times New Roman"/>
          <w:kern w:val="0"/>
          <w:sz w:val="24"/>
          <w:szCs w:val="24"/>
        </w:rPr>
        <w:t xml:space="preserve">treated </w:t>
      </w:r>
      <w:r w:rsidRPr="00CE7FB1">
        <w:rPr>
          <w:rFonts w:ascii="Times New Roman" w:eastAsia="TimesNewRomanPSMT" w:hAnsi="Times New Roman"/>
          <w:kern w:val="0"/>
          <w:sz w:val="24"/>
          <w:szCs w:val="24"/>
        </w:rPr>
        <w:lastRenderedPageBreak/>
        <w:t xml:space="preserve">with </w:t>
      </w:r>
      <w:r w:rsidR="00A03F3C" w:rsidRPr="00CE7FB1">
        <w:rPr>
          <w:rFonts w:ascii="Times New Roman" w:eastAsia="TimesNewRomanPSMT" w:hAnsi="Times New Roman"/>
          <w:kern w:val="0"/>
          <w:sz w:val="24"/>
          <w:szCs w:val="24"/>
        </w:rPr>
        <w:t>the</w:t>
      </w:r>
      <w:r w:rsidRPr="00CE7FB1">
        <w:rPr>
          <w:rFonts w:ascii="Times New Roman" w:eastAsia="TimesNewRomanPSMT" w:hAnsi="Times New Roman"/>
          <w:kern w:val="0"/>
          <w:sz w:val="24"/>
          <w:szCs w:val="24"/>
        </w:rPr>
        <w:t xml:space="preserve"> indicat</w:t>
      </w:r>
      <w:r w:rsidR="00A03F3C" w:rsidRPr="00CE7FB1">
        <w:rPr>
          <w:rFonts w:ascii="Times New Roman" w:eastAsia="TimesNewRomanPSMT" w:hAnsi="Times New Roman"/>
          <w:kern w:val="0"/>
          <w:sz w:val="24"/>
          <w:szCs w:val="24"/>
        </w:rPr>
        <w:t>ed</w:t>
      </w:r>
      <w:r w:rsidRPr="00CE7FB1">
        <w:rPr>
          <w:rFonts w:ascii="Times New Roman" w:eastAsia="TimesNewRomanPSMT" w:hAnsi="Times New Roman"/>
          <w:kern w:val="0"/>
          <w:sz w:val="24"/>
          <w:szCs w:val="24"/>
        </w:rPr>
        <w:t xml:space="preserve"> </w:t>
      </w:r>
      <w:r w:rsidR="00A03F3C" w:rsidRPr="00CE7FB1">
        <w:rPr>
          <w:rFonts w:ascii="Times New Roman" w:eastAsia="TimesNewRomanPSMT" w:hAnsi="Times New Roman"/>
          <w:kern w:val="0"/>
          <w:sz w:val="24"/>
          <w:szCs w:val="24"/>
        </w:rPr>
        <w:t>drugs</w:t>
      </w:r>
      <w:r w:rsidRPr="00CE7FB1">
        <w:rPr>
          <w:rFonts w:ascii="Times New Roman" w:eastAsia="TimesNewRomanPSMT" w:hAnsi="Times New Roman"/>
          <w:kern w:val="0"/>
          <w:sz w:val="24"/>
          <w:szCs w:val="24"/>
        </w:rPr>
        <w:t xml:space="preserve"> to the control cells in three independent experiments with three replicates each.</w:t>
      </w:r>
      <w:r w:rsidRPr="00CE7FB1">
        <w:rPr>
          <w:rFonts w:ascii="Times New Roman" w:eastAsia="TimesNewRomanPSMT" w:hAnsi="Times New Roman"/>
          <w:kern w:val="0"/>
        </w:rPr>
        <w:t xml:space="preserve"> </w:t>
      </w:r>
      <w:r w:rsidRPr="00CE7FB1">
        <w:rPr>
          <w:rFonts w:ascii="Times New Roman" w:eastAsia="TimesNewRomanPSMT" w:hAnsi="Times New Roman"/>
          <w:kern w:val="0"/>
          <w:sz w:val="24"/>
          <w:szCs w:val="24"/>
        </w:rPr>
        <w:t xml:space="preserve">Cells treated with the combined BEXA/LAPA </w:t>
      </w:r>
      <w:r w:rsidR="00A03F3C" w:rsidRPr="00CE7FB1">
        <w:rPr>
          <w:rFonts w:ascii="Times New Roman" w:eastAsia="TimesNewRomanPSMT" w:hAnsi="Times New Roman"/>
          <w:kern w:val="0"/>
          <w:sz w:val="24"/>
          <w:szCs w:val="24"/>
        </w:rPr>
        <w:t xml:space="preserve">indicated the </w:t>
      </w:r>
      <w:r w:rsidRPr="00CE7FB1">
        <w:rPr>
          <w:rFonts w:ascii="Times New Roman" w:eastAsia="TimesNewRomanPSMT" w:hAnsi="Times New Roman"/>
          <w:kern w:val="0"/>
          <w:sz w:val="24"/>
          <w:szCs w:val="24"/>
        </w:rPr>
        <w:t xml:space="preserve">concentration compared with </w:t>
      </w:r>
      <w:r w:rsidR="00A03F3C" w:rsidRPr="00CE7FB1">
        <w:rPr>
          <w:rFonts w:ascii="Times New Roman" w:eastAsia="TimesNewRomanPSMT" w:hAnsi="Times New Roman"/>
          <w:kern w:val="0"/>
          <w:sz w:val="24"/>
          <w:szCs w:val="24"/>
        </w:rPr>
        <w:t>those</w:t>
      </w:r>
      <w:r w:rsidRPr="00CE7FB1">
        <w:rPr>
          <w:rFonts w:ascii="Times New Roman" w:eastAsia="TimesNewRomanPSMT" w:hAnsi="Times New Roman"/>
          <w:kern w:val="0"/>
          <w:sz w:val="24"/>
          <w:szCs w:val="24"/>
        </w:rPr>
        <w:t xml:space="preserve"> treated with BEXA alone, *</w:t>
      </w:r>
      <w:r w:rsidR="00A03F3C" w:rsidRPr="00CE7FB1">
        <w:rPr>
          <w:rFonts w:ascii="Times New Roman" w:eastAsia="TimesNewRomanPSMT" w:hAnsi="Times New Roman"/>
          <w:kern w:val="0"/>
          <w:sz w:val="24"/>
          <w:szCs w:val="24"/>
        </w:rPr>
        <w:t>p</w:t>
      </w:r>
      <w:r w:rsidRPr="00CE7FB1">
        <w:rPr>
          <w:rFonts w:ascii="Times New Roman" w:eastAsia="TimesNewRomanPSMT" w:hAnsi="Times New Roman"/>
          <w:kern w:val="0"/>
          <w:sz w:val="24"/>
          <w:szCs w:val="24"/>
        </w:rPr>
        <w:t>&lt;0.05, **</w:t>
      </w:r>
      <w:r w:rsidR="00A03F3C" w:rsidRPr="00CE7FB1">
        <w:rPr>
          <w:rFonts w:ascii="Times New Roman" w:eastAsia="TimesNewRomanPSMT" w:hAnsi="Times New Roman"/>
          <w:kern w:val="0"/>
          <w:sz w:val="24"/>
          <w:szCs w:val="24"/>
        </w:rPr>
        <w:t>p</w:t>
      </w:r>
      <w:r w:rsidRPr="00CE7FB1">
        <w:rPr>
          <w:rFonts w:ascii="Times New Roman" w:eastAsia="TimesNewRomanPSMT" w:hAnsi="Times New Roman"/>
          <w:kern w:val="0"/>
          <w:sz w:val="24"/>
          <w:szCs w:val="24"/>
        </w:rPr>
        <w:t>&lt;0.01 and #</w:t>
      </w:r>
      <w:r w:rsidR="00A03F3C" w:rsidRPr="00CE7FB1">
        <w:rPr>
          <w:rFonts w:ascii="Times New Roman" w:eastAsia="TimesNewRomanPSMT" w:hAnsi="Times New Roman"/>
          <w:kern w:val="0"/>
          <w:sz w:val="24"/>
          <w:szCs w:val="24"/>
        </w:rPr>
        <w:t>p</w:t>
      </w:r>
      <w:r w:rsidRPr="00CE7FB1">
        <w:rPr>
          <w:rFonts w:ascii="Times New Roman" w:eastAsia="TimesNewRomanPSMT" w:hAnsi="Times New Roman"/>
          <w:kern w:val="0"/>
          <w:sz w:val="24"/>
          <w:szCs w:val="24"/>
        </w:rPr>
        <w:t>&lt;0.001.</w:t>
      </w:r>
      <w:r w:rsidRPr="00CE7FB1">
        <w:rPr>
          <w:rFonts w:ascii="Times New Roman" w:eastAsia="TimesNewRomanPSMT" w:hAnsi="Times New Roman"/>
          <w:kern w:val="0"/>
        </w:rPr>
        <w:t xml:space="preserve"> </w:t>
      </w:r>
      <w:r w:rsidRPr="00CE7FB1">
        <w:rPr>
          <w:rFonts w:ascii="Times New Roman" w:eastAsia="宋体" w:hAnsi="Times New Roman"/>
          <w:b/>
        </w:rPr>
        <w:t xml:space="preserve">b </w:t>
      </w:r>
      <w:r w:rsidRPr="00CE7FB1">
        <w:rPr>
          <w:rFonts w:ascii="Times New Roman" w:hAnsi="Times New Roman"/>
          <w:sz w:val="24"/>
        </w:rPr>
        <w:t xml:space="preserve">Quiescent cells </w:t>
      </w:r>
      <w:r w:rsidR="00A03F3C" w:rsidRPr="00CE7FB1">
        <w:rPr>
          <w:rFonts w:ascii="Times New Roman" w:hAnsi="Times New Roman"/>
          <w:sz w:val="24"/>
        </w:rPr>
        <w:t xml:space="preserve">were incubated with the indicated drugs </w:t>
      </w:r>
      <w:r w:rsidRPr="00CE7FB1">
        <w:rPr>
          <w:rFonts w:ascii="Times New Roman" w:eastAsia="TimesNewRomanPSMT" w:hAnsi="Times New Roman"/>
          <w:kern w:val="0"/>
          <w:sz w:val="24"/>
          <w:szCs w:val="24"/>
        </w:rPr>
        <w:t xml:space="preserve">for 8 h at the indicating concentrations and then </w:t>
      </w:r>
      <w:r w:rsidR="00A03F3C" w:rsidRPr="00CE7FB1">
        <w:rPr>
          <w:rFonts w:ascii="Times New Roman" w:eastAsia="TimesNewRomanPSMT" w:hAnsi="Times New Roman"/>
          <w:kern w:val="0"/>
          <w:sz w:val="24"/>
          <w:szCs w:val="24"/>
        </w:rPr>
        <w:t>immediately</w:t>
      </w:r>
      <w:r w:rsidRPr="00CE7FB1">
        <w:rPr>
          <w:rFonts w:ascii="Times New Roman" w:hAnsi="Times New Roman"/>
          <w:sz w:val="24"/>
          <w:szCs w:val="24"/>
        </w:rPr>
        <w:t xml:space="preserve"> fixed and permeabilized</w:t>
      </w:r>
      <w:r w:rsidRPr="00CE7FB1">
        <w:rPr>
          <w:rFonts w:ascii="Times New Roman" w:eastAsia="TimesNewRomanPSMT" w:hAnsi="Times New Roman"/>
          <w:kern w:val="0"/>
          <w:sz w:val="24"/>
          <w:szCs w:val="24"/>
        </w:rPr>
        <w:t xml:space="preserve">. </w:t>
      </w:r>
      <w:r w:rsidR="00A03F3C" w:rsidRPr="00CE7FB1">
        <w:rPr>
          <w:rFonts w:ascii="Times New Roman" w:eastAsia="TimesNewRomanPSMT" w:hAnsi="Times New Roman"/>
          <w:kern w:val="0"/>
          <w:sz w:val="24"/>
          <w:szCs w:val="24"/>
        </w:rPr>
        <w:t xml:space="preserve">An </w:t>
      </w:r>
      <w:proofErr w:type="spellStart"/>
      <w:r w:rsidRPr="00CE7FB1">
        <w:rPr>
          <w:rFonts w:ascii="Times New Roman" w:hAnsi="Times New Roman"/>
          <w:sz w:val="24"/>
          <w:szCs w:val="24"/>
        </w:rPr>
        <w:t>EdU</w:t>
      </w:r>
      <w:proofErr w:type="spellEnd"/>
      <w:r w:rsidRPr="00CE7FB1">
        <w:rPr>
          <w:rFonts w:ascii="Times New Roman" w:hAnsi="Times New Roman"/>
          <w:sz w:val="24"/>
          <w:szCs w:val="24"/>
        </w:rPr>
        <w:t xml:space="preserve"> incorporation assay was used to detect the DNA incorporation rate. Green fluorescen</w:t>
      </w:r>
      <w:r w:rsidR="00A03F3C" w:rsidRPr="00CE7FB1">
        <w:rPr>
          <w:rFonts w:ascii="Times New Roman" w:hAnsi="Times New Roman"/>
          <w:sz w:val="24"/>
          <w:szCs w:val="24"/>
        </w:rPr>
        <w:t>ce</w:t>
      </w:r>
      <w:r w:rsidRPr="00CE7FB1">
        <w:rPr>
          <w:rFonts w:ascii="Times New Roman" w:hAnsi="Times New Roman"/>
          <w:sz w:val="24"/>
          <w:szCs w:val="24"/>
        </w:rPr>
        <w:t xml:space="preserve"> indicates the positive cells (DNA incorporation</w:t>
      </w:r>
      <w:proofErr w:type="gramStart"/>
      <w:r w:rsidRPr="00CE7FB1">
        <w:rPr>
          <w:rFonts w:ascii="Times New Roman" w:hAnsi="Times New Roman"/>
          <w:sz w:val="24"/>
          <w:szCs w:val="24"/>
        </w:rPr>
        <w:t xml:space="preserve">) </w:t>
      </w:r>
      <w:r w:rsidR="00A03F3C" w:rsidRPr="00CE7FB1">
        <w:rPr>
          <w:rFonts w:ascii="Times New Roman" w:hAnsi="Times New Roman"/>
          <w:sz w:val="24"/>
          <w:szCs w:val="24"/>
        </w:rPr>
        <w:t>,</w:t>
      </w:r>
      <w:proofErr w:type="gramEnd"/>
      <w:r w:rsidR="00A03F3C" w:rsidRPr="00CE7FB1">
        <w:rPr>
          <w:rFonts w:ascii="Times New Roman" w:hAnsi="Times New Roman"/>
          <w:sz w:val="24"/>
          <w:szCs w:val="24"/>
        </w:rPr>
        <w:t xml:space="preserve"> </w:t>
      </w:r>
      <w:r w:rsidRPr="00CE7FB1">
        <w:rPr>
          <w:rFonts w:ascii="Times New Roman" w:hAnsi="Times New Roman"/>
          <w:sz w:val="24"/>
          <w:szCs w:val="24"/>
        </w:rPr>
        <w:t>and DAPI was employed to detect the nuclei.</w:t>
      </w:r>
      <w:r w:rsidRPr="00CE7FB1">
        <w:rPr>
          <w:rFonts w:ascii="Times New Roman" w:hAnsi="Times New Roman"/>
        </w:rPr>
        <w:t xml:space="preserve"> </w:t>
      </w:r>
      <w:r w:rsidRPr="00CE7FB1">
        <w:rPr>
          <w:rFonts w:ascii="Times New Roman" w:eastAsia="宋体" w:hAnsi="Times New Roman"/>
          <w:bCs/>
        </w:rPr>
        <w:t>c,</w:t>
      </w:r>
      <w:r w:rsidR="00EC55DE" w:rsidRPr="00CE7FB1">
        <w:rPr>
          <w:rFonts w:ascii="Times New Roman" w:eastAsia="宋体" w:hAnsi="Times New Roman"/>
          <w:bCs/>
        </w:rPr>
        <w:t xml:space="preserve"> </w:t>
      </w:r>
      <w:r w:rsidRPr="00CE7FB1">
        <w:rPr>
          <w:rFonts w:ascii="Times New Roman" w:eastAsia="宋体" w:hAnsi="Times New Roman"/>
          <w:bCs/>
        </w:rPr>
        <w:t>d</w:t>
      </w:r>
      <w:r w:rsidR="00A03F3C" w:rsidRPr="00CE7FB1">
        <w:rPr>
          <w:rFonts w:ascii="Times New Roman" w:eastAsia="宋体" w:hAnsi="Times New Roman"/>
          <w:bCs/>
        </w:rPr>
        <w:t>.</w:t>
      </w:r>
      <w:r w:rsidRPr="00CE7FB1">
        <w:rPr>
          <w:rFonts w:ascii="Times New Roman" w:eastAsia="宋体" w:hAnsi="Times New Roman"/>
          <w:b/>
        </w:rPr>
        <w:t xml:space="preserve"> </w:t>
      </w:r>
      <w:r w:rsidRPr="00CE7FB1">
        <w:rPr>
          <w:rFonts w:ascii="Times New Roman" w:eastAsia="TimesNewRomanPSMT" w:hAnsi="Times New Roman"/>
          <w:kern w:val="0"/>
          <w:sz w:val="24"/>
          <w:szCs w:val="24"/>
        </w:rPr>
        <w:t xml:space="preserve">Representative Western blot images </w:t>
      </w:r>
      <w:r w:rsidR="00A03F3C" w:rsidRPr="00CE7FB1">
        <w:rPr>
          <w:rFonts w:ascii="Times New Roman" w:eastAsia="TimesNewRomanPSMT" w:hAnsi="Times New Roman"/>
          <w:kern w:val="0"/>
          <w:sz w:val="24"/>
          <w:szCs w:val="24"/>
        </w:rPr>
        <w:t>of</w:t>
      </w:r>
      <w:r w:rsidRPr="00CE7FB1">
        <w:rPr>
          <w:rFonts w:ascii="Times New Roman" w:eastAsia="TimesNewRomanPSMT" w:hAnsi="Times New Roman"/>
          <w:kern w:val="0"/>
          <w:sz w:val="24"/>
          <w:szCs w:val="24"/>
        </w:rPr>
        <w:t xml:space="preserve"> the expression and phosphorylation of JNK, </w:t>
      </w:r>
      <w:proofErr w:type="spellStart"/>
      <w:r w:rsidRPr="00CE7FB1">
        <w:rPr>
          <w:rFonts w:ascii="Times New Roman" w:eastAsia="TimesNewRomanPSMT" w:hAnsi="Times New Roman"/>
          <w:kern w:val="0"/>
          <w:sz w:val="24"/>
          <w:szCs w:val="24"/>
        </w:rPr>
        <w:t>cJun</w:t>
      </w:r>
      <w:proofErr w:type="spellEnd"/>
      <w:r w:rsidRPr="00CE7FB1">
        <w:rPr>
          <w:rFonts w:ascii="Times New Roman" w:eastAsia="TimesNewRomanPSMT" w:hAnsi="Times New Roman"/>
          <w:kern w:val="0"/>
          <w:sz w:val="24"/>
          <w:szCs w:val="24"/>
        </w:rPr>
        <w:t xml:space="preserve">, </w:t>
      </w:r>
      <w:proofErr w:type="spellStart"/>
      <w:r w:rsidRPr="00CE7FB1">
        <w:rPr>
          <w:rFonts w:ascii="Times New Roman" w:eastAsia="TimesNewRomanPSMT" w:hAnsi="Times New Roman"/>
          <w:kern w:val="0"/>
          <w:sz w:val="24"/>
          <w:szCs w:val="24"/>
        </w:rPr>
        <w:t>Akt</w:t>
      </w:r>
      <w:proofErr w:type="spellEnd"/>
      <w:r w:rsidRPr="00CE7FB1">
        <w:rPr>
          <w:rFonts w:ascii="Times New Roman" w:eastAsia="TimesNewRomanPSMT" w:hAnsi="Times New Roman"/>
          <w:kern w:val="0"/>
          <w:sz w:val="24"/>
          <w:szCs w:val="24"/>
        </w:rPr>
        <w:t>, CREB and p27 in AtT-20 cells treated with different drugs for 48 hours. n=3.</w:t>
      </w:r>
    </w:p>
    <w:p w14:paraId="57075C25" w14:textId="721D5E3E" w:rsidR="009E71E5" w:rsidRPr="00CE7FB1" w:rsidRDefault="009E71E5" w:rsidP="009E71E5">
      <w:pPr>
        <w:widowControl/>
        <w:spacing w:line="480"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F</w:t>
      </w:r>
      <w:r w:rsidRPr="00CE7FB1">
        <w:rPr>
          <w:rFonts w:ascii="Times New Roman" w:hAnsi="Times New Roman"/>
          <w:b/>
          <w:bCs/>
          <w:color w:val="000000"/>
          <w:kern w:val="0"/>
          <w:sz w:val="24"/>
          <w:szCs w:val="24"/>
        </w:rPr>
        <w:t>igure S5</w:t>
      </w:r>
    </w:p>
    <w:p w14:paraId="30733F26" w14:textId="47AE38B9" w:rsidR="00194CB5" w:rsidRPr="00CE7FB1" w:rsidRDefault="00D87FC6" w:rsidP="00A12719">
      <w:pPr>
        <w:rPr>
          <w:rFonts w:ascii="Times New Roman" w:eastAsia="宋体" w:hAnsi="Times New Roman"/>
          <w:b/>
          <w:bCs/>
          <w:sz w:val="24"/>
          <w:szCs w:val="24"/>
        </w:rPr>
      </w:pPr>
      <w:r w:rsidRPr="00CE7FB1">
        <w:rPr>
          <w:noProof/>
        </w:rPr>
        <w:drawing>
          <wp:inline distT="0" distB="0" distL="0" distR="0" wp14:anchorId="17BE9FA5" wp14:editId="2027B4EF">
            <wp:extent cx="5274310" cy="326644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266440"/>
                    </a:xfrm>
                    <a:prstGeom prst="rect">
                      <a:avLst/>
                    </a:prstGeom>
                    <a:noFill/>
                    <a:ln>
                      <a:noFill/>
                    </a:ln>
                  </pic:spPr>
                </pic:pic>
              </a:graphicData>
            </a:graphic>
          </wp:inline>
        </w:drawing>
      </w:r>
    </w:p>
    <w:p w14:paraId="504A5E62" w14:textId="3797FD3E" w:rsidR="00194CB5" w:rsidRPr="00CE7FB1" w:rsidRDefault="009E6B14" w:rsidP="00D03C01">
      <w:pPr>
        <w:spacing w:line="480" w:lineRule="auto"/>
        <w:rPr>
          <w:rFonts w:ascii="Times New Roman" w:eastAsia="TimesNewRomanPSMT" w:hAnsi="Times New Roman"/>
          <w:kern w:val="0"/>
          <w:sz w:val="24"/>
          <w:szCs w:val="24"/>
        </w:rPr>
      </w:pPr>
      <w:r w:rsidRPr="00CE7FB1">
        <w:rPr>
          <w:rFonts w:ascii="Times New Roman" w:eastAsia="TimesNewRomanPSMT" w:hAnsi="Times New Roman"/>
          <w:b/>
          <w:kern w:val="0"/>
          <w:sz w:val="24"/>
          <w:szCs w:val="24"/>
        </w:rPr>
        <w:t xml:space="preserve">Fig S5. </w:t>
      </w:r>
      <w:r w:rsidR="009316B0" w:rsidRPr="00CE7FB1">
        <w:rPr>
          <w:rFonts w:ascii="Times New Roman" w:eastAsia="TimesNewRomanPSMT" w:hAnsi="Times New Roman"/>
          <w:b/>
          <w:kern w:val="0"/>
          <w:sz w:val="24"/>
          <w:szCs w:val="24"/>
        </w:rPr>
        <w:t xml:space="preserve">The ACTH </w:t>
      </w:r>
      <w:r w:rsidR="00CC2DEC" w:rsidRPr="00CE7FB1">
        <w:rPr>
          <w:rFonts w:ascii="Times New Roman" w:eastAsia="TimesNewRomanPSMT" w:hAnsi="Times New Roman"/>
          <w:b/>
          <w:kern w:val="0"/>
          <w:sz w:val="24"/>
          <w:szCs w:val="24"/>
        </w:rPr>
        <w:t xml:space="preserve">expression and </w:t>
      </w:r>
      <w:r w:rsidR="009316B0" w:rsidRPr="00CE7FB1">
        <w:rPr>
          <w:rFonts w:ascii="Times New Roman" w:eastAsia="TimesNewRomanPSMT" w:hAnsi="Times New Roman"/>
          <w:b/>
          <w:kern w:val="0"/>
          <w:sz w:val="24"/>
          <w:szCs w:val="24"/>
        </w:rPr>
        <w:t xml:space="preserve">secretion </w:t>
      </w:r>
      <w:r w:rsidR="008E2128" w:rsidRPr="00CE7FB1">
        <w:rPr>
          <w:rFonts w:ascii="Times New Roman" w:eastAsia="TimesNewRomanPSMT" w:hAnsi="Times New Roman"/>
          <w:b/>
          <w:kern w:val="0"/>
          <w:sz w:val="24"/>
          <w:szCs w:val="24"/>
        </w:rPr>
        <w:t>levels and the POMC expression levels in</w:t>
      </w:r>
      <w:r w:rsidR="009316B0" w:rsidRPr="00CE7FB1">
        <w:rPr>
          <w:rFonts w:ascii="Times New Roman" w:eastAsia="TimesNewRomanPSMT" w:hAnsi="Times New Roman"/>
          <w:b/>
          <w:kern w:val="0"/>
          <w:sz w:val="24"/>
          <w:szCs w:val="24"/>
        </w:rPr>
        <w:t xml:space="preserve"> AtT20 cells in response to </w:t>
      </w:r>
      <w:r w:rsidRPr="00CE7FB1">
        <w:rPr>
          <w:rFonts w:ascii="Times New Roman" w:eastAsia="TimesNewRomanPSMT" w:hAnsi="Times New Roman"/>
          <w:b/>
          <w:kern w:val="0"/>
          <w:sz w:val="24"/>
          <w:szCs w:val="24"/>
        </w:rPr>
        <w:t xml:space="preserve">BEXA </w:t>
      </w:r>
      <w:r w:rsidR="009316B0" w:rsidRPr="00CE7FB1">
        <w:rPr>
          <w:rFonts w:ascii="Times New Roman" w:eastAsia="TimesNewRomanPSMT" w:hAnsi="Times New Roman"/>
          <w:b/>
          <w:kern w:val="0"/>
          <w:sz w:val="24"/>
          <w:szCs w:val="24"/>
        </w:rPr>
        <w:t>in a concentration dependent manner.</w:t>
      </w:r>
      <w:r w:rsidR="0020423D" w:rsidRPr="00CE7FB1">
        <w:rPr>
          <w:rFonts w:ascii="Times New Roman" w:eastAsia="TimesNewRomanPSMT" w:hAnsi="Times New Roman"/>
          <w:b/>
          <w:kern w:val="0"/>
          <w:sz w:val="24"/>
          <w:szCs w:val="24"/>
        </w:rPr>
        <w:t xml:space="preserve"> </w:t>
      </w:r>
      <w:r w:rsidR="00CC2DEC" w:rsidRPr="00CE7FB1">
        <w:rPr>
          <w:rFonts w:ascii="Times New Roman" w:eastAsia="TimesNewRomanPSMT" w:hAnsi="Times New Roman"/>
          <w:kern w:val="0"/>
          <w:sz w:val="24"/>
          <w:szCs w:val="24"/>
        </w:rPr>
        <w:t>a</w:t>
      </w:r>
      <w:r w:rsidR="003E75CC" w:rsidRPr="00CE7FB1">
        <w:rPr>
          <w:rFonts w:ascii="Times New Roman" w:eastAsia="TimesNewRomanPSMT" w:hAnsi="Times New Roman"/>
          <w:kern w:val="0"/>
          <w:sz w:val="24"/>
          <w:szCs w:val="24"/>
        </w:rPr>
        <w:t xml:space="preserve">: </w:t>
      </w:r>
      <w:r w:rsidR="00A03F3C" w:rsidRPr="00CE7FB1">
        <w:rPr>
          <w:rFonts w:ascii="Times New Roman" w:eastAsia="TimesNewRomanPSMT" w:hAnsi="Times New Roman"/>
          <w:kern w:val="0"/>
          <w:sz w:val="24"/>
          <w:szCs w:val="24"/>
        </w:rPr>
        <w:t>C</w:t>
      </w:r>
      <w:r w:rsidR="003E75CC" w:rsidRPr="00CE7FB1">
        <w:rPr>
          <w:rFonts w:ascii="Times New Roman" w:eastAsia="TimesNewRomanPSMT" w:hAnsi="Times New Roman"/>
          <w:kern w:val="0"/>
          <w:sz w:val="24"/>
          <w:szCs w:val="24"/>
        </w:rPr>
        <w:t>ells were seeded in the 100 mm dishes at a concentration of 5</w:t>
      </w:r>
      <w:r w:rsidR="003E75CC" w:rsidRPr="00CE7FB1">
        <w:rPr>
          <w:rFonts w:ascii="Times New Roman" w:eastAsia="TimesNewRomanPSMT" w:hAnsi="Times New Roman" w:hint="eastAsia"/>
          <w:kern w:val="0"/>
          <w:sz w:val="24"/>
          <w:szCs w:val="24"/>
        </w:rPr>
        <w:t>×</w:t>
      </w:r>
      <w:r w:rsidR="003E75CC" w:rsidRPr="00CE7FB1">
        <w:rPr>
          <w:rFonts w:ascii="Times New Roman" w:eastAsia="TimesNewRomanPSMT" w:hAnsi="Times New Roman"/>
          <w:kern w:val="0"/>
          <w:sz w:val="24"/>
          <w:szCs w:val="24"/>
        </w:rPr>
        <w:t>10</w:t>
      </w:r>
      <w:r w:rsidR="003E75CC" w:rsidRPr="00CE7FB1">
        <w:rPr>
          <w:rFonts w:ascii="Times New Roman" w:eastAsia="TimesNewRomanPSMT" w:hAnsi="Times New Roman"/>
          <w:kern w:val="0"/>
          <w:sz w:val="24"/>
          <w:szCs w:val="24"/>
          <w:vertAlign w:val="superscript"/>
        </w:rPr>
        <w:t>5</w:t>
      </w:r>
      <w:r w:rsidR="00A03F3C" w:rsidRPr="00CE7FB1">
        <w:rPr>
          <w:rFonts w:ascii="Times New Roman" w:eastAsia="TimesNewRomanPSMT" w:hAnsi="Times New Roman"/>
          <w:kern w:val="0"/>
          <w:sz w:val="24"/>
          <w:szCs w:val="24"/>
          <w:vertAlign w:val="superscript"/>
        </w:rPr>
        <w:t xml:space="preserve"> </w:t>
      </w:r>
      <w:r w:rsidR="00A03F3C" w:rsidRPr="00CE7FB1">
        <w:rPr>
          <w:rFonts w:ascii="Times New Roman" w:eastAsia="TimesNewRomanPSMT" w:hAnsi="Times New Roman"/>
          <w:kern w:val="0"/>
          <w:sz w:val="24"/>
          <w:szCs w:val="24"/>
        </w:rPr>
        <w:t>cells</w:t>
      </w:r>
      <w:r w:rsidR="003E75CC" w:rsidRPr="00CE7FB1">
        <w:rPr>
          <w:rFonts w:ascii="Times New Roman" w:eastAsia="TimesNewRomanPSMT" w:hAnsi="Times New Roman" w:hint="eastAsia"/>
          <w:kern w:val="0"/>
          <w:sz w:val="24"/>
          <w:szCs w:val="24"/>
        </w:rPr>
        <w:t>/</w:t>
      </w:r>
      <w:r w:rsidR="003E75CC" w:rsidRPr="00CE7FB1">
        <w:rPr>
          <w:rFonts w:ascii="Times New Roman" w:eastAsia="TimesNewRomanPSMT" w:hAnsi="Times New Roman"/>
          <w:kern w:val="0"/>
          <w:sz w:val="24"/>
          <w:szCs w:val="24"/>
        </w:rPr>
        <w:t xml:space="preserve">dish. After </w:t>
      </w:r>
      <w:r w:rsidR="00A03F3C" w:rsidRPr="00CE7FB1">
        <w:rPr>
          <w:rFonts w:ascii="Times New Roman" w:eastAsia="TimesNewRomanPSMT" w:hAnsi="Times New Roman"/>
          <w:kern w:val="0"/>
          <w:sz w:val="24"/>
          <w:szCs w:val="24"/>
        </w:rPr>
        <w:lastRenderedPageBreak/>
        <w:t>adhering</w:t>
      </w:r>
      <w:r w:rsidR="003E75CC" w:rsidRPr="00CE7FB1">
        <w:rPr>
          <w:rFonts w:ascii="Times New Roman" w:eastAsia="TimesNewRomanPSMT" w:hAnsi="Times New Roman"/>
          <w:kern w:val="0"/>
          <w:sz w:val="24"/>
          <w:szCs w:val="24"/>
        </w:rPr>
        <w:t xml:space="preserve"> to dish</w:t>
      </w:r>
      <w:r w:rsidR="00A03F3C" w:rsidRPr="00CE7FB1">
        <w:rPr>
          <w:rFonts w:ascii="Times New Roman" w:eastAsia="TimesNewRomanPSMT" w:hAnsi="Times New Roman"/>
          <w:kern w:val="0"/>
          <w:sz w:val="24"/>
          <w:szCs w:val="24"/>
        </w:rPr>
        <w:t xml:space="preserve"> surface</w:t>
      </w:r>
      <w:r w:rsidR="003E75CC" w:rsidRPr="00CE7FB1">
        <w:rPr>
          <w:rFonts w:ascii="Times New Roman" w:eastAsia="TimesNewRomanPSMT" w:hAnsi="Times New Roman"/>
          <w:kern w:val="0"/>
          <w:sz w:val="24"/>
          <w:szCs w:val="24"/>
        </w:rPr>
        <w:t xml:space="preserve"> (24 h later), AtT20 cells were treated with the </w:t>
      </w:r>
      <w:r w:rsidR="00A03F3C" w:rsidRPr="00CE7FB1">
        <w:rPr>
          <w:rFonts w:ascii="Times New Roman" w:eastAsia="TimesNewRomanPSMT" w:hAnsi="Times New Roman"/>
          <w:kern w:val="0"/>
          <w:sz w:val="24"/>
          <w:szCs w:val="24"/>
        </w:rPr>
        <w:t xml:space="preserve">indicated concentrations of </w:t>
      </w:r>
      <w:r w:rsidR="003E75CC" w:rsidRPr="00CE7FB1">
        <w:rPr>
          <w:rFonts w:ascii="Times New Roman" w:eastAsia="TimesNewRomanPSMT" w:hAnsi="Times New Roman"/>
          <w:kern w:val="0"/>
          <w:sz w:val="24"/>
          <w:szCs w:val="24"/>
        </w:rPr>
        <w:t>BEXA</w:t>
      </w:r>
      <w:r w:rsidR="00A03F3C" w:rsidRPr="00CE7FB1">
        <w:rPr>
          <w:rFonts w:ascii="Times New Roman" w:eastAsia="TimesNewRomanPSMT" w:hAnsi="Times New Roman"/>
          <w:kern w:val="0"/>
          <w:sz w:val="24"/>
          <w:szCs w:val="24"/>
        </w:rPr>
        <w:t>,</w:t>
      </w:r>
      <w:r w:rsidR="003E75CC" w:rsidRPr="00CE7FB1">
        <w:rPr>
          <w:rFonts w:ascii="Times New Roman" w:eastAsia="TimesNewRomanPSMT" w:hAnsi="Times New Roman"/>
          <w:kern w:val="0"/>
          <w:sz w:val="24"/>
          <w:szCs w:val="24"/>
        </w:rPr>
        <w:t xml:space="preserve"> and 48 h later</w:t>
      </w:r>
      <w:r w:rsidR="00A03F3C" w:rsidRPr="00CE7FB1">
        <w:rPr>
          <w:rFonts w:ascii="Times New Roman" w:eastAsia="TimesNewRomanPSMT" w:hAnsi="Times New Roman"/>
          <w:kern w:val="0"/>
          <w:sz w:val="24"/>
          <w:szCs w:val="24"/>
        </w:rPr>
        <w:t>,</w:t>
      </w:r>
      <w:r w:rsidR="003E75CC" w:rsidRPr="00CE7FB1">
        <w:rPr>
          <w:rFonts w:ascii="Times New Roman" w:eastAsia="TimesNewRomanPSMT" w:hAnsi="Times New Roman"/>
          <w:kern w:val="0"/>
          <w:sz w:val="24"/>
          <w:szCs w:val="24"/>
        </w:rPr>
        <w:t xml:space="preserve"> the expression levels of ACTH in AtT-20 cells </w:t>
      </w:r>
      <w:r w:rsidR="00D03C01" w:rsidRPr="00CE7FB1">
        <w:rPr>
          <w:rFonts w:ascii="Times New Roman" w:eastAsia="TimesNewRomanPSMT" w:hAnsi="Times New Roman"/>
          <w:kern w:val="0"/>
          <w:sz w:val="24"/>
          <w:szCs w:val="24"/>
        </w:rPr>
        <w:t>and in the supernatant of AtT</w:t>
      </w:r>
      <w:r w:rsidR="00A03F3C" w:rsidRPr="00CE7FB1">
        <w:rPr>
          <w:rFonts w:ascii="Times New Roman" w:eastAsia="TimesNewRomanPSMT" w:hAnsi="Times New Roman"/>
          <w:kern w:val="0"/>
          <w:sz w:val="24"/>
          <w:szCs w:val="24"/>
        </w:rPr>
        <w:t>-</w:t>
      </w:r>
      <w:r w:rsidR="00D03C01" w:rsidRPr="00CE7FB1">
        <w:rPr>
          <w:rFonts w:ascii="Times New Roman" w:eastAsia="TimesNewRomanPSMT" w:hAnsi="Times New Roman"/>
          <w:kern w:val="0"/>
          <w:sz w:val="24"/>
          <w:szCs w:val="24"/>
        </w:rPr>
        <w:t xml:space="preserve">20 cells were detected using </w:t>
      </w:r>
      <w:r w:rsidR="00A03F3C" w:rsidRPr="00CE7FB1">
        <w:rPr>
          <w:rFonts w:ascii="Times New Roman" w:eastAsia="TimesNewRomanPSMT" w:hAnsi="Times New Roman"/>
          <w:kern w:val="0"/>
          <w:sz w:val="24"/>
          <w:szCs w:val="24"/>
        </w:rPr>
        <w:t>W</w:t>
      </w:r>
      <w:r w:rsidR="00D03C01" w:rsidRPr="00CE7FB1">
        <w:rPr>
          <w:rFonts w:ascii="Times New Roman" w:eastAsia="TimesNewRomanPSMT" w:hAnsi="Times New Roman"/>
          <w:kern w:val="0"/>
          <w:sz w:val="24"/>
          <w:szCs w:val="24"/>
        </w:rPr>
        <w:t>estern blot (a) and ELISA kit (b) according to manual guide.</w:t>
      </w:r>
      <w:r w:rsidR="008E2128" w:rsidRPr="00CE7FB1">
        <w:rPr>
          <w:rFonts w:ascii="Times New Roman" w:eastAsia="TimesNewRomanPSMT" w:hAnsi="Times New Roman"/>
          <w:kern w:val="0"/>
          <w:sz w:val="24"/>
          <w:szCs w:val="24"/>
        </w:rPr>
        <w:t xml:space="preserve"> </w:t>
      </w:r>
      <w:r w:rsidR="00A03F3C" w:rsidRPr="00CE7FB1">
        <w:rPr>
          <w:rFonts w:ascii="Times New Roman" w:eastAsia="TimesNewRomanPSMT" w:hAnsi="Times New Roman"/>
          <w:kern w:val="0"/>
          <w:sz w:val="24"/>
          <w:szCs w:val="24"/>
        </w:rPr>
        <w:t>Additionally</w:t>
      </w:r>
      <w:r w:rsidR="008E2128" w:rsidRPr="00CE7FB1">
        <w:rPr>
          <w:rFonts w:ascii="Times New Roman" w:eastAsia="TimesNewRomanPSMT" w:hAnsi="Times New Roman"/>
          <w:kern w:val="0"/>
          <w:sz w:val="24"/>
          <w:szCs w:val="24"/>
        </w:rPr>
        <w:t xml:space="preserve">, the POMC expression levels were detected using </w:t>
      </w:r>
      <w:r w:rsidR="00FB3C9A" w:rsidRPr="00CE7FB1">
        <w:rPr>
          <w:rFonts w:ascii="Times New Roman" w:eastAsia="TimesNewRomanPSMT" w:hAnsi="Times New Roman"/>
          <w:kern w:val="0"/>
          <w:sz w:val="24"/>
          <w:szCs w:val="24"/>
        </w:rPr>
        <w:t xml:space="preserve">real-time PCR </w:t>
      </w:r>
      <w:r w:rsidR="008E2128" w:rsidRPr="00CE7FB1">
        <w:rPr>
          <w:rFonts w:ascii="Times New Roman" w:eastAsia="TimesNewRomanPSMT" w:hAnsi="Times New Roman"/>
          <w:kern w:val="0"/>
          <w:sz w:val="24"/>
          <w:szCs w:val="24"/>
        </w:rPr>
        <w:t>(c).</w:t>
      </w:r>
      <w:r w:rsidR="00D03C01" w:rsidRPr="00CE7FB1">
        <w:rPr>
          <w:rFonts w:ascii="Times New Roman" w:eastAsia="TimesNewRomanPSMT" w:hAnsi="Times New Roman"/>
          <w:kern w:val="0"/>
          <w:sz w:val="24"/>
          <w:szCs w:val="24"/>
        </w:rPr>
        <w:t xml:space="preserve"> *p&lt;0.05, **p&lt;0.01, </w:t>
      </w:r>
      <w:r w:rsidR="004D1C18" w:rsidRPr="00CE7FB1">
        <w:rPr>
          <w:rFonts w:ascii="Times New Roman" w:eastAsia="TimesNewRomanPSMT" w:hAnsi="Times New Roman"/>
          <w:kern w:val="0"/>
          <w:sz w:val="24"/>
          <w:szCs w:val="24"/>
        </w:rPr>
        <w:t>***p&lt;0.001 vs control cells;</w:t>
      </w:r>
      <w:r w:rsidR="00D03C01" w:rsidRPr="00CE7FB1">
        <w:rPr>
          <w:rFonts w:ascii="Times New Roman" w:eastAsia="TimesNewRomanPSMT" w:hAnsi="Times New Roman"/>
          <w:kern w:val="0"/>
          <w:sz w:val="24"/>
          <w:szCs w:val="24"/>
        </w:rPr>
        <w:t xml:space="preserve"> </w:t>
      </w:r>
      <w:r w:rsidR="001A4E63" w:rsidRPr="00CE7FB1">
        <w:rPr>
          <w:rFonts w:ascii="Times New Roman" w:eastAsia="TimesNewRomanPSMT" w:hAnsi="Times New Roman"/>
          <w:kern w:val="0"/>
          <w:sz w:val="24"/>
          <w:szCs w:val="24"/>
        </w:rPr>
        <w:t>The experiment was repeated three to four times. Every time</w:t>
      </w:r>
      <w:r w:rsidR="00A03F3C" w:rsidRPr="00CE7FB1">
        <w:rPr>
          <w:rFonts w:ascii="Times New Roman" w:eastAsia="TimesNewRomanPSMT" w:hAnsi="Times New Roman"/>
          <w:kern w:val="0"/>
          <w:sz w:val="24"/>
          <w:szCs w:val="24"/>
        </w:rPr>
        <w:t>,</w:t>
      </w:r>
      <w:r w:rsidR="001A4E63" w:rsidRPr="00CE7FB1">
        <w:rPr>
          <w:rFonts w:ascii="Times New Roman" w:eastAsia="TimesNewRomanPSMT" w:hAnsi="Times New Roman"/>
          <w:kern w:val="0"/>
          <w:sz w:val="24"/>
          <w:szCs w:val="24"/>
        </w:rPr>
        <w:t xml:space="preserve"> 3 dishes were used in each group. </w:t>
      </w:r>
      <w:r w:rsidR="002C10BB" w:rsidRPr="00CE7FB1">
        <w:rPr>
          <w:rFonts w:ascii="Times New Roman" w:eastAsia="TimesNewRomanPSMT" w:hAnsi="Times New Roman"/>
          <w:kern w:val="0"/>
          <w:sz w:val="24"/>
          <w:szCs w:val="24"/>
        </w:rPr>
        <w:t>n=3-4.</w:t>
      </w:r>
    </w:p>
    <w:p w14:paraId="6FAB6F1F" w14:textId="5CDAF682" w:rsidR="00163939" w:rsidRPr="00CE7FB1" w:rsidRDefault="00163939" w:rsidP="00163939">
      <w:pPr>
        <w:widowControl/>
        <w:spacing w:line="480"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F</w:t>
      </w:r>
      <w:r w:rsidRPr="00CE7FB1">
        <w:rPr>
          <w:rFonts w:ascii="Times New Roman" w:hAnsi="Times New Roman"/>
          <w:b/>
          <w:bCs/>
          <w:color w:val="000000"/>
          <w:kern w:val="0"/>
          <w:sz w:val="24"/>
          <w:szCs w:val="24"/>
        </w:rPr>
        <w:t>ig S6</w:t>
      </w:r>
    </w:p>
    <w:p w14:paraId="306150D3" w14:textId="3E7C0ACA" w:rsidR="00194CB5" w:rsidRPr="00CE7FB1" w:rsidRDefault="00103750" w:rsidP="00A12719">
      <w:pPr>
        <w:rPr>
          <w:rFonts w:ascii="Times New Roman" w:eastAsia="宋体" w:hAnsi="Times New Roman"/>
          <w:b/>
          <w:bCs/>
          <w:sz w:val="24"/>
          <w:szCs w:val="24"/>
        </w:rPr>
      </w:pPr>
      <w:r w:rsidRPr="00CE7FB1">
        <w:rPr>
          <w:rFonts w:ascii="Times New Roman" w:eastAsia="宋体" w:hAnsi="Times New Roman"/>
          <w:b/>
          <w:bCs/>
          <w:noProof/>
          <w:sz w:val="24"/>
          <w:szCs w:val="24"/>
        </w:rPr>
        <w:drawing>
          <wp:inline distT="0" distB="0" distL="0" distR="0" wp14:anchorId="49E26A21" wp14:editId="4FE926A3">
            <wp:extent cx="5271770" cy="3048000"/>
            <wp:effectExtent l="0" t="0" r="11430" b="0"/>
            <wp:docPr id="3" name="图片 3" descr="../../../未命名文件夹%202/Figure%20修/supplemental/Fig%20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未命名文件夹%202/Figure%20修/supplemental/Fig%20S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1770" cy="3048000"/>
                    </a:xfrm>
                    <a:prstGeom prst="rect">
                      <a:avLst/>
                    </a:prstGeom>
                    <a:noFill/>
                    <a:ln>
                      <a:noFill/>
                    </a:ln>
                  </pic:spPr>
                </pic:pic>
              </a:graphicData>
            </a:graphic>
          </wp:inline>
        </w:drawing>
      </w:r>
    </w:p>
    <w:p w14:paraId="5F3C3D20" w14:textId="2257E9A4" w:rsidR="00163939" w:rsidRPr="00CE7FB1" w:rsidRDefault="00163939" w:rsidP="00163939">
      <w:pPr>
        <w:spacing w:line="480" w:lineRule="auto"/>
        <w:rPr>
          <w:rFonts w:ascii="Times New Roman" w:hAnsi="Times New Roman"/>
          <w:sz w:val="24"/>
          <w:szCs w:val="24"/>
        </w:rPr>
      </w:pPr>
      <w:r w:rsidRPr="00CE7FB1">
        <w:rPr>
          <w:rFonts w:ascii="Times New Roman" w:eastAsia="TimesNewRomanPSMT" w:hAnsi="Times New Roman"/>
          <w:b/>
          <w:bCs/>
          <w:kern w:val="0"/>
          <w:sz w:val="24"/>
          <w:szCs w:val="24"/>
        </w:rPr>
        <w:t>Fig S6.</w:t>
      </w:r>
      <w:r w:rsidRPr="00CE7FB1">
        <w:rPr>
          <w:sz w:val="24"/>
          <w:szCs w:val="24"/>
        </w:rPr>
        <w:t xml:space="preserve"> </w:t>
      </w:r>
      <w:r w:rsidRPr="00CE7FB1">
        <w:rPr>
          <w:rFonts w:ascii="Times New Roman" w:eastAsia="TimesNewRomanPSMT" w:hAnsi="Times New Roman"/>
          <w:kern w:val="0"/>
          <w:sz w:val="24"/>
          <w:szCs w:val="24"/>
        </w:rPr>
        <w:t xml:space="preserve">Mechanism of </w:t>
      </w:r>
      <w:r w:rsidR="00A03F3C" w:rsidRPr="00CE7FB1">
        <w:rPr>
          <w:rFonts w:ascii="Times New Roman" w:eastAsia="TimesNewRomanPSMT" w:hAnsi="Times New Roman"/>
          <w:kern w:val="0"/>
          <w:sz w:val="24"/>
          <w:szCs w:val="24"/>
        </w:rPr>
        <w:t xml:space="preserve">the </w:t>
      </w:r>
      <w:r w:rsidRPr="00CE7FB1">
        <w:rPr>
          <w:rFonts w:ascii="Times New Roman" w:eastAsia="TimesNewRomanPSMT" w:hAnsi="Times New Roman"/>
          <w:kern w:val="0"/>
          <w:sz w:val="24"/>
          <w:szCs w:val="24"/>
        </w:rPr>
        <w:t>synergistic inhibitory effects of LAPA and BEXA on ACTH production and on pituitary adenoma cell proliferation.</w:t>
      </w:r>
    </w:p>
    <w:p w14:paraId="20667756" w14:textId="77777777" w:rsidR="00194CB5" w:rsidRPr="00CE7FB1" w:rsidRDefault="00194CB5" w:rsidP="00A12719">
      <w:pPr>
        <w:rPr>
          <w:rFonts w:ascii="Times New Roman" w:eastAsia="宋体" w:hAnsi="Times New Roman"/>
          <w:b/>
          <w:bCs/>
          <w:sz w:val="24"/>
          <w:szCs w:val="24"/>
        </w:rPr>
      </w:pPr>
    </w:p>
    <w:p w14:paraId="1A774A3D" w14:textId="77777777" w:rsidR="00523994" w:rsidRPr="00CE7FB1" w:rsidRDefault="00523994" w:rsidP="00A12719">
      <w:pPr>
        <w:rPr>
          <w:rFonts w:ascii="Times New Roman" w:eastAsia="宋体" w:hAnsi="Times New Roman"/>
          <w:b/>
          <w:bCs/>
          <w:sz w:val="24"/>
          <w:szCs w:val="24"/>
        </w:rPr>
      </w:pPr>
    </w:p>
    <w:p w14:paraId="6D67C9AB" w14:textId="77777777" w:rsidR="00523994" w:rsidRPr="00CE7FB1" w:rsidRDefault="00523994" w:rsidP="00A12719">
      <w:pPr>
        <w:rPr>
          <w:rFonts w:ascii="Times New Roman" w:eastAsia="宋体" w:hAnsi="Times New Roman"/>
          <w:b/>
          <w:bCs/>
          <w:sz w:val="24"/>
          <w:szCs w:val="24"/>
        </w:rPr>
      </w:pPr>
    </w:p>
    <w:p w14:paraId="41B09836" w14:textId="77777777" w:rsidR="00523994" w:rsidRPr="00CE7FB1" w:rsidRDefault="00523994" w:rsidP="00A12719">
      <w:pPr>
        <w:rPr>
          <w:rFonts w:ascii="Times New Roman" w:eastAsia="宋体" w:hAnsi="Times New Roman"/>
          <w:b/>
          <w:bCs/>
          <w:sz w:val="24"/>
          <w:szCs w:val="24"/>
        </w:rPr>
      </w:pPr>
    </w:p>
    <w:p w14:paraId="2ECC2975" w14:textId="77777777" w:rsidR="00523994" w:rsidRPr="00CE7FB1" w:rsidRDefault="00523994" w:rsidP="00A12719">
      <w:pPr>
        <w:rPr>
          <w:rFonts w:ascii="Times New Roman" w:eastAsia="宋体" w:hAnsi="Times New Roman"/>
          <w:b/>
          <w:bCs/>
          <w:sz w:val="24"/>
          <w:szCs w:val="24"/>
        </w:rPr>
      </w:pPr>
    </w:p>
    <w:p w14:paraId="67FC72E2" w14:textId="77777777" w:rsidR="00523994" w:rsidRPr="00CE7FB1" w:rsidRDefault="00523994" w:rsidP="00A12719">
      <w:pPr>
        <w:rPr>
          <w:rFonts w:ascii="Times New Roman" w:eastAsia="宋体" w:hAnsi="Times New Roman"/>
          <w:b/>
          <w:bCs/>
          <w:sz w:val="24"/>
          <w:szCs w:val="24"/>
        </w:rPr>
      </w:pPr>
    </w:p>
    <w:p w14:paraId="5AD03A37" w14:textId="77777777" w:rsidR="00523994" w:rsidRPr="00CE7FB1" w:rsidRDefault="00523994" w:rsidP="00A12719">
      <w:pPr>
        <w:rPr>
          <w:rFonts w:ascii="Times New Roman" w:eastAsia="宋体" w:hAnsi="Times New Roman"/>
          <w:b/>
          <w:bCs/>
          <w:sz w:val="24"/>
          <w:szCs w:val="24"/>
        </w:rPr>
      </w:pPr>
    </w:p>
    <w:p w14:paraId="695F3F2C" w14:textId="4C29DE04" w:rsidR="00523994" w:rsidRPr="00CE7FB1" w:rsidRDefault="00523994" w:rsidP="00A12719">
      <w:pPr>
        <w:rPr>
          <w:rFonts w:ascii="Times New Roman" w:eastAsia="宋体" w:hAnsi="Times New Roman"/>
          <w:b/>
          <w:bCs/>
          <w:sz w:val="24"/>
          <w:szCs w:val="24"/>
        </w:rPr>
      </w:pPr>
    </w:p>
    <w:p w14:paraId="15FCD910" w14:textId="77777777" w:rsidR="00AE415C" w:rsidRPr="00CE7FB1" w:rsidRDefault="00AE415C" w:rsidP="00A12719">
      <w:pPr>
        <w:rPr>
          <w:rFonts w:ascii="Times New Roman" w:eastAsia="宋体" w:hAnsi="Times New Roman"/>
          <w:b/>
          <w:bCs/>
          <w:sz w:val="24"/>
          <w:szCs w:val="24"/>
        </w:rPr>
      </w:pPr>
      <w:r w:rsidRPr="00CE7FB1">
        <w:rPr>
          <w:rFonts w:ascii="Times New Roman" w:eastAsia="宋体" w:hAnsi="Times New Roman" w:hint="eastAsia"/>
          <w:b/>
          <w:bCs/>
          <w:sz w:val="24"/>
          <w:szCs w:val="24"/>
        </w:rPr>
        <w:lastRenderedPageBreak/>
        <w:t>Su</w:t>
      </w:r>
      <w:r w:rsidRPr="00CE7FB1">
        <w:rPr>
          <w:rFonts w:ascii="Times New Roman" w:eastAsia="宋体" w:hAnsi="Times New Roman"/>
          <w:b/>
          <w:bCs/>
          <w:sz w:val="24"/>
          <w:szCs w:val="24"/>
        </w:rPr>
        <w:t>pplement Tables:</w:t>
      </w:r>
    </w:p>
    <w:p w14:paraId="202004D8" w14:textId="77777777" w:rsidR="0058481A" w:rsidRPr="00CE7FB1" w:rsidRDefault="0058481A" w:rsidP="0058481A">
      <w:pPr>
        <w:widowControl/>
        <w:spacing w:line="276" w:lineRule="auto"/>
        <w:rPr>
          <w:rFonts w:ascii="Times New Roman" w:hAnsi="Times New Roman"/>
          <w:color w:val="000000"/>
          <w:kern w:val="0"/>
        </w:rPr>
      </w:pPr>
      <w:r w:rsidRPr="00CE7FB1">
        <w:rPr>
          <w:rFonts w:ascii="Times New Roman" w:eastAsia="宋体" w:hAnsi="Times New Roman" w:hint="eastAsia"/>
          <w:b/>
          <w:bCs/>
          <w:sz w:val="24"/>
          <w:szCs w:val="24"/>
        </w:rPr>
        <w:t>T</w:t>
      </w:r>
      <w:r w:rsidRPr="00CE7FB1">
        <w:rPr>
          <w:rFonts w:ascii="Times New Roman" w:eastAsia="宋体" w:hAnsi="Times New Roman"/>
          <w:b/>
          <w:bCs/>
          <w:sz w:val="24"/>
          <w:szCs w:val="24"/>
        </w:rPr>
        <w:t xml:space="preserve">able S1. </w:t>
      </w:r>
      <w:r w:rsidRPr="00CE7FB1">
        <w:rPr>
          <w:rFonts w:ascii="Times New Roman" w:hAnsi="Times New Roman"/>
          <w:b/>
          <w:bCs/>
          <w:color w:val="000000"/>
          <w:kern w:val="0"/>
        </w:rPr>
        <w:t>Top 10</w:t>
      </w:r>
      <w:r w:rsidRPr="00CE7FB1">
        <w:rPr>
          <w:rFonts w:ascii="Times New Roman" w:hAnsi="Times New Roman" w:hint="eastAsia"/>
          <w:b/>
          <w:bCs/>
          <w:color w:val="000000"/>
          <w:kern w:val="0"/>
        </w:rPr>
        <w:t xml:space="preserve"> scored</w:t>
      </w:r>
      <w:r w:rsidRPr="00CE7FB1">
        <w:rPr>
          <w:rFonts w:ascii="Times New Roman" w:hAnsi="Times New Roman"/>
          <w:b/>
          <w:bCs/>
          <w:color w:val="000000"/>
          <w:kern w:val="0"/>
        </w:rPr>
        <w:t xml:space="preserve"> hub proteins in Nur77 (NR4A1) PPI network.</w:t>
      </w:r>
    </w:p>
    <w:tbl>
      <w:tblPr>
        <w:tblW w:w="7140" w:type="dxa"/>
        <w:tblLook w:val="04A0" w:firstRow="1" w:lastRow="0" w:firstColumn="1" w:lastColumn="0" w:noHBand="0" w:noVBand="1"/>
      </w:tblPr>
      <w:tblGrid>
        <w:gridCol w:w="1300"/>
        <w:gridCol w:w="1300"/>
        <w:gridCol w:w="1940"/>
        <w:gridCol w:w="1300"/>
        <w:gridCol w:w="1300"/>
      </w:tblGrid>
      <w:tr w:rsidR="0058481A" w:rsidRPr="00CE7FB1" w14:paraId="05D3C812" w14:textId="77777777" w:rsidTr="0058481A">
        <w:trPr>
          <w:trHeight w:val="340"/>
        </w:trPr>
        <w:tc>
          <w:tcPr>
            <w:tcW w:w="7140" w:type="dxa"/>
            <w:gridSpan w:val="5"/>
            <w:tcBorders>
              <w:top w:val="nil"/>
              <w:left w:val="nil"/>
              <w:bottom w:val="single" w:sz="8" w:space="0" w:color="auto"/>
              <w:right w:val="nil"/>
            </w:tcBorders>
            <w:shd w:val="clear" w:color="auto" w:fill="auto"/>
            <w:noWrap/>
            <w:vAlign w:val="center"/>
          </w:tcPr>
          <w:p w14:paraId="076697A2" w14:textId="77777777" w:rsidR="0058481A" w:rsidRPr="00CE7FB1" w:rsidRDefault="0058481A" w:rsidP="003E75CC">
            <w:pPr>
              <w:widowControl/>
              <w:spacing w:line="276" w:lineRule="auto"/>
              <w:jc w:val="left"/>
              <w:rPr>
                <w:rFonts w:ascii="Times New Roman" w:hAnsi="Times New Roman"/>
                <w:color w:val="000000"/>
                <w:kern w:val="0"/>
              </w:rPr>
            </w:pPr>
          </w:p>
        </w:tc>
      </w:tr>
      <w:tr w:rsidR="0058481A" w:rsidRPr="00CE7FB1" w14:paraId="062801DB" w14:textId="77777777" w:rsidTr="003E75CC">
        <w:trPr>
          <w:trHeight w:val="500"/>
        </w:trPr>
        <w:tc>
          <w:tcPr>
            <w:tcW w:w="1300" w:type="dxa"/>
            <w:tcBorders>
              <w:top w:val="nil"/>
              <w:left w:val="nil"/>
              <w:bottom w:val="single" w:sz="8" w:space="0" w:color="auto"/>
              <w:right w:val="nil"/>
            </w:tcBorders>
            <w:shd w:val="clear" w:color="auto" w:fill="auto"/>
            <w:vAlign w:val="center"/>
            <w:hideMark/>
          </w:tcPr>
          <w:p w14:paraId="28AF0014"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Node1</w:t>
            </w:r>
          </w:p>
        </w:tc>
        <w:tc>
          <w:tcPr>
            <w:tcW w:w="1300" w:type="dxa"/>
            <w:tcBorders>
              <w:top w:val="nil"/>
              <w:left w:val="nil"/>
              <w:bottom w:val="single" w:sz="8" w:space="0" w:color="auto"/>
              <w:right w:val="nil"/>
            </w:tcBorders>
            <w:shd w:val="clear" w:color="auto" w:fill="auto"/>
            <w:vAlign w:val="center"/>
            <w:hideMark/>
          </w:tcPr>
          <w:p w14:paraId="5CA2D92E"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Node2</w:t>
            </w:r>
          </w:p>
        </w:tc>
        <w:tc>
          <w:tcPr>
            <w:tcW w:w="1940" w:type="dxa"/>
            <w:tcBorders>
              <w:top w:val="nil"/>
              <w:left w:val="nil"/>
              <w:bottom w:val="single" w:sz="8" w:space="0" w:color="auto"/>
              <w:right w:val="nil"/>
            </w:tcBorders>
            <w:shd w:val="clear" w:color="auto" w:fill="auto"/>
            <w:vAlign w:val="center"/>
            <w:hideMark/>
          </w:tcPr>
          <w:p w14:paraId="6E729259"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Experimentally Determined Interaction</w:t>
            </w:r>
          </w:p>
        </w:tc>
        <w:tc>
          <w:tcPr>
            <w:tcW w:w="1300" w:type="dxa"/>
            <w:tcBorders>
              <w:top w:val="nil"/>
              <w:left w:val="nil"/>
              <w:bottom w:val="single" w:sz="8" w:space="0" w:color="auto"/>
              <w:right w:val="nil"/>
            </w:tcBorders>
            <w:shd w:val="clear" w:color="auto" w:fill="auto"/>
            <w:vAlign w:val="center"/>
            <w:hideMark/>
          </w:tcPr>
          <w:p w14:paraId="3C655BF7"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Database Annotated</w:t>
            </w:r>
          </w:p>
        </w:tc>
        <w:tc>
          <w:tcPr>
            <w:tcW w:w="1300" w:type="dxa"/>
            <w:tcBorders>
              <w:top w:val="nil"/>
              <w:left w:val="nil"/>
              <w:bottom w:val="single" w:sz="8" w:space="0" w:color="auto"/>
              <w:right w:val="nil"/>
            </w:tcBorders>
            <w:shd w:val="clear" w:color="auto" w:fill="auto"/>
            <w:vAlign w:val="center"/>
            <w:hideMark/>
          </w:tcPr>
          <w:p w14:paraId="1785E17C"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Combined Score</w:t>
            </w:r>
          </w:p>
        </w:tc>
      </w:tr>
      <w:tr w:rsidR="0058481A" w:rsidRPr="00CE7FB1" w14:paraId="61E36A81" w14:textId="77777777" w:rsidTr="003E75CC">
        <w:trPr>
          <w:trHeight w:val="320"/>
        </w:trPr>
        <w:tc>
          <w:tcPr>
            <w:tcW w:w="1300" w:type="dxa"/>
            <w:tcBorders>
              <w:top w:val="nil"/>
              <w:left w:val="nil"/>
              <w:bottom w:val="nil"/>
              <w:right w:val="nil"/>
            </w:tcBorders>
            <w:shd w:val="clear" w:color="auto" w:fill="auto"/>
            <w:vAlign w:val="center"/>
            <w:hideMark/>
          </w:tcPr>
          <w:p w14:paraId="47DBDDB0"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NR4A1</w:t>
            </w:r>
          </w:p>
        </w:tc>
        <w:tc>
          <w:tcPr>
            <w:tcW w:w="1300" w:type="dxa"/>
            <w:tcBorders>
              <w:top w:val="nil"/>
              <w:left w:val="nil"/>
              <w:bottom w:val="nil"/>
              <w:right w:val="nil"/>
            </w:tcBorders>
            <w:shd w:val="clear" w:color="auto" w:fill="auto"/>
            <w:vAlign w:val="center"/>
            <w:hideMark/>
          </w:tcPr>
          <w:p w14:paraId="58D48C71"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RXRA</w:t>
            </w:r>
          </w:p>
        </w:tc>
        <w:tc>
          <w:tcPr>
            <w:tcW w:w="1940" w:type="dxa"/>
            <w:tcBorders>
              <w:top w:val="nil"/>
              <w:left w:val="nil"/>
              <w:bottom w:val="nil"/>
              <w:right w:val="nil"/>
            </w:tcBorders>
            <w:shd w:val="clear" w:color="auto" w:fill="auto"/>
            <w:vAlign w:val="center"/>
            <w:hideMark/>
          </w:tcPr>
          <w:p w14:paraId="6D1CAD48"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0.47</w:t>
            </w:r>
          </w:p>
        </w:tc>
        <w:tc>
          <w:tcPr>
            <w:tcW w:w="1300" w:type="dxa"/>
            <w:tcBorders>
              <w:top w:val="nil"/>
              <w:left w:val="nil"/>
              <w:bottom w:val="nil"/>
              <w:right w:val="nil"/>
            </w:tcBorders>
            <w:shd w:val="clear" w:color="auto" w:fill="auto"/>
            <w:vAlign w:val="center"/>
            <w:hideMark/>
          </w:tcPr>
          <w:p w14:paraId="00308205"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w:t>
            </w:r>
          </w:p>
        </w:tc>
        <w:tc>
          <w:tcPr>
            <w:tcW w:w="1300" w:type="dxa"/>
            <w:tcBorders>
              <w:top w:val="nil"/>
              <w:left w:val="nil"/>
              <w:bottom w:val="nil"/>
              <w:right w:val="nil"/>
            </w:tcBorders>
            <w:shd w:val="clear" w:color="auto" w:fill="auto"/>
            <w:vAlign w:val="center"/>
            <w:hideMark/>
          </w:tcPr>
          <w:p w14:paraId="5FF8ABCB"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0.944</w:t>
            </w:r>
          </w:p>
        </w:tc>
      </w:tr>
      <w:tr w:rsidR="0058481A" w:rsidRPr="00CE7FB1" w14:paraId="0EC93536" w14:textId="77777777" w:rsidTr="003E75CC">
        <w:trPr>
          <w:trHeight w:val="320"/>
        </w:trPr>
        <w:tc>
          <w:tcPr>
            <w:tcW w:w="1300" w:type="dxa"/>
            <w:tcBorders>
              <w:top w:val="nil"/>
              <w:left w:val="nil"/>
              <w:bottom w:val="nil"/>
              <w:right w:val="nil"/>
            </w:tcBorders>
            <w:shd w:val="clear" w:color="auto" w:fill="auto"/>
            <w:vAlign w:val="center"/>
            <w:hideMark/>
          </w:tcPr>
          <w:p w14:paraId="6C79C455"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NR4A1</w:t>
            </w:r>
          </w:p>
        </w:tc>
        <w:tc>
          <w:tcPr>
            <w:tcW w:w="1300" w:type="dxa"/>
            <w:tcBorders>
              <w:top w:val="nil"/>
              <w:left w:val="nil"/>
              <w:bottom w:val="nil"/>
              <w:right w:val="nil"/>
            </w:tcBorders>
            <w:shd w:val="clear" w:color="auto" w:fill="auto"/>
            <w:vAlign w:val="center"/>
            <w:hideMark/>
          </w:tcPr>
          <w:p w14:paraId="166DD92F"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RXRG</w:t>
            </w:r>
          </w:p>
        </w:tc>
        <w:tc>
          <w:tcPr>
            <w:tcW w:w="1940" w:type="dxa"/>
            <w:tcBorders>
              <w:top w:val="nil"/>
              <w:left w:val="nil"/>
              <w:bottom w:val="nil"/>
              <w:right w:val="nil"/>
            </w:tcBorders>
            <w:shd w:val="clear" w:color="auto" w:fill="auto"/>
            <w:vAlign w:val="center"/>
            <w:hideMark/>
          </w:tcPr>
          <w:p w14:paraId="0F318D8F"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0.42</w:t>
            </w:r>
          </w:p>
        </w:tc>
        <w:tc>
          <w:tcPr>
            <w:tcW w:w="1300" w:type="dxa"/>
            <w:tcBorders>
              <w:top w:val="nil"/>
              <w:left w:val="nil"/>
              <w:bottom w:val="nil"/>
              <w:right w:val="nil"/>
            </w:tcBorders>
            <w:shd w:val="clear" w:color="auto" w:fill="auto"/>
            <w:vAlign w:val="center"/>
            <w:hideMark/>
          </w:tcPr>
          <w:p w14:paraId="7B10643D"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w:t>
            </w:r>
          </w:p>
        </w:tc>
        <w:tc>
          <w:tcPr>
            <w:tcW w:w="1300" w:type="dxa"/>
            <w:tcBorders>
              <w:top w:val="nil"/>
              <w:left w:val="nil"/>
              <w:bottom w:val="nil"/>
              <w:right w:val="nil"/>
            </w:tcBorders>
            <w:shd w:val="clear" w:color="auto" w:fill="auto"/>
            <w:vAlign w:val="center"/>
            <w:hideMark/>
          </w:tcPr>
          <w:p w14:paraId="3EE26854"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0.939</w:t>
            </w:r>
          </w:p>
        </w:tc>
      </w:tr>
      <w:tr w:rsidR="0058481A" w:rsidRPr="00CE7FB1" w14:paraId="3522FE1C" w14:textId="77777777" w:rsidTr="003E75CC">
        <w:trPr>
          <w:trHeight w:val="320"/>
        </w:trPr>
        <w:tc>
          <w:tcPr>
            <w:tcW w:w="1300" w:type="dxa"/>
            <w:tcBorders>
              <w:top w:val="nil"/>
              <w:left w:val="nil"/>
              <w:bottom w:val="nil"/>
              <w:right w:val="nil"/>
            </w:tcBorders>
            <w:shd w:val="clear" w:color="auto" w:fill="auto"/>
            <w:vAlign w:val="center"/>
            <w:hideMark/>
          </w:tcPr>
          <w:p w14:paraId="580B1229"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NR4A1</w:t>
            </w:r>
          </w:p>
        </w:tc>
        <w:tc>
          <w:tcPr>
            <w:tcW w:w="1300" w:type="dxa"/>
            <w:tcBorders>
              <w:top w:val="nil"/>
              <w:left w:val="nil"/>
              <w:bottom w:val="nil"/>
              <w:right w:val="nil"/>
            </w:tcBorders>
            <w:shd w:val="clear" w:color="auto" w:fill="auto"/>
            <w:vAlign w:val="center"/>
            <w:hideMark/>
          </w:tcPr>
          <w:p w14:paraId="3BC49BEA"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AKT1</w:t>
            </w:r>
          </w:p>
        </w:tc>
        <w:tc>
          <w:tcPr>
            <w:tcW w:w="1940" w:type="dxa"/>
            <w:tcBorders>
              <w:top w:val="nil"/>
              <w:left w:val="nil"/>
              <w:bottom w:val="nil"/>
              <w:right w:val="nil"/>
            </w:tcBorders>
            <w:shd w:val="clear" w:color="auto" w:fill="auto"/>
            <w:vAlign w:val="center"/>
            <w:hideMark/>
          </w:tcPr>
          <w:p w14:paraId="009E44DE"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0.4</w:t>
            </w:r>
          </w:p>
        </w:tc>
        <w:tc>
          <w:tcPr>
            <w:tcW w:w="1300" w:type="dxa"/>
            <w:tcBorders>
              <w:top w:val="nil"/>
              <w:left w:val="nil"/>
              <w:bottom w:val="nil"/>
              <w:right w:val="nil"/>
            </w:tcBorders>
            <w:shd w:val="clear" w:color="auto" w:fill="auto"/>
            <w:vAlign w:val="center"/>
            <w:hideMark/>
          </w:tcPr>
          <w:p w14:paraId="52C4987E"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w:t>
            </w:r>
          </w:p>
        </w:tc>
        <w:tc>
          <w:tcPr>
            <w:tcW w:w="1300" w:type="dxa"/>
            <w:tcBorders>
              <w:top w:val="nil"/>
              <w:left w:val="nil"/>
              <w:bottom w:val="nil"/>
              <w:right w:val="nil"/>
            </w:tcBorders>
            <w:shd w:val="clear" w:color="auto" w:fill="auto"/>
            <w:vAlign w:val="center"/>
            <w:hideMark/>
          </w:tcPr>
          <w:p w14:paraId="5B1AFB2E"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0.937</w:t>
            </w:r>
          </w:p>
        </w:tc>
      </w:tr>
      <w:tr w:rsidR="0058481A" w:rsidRPr="00CE7FB1" w14:paraId="4469AD3A" w14:textId="77777777" w:rsidTr="003E75CC">
        <w:trPr>
          <w:trHeight w:val="320"/>
        </w:trPr>
        <w:tc>
          <w:tcPr>
            <w:tcW w:w="1300" w:type="dxa"/>
            <w:tcBorders>
              <w:top w:val="nil"/>
              <w:left w:val="nil"/>
              <w:bottom w:val="nil"/>
              <w:right w:val="nil"/>
            </w:tcBorders>
            <w:shd w:val="clear" w:color="auto" w:fill="auto"/>
            <w:vAlign w:val="center"/>
            <w:hideMark/>
          </w:tcPr>
          <w:p w14:paraId="1A7B4F51"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NR4A1</w:t>
            </w:r>
          </w:p>
        </w:tc>
        <w:tc>
          <w:tcPr>
            <w:tcW w:w="1300" w:type="dxa"/>
            <w:tcBorders>
              <w:top w:val="nil"/>
              <w:left w:val="nil"/>
              <w:bottom w:val="nil"/>
              <w:right w:val="nil"/>
            </w:tcBorders>
            <w:shd w:val="clear" w:color="auto" w:fill="auto"/>
            <w:vAlign w:val="center"/>
            <w:hideMark/>
          </w:tcPr>
          <w:p w14:paraId="079E936C"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BCL2</w:t>
            </w:r>
          </w:p>
        </w:tc>
        <w:tc>
          <w:tcPr>
            <w:tcW w:w="1940" w:type="dxa"/>
            <w:tcBorders>
              <w:top w:val="nil"/>
              <w:left w:val="nil"/>
              <w:bottom w:val="nil"/>
              <w:right w:val="nil"/>
            </w:tcBorders>
            <w:shd w:val="clear" w:color="auto" w:fill="auto"/>
            <w:vAlign w:val="center"/>
            <w:hideMark/>
          </w:tcPr>
          <w:p w14:paraId="698A442A"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0.379</w:t>
            </w:r>
          </w:p>
        </w:tc>
        <w:tc>
          <w:tcPr>
            <w:tcW w:w="1300" w:type="dxa"/>
            <w:tcBorders>
              <w:top w:val="nil"/>
              <w:left w:val="nil"/>
              <w:bottom w:val="nil"/>
              <w:right w:val="nil"/>
            </w:tcBorders>
            <w:shd w:val="clear" w:color="auto" w:fill="auto"/>
            <w:vAlign w:val="center"/>
            <w:hideMark/>
          </w:tcPr>
          <w:p w14:paraId="7865E65B"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w:t>
            </w:r>
          </w:p>
        </w:tc>
        <w:tc>
          <w:tcPr>
            <w:tcW w:w="1300" w:type="dxa"/>
            <w:tcBorders>
              <w:top w:val="nil"/>
              <w:left w:val="nil"/>
              <w:bottom w:val="nil"/>
              <w:right w:val="nil"/>
            </w:tcBorders>
            <w:shd w:val="clear" w:color="auto" w:fill="auto"/>
            <w:vAlign w:val="center"/>
            <w:hideMark/>
          </w:tcPr>
          <w:p w14:paraId="78432EDC"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0.935</w:t>
            </w:r>
          </w:p>
        </w:tc>
      </w:tr>
      <w:tr w:rsidR="0058481A" w:rsidRPr="00CE7FB1" w14:paraId="1FF2B451" w14:textId="77777777" w:rsidTr="003E75CC">
        <w:trPr>
          <w:trHeight w:val="320"/>
        </w:trPr>
        <w:tc>
          <w:tcPr>
            <w:tcW w:w="1300" w:type="dxa"/>
            <w:tcBorders>
              <w:top w:val="nil"/>
              <w:left w:val="nil"/>
              <w:bottom w:val="nil"/>
              <w:right w:val="nil"/>
            </w:tcBorders>
            <w:shd w:val="clear" w:color="auto" w:fill="auto"/>
            <w:vAlign w:val="center"/>
            <w:hideMark/>
          </w:tcPr>
          <w:p w14:paraId="252754ED"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NR4A1</w:t>
            </w:r>
          </w:p>
        </w:tc>
        <w:tc>
          <w:tcPr>
            <w:tcW w:w="1300" w:type="dxa"/>
            <w:tcBorders>
              <w:top w:val="nil"/>
              <w:left w:val="nil"/>
              <w:bottom w:val="nil"/>
              <w:right w:val="nil"/>
            </w:tcBorders>
            <w:shd w:val="clear" w:color="auto" w:fill="auto"/>
            <w:vAlign w:val="center"/>
            <w:hideMark/>
          </w:tcPr>
          <w:p w14:paraId="70F1CD2E"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EP300</w:t>
            </w:r>
          </w:p>
        </w:tc>
        <w:tc>
          <w:tcPr>
            <w:tcW w:w="1940" w:type="dxa"/>
            <w:tcBorders>
              <w:top w:val="nil"/>
              <w:left w:val="nil"/>
              <w:bottom w:val="nil"/>
              <w:right w:val="nil"/>
            </w:tcBorders>
            <w:shd w:val="clear" w:color="auto" w:fill="auto"/>
            <w:vAlign w:val="center"/>
            <w:hideMark/>
          </w:tcPr>
          <w:p w14:paraId="075949B0"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0.379</w:t>
            </w:r>
          </w:p>
        </w:tc>
        <w:tc>
          <w:tcPr>
            <w:tcW w:w="1300" w:type="dxa"/>
            <w:tcBorders>
              <w:top w:val="nil"/>
              <w:left w:val="nil"/>
              <w:bottom w:val="nil"/>
              <w:right w:val="nil"/>
            </w:tcBorders>
            <w:shd w:val="clear" w:color="auto" w:fill="auto"/>
            <w:vAlign w:val="center"/>
            <w:hideMark/>
          </w:tcPr>
          <w:p w14:paraId="076C8EAD"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w:t>
            </w:r>
          </w:p>
        </w:tc>
        <w:tc>
          <w:tcPr>
            <w:tcW w:w="1300" w:type="dxa"/>
            <w:tcBorders>
              <w:top w:val="nil"/>
              <w:left w:val="nil"/>
              <w:bottom w:val="nil"/>
              <w:right w:val="nil"/>
            </w:tcBorders>
            <w:shd w:val="clear" w:color="auto" w:fill="auto"/>
            <w:vAlign w:val="center"/>
            <w:hideMark/>
          </w:tcPr>
          <w:p w14:paraId="6AAA3CFD"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0.935</w:t>
            </w:r>
          </w:p>
        </w:tc>
      </w:tr>
      <w:tr w:rsidR="0058481A" w:rsidRPr="00CE7FB1" w14:paraId="2D9D5D5F" w14:textId="77777777" w:rsidTr="003E75CC">
        <w:trPr>
          <w:trHeight w:val="320"/>
        </w:trPr>
        <w:tc>
          <w:tcPr>
            <w:tcW w:w="1300" w:type="dxa"/>
            <w:tcBorders>
              <w:top w:val="nil"/>
              <w:left w:val="nil"/>
              <w:bottom w:val="nil"/>
              <w:right w:val="nil"/>
            </w:tcBorders>
            <w:shd w:val="clear" w:color="auto" w:fill="auto"/>
            <w:vAlign w:val="center"/>
            <w:hideMark/>
          </w:tcPr>
          <w:p w14:paraId="3CFC4B50"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NR4A1</w:t>
            </w:r>
          </w:p>
        </w:tc>
        <w:tc>
          <w:tcPr>
            <w:tcW w:w="1300" w:type="dxa"/>
            <w:tcBorders>
              <w:top w:val="nil"/>
              <w:left w:val="nil"/>
              <w:bottom w:val="nil"/>
              <w:right w:val="nil"/>
            </w:tcBorders>
            <w:shd w:val="clear" w:color="auto" w:fill="auto"/>
            <w:vAlign w:val="center"/>
            <w:hideMark/>
          </w:tcPr>
          <w:p w14:paraId="35E20545"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MED1</w:t>
            </w:r>
          </w:p>
        </w:tc>
        <w:tc>
          <w:tcPr>
            <w:tcW w:w="1940" w:type="dxa"/>
            <w:tcBorders>
              <w:top w:val="nil"/>
              <w:left w:val="nil"/>
              <w:bottom w:val="nil"/>
              <w:right w:val="nil"/>
            </w:tcBorders>
            <w:shd w:val="clear" w:color="auto" w:fill="auto"/>
            <w:vAlign w:val="center"/>
            <w:hideMark/>
          </w:tcPr>
          <w:p w14:paraId="3AF0ED4D"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0.32</w:t>
            </w:r>
          </w:p>
        </w:tc>
        <w:tc>
          <w:tcPr>
            <w:tcW w:w="1300" w:type="dxa"/>
            <w:tcBorders>
              <w:top w:val="nil"/>
              <w:left w:val="nil"/>
              <w:bottom w:val="nil"/>
              <w:right w:val="nil"/>
            </w:tcBorders>
            <w:shd w:val="clear" w:color="auto" w:fill="auto"/>
            <w:vAlign w:val="center"/>
            <w:hideMark/>
          </w:tcPr>
          <w:p w14:paraId="47CC7684"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w:t>
            </w:r>
          </w:p>
        </w:tc>
        <w:tc>
          <w:tcPr>
            <w:tcW w:w="1300" w:type="dxa"/>
            <w:tcBorders>
              <w:top w:val="nil"/>
              <w:left w:val="nil"/>
              <w:bottom w:val="nil"/>
              <w:right w:val="nil"/>
            </w:tcBorders>
            <w:shd w:val="clear" w:color="auto" w:fill="auto"/>
            <w:vAlign w:val="center"/>
            <w:hideMark/>
          </w:tcPr>
          <w:p w14:paraId="09EB941A"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0.929</w:t>
            </w:r>
          </w:p>
        </w:tc>
      </w:tr>
      <w:tr w:rsidR="0058481A" w:rsidRPr="00CE7FB1" w14:paraId="34C95C38" w14:textId="77777777" w:rsidTr="003E75CC">
        <w:trPr>
          <w:trHeight w:val="320"/>
        </w:trPr>
        <w:tc>
          <w:tcPr>
            <w:tcW w:w="1300" w:type="dxa"/>
            <w:tcBorders>
              <w:top w:val="nil"/>
              <w:left w:val="nil"/>
              <w:bottom w:val="nil"/>
              <w:right w:val="nil"/>
            </w:tcBorders>
            <w:shd w:val="clear" w:color="auto" w:fill="auto"/>
            <w:vAlign w:val="center"/>
            <w:hideMark/>
          </w:tcPr>
          <w:p w14:paraId="0913DAA2"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NR4A1</w:t>
            </w:r>
          </w:p>
        </w:tc>
        <w:tc>
          <w:tcPr>
            <w:tcW w:w="1300" w:type="dxa"/>
            <w:tcBorders>
              <w:top w:val="nil"/>
              <w:left w:val="nil"/>
              <w:bottom w:val="nil"/>
              <w:right w:val="nil"/>
            </w:tcBorders>
            <w:shd w:val="clear" w:color="auto" w:fill="auto"/>
            <w:vAlign w:val="center"/>
            <w:hideMark/>
          </w:tcPr>
          <w:p w14:paraId="59B73983"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RXRB</w:t>
            </w:r>
          </w:p>
        </w:tc>
        <w:tc>
          <w:tcPr>
            <w:tcW w:w="1940" w:type="dxa"/>
            <w:tcBorders>
              <w:top w:val="nil"/>
              <w:left w:val="nil"/>
              <w:bottom w:val="nil"/>
              <w:right w:val="nil"/>
            </w:tcBorders>
            <w:shd w:val="clear" w:color="auto" w:fill="auto"/>
            <w:vAlign w:val="center"/>
            <w:hideMark/>
          </w:tcPr>
          <w:p w14:paraId="65264D6D"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0.183</w:t>
            </w:r>
          </w:p>
        </w:tc>
        <w:tc>
          <w:tcPr>
            <w:tcW w:w="1300" w:type="dxa"/>
            <w:tcBorders>
              <w:top w:val="nil"/>
              <w:left w:val="nil"/>
              <w:bottom w:val="nil"/>
              <w:right w:val="nil"/>
            </w:tcBorders>
            <w:shd w:val="clear" w:color="auto" w:fill="auto"/>
            <w:vAlign w:val="center"/>
            <w:hideMark/>
          </w:tcPr>
          <w:p w14:paraId="09752B96"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w:t>
            </w:r>
          </w:p>
        </w:tc>
        <w:tc>
          <w:tcPr>
            <w:tcW w:w="1300" w:type="dxa"/>
            <w:tcBorders>
              <w:top w:val="nil"/>
              <w:left w:val="nil"/>
              <w:bottom w:val="nil"/>
              <w:right w:val="nil"/>
            </w:tcBorders>
            <w:shd w:val="clear" w:color="auto" w:fill="auto"/>
            <w:vAlign w:val="center"/>
            <w:hideMark/>
          </w:tcPr>
          <w:p w14:paraId="6F15DCED"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0.914</w:t>
            </w:r>
          </w:p>
        </w:tc>
      </w:tr>
      <w:tr w:rsidR="0058481A" w:rsidRPr="00CE7FB1" w14:paraId="216BA947" w14:textId="77777777" w:rsidTr="003E75CC">
        <w:trPr>
          <w:trHeight w:val="320"/>
        </w:trPr>
        <w:tc>
          <w:tcPr>
            <w:tcW w:w="1300" w:type="dxa"/>
            <w:tcBorders>
              <w:top w:val="nil"/>
              <w:left w:val="nil"/>
              <w:bottom w:val="nil"/>
              <w:right w:val="nil"/>
            </w:tcBorders>
            <w:shd w:val="clear" w:color="auto" w:fill="auto"/>
            <w:vAlign w:val="center"/>
            <w:hideMark/>
          </w:tcPr>
          <w:p w14:paraId="2BE3AE61"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NR4A1</w:t>
            </w:r>
          </w:p>
        </w:tc>
        <w:tc>
          <w:tcPr>
            <w:tcW w:w="1300" w:type="dxa"/>
            <w:tcBorders>
              <w:top w:val="nil"/>
              <w:left w:val="nil"/>
              <w:bottom w:val="nil"/>
              <w:right w:val="nil"/>
            </w:tcBorders>
            <w:shd w:val="clear" w:color="auto" w:fill="auto"/>
            <w:vAlign w:val="center"/>
            <w:hideMark/>
          </w:tcPr>
          <w:p w14:paraId="58A59781"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AKT2</w:t>
            </w:r>
          </w:p>
        </w:tc>
        <w:tc>
          <w:tcPr>
            <w:tcW w:w="1940" w:type="dxa"/>
            <w:tcBorders>
              <w:top w:val="nil"/>
              <w:left w:val="nil"/>
              <w:bottom w:val="nil"/>
              <w:right w:val="nil"/>
            </w:tcBorders>
            <w:shd w:val="clear" w:color="auto" w:fill="auto"/>
            <w:vAlign w:val="center"/>
            <w:hideMark/>
          </w:tcPr>
          <w:p w14:paraId="63B208A7"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0.074</w:t>
            </w:r>
          </w:p>
        </w:tc>
        <w:tc>
          <w:tcPr>
            <w:tcW w:w="1300" w:type="dxa"/>
            <w:tcBorders>
              <w:top w:val="nil"/>
              <w:left w:val="nil"/>
              <w:bottom w:val="nil"/>
              <w:right w:val="nil"/>
            </w:tcBorders>
            <w:shd w:val="clear" w:color="auto" w:fill="auto"/>
            <w:vAlign w:val="center"/>
            <w:hideMark/>
          </w:tcPr>
          <w:p w14:paraId="4002D1E0"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w:t>
            </w:r>
          </w:p>
        </w:tc>
        <w:tc>
          <w:tcPr>
            <w:tcW w:w="1300" w:type="dxa"/>
            <w:tcBorders>
              <w:top w:val="nil"/>
              <w:left w:val="nil"/>
              <w:bottom w:val="nil"/>
              <w:right w:val="nil"/>
            </w:tcBorders>
            <w:shd w:val="clear" w:color="auto" w:fill="auto"/>
            <w:vAlign w:val="center"/>
            <w:hideMark/>
          </w:tcPr>
          <w:p w14:paraId="473A44BC"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0.903</w:t>
            </w:r>
          </w:p>
        </w:tc>
      </w:tr>
      <w:tr w:rsidR="0058481A" w:rsidRPr="00CE7FB1" w14:paraId="6186C2E9" w14:textId="77777777" w:rsidTr="00103750">
        <w:trPr>
          <w:trHeight w:val="340"/>
        </w:trPr>
        <w:tc>
          <w:tcPr>
            <w:tcW w:w="1300" w:type="dxa"/>
            <w:tcBorders>
              <w:top w:val="nil"/>
              <w:left w:val="nil"/>
              <w:bottom w:val="nil"/>
              <w:right w:val="nil"/>
            </w:tcBorders>
            <w:shd w:val="clear" w:color="auto" w:fill="auto"/>
            <w:vAlign w:val="center"/>
            <w:hideMark/>
          </w:tcPr>
          <w:p w14:paraId="3A49DF7C"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NR4A1</w:t>
            </w:r>
          </w:p>
        </w:tc>
        <w:tc>
          <w:tcPr>
            <w:tcW w:w="1300" w:type="dxa"/>
            <w:tcBorders>
              <w:top w:val="nil"/>
              <w:left w:val="nil"/>
              <w:bottom w:val="nil"/>
              <w:right w:val="nil"/>
            </w:tcBorders>
            <w:shd w:val="clear" w:color="auto" w:fill="auto"/>
            <w:vAlign w:val="center"/>
            <w:hideMark/>
          </w:tcPr>
          <w:p w14:paraId="3F0F77F5"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AKT3</w:t>
            </w:r>
          </w:p>
        </w:tc>
        <w:tc>
          <w:tcPr>
            <w:tcW w:w="1940" w:type="dxa"/>
            <w:tcBorders>
              <w:top w:val="nil"/>
              <w:left w:val="nil"/>
              <w:bottom w:val="nil"/>
              <w:right w:val="nil"/>
            </w:tcBorders>
            <w:shd w:val="clear" w:color="auto" w:fill="auto"/>
            <w:vAlign w:val="center"/>
            <w:hideMark/>
          </w:tcPr>
          <w:p w14:paraId="4F79B8A9"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0.074</w:t>
            </w:r>
          </w:p>
        </w:tc>
        <w:tc>
          <w:tcPr>
            <w:tcW w:w="1300" w:type="dxa"/>
            <w:tcBorders>
              <w:top w:val="nil"/>
              <w:left w:val="nil"/>
              <w:bottom w:val="nil"/>
              <w:right w:val="nil"/>
            </w:tcBorders>
            <w:shd w:val="clear" w:color="auto" w:fill="auto"/>
            <w:vAlign w:val="center"/>
            <w:hideMark/>
          </w:tcPr>
          <w:p w14:paraId="0BAE1040"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w:t>
            </w:r>
          </w:p>
        </w:tc>
        <w:tc>
          <w:tcPr>
            <w:tcW w:w="1300" w:type="dxa"/>
            <w:tcBorders>
              <w:top w:val="nil"/>
              <w:left w:val="nil"/>
              <w:bottom w:val="nil"/>
              <w:right w:val="nil"/>
            </w:tcBorders>
            <w:shd w:val="clear" w:color="auto" w:fill="auto"/>
            <w:vAlign w:val="center"/>
            <w:hideMark/>
          </w:tcPr>
          <w:p w14:paraId="2FB22D76" w14:textId="77777777" w:rsidR="0058481A" w:rsidRPr="00CE7FB1" w:rsidRDefault="0058481A"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0.903</w:t>
            </w:r>
          </w:p>
        </w:tc>
      </w:tr>
      <w:tr w:rsidR="00103750" w:rsidRPr="00CE7FB1" w14:paraId="634F4E03" w14:textId="77777777" w:rsidTr="003E75CC">
        <w:trPr>
          <w:trHeight w:val="340"/>
        </w:trPr>
        <w:tc>
          <w:tcPr>
            <w:tcW w:w="1300" w:type="dxa"/>
            <w:tcBorders>
              <w:top w:val="nil"/>
              <w:left w:val="nil"/>
              <w:bottom w:val="single" w:sz="8" w:space="0" w:color="auto"/>
              <w:right w:val="nil"/>
            </w:tcBorders>
            <w:shd w:val="clear" w:color="auto" w:fill="auto"/>
            <w:vAlign w:val="center"/>
          </w:tcPr>
          <w:p w14:paraId="3F7E0B7E" w14:textId="2285DAD9" w:rsidR="00103750" w:rsidRPr="00CE7FB1" w:rsidRDefault="00103750"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NR4A1</w:t>
            </w:r>
          </w:p>
        </w:tc>
        <w:tc>
          <w:tcPr>
            <w:tcW w:w="1300" w:type="dxa"/>
            <w:tcBorders>
              <w:top w:val="nil"/>
              <w:left w:val="nil"/>
              <w:bottom w:val="single" w:sz="8" w:space="0" w:color="auto"/>
              <w:right w:val="nil"/>
            </w:tcBorders>
            <w:shd w:val="clear" w:color="auto" w:fill="auto"/>
            <w:vAlign w:val="center"/>
          </w:tcPr>
          <w:p w14:paraId="618BBF1B" w14:textId="3BFECD2A" w:rsidR="00103750" w:rsidRPr="00CE7FB1" w:rsidRDefault="00103750"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color w:val="000000"/>
                <w:kern w:val="0"/>
                <w:sz w:val="18"/>
                <w:szCs w:val="18"/>
              </w:rPr>
              <w:t>MEF2D</w:t>
            </w:r>
          </w:p>
        </w:tc>
        <w:tc>
          <w:tcPr>
            <w:tcW w:w="1940" w:type="dxa"/>
            <w:tcBorders>
              <w:top w:val="nil"/>
              <w:left w:val="nil"/>
              <w:bottom w:val="single" w:sz="8" w:space="0" w:color="auto"/>
              <w:right w:val="nil"/>
            </w:tcBorders>
            <w:shd w:val="clear" w:color="auto" w:fill="auto"/>
            <w:vAlign w:val="center"/>
          </w:tcPr>
          <w:p w14:paraId="492F62F2" w14:textId="39118F30" w:rsidR="00103750" w:rsidRPr="00CE7FB1" w:rsidRDefault="00103750"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hint="eastAsia"/>
                <w:color w:val="000000"/>
                <w:kern w:val="0"/>
                <w:sz w:val="18"/>
                <w:szCs w:val="18"/>
              </w:rPr>
              <w:t>0</w:t>
            </w:r>
          </w:p>
        </w:tc>
        <w:tc>
          <w:tcPr>
            <w:tcW w:w="1300" w:type="dxa"/>
            <w:tcBorders>
              <w:top w:val="nil"/>
              <w:left w:val="nil"/>
              <w:bottom w:val="single" w:sz="8" w:space="0" w:color="auto"/>
              <w:right w:val="nil"/>
            </w:tcBorders>
            <w:shd w:val="clear" w:color="auto" w:fill="auto"/>
            <w:vAlign w:val="center"/>
          </w:tcPr>
          <w:p w14:paraId="39F3CC95" w14:textId="71AEF07D" w:rsidR="00103750" w:rsidRPr="00CE7FB1" w:rsidRDefault="00103750"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hint="eastAsia"/>
                <w:color w:val="000000"/>
                <w:kern w:val="0"/>
                <w:sz w:val="18"/>
                <w:szCs w:val="18"/>
              </w:rPr>
              <w:t>0.9</w:t>
            </w:r>
          </w:p>
        </w:tc>
        <w:tc>
          <w:tcPr>
            <w:tcW w:w="1300" w:type="dxa"/>
            <w:tcBorders>
              <w:top w:val="nil"/>
              <w:left w:val="nil"/>
              <w:bottom w:val="single" w:sz="8" w:space="0" w:color="auto"/>
              <w:right w:val="nil"/>
            </w:tcBorders>
            <w:shd w:val="clear" w:color="auto" w:fill="auto"/>
            <w:vAlign w:val="center"/>
          </w:tcPr>
          <w:p w14:paraId="58FC54D5" w14:textId="5F4CD342" w:rsidR="00103750" w:rsidRPr="00CE7FB1" w:rsidRDefault="00103750" w:rsidP="003E75CC">
            <w:pPr>
              <w:widowControl/>
              <w:spacing w:line="276" w:lineRule="auto"/>
              <w:jc w:val="center"/>
              <w:rPr>
                <w:rFonts w:ascii="Times New Roman" w:hAnsi="Times New Roman"/>
                <w:color w:val="000000"/>
                <w:kern w:val="0"/>
                <w:sz w:val="18"/>
                <w:szCs w:val="18"/>
              </w:rPr>
            </w:pPr>
            <w:r w:rsidRPr="00CE7FB1">
              <w:rPr>
                <w:rFonts w:ascii="Times New Roman" w:hAnsi="Times New Roman" w:hint="eastAsia"/>
                <w:color w:val="000000"/>
                <w:kern w:val="0"/>
                <w:sz w:val="18"/>
                <w:szCs w:val="18"/>
              </w:rPr>
              <w:t>0.9</w:t>
            </w:r>
          </w:p>
        </w:tc>
      </w:tr>
    </w:tbl>
    <w:p w14:paraId="09F04395" w14:textId="77777777" w:rsidR="00373556" w:rsidRPr="00CE7FB1" w:rsidRDefault="0058481A" w:rsidP="003815BD">
      <w:pPr>
        <w:widowControl/>
        <w:spacing w:line="276" w:lineRule="auto"/>
        <w:rPr>
          <w:rFonts w:ascii="Times New Roman" w:hAnsi="Times New Roman"/>
          <w:color w:val="000000"/>
          <w:kern w:val="0"/>
          <w:sz w:val="24"/>
          <w:szCs w:val="24"/>
        </w:rPr>
      </w:pPr>
      <w:r w:rsidRPr="00CE7FB1">
        <w:rPr>
          <w:rFonts w:ascii="Times New Roman" w:hAnsi="Times New Roman"/>
          <w:color w:val="000000"/>
          <w:kern w:val="0"/>
          <w:sz w:val="24"/>
          <w:szCs w:val="24"/>
        </w:rPr>
        <w:t>PPI</w:t>
      </w:r>
      <w:r w:rsidR="00133454" w:rsidRPr="00CE7FB1">
        <w:rPr>
          <w:rFonts w:ascii="Times New Roman" w:hAnsi="Times New Roman" w:hint="eastAsia"/>
          <w:color w:val="000000"/>
          <w:kern w:val="0"/>
          <w:sz w:val="24"/>
          <w:szCs w:val="24"/>
        </w:rPr>
        <w:t>:</w:t>
      </w:r>
      <w:r w:rsidRPr="00CE7FB1">
        <w:rPr>
          <w:rFonts w:ascii="Times New Roman" w:hAnsi="Times New Roman"/>
          <w:color w:val="000000"/>
          <w:kern w:val="0"/>
          <w:sz w:val="24"/>
          <w:szCs w:val="24"/>
        </w:rPr>
        <w:t xml:space="preserve"> protein-protein interaction.</w:t>
      </w:r>
    </w:p>
    <w:p w14:paraId="615D63EC" w14:textId="77777777" w:rsidR="00752BA8" w:rsidRPr="00CE7FB1" w:rsidRDefault="00752BA8" w:rsidP="003815BD">
      <w:pPr>
        <w:widowControl/>
        <w:spacing w:line="276" w:lineRule="auto"/>
        <w:rPr>
          <w:rFonts w:ascii="Times New Roman" w:hAnsi="Times New Roman"/>
          <w:color w:val="000000"/>
          <w:kern w:val="0"/>
          <w:sz w:val="18"/>
          <w:szCs w:val="18"/>
        </w:rPr>
      </w:pPr>
    </w:p>
    <w:p w14:paraId="56CF48CC" w14:textId="77777777" w:rsidR="00752BA8" w:rsidRPr="00CE7FB1" w:rsidRDefault="00752BA8" w:rsidP="00752BA8">
      <w:pPr>
        <w:widowControl/>
        <w:spacing w:line="276"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T</w:t>
      </w:r>
      <w:r w:rsidRPr="00CE7FB1">
        <w:rPr>
          <w:rFonts w:ascii="Times New Roman" w:hAnsi="Times New Roman"/>
          <w:b/>
          <w:bCs/>
          <w:color w:val="000000"/>
          <w:kern w:val="0"/>
          <w:sz w:val="24"/>
          <w:szCs w:val="24"/>
        </w:rPr>
        <w:t>able S2. Approved drugs targeted RXRα.</w:t>
      </w:r>
    </w:p>
    <w:tbl>
      <w:tblPr>
        <w:tblW w:w="8364" w:type="dxa"/>
        <w:tblLook w:val="04A0" w:firstRow="1" w:lastRow="0" w:firstColumn="1" w:lastColumn="0" w:noHBand="0" w:noVBand="1"/>
      </w:tblPr>
      <w:tblGrid>
        <w:gridCol w:w="1295"/>
        <w:gridCol w:w="1376"/>
        <w:gridCol w:w="1292"/>
        <w:gridCol w:w="2857"/>
        <w:gridCol w:w="1544"/>
      </w:tblGrid>
      <w:tr w:rsidR="00752BA8" w:rsidRPr="00CE7FB1" w14:paraId="18A3BAAA" w14:textId="77777777" w:rsidTr="00752BA8">
        <w:trPr>
          <w:trHeight w:val="740"/>
        </w:trPr>
        <w:tc>
          <w:tcPr>
            <w:tcW w:w="1300" w:type="dxa"/>
            <w:tcBorders>
              <w:top w:val="single" w:sz="8" w:space="0" w:color="000000"/>
              <w:left w:val="nil"/>
              <w:bottom w:val="single" w:sz="8" w:space="0" w:color="000000"/>
              <w:right w:val="nil"/>
            </w:tcBorders>
            <w:shd w:val="clear" w:color="auto" w:fill="auto"/>
            <w:vAlign w:val="center"/>
            <w:hideMark/>
          </w:tcPr>
          <w:p w14:paraId="6928A1CF" w14:textId="77777777" w:rsidR="00752BA8" w:rsidRPr="00CE7FB1" w:rsidRDefault="00752BA8" w:rsidP="003E75CC">
            <w:pPr>
              <w:widowControl/>
              <w:spacing w:line="276" w:lineRule="auto"/>
              <w:jc w:val="center"/>
              <w:rPr>
                <w:rFonts w:ascii="Times New Roman" w:hAnsi="Times New Roman"/>
                <w:color w:val="000000"/>
                <w:kern w:val="0"/>
                <w:sz w:val="24"/>
                <w:szCs w:val="24"/>
              </w:rPr>
            </w:pPr>
            <w:proofErr w:type="spellStart"/>
            <w:r w:rsidRPr="00CE7FB1">
              <w:rPr>
                <w:rFonts w:ascii="Times New Roman" w:hAnsi="Times New Roman"/>
                <w:color w:val="000000"/>
                <w:kern w:val="0"/>
                <w:sz w:val="24"/>
                <w:szCs w:val="24"/>
              </w:rPr>
              <w:t>Drugbank</w:t>
            </w:r>
            <w:proofErr w:type="spellEnd"/>
            <w:r w:rsidRPr="00CE7FB1">
              <w:rPr>
                <w:rFonts w:ascii="Times New Roman" w:hAnsi="Times New Roman"/>
                <w:color w:val="000000"/>
                <w:kern w:val="0"/>
                <w:sz w:val="24"/>
                <w:szCs w:val="24"/>
              </w:rPr>
              <w:t xml:space="preserve"> ID</w:t>
            </w:r>
          </w:p>
        </w:tc>
        <w:tc>
          <w:tcPr>
            <w:tcW w:w="1300" w:type="dxa"/>
            <w:tcBorders>
              <w:top w:val="single" w:sz="8" w:space="0" w:color="000000"/>
              <w:left w:val="nil"/>
              <w:bottom w:val="single" w:sz="8" w:space="0" w:color="000000"/>
              <w:right w:val="nil"/>
            </w:tcBorders>
            <w:shd w:val="clear" w:color="auto" w:fill="auto"/>
            <w:vAlign w:val="center"/>
            <w:hideMark/>
          </w:tcPr>
          <w:p w14:paraId="56D46B06"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Name</w:t>
            </w:r>
          </w:p>
        </w:tc>
        <w:tc>
          <w:tcPr>
            <w:tcW w:w="1300" w:type="dxa"/>
            <w:tcBorders>
              <w:top w:val="single" w:sz="8" w:space="0" w:color="000000"/>
              <w:left w:val="nil"/>
              <w:bottom w:val="single" w:sz="8" w:space="0" w:color="000000"/>
              <w:right w:val="nil"/>
            </w:tcBorders>
            <w:shd w:val="clear" w:color="auto" w:fill="auto"/>
            <w:vAlign w:val="center"/>
            <w:hideMark/>
          </w:tcPr>
          <w:p w14:paraId="2E1AA371"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Actions</w:t>
            </w:r>
          </w:p>
        </w:tc>
        <w:tc>
          <w:tcPr>
            <w:tcW w:w="2904" w:type="dxa"/>
            <w:tcBorders>
              <w:top w:val="single" w:sz="8" w:space="0" w:color="000000"/>
              <w:left w:val="nil"/>
              <w:bottom w:val="single" w:sz="8" w:space="0" w:color="000000"/>
              <w:right w:val="nil"/>
            </w:tcBorders>
            <w:shd w:val="clear" w:color="auto" w:fill="auto"/>
            <w:vAlign w:val="center"/>
            <w:hideMark/>
          </w:tcPr>
          <w:p w14:paraId="4EFCECDC"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Description</w:t>
            </w:r>
          </w:p>
        </w:tc>
        <w:tc>
          <w:tcPr>
            <w:tcW w:w="1560" w:type="dxa"/>
            <w:tcBorders>
              <w:top w:val="single" w:sz="8" w:space="0" w:color="000000"/>
              <w:left w:val="nil"/>
              <w:bottom w:val="single" w:sz="8" w:space="0" w:color="000000"/>
              <w:right w:val="nil"/>
            </w:tcBorders>
            <w:shd w:val="clear" w:color="auto" w:fill="auto"/>
            <w:vAlign w:val="center"/>
            <w:hideMark/>
          </w:tcPr>
          <w:p w14:paraId="58178059"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Research Phase for CD Treatment</w:t>
            </w:r>
          </w:p>
        </w:tc>
      </w:tr>
      <w:tr w:rsidR="00752BA8" w:rsidRPr="00CE7FB1" w14:paraId="79281250" w14:textId="77777777" w:rsidTr="003E75CC">
        <w:trPr>
          <w:trHeight w:val="986"/>
        </w:trPr>
        <w:tc>
          <w:tcPr>
            <w:tcW w:w="1300" w:type="dxa"/>
            <w:tcBorders>
              <w:top w:val="nil"/>
              <w:left w:val="nil"/>
              <w:bottom w:val="nil"/>
              <w:right w:val="nil"/>
            </w:tcBorders>
            <w:shd w:val="clear" w:color="auto" w:fill="auto"/>
            <w:vAlign w:val="center"/>
            <w:hideMark/>
          </w:tcPr>
          <w:p w14:paraId="5C3CC78D"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DB00459</w:t>
            </w:r>
          </w:p>
        </w:tc>
        <w:tc>
          <w:tcPr>
            <w:tcW w:w="1300" w:type="dxa"/>
            <w:tcBorders>
              <w:top w:val="nil"/>
              <w:left w:val="nil"/>
              <w:bottom w:val="nil"/>
              <w:right w:val="nil"/>
            </w:tcBorders>
            <w:shd w:val="clear" w:color="auto" w:fill="auto"/>
            <w:vAlign w:val="center"/>
            <w:hideMark/>
          </w:tcPr>
          <w:p w14:paraId="22C0441E"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Acitretin</w:t>
            </w:r>
          </w:p>
        </w:tc>
        <w:tc>
          <w:tcPr>
            <w:tcW w:w="1300" w:type="dxa"/>
            <w:tcBorders>
              <w:top w:val="nil"/>
              <w:left w:val="nil"/>
              <w:bottom w:val="nil"/>
              <w:right w:val="nil"/>
            </w:tcBorders>
            <w:shd w:val="clear" w:color="auto" w:fill="auto"/>
            <w:vAlign w:val="center"/>
            <w:hideMark/>
          </w:tcPr>
          <w:p w14:paraId="4501E8D9"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Agonist</w:t>
            </w:r>
          </w:p>
        </w:tc>
        <w:tc>
          <w:tcPr>
            <w:tcW w:w="2904" w:type="dxa"/>
            <w:tcBorders>
              <w:top w:val="nil"/>
              <w:left w:val="nil"/>
              <w:bottom w:val="nil"/>
              <w:right w:val="nil"/>
            </w:tcBorders>
            <w:shd w:val="clear" w:color="auto" w:fill="auto"/>
            <w:vAlign w:val="center"/>
            <w:hideMark/>
          </w:tcPr>
          <w:p w14:paraId="754E9E47"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For the treatment of severe psoriasis in adults.</w:t>
            </w:r>
          </w:p>
        </w:tc>
        <w:tc>
          <w:tcPr>
            <w:tcW w:w="1560" w:type="dxa"/>
            <w:tcBorders>
              <w:top w:val="nil"/>
              <w:left w:val="nil"/>
              <w:bottom w:val="nil"/>
              <w:right w:val="nil"/>
            </w:tcBorders>
            <w:shd w:val="clear" w:color="auto" w:fill="auto"/>
            <w:vAlign w:val="center"/>
            <w:hideMark/>
          </w:tcPr>
          <w:p w14:paraId="641AF4A4"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r>
      <w:tr w:rsidR="00752BA8" w:rsidRPr="00CE7FB1" w14:paraId="31B55C4A" w14:textId="77777777" w:rsidTr="003E75CC">
        <w:trPr>
          <w:trHeight w:val="1495"/>
        </w:trPr>
        <w:tc>
          <w:tcPr>
            <w:tcW w:w="1300" w:type="dxa"/>
            <w:tcBorders>
              <w:top w:val="nil"/>
              <w:left w:val="nil"/>
              <w:bottom w:val="nil"/>
              <w:right w:val="nil"/>
            </w:tcBorders>
            <w:shd w:val="clear" w:color="auto" w:fill="auto"/>
            <w:vAlign w:val="center"/>
            <w:hideMark/>
          </w:tcPr>
          <w:p w14:paraId="115385FF"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DB00523</w:t>
            </w:r>
          </w:p>
        </w:tc>
        <w:tc>
          <w:tcPr>
            <w:tcW w:w="1300" w:type="dxa"/>
            <w:tcBorders>
              <w:top w:val="nil"/>
              <w:left w:val="nil"/>
              <w:bottom w:val="nil"/>
              <w:right w:val="nil"/>
            </w:tcBorders>
            <w:shd w:val="clear" w:color="auto" w:fill="auto"/>
            <w:vAlign w:val="center"/>
            <w:hideMark/>
          </w:tcPr>
          <w:p w14:paraId="4C482FB9"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Alitretinoin</w:t>
            </w:r>
          </w:p>
        </w:tc>
        <w:tc>
          <w:tcPr>
            <w:tcW w:w="1300" w:type="dxa"/>
            <w:tcBorders>
              <w:top w:val="nil"/>
              <w:left w:val="nil"/>
              <w:bottom w:val="nil"/>
              <w:right w:val="nil"/>
            </w:tcBorders>
            <w:shd w:val="clear" w:color="auto" w:fill="auto"/>
            <w:vAlign w:val="center"/>
            <w:hideMark/>
          </w:tcPr>
          <w:p w14:paraId="085BACDE"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Agonist</w:t>
            </w:r>
          </w:p>
        </w:tc>
        <w:tc>
          <w:tcPr>
            <w:tcW w:w="2904" w:type="dxa"/>
            <w:tcBorders>
              <w:top w:val="nil"/>
              <w:left w:val="nil"/>
              <w:bottom w:val="nil"/>
              <w:right w:val="nil"/>
            </w:tcBorders>
            <w:shd w:val="clear" w:color="auto" w:fill="auto"/>
            <w:vAlign w:val="center"/>
            <w:hideMark/>
          </w:tcPr>
          <w:p w14:paraId="40038043"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For topical treatment of cutaneous lesions in patients with AIDS-related Kaposi's sarcoma.</w:t>
            </w:r>
          </w:p>
        </w:tc>
        <w:tc>
          <w:tcPr>
            <w:tcW w:w="1560" w:type="dxa"/>
            <w:tcBorders>
              <w:top w:val="nil"/>
              <w:left w:val="nil"/>
              <w:bottom w:val="nil"/>
              <w:right w:val="nil"/>
            </w:tcBorders>
            <w:shd w:val="clear" w:color="auto" w:fill="auto"/>
            <w:vAlign w:val="center"/>
            <w:hideMark/>
          </w:tcPr>
          <w:p w14:paraId="615C6C58"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r>
      <w:tr w:rsidR="00752BA8" w:rsidRPr="00CE7FB1" w14:paraId="441B37F3" w14:textId="77777777" w:rsidTr="003E75CC">
        <w:trPr>
          <w:trHeight w:val="1200"/>
        </w:trPr>
        <w:tc>
          <w:tcPr>
            <w:tcW w:w="1300" w:type="dxa"/>
            <w:tcBorders>
              <w:top w:val="nil"/>
              <w:left w:val="nil"/>
              <w:bottom w:val="nil"/>
              <w:right w:val="nil"/>
            </w:tcBorders>
            <w:shd w:val="clear" w:color="auto" w:fill="auto"/>
            <w:vAlign w:val="center"/>
            <w:hideMark/>
          </w:tcPr>
          <w:p w14:paraId="15A24114"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DB00307</w:t>
            </w:r>
          </w:p>
        </w:tc>
        <w:tc>
          <w:tcPr>
            <w:tcW w:w="1300" w:type="dxa"/>
            <w:tcBorders>
              <w:top w:val="nil"/>
              <w:left w:val="nil"/>
              <w:bottom w:val="nil"/>
              <w:right w:val="nil"/>
            </w:tcBorders>
            <w:shd w:val="clear" w:color="auto" w:fill="auto"/>
            <w:vAlign w:val="center"/>
            <w:hideMark/>
          </w:tcPr>
          <w:p w14:paraId="0CA7469B"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Bexarotene</w:t>
            </w:r>
          </w:p>
        </w:tc>
        <w:tc>
          <w:tcPr>
            <w:tcW w:w="1300" w:type="dxa"/>
            <w:tcBorders>
              <w:top w:val="nil"/>
              <w:left w:val="nil"/>
              <w:bottom w:val="nil"/>
              <w:right w:val="nil"/>
            </w:tcBorders>
            <w:shd w:val="clear" w:color="auto" w:fill="auto"/>
            <w:vAlign w:val="center"/>
            <w:hideMark/>
          </w:tcPr>
          <w:p w14:paraId="084C4D7A"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Agonist</w:t>
            </w:r>
          </w:p>
        </w:tc>
        <w:tc>
          <w:tcPr>
            <w:tcW w:w="2904" w:type="dxa"/>
            <w:tcBorders>
              <w:top w:val="nil"/>
              <w:left w:val="nil"/>
              <w:bottom w:val="nil"/>
              <w:right w:val="nil"/>
            </w:tcBorders>
            <w:shd w:val="clear" w:color="auto" w:fill="auto"/>
            <w:vAlign w:val="center"/>
            <w:hideMark/>
          </w:tcPr>
          <w:p w14:paraId="7244F864"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Used orally for the treatment of cutaneous T-cell lymphoma (CTCL)</w:t>
            </w:r>
          </w:p>
        </w:tc>
        <w:tc>
          <w:tcPr>
            <w:tcW w:w="1560" w:type="dxa"/>
            <w:tcBorders>
              <w:top w:val="nil"/>
              <w:left w:val="nil"/>
              <w:bottom w:val="nil"/>
              <w:right w:val="nil"/>
            </w:tcBorders>
            <w:shd w:val="clear" w:color="auto" w:fill="auto"/>
            <w:vAlign w:val="center"/>
            <w:hideMark/>
          </w:tcPr>
          <w:p w14:paraId="5AFA0193"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Clinical trial phase 2</w:t>
            </w:r>
          </w:p>
        </w:tc>
      </w:tr>
      <w:tr w:rsidR="00752BA8" w:rsidRPr="00CE7FB1" w14:paraId="50756F53" w14:textId="77777777" w:rsidTr="003E75CC">
        <w:trPr>
          <w:trHeight w:val="980"/>
        </w:trPr>
        <w:tc>
          <w:tcPr>
            <w:tcW w:w="1300" w:type="dxa"/>
            <w:tcBorders>
              <w:top w:val="nil"/>
              <w:left w:val="nil"/>
              <w:bottom w:val="single" w:sz="8" w:space="0" w:color="000000"/>
              <w:right w:val="nil"/>
            </w:tcBorders>
            <w:shd w:val="clear" w:color="auto" w:fill="auto"/>
            <w:vAlign w:val="center"/>
            <w:hideMark/>
          </w:tcPr>
          <w:p w14:paraId="633E2D0F"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DB03756</w:t>
            </w:r>
          </w:p>
        </w:tc>
        <w:tc>
          <w:tcPr>
            <w:tcW w:w="1300" w:type="dxa"/>
            <w:tcBorders>
              <w:top w:val="nil"/>
              <w:left w:val="nil"/>
              <w:bottom w:val="single" w:sz="8" w:space="0" w:color="000000"/>
              <w:right w:val="nil"/>
            </w:tcBorders>
            <w:shd w:val="clear" w:color="auto" w:fill="auto"/>
            <w:vAlign w:val="center"/>
            <w:hideMark/>
          </w:tcPr>
          <w:p w14:paraId="635372BC" w14:textId="77777777" w:rsidR="00752BA8" w:rsidRPr="00CE7FB1" w:rsidRDefault="00752BA8" w:rsidP="003E75CC">
            <w:pPr>
              <w:widowControl/>
              <w:spacing w:line="276" w:lineRule="auto"/>
              <w:jc w:val="center"/>
              <w:rPr>
                <w:rFonts w:ascii="Times New Roman" w:hAnsi="Times New Roman"/>
                <w:color w:val="000000"/>
                <w:kern w:val="0"/>
                <w:sz w:val="24"/>
                <w:szCs w:val="24"/>
              </w:rPr>
            </w:pPr>
            <w:proofErr w:type="spellStart"/>
            <w:r w:rsidRPr="00CE7FB1">
              <w:rPr>
                <w:rFonts w:ascii="Times New Roman" w:hAnsi="Times New Roman"/>
                <w:color w:val="000000"/>
                <w:kern w:val="0"/>
                <w:sz w:val="24"/>
                <w:szCs w:val="24"/>
              </w:rPr>
              <w:t>Doconexent</w:t>
            </w:r>
            <w:proofErr w:type="spellEnd"/>
          </w:p>
        </w:tc>
        <w:tc>
          <w:tcPr>
            <w:tcW w:w="1300" w:type="dxa"/>
            <w:tcBorders>
              <w:top w:val="nil"/>
              <w:left w:val="nil"/>
              <w:bottom w:val="single" w:sz="8" w:space="0" w:color="000000"/>
              <w:right w:val="nil"/>
            </w:tcBorders>
            <w:shd w:val="clear" w:color="auto" w:fill="auto"/>
            <w:vAlign w:val="center"/>
            <w:hideMark/>
          </w:tcPr>
          <w:p w14:paraId="136591C8"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Activator</w:t>
            </w:r>
          </w:p>
        </w:tc>
        <w:tc>
          <w:tcPr>
            <w:tcW w:w="2904" w:type="dxa"/>
            <w:tcBorders>
              <w:top w:val="nil"/>
              <w:left w:val="nil"/>
              <w:bottom w:val="single" w:sz="8" w:space="0" w:color="000000"/>
              <w:right w:val="nil"/>
            </w:tcBorders>
            <w:shd w:val="clear" w:color="auto" w:fill="auto"/>
            <w:vAlign w:val="center"/>
            <w:hideMark/>
          </w:tcPr>
          <w:p w14:paraId="3A966652"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Used as a high-docosahexaenoic acid (DHA) oral supplement</w:t>
            </w:r>
          </w:p>
        </w:tc>
        <w:tc>
          <w:tcPr>
            <w:tcW w:w="1560" w:type="dxa"/>
            <w:tcBorders>
              <w:top w:val="nil"/>
              <w:left w:val="nil"/>
              <w:bottom w:val="single" w:sz="8" w:space="0" w:color="000000"/>
              <w:right w:val="nil"/>
            </w:tcBorders>
            <w:shd w:val="clear" w:color="auto" w:fill="auto"/>
            <w:vAlign w:val="center"/>
            <w:hideMark/>
          </w:tcPr>
          <w:p w14:paraId="36E02843" w14:textId="77777777" w:rsidR="00752BA8" w:rsidRPr="00CE7FB1" w:rsidRDefault="00752BA8"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r>
    </w:tbl>
    <w:p w14:paraId="443CACF3" w14:textId="77777777" w:rsidR="00752BA8" w:rsidRPr="00CE7FB1" w:rsidRDefault="00752BA8" w:rsidP="003815BD">
      <w:pPr>
        <w:widowControl/>
        <w:spacing w:line="276" w:lineRule="auto"/>
        <w:rPr>
          <w:rFonts w:ascii="Times New Roman" w:hAnsi="Times New Roman"/>
          <w:sz w:val="24"/>
          <w:szCs w:val="24"/>
        </w:rPr>
      </w:pPr>
      <w:r w:rsidRPr="00CE7FB1">
        <w:rPr>
          <w:rFonts w:ascii="Times New Roman" w:hAnsi="Times New Roman"/>
          <w:sz w:val="24"/>
          <w:szCs w:val="24"/>
        </w:rPr>
        <w:t>NA</w:t>
      </w:r>
      <w:r w:rsidR="00133454" w:rsidRPr="00CE7FB1">
        <w:rPr>
          <w:rFonts w:ascii="Times New Roman" w:hAnsi="Times New Roman" w:hint="eastAsia"/>
          <w:sz w:val="24"/>
          <w:szCs w:val="24"/>
        </w:rPr>
        <w:t>:</w:t>
      </w:r>
      <w:r w:rsidRPr="00CE7FB1">
        <w:rPr>
          <w:rFonts w:ascii="Times New Roman" w:hAnsi="Times New Roman"/>
          <w:sz w:val="24"/>
          <w:szCs w:val="24"/>
        </w:rPr>
        <w:t xml:space="preserve"> Not available.</w:t>
      </w:r>
    </w:p>
    <w:p w14:paraId="66C3D266" w14:textId="77777777" w:rsidR="00752BA8" w:rsidRPr="00CE7FB1" w:rsidRDefault="00752BA8" w:rsidP="003815BD">
      <w:pPr>
        <w:widowControl/>
        <w:spacing w:line="276" w:lineRule="auto"/>
        <w:rPr>
          <w:rFonts w:ascii="Times New Roman" w:hAnsi="Times New Roman"/>
          <w:sz w:val="18"/>
          <w:szCs w:val="18"/>
        </w:rPr>
      </w:pPr>
    </w:p>
    <w:p w14:paraId="016B7105" w14:textId="77777777" w:rsidR="00752BA8" w:rsidRPr="00CE7FB1" w:rsidRDefault="00752BA8" w:rsidP="003815BD">
      <w:pPr>
        <w:widowControl/>
        <w:spacing w:line="276" w:lineRule="auto"/>
        <w:rPr>
          <w:rFonts w:ascii="Times New Roman" w:hAnsi="Times New Roman"/>
          <w:sz w:val="18"/>
          <w:szCs w:val="18"/>
        </w:rPr>
      </w:pPr>
    </w:p>
    <w:p w14:paraId="11DB77C1" w14:textId="77777777" w:rsidR="00752BA8" w:rsidRPr="00CE7FB1" w:rsidRDefault="00752BA8" w:rsidP="003815BD">
      <w:pPr>
        <w:widowControl/>
        <w:spacing w:line="276" w:lineRule="auto"/>
        <w:rPr>
          <w:rFonts w:ascii="Times New Roman" w:hAnsi="Times New Roman"/>
          <w:sz w:val="18"/>
          <w:szCs w:val="18"/>
        </w:rPr>
      </w:pPr>
    </w:p>
    <w:p w14:paraId="7C7D8AB9" w14:textId="77777777" w:rsidR="00752BA8" w:rsidRPr="00CE7FB1" w:rsidRDefault="00752BA8" w:rsidP="00752BA8">
      <w:pPr>
        <w:widowControl/>
        <w:spacing w:line="276" w:lineRule="auto"/>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lastRenderedPageBreak/>
        <w:t>T</w:t>
      </w:r>
      <w:r w:rsidRPr="00CE7FB1">
        <w:rPr>
          <w:rFonts w:ascii="Times New Roman" w:hAnsi="Times New Roman"/>
          <w:b/>
          <w:bCs/>
          <w:color w:val="000000"/>
          <w:kern w:val="0"/>
          <w:sz w:val="24"/>
          <w:szCs w:val="24"/>
        </w:rPr>
        <w:t>able S3. The -docking energy between BEXA and RAR family proteins</w:t>
      </w:r>
    </w:p>
    <w:tbl>
      <w:tblPr>
        <w:tblStyle w:val="a4"/>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7"/>
        <w:gridCol w:w="2410"/>
        <w:gridCol w:w="2268"/>
      </w:tblGrid>
      <w:tr w:rsidR="00752BA8" w:rsidRPr="00CE7FB1" w14:paraId="624B8774" w14:textId="77777777" w:rsidTr="003E75CC">
        <w:trPr>
          <w:jc w:val="center"/>
        </w:trPr>
        <w:tc>
          <w:tcPr>
            <w:tcW w:w="1418" w:type="dxa"/>
            <w:tcBorders>
              <w:top w:val="single" w:sz="4" w:space="0" w:color="auto"/>
              <w:bottom w:val="single" w:sz="4" w:space="0" w:color="auto"/>
            </w:tcBorders>
          </w:tcPr>
          <w:p w14:paraId="773FDA18"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Gene</w:t>
            </w:r>
          </w:p>
        </w:tc>
        <w:tc>
          <w:tcPr>
            <w:tcW w:w="1417" w:type="dxa"/>
            <w:tcBorders>
              <w:top w:val="single" w:sz="4" w:space="0" w:color="auto"/>
              <w:bottom w:val="single" w:sz="4" w:space="0" w:color="auto"/>
            </w:tcBorders>
          </w:tcPr>
          <w:p w14:paraId="679ECF1D"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RMSD</w:t>
            </w:r>
          </w:p>
        </w:tc>
        <w:tc>
          <w:tcPr>
            <w:tcW w:w="2410" w:type="dxa"/>
            <w:tcBorders>
              <w:top w:val="single" w:sz="4" w:space="0" w:color="auto"/>
              <w:bottom w:val="single" w:sz="4" w:space="0" w:color="auto"/>
            </w:tcBorders>
          </w:tcPr>
          <w:p w14:paraId="527C8A3D"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w:t>
            </w:r>
            <w:bookmarkStart w:id="8" w:name="_Hlk34057350"/>
            <w:r w:rsidRPr="00CE7FB1">
              <w:rPr>
                <w:rFonts w:ascii="Times New Roman" w:hAnsi="Times New Roman"/>
                <w:sz w:val="24"/>
                <w:szCs w:val="24"/>
              </w:rPr>
              <w:t>Docking energy</w:t>
            </w:r>
            <w:bookmarkEnd w:id="8"/>
            <w:r w:rsidRPr="00CE7FB1">
              <w:rPr>
                <w:rFonts w:ascii="Times New Roman" w:hAnsi="Times New Roman"/>
                <w:sz w:val="24"/>
                <w:szCs w:val="24"/>
              </w:rPr>
              <w:t xml:space="preserve"> </w:t>
            </w:r>
            <w:r w:rsidRPr="00CE7FB1">
              <w:rPr>
                <w:rFonts w:ascii="Times New Roman" w:hAnsi="Times New Roman"/>
                <w:vertAlign w:val="subscript"/>
              </w:rPr>
              <w:t>original</w:t>
            </w:r>
          </w:p>
        </w:tc>
        <w:tc>
          <w:tcPr>
            <w:tcW w:w="2268" w:type="dxa"/>
            <w:tcBorders>
              <w:top w:val="single" w:sz="4" w:space="0" w:color="auto"/>
              <w:bottom w:val="single" w:sz="4" w:space="0" w:color="auto"/>
            </w:tcBorders>
          </w:tcPr>
          <w:p w14:paraId="0ED025EC"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 xml:space="preserve">-Docking energy </w:t>
            </w:r>
            <w:r w:rsidRPr="00CE7FB1">
              <w:rPr>
                <w:rFonts w:ascii="Times New Roman" w:hAnsi="Times New Roman"/>
                <w:vertAlign w:val="subscript"/>
              </w:rPr>
              <w:t>BEXA</w:t>
            </w:r>
          </w:p>
        </w:tc>
      </w:tr>
      <w:tr w:rsidR="00752BA8" w:rsidRPr="00CE7FB1" w14:paraId="538D7473" w14:textId="77777777" w:rsidTr="003E75CC">
        <w:trPr>
          <w:jc w:val="center"/>
        </w:trPr>
        <w:tc>
          <w:tcPr>
            <w:tcW w:w="1418" w:type="dxa"/>
            <w:tcBorders>
              <w:top w:val="single" w:sz="4" w:space="0" w:color="auto"/>
            </w:tcBorders>
          </w:tcPr>
          <w:p w14:paraId="06985A3D"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RARα</w:t>
            </w:r>
          </w:p>
        </w:tc>
        <w:tc>
          <w:tcPr>
            <w:tcW w:w="1417" w:type="dxa"/>
            <w:tcBorders>
              <w:top w:val="single" w:sz="4" w:space="0" w:color="auto"/>
            </w:tcBorders>
          </w:tcPr>
          <w:p w14:paraId="1DCA9B9F"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0.41</w:t>
            </w:r>
          </w:p>
        </w:tc>
        <w:tc>
          <w:tcPr>
            <w:tcW w:w="2410" w:type="dxa"/>
            <w:tcBorders>
              <w:top w:val="single" w:sz="4" w:space="0" w:color="auto"/>
            </w:tcBorders>
          </w:tcPr>
          <w:p w14:paraId="00C0E4DA"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61.05</w:t>
            </w:r>
          </w:p>
        </w:tc>
        <w:tc>
          <w:tcPr>
            <w:tcW w:w="2268" w:type="dxa"/>
            <w:tcBorders>
              <w:top w:val="single" w:sz="4" w:space="0" w:color="auto"/>
            </w:tcBorders>
          </w:tcPr>
          <w:p w14:paraId="03183A9E"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8.00</w:t>
            </w:r>
          </w:p>
        </w:tc>
      </w:tr>
      <w:tr w:rsidR="00752BA8" w:rsidRPr="00CE7FB1" w14:paraId="3128E0AD" w14:textId="77777777" w:rsidTr="003E75CC">
        <w:trPr>
          <w:jc w:val="center"/>
        </w:trPr>
        <w:tc>
          <w:tcPr>
            <w:tcW w:w="1418" w:type="dxa"/>
          </w:tcPr>
          <w:p w14:paraId="74B935D4"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RARβ</w:t>
            </w:r>
          </w:p>
        </w:tc>
        <w:tc>
          <w:tcPr>
            <w:tcW w:w="1417" w:type="dxa"/>
          </w:tcPr>
          <w:p w14:paraId="0052F3A4"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0.31</w:t>
            </w:r>
          </w:p>
        </w:tc>
        <w:tc>
          <w:tcPr>
            <w:tcW w:w="2410" w:type="dxa"/>
          </w:tcPr>
          <w:p w14:paraId="0959842B"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46.72</w:t>
            </w:r>
          </w:p>
        </w:tc>
        <w:tc>
          <w:tcPr>
            <w:tcW w:w="2268" w:type="dxa"/>
          </w:tcPr>
          <w:p w14:paraId="4A3011D4"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31.71</w:t>
            </w:r>
          </w:p>
        </w:tc>
      </w:tr>
      <w:tr w:rsidR="00752BA8" w:rsidRPr="00CE7FB1" w14:paraId="5333119D" w14:textId="77777777" w:rsidTr="003E75CC">
        <w:trPr>
          <w:jc w:val="center"/>
        </w:trPr>
        <w:tc>
          <w:tcPr>
            <w:tcW w:w="1418" w:type="dxa"/>
          </w:tcPr>
          <w:p w14:paraId="08402245" w14:textId="77777777" w:rsidR="00752BA8" w:rsidRPr="00CE7FB1" w:rsidRDefault="00752BA8" w:rsidP="003E75CC">
            <w:pPr>
              <w:spacing w:line="360" w:lineRule="auto"/>
              <w:jc w:val="center"/>
              <w:rPr>
                <w:rFonts w:ascii="Times New Roman" w:hAnsi="Times New Roman"/>
                <w:sz w:val="24"/>
                <w:szCs w:val="24"/>
              </w:rPr>
            </w:pPr>
            <w:proofErr w:type="spellStart"/>
            <w:r w:rsidRPr="00CE7FB1">
              <w:rPr>
                <w:rFonts w:ascii="Times New Roman" w:hAnsi="Times New Roman"/>
                <w:sz w:val="24"/>
                <w:szCs w:val="24"/>
              </w:rPr>
              <w:t>RARγ</w:t>
            </w:r>
            <w:proofErr w:type="spellEnd"/>
          </w:p>
        </w:tc>
        <w:tc>
          <w:tcPr>
            <w:tcW w:w="1417" w:type="dxa"/>
          </w:tcPr>
          <w:p w14:paraId="1F6F673E"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0.23</w:t>
            </w:r>
          </w:p>
        </w:tc>
        <w:tc>
          <w:tcPr>
            <w:tcW w:w="2410" w:type="dxa"/>
          </w:tcPr>
          <w:p w14:paraId="0FD87584"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27.16</w:t>
            </w:r>
          </w:p>
        </w:tc>
        <w:tc>
          <w:tcPr>
            <w:tcW w:w="2268" w:type="dxa"/>
          </w:tcPr>
          <w:p w14:paraId="7E210112" w14:textId="77777777" w:rsidR="00752BA8" w:rsidRPr="00CE7FB1" w:rsidRDefault="00752BA8" w:rsidP="003E75CC">
            <w:pPr>
              <w:spacing w:line="360" w:lineRule="auto"/>
              <w:jc w:val="center"/>
              <w:rPr>
                <w:rFonts w:ascii="Times New Roman" w:hAnsi="Times New Roman"/>
                <w:sz w:val="24"/>
                <w:szCs w:val="24"/>
              </w:rPr>
            </w:pPr>
            <w:r w:rsidRPr="00CE7FB1">
              <w:rPr>
                <w:rFonts w:ascii="Times New Roman" w:hAnsi="Times New Roman"/>
                <w:sz w:val="24"/>
                <w:szCs w:val="24"/>
              </w:rPr>
              <w:t>27.19</w:t>
            </w:r>
          </w:p>
        </w:tc>
      </w:tr>
    </w:tbl>
    <w:p w14:paraId="69379A76" w14:textId="77777777" w:rsidR="00752BA8" w:rsidRPr="00CE7FB1" w:rsidRDefault="00752BA8" w:rsidP="00752BA8">
      <w:pPr>
        <w:spacing w:line="360" w:lineRule="auto"/>
        <w:jc w:val="left"/>
        <w:rPr>
          <w:rFonts w:ascii="Times New Roman" w:eastAsia="宋体" w:hAnsi="Times New Roman"/>
          <w:sz w:val="24"/>
          <w:szCs w:val="24"/>
        </w:rPr>
      </w:pPr>
      <w:r w:rsidRPr="00CE7FB1">
        <w:rPr>
          <w:rFonts w:ascii="Times New Roman" w:eastAsia="宋体" w:hAnsi="Times New Roman" w:hint="eastAsia"/>
          <w:sz w:val="24"/>
          <w:szCs w:val="24"/>
        </w:rPr>
        <w:t>R</w:t>
      </w:r>
      <w:r w:rsidRPr="00CE7FB1">
        <w:rPr>
          <w:rFonts w:ascii="Times New Roman" w:eastAsia="宋体" w:hAnsi="Times New Roman"/>
          <w:sz w:val="24"/>
          <w:szCs w:val="24"/>
        </w:rPr>
        <w:t>MSD: The root-mean-square deviation between the molecular conformations of the docked Ligand1 or Ligand2 and the initial conformations in the crystal structures of RAR α</w:t>
      </w:r>
      <w:r w:rsidRPr="00CE7FB1">
        <w:rPr>
          <w:rFonts w:ascii="Times New Roman" w:eastAsia="宋体" w:hAnsi="Times New Roman"/>
          <w:sz w:val="24"/>
          <w:szCs w:val="24"/>
        </w:rPr>
        <w:t>，</w:t>
      </w:r>
      <w:r w:rsidRPr="00CE7FB1">
        <w:rPr>
          <w:rFonts w:ascii="Times New Roman" w:eastAsia="宋体" w:hAnsi="Times New Roman"/>
          <w:sz w:val="24"/>
          <w:szCs w:val="24"/>
        </w:rPr>
        <w:t>RAR β or RAR γ.</w:t>
      </w:r>
    </w:p>
    <w:p w14:paraId="152D8653" w14:textId="77777777" w:rsidR="00752BA8" w:rsidRPr="00CE7FB1" w:rsidRDefault="00752BA8" w:rsidP="00752BA8">
      <w:pPr>
        <w:spacing w:line="360" w:lineRule="auto"/>
        <w:jc w:val="left"/>
        <w:rPr>
          <w:rFonts w:ascii="Times New Roman" w:eastAsia="宋体" w:hAnsi="Times New Roman"/>
          <w:sz w:val="24"/>
          <w:szCs w:val="24"/>
        </w:rPr>
      </w:pPr>
      <w:r w:rsidRPr="00CE7FB1">
        <w:rPr>
          <w:rFonts w:ascii="Times New Roman" w:eastAsia="宋体" w:hAnsi="Times New Roman" w:hint="eastAsia"/>
          <w:sz w:val="24"/>
          <w:szCs w:val="24"/>
        </w:rPr>
        <w:t>-</w:t>
      </w:r>
      <w:r w:rsidRPr="00CE7FB1">
        <w:rPr>
          <w:rFonts w:ascii="Times New Roman" w:eastAsia="宋体" w:hAnsi="Times New Roman"/>
          <w:sz w:val="24"/>
          <w:szCs w:val="24"/>
        </w:rPr>
        <w:t>Docking energy</w:t>
      </w:r>
      <w:r w:rsidRPr="00CE7FB1">
        <w:rPr>
          <w:rFonts w:ascii="Times New Roman" w:eastAsia="宋体" w:hAnsi="Times New Roman"/>
          <w:sz w:val="24"/>
          <w:szCs w:val="24"/>
          <w:vertAlign w:val="subscript"/>
        </w:rPr>
        <w:t xml:space="preserve"> </w:t>
      </w:r>
      <w:bookmarkStart w:id="9" w:name="_Hlk38810338"/>
      <w:r w:rsidRPr="00CE7FB1">
        <w:rPr>
          <w:rFonts w:ascii="Times New Roman" w:eastAsia="宋体" w:hAnsi="Times New Roman"/>
          <w:sz w:val="24"/>
          <w:szCs w:val="24"/>
          <w:vertAlign w:val="subscript"/>
        </w:rPr>
        <w:t>original</w:t>
      </w:r>
      <w:bookmarkEnd w:id="9"/>
      <w:r w:rsidRPr="00CE7FB1">
        <w:rPr>
          <w:rFonts w:ascii="Times New Roman" w:eastAsia="宋体" w:hAnsi="Times New Roman"/>
          <w:sz w:val="24"/>
          <w:szCs w:val="24"/>
        </w:rPr>
        <w:t>: The negative docking energy between original ligand and RAR α</w:t>
      </w:r>
      <w:r w:rsidRPr="00CE7FB1">
        <w:rPr>
          <w:rFonts w:ascii="Times New Roman" w:eastAsia="宋体" w:hAnsi="Times New Roman"/>
          <w:sz w:val="24"/>
          <w:szCs w:val="24"/>
        </w:rPr>
        <w:t>，</w:t>
      </w:r>
      <w:r w:rsidRPr="00CE7FB1">
        <w:rPr>
          <w:rFonts w:ascii="Times New Roman" w:eastAsia="宋体" w:hAnsi="Times New Roman"/>
          <w:sz w:val="24"/>
          <w:szCs w:val="24"/>
        </w:rPr>
        <w:t>RAR β or RAR γ.</w:t>
      </w:r>
    </w:p>
    <w:p w14:paraId="0E86CF62" w14:textId="77777777" w:rsidR="002330B5" w:rsidRPr="00CE7FB1" w:rsidRDefault="00752BA8" w:rsidP="002330B5">
      <w:pPr>
        <w:spacing w:line="360" w:lineRule="auto"/>
        <w:jc w:val="left"/>
        <w:rPr>
          <w:rFonts w:ascii="Times New Roman" w:hAnsi="Times New Roman"/>
          <w:b/>
          <w:bCs/>
          <w:color w:val="000000"/>
          <w:kern w:val="0"/>
          <w:sz w:val="24"/>
          <w:szCs w:val="24"/>
        </w:rPr>
      </w:pPr>
      <w:r w:rsidRPr="00CE7FB1">
        <w:rPr>
          <w:rFonts w:ascii="Times New Roman" w:hAnsi="Times New Roman"/>
          <w:sz w:val="24"/>
          <w:szCs w:val="24"/>
        </w:rPr>
        <w:t xml:space="preserve">-Docking energy </w:t>
      </w:r>
      <w:r w:rsidRPr="00CE7FB1">
        <w:rPr>
          <w:rFonts w:ascii="Times New Roman" w:hAnsi="Times New Roman"/>
          <w:sz w:val="24"/>
          <w:szCs w:val="24"/>
          <w:vertAlign w:val="subscript"/>
        </w:rPr>
        <w:t>BEXA</w:t>
      </w:r>
      <w:r w:rsidRPr="00CE7FB1">
        <w:rPr>
          <w:rFonts w:ascii="Times New Roman" w:hAnsi="Times New Roman"/>
          <w:sz w:val="24"/>
          <w:szCs w:val="24"/>
        </w:rPr>
        <w:t>:</w:t>
      </w:r>
      <w:r w:rsidRPr="00CE7FB1">
        <w:rPr>
          <w:rFonts w:ascii="Times New Roman" w:eastAsia="宋体" w:hAnsi="Times New Roman"/>
          <w:sz w:val="24"/>
          <w:szCs w:val="24"/>
        </w:rPr>
        <w:t xml:space="preserve"> The negative docking energy between BEXA and RAR α</w:t>
      </w:r>
      <w:r w:rsidRPr="00CE7FB1">
        <w:rPr>
          <w:rFonts w:ascii="Times New Roman" w:eastAsia="宋体" w:hAnsi="Times New Roman"/>
          <w:sz w:val="24"/>
          <w:szCs w:val="24"/>
        </w:rPr>
        <w:t>，</w:t>
      </w:r>
      <w:r w:rsidRPr="00CE7FB1">
        <w:rPr>
          <w:rFonts w:ascii="Times New Roman" w:eastAsia="宋体" w:hAnsi="Times New Roman"/>
          <w:sz w:val="24"/>
          <w:szCs w:val="24"/>
        </w:rPr>
        <w:t>RAR β or RAR γ.</w:t>
      </w:r>
      <w:r w:rsidR="002330B5" w:rsidRPr="00CE7FB1">
        <w:rPr>
          <w:rFonts w:ascii="Times New Roman" w:hAnsi="Times New Roman"/>
          <w:b/>
          <w:bCs/>
          <w:color w:val="000000"/>
          <w:kern w:val="0"/>
          <w:sz w:val="24"/>
          <w:szCs w:val="24"/>
        </w:rPr>
        <w:br w:type="page"/>
      </w:r>
    </w:p>
    <w:p w14:paraId="64CEA30A" w14:textId="77777777" w:rsidR="002330B5" w:rsidRPr="00CE7FB1" w:rsidRDefault="002330B5" w:rsidP="00752BA8">
      <w:pPr>
        <w:widowControl/>
        <w:spacing w:line="276" w:lineRule="auto"/>
        <w:rPr>
          <w:rFonts w:ascii="Times New Roman" w:hAnsi="Times New Roman"/>
          <w:b/>
          <w:bCs/>
          <w:color w:val="000000"/>
          <w:kern w:val="0"/>
          <w:sz w:val="24"/>
          <w:szCs w:val="24"/>
        </w:rPr>
        <w:sectPr w:rsidR="002330B5" w:rsidRPr="00CE7FB1" w:rsidSect="002E197E">
          <w:footerReference w:type="default" r:id="rId14"/>
          <w:pgSz w:w="11906" w:h="16838"/>
          <w:pgMar w:top="1440" w:right="1800" w:bottom="1440" w:left="1800" w:header="851" w:footer="992" w:gutter="0"/>
          <w:lnNumType w:countBy="1"/>
          <w:cols w:space="425"/>
          <w:docGrid w:type="lines" w:linePitch="312"/>
        </w:sectPr>
      </w:pPr>
    </w:p>
    <w:p w14:paraId="66519890" w14:textId="77777777" w:rsidR="00752BA8" w:rsidRPr="00CE7FB1" w:rsidRDefault="00752BA8" w:rsidP="002330B5">
      <w:pPr>
        <w:widowControl/>
        <w:spacing w:line="276" w:lineRule="auto"/>
        <w:jc w:val="center"/>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lastRenderedPageBreak/>
        <w:t>T</w:t>
      </w:r>
      <w:r w:rsidRPr="00CE7FB1">
        <w:rPr>
          <w:rFonts w:ascii="Times New Roman" w:hAnsi="Times New Roman"/>
          <w:b/>
          <w:bCs/>
          <w:color w:val="000000"/>
          <w:kern w:val="0"/>
          <w:sz w:val="24"/>
          <w:szCs w:val="24"/>
        </w:rPr>
        <w:t>able S4. Top 22 scored proteins predicted to interact with BEXA in CD protein network.</w:t>
      </w:r>
    </w:p>
    <w:tbl>
      <w:tblPr>
        <w:tblW w:w="10754" w:type="dxa"/>
        <w:jc w:val="center"/>
        <w:tblLook w:val="04A0" w:firstRow="1" w:lastRow="0" w:firstColumn="1" w:lastColumn="0" w:noHBand="0" w:noVBand="1"/>
      </w:tblPr>
      <w:tblGrid>
        <w:gridCol w:w="1455"/>
        <w:gridCol w:w="3223"/>
        <w:gridCol w:w="71"/>
        <w:gridCol w:w="3331"/>
        <w:gridCol w:w="1558"/>
        <w:gridCol w:w="1116"/>
      </w:tblGrid>
      <w:tr w:rsidR="00E60BFA" w:rsidRPr="00CE7FB1" w14:paraId="56CA84BE" w14:textId="77777777" w:rsidTr="003E75CC">
        <w:trPr>
          <w:trHeight w:val="660"/>
          <w:jc w:val="center"/>
        </w:trPr>
        <w:tc>
          <w:tcPr>
            <w:tcW w:w="1455" w:type="dxa"/>
            <w:tcBorders>
              <w:top w:val="single" w:sz="8" w:space="0" w:color="000000"/>
              <w:left w:val="nil"/>
              <w:bottom w:val="single" w:sz="8" w:space="0" w:color="000000"/>
              <w:right w:val="nil"/>
            </w:tcBorders>
            <w:shd w:val="clear" w:color="auto" w:fill="auto"/>
            <w:vAlign w:val="center"/>
            <w:hideMark/>
          </w:tcPr>
          <w:p w14:paraId="6356B5A9"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Gene</w:t>
            </w:r>
            <w:r w:rsidRPr="00CE7FB1">
              <w:rPr>
                <w:rFonts w:ascii="Times New Roman" w:hAnsi="Times New Roman" w:hint="eastAsia"/>
                <w:color w:val="000000"/>
                <w:kern w:val="0"/>
                <w:sz w:val="24"/>
                <w:szCs w:val="24"/>
              </w:rPr>
              <w:t xml:space="preserve"> </w:t>
            </w:r>
            <w:r w:rsidRPr="00CE7FB1">
              <w:rPr>
                <w:rFonts w:ascii="Times New Roman" w:hAnsi="Times New Roman"/>
                <w:color w:val="000000"/>
                <w:kern w:val="0"/>
                <w:sz w:val="24"/>
                <w:szCs w:val="24"/>
              </w:rPr>
              <w:t>symbol</w:t>
            </w:r>
          </w:p>
        </w:tc>
        <w:tc>
          <w:tcPr>
            <w:tcW w:w="3223" w:type="dxa"/>
            <w:tcBorders>
              <w:top w:val="single" w:sz="8" w:space="0" w:color="000000"/>
              <w:left w:val="nil"/>
              <w:bottom w:val="single" w:sz="8" w:space="0" w:color="000000"/>
              <w:right w:val="nil"/>
            </w:tcBorders>
            <w:shd w:val="clear" w:color="auto" w:fill="auto"/>
            <w:vAlign w:val="center"/>
            <w:hideMark/>
          </w:tcPr>
          <w:p w14:paraId="1083FD13"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Name</w:t>
            </w:r>
          </w:p>
        </w:tc>
        <w:tc>
          <w:tcPr>
            <w:tcW w:w="3402" w:type="dxa"/>
            <w:gridSpan w:val="2"/>
            <w:tcBorders>
              <w:top w:val="single" w:sz="8" w:space="0" w:color="000000"/>
              <w:left w:val="nil"/>
              <w:bottom w:val="single" w:sz="8" w:space="0" w:color="000000"/>
              <w:right w:val="nil"/>
            </w:tcBorders>
            <w:shd w:val="clear" w:color="auto" w:fill="auto"/>
            <w:vAlign w:val="center"/>
            <w:hideMark/>
          </w:tcPr>
          <w:p w14:paraId="32906BDD"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Classification</w:t>
            </w:r>
          </w:p>
        </w:tc>
        <w:tc>
          <w:tcPr>
            <w:tcW w:w="1558" w:type="dxa"/>
            <w:tcBorders>
              <w:top w:val="single" w:sz="8" w:space="0" w:color="000000"/>
              <w:left w:val="nil"/>
              <w:bottom w:val="single" w:sz="8" w:space="0" w:color="000000"/>
              <w:right w:val="nil"/>
            </w:tcBorders>
            <w:shd w:val="clear" w:color="auto" w:fill="auto"/>
            <w:vAlign w:val="center"/>
            <w:hideMark/>
          </w:tcPr>
          <w:p w14:paraId="6986CC55"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Effect Model Accuracy</w:t>
            </w:r>
          </w:p>
        </w:tc>
        <w:tc>
          <w:tcPr>
            <w:tcW w:w="1116" w:type="dxa"/>
            <w:tcBorders>
              <w:top w:val="single" w:sz="8" w:space="0" w:color="000000"/>
              <w:left w:val="nil"/>
              <w:bottom w:val="single" w:sz="8" w:space="0" w:color="000000"/>
              <w:right w:val="nil"/>
            </w:tcBorders>
            <w:shd w:val="clear" w:color="auto" w:fill="auto"/>
            <w:vAlign w:val="center"/>
            <w:hideMark/>
          </w:tcPr>
          <w:p w14:paraId="7359CAEB"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Score</w:t>
            </w:r>
          </w:p>
        </w:tc>
      </w:tr>
      <w:tr w:rsidR="00E60BFA" w:rsidRPr="00CE7FB1" w14:paraId="4FA00F91" w14:textId="77777777" w:rsidTr="003E75CC">
        <w:trPr>
          <w:trHeight w:val="640"/>
          <w:jc w:val="center"/>
        </w:trPr>
        <w:tc>
          <w:tcPr>
            <w:tcW w:w="1455" w:type="dxa"/>
            <w:tcBorders>
              <w:top w:val="nil"/>
              <w:left w:val="nil"/>
              <w:bottom w:val="nil"/>
              <w:right w:val="nil"/>
            </w:tcBorders>
            <w:shd w:val="clear" w:color="auto" w:fill="auto"/>
            <w:vAlign w:val="center"/>
            <w:hideMark/>
          </w:tcPr>
          <w:p w14:paraId="3253521A"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 xml:space="preserve">BRD2 </w:t>
            </w:r>
          </w:p>
        </w:tc>
        <w:tc>
          <w:tcPr>
            <w:tcW w:w="3223" w:type="dxa"/>
            <w:tcBorders>
              <w:top w:val="nil"/>
              <w:left w:val="nil"/>
              <w:bottom w:val="nil"/>
              <w:right w:val="nil"/>
            </w:tcBorders>
            <w:shd w:val="clear" w:color="auto" w:fill="auto"/>
            <w:vAlign w:val="center"/>
            <w:hideMark/>
          </w:tcPr>
          <w:p w14:paraId="41818A8F"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Bromodomain-containing protein 2</w:t>
            </w:r>
          </w:p>
        </w:tc>
        <w:tc>
          <w:tcPr>
            <w:tcW w:w="3402" w:type="dxa"/>
            <w:gridSpan w:val="2"/>
            <w:tcBorders>
              <w:top w:val="nil"/>
              <w:left w:val="nil"/>
              <w:bottom w:val="nil"/>
              <w:right w:val="nil"/>
            </w:tcBorders>
            <w:shd w:val="clear" w:color="auto" w:fill="auto"/>
            <w:vAlign w:val="center"/>
            <w:hideMark/>
          </w:tcPr>
          <w:p w14:paraId="21AD64FF"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Transcription/Transcription inhibitor</w:t>
            </w:r>
          </w:p>
        </w:tc>
        <w:tc>
          <w:tcPr>
            <w:tcW w:w="1558" w:type="dxa"/>
            <w:tcBorders>
              <w:top w:val="nil"/>
              <w:left w:val="nil"/>
              <w:bottom w:val="nil"/>
              <w:right w:val="nil"/>
            </w:tcBorders>
            <w:shd w:val="clear" w:color="auto" w:fill="auto"/>
            <w:vAlign w:val="center"/>
            <w:hideMark/>
          </w:tcPr>
          <w:p w14:paraId="14084456"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0.889908257</w:t>
            </w:r>
          </w:p>
        </w:tc>
        <w:tc>
          <w:tcPr>
            <w:tcW w:w="1116" w:type="dxa"/>
            <w:tcBorders>
              <w:top w:val="nil"/>
              <w:left w:val="nil"/>
              <w:bottom w:val="nil"/>
              <w:right w:val="nil"/>
            </w:tcBorders>
            <w:shd w:val="clear" w:color="auto" w:fill="auto"/>
            <w:vAlign w:val="center"/>
            <w:hideMark/>
          </w:tcPr>
          <w:p w14:paraId="1C32457A"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99.79366</w:t>
            </w:r>
          </w:p>
        </w:tc>
      </w:tr>
      <w:tr w:rsidR="00E60BFA" w:rsidRPr="00CE7FB1" w14:paraId="6B1C37C5" w14:textId="77777777" w:rsidTr="003E75CC">
        <w:trPr>
          <w:trHeight w:val="640"/>
          <w:jc w:val="center"/>
        </w:trPr>
        <w:tc>
          <w:tcPr>
            <w:tcW w:w="1455" w:type="dxa"/>
            <w:tcBorders>
              <w:top w:val="nil"/>
              <w:left w:val="nil"/>
              <w:bottom w:val="nil"/>
              <w:right w:val="nil"/>
            </w:tcBorders>
            <w:shd w:val="clear" w:color="auto" w:fill="auto"/>
            <w:vAlign w:val="center"/>
            <w:hideMark/>
          </w:tcPr>
          <w:p w14:paraId="4A821AFF"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PPARG</w:t>
            </w:r>
          </w:p>
        </w:tc>
        <w:tc>
          <w:tcPr>
            <w:tcW w:w="3223" w:type="dxa"/>
            <w:tcBorders>
              <w:top w:val="nil"/>
              <w:left w:val="nil"/>
              <w:bottom w:val="nil"/>
              <w:right w:val="nil"/>
            </w:tcBorders>
            <w:shd w:val="clear" w:color="auto" w:fill="auto"/>
            <w:vAlign w:val="center"/>
            <w:hideMark/>
          </w:tcPr>
          <w:p w14:paraId="7C5282FF"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Peroxisome proliferator-activated receptor gamma</w:t>
            </w:r>
          </w:p>
        </w:tc>
        <w:tc>
          <w:tcPr>
            <w:tcW w:w="3402" w:type="dxa"/>
            <w:gridSpan w:val="2"/>
            <w:tcBorders>
              <w:top w:val="nil"/>
              <w:left w:val="nil"/>
              <w:bottom w:val="nil"/>
              <w:right w:val="nil"/>
            </w:tcBorders>
            <w:shd w:val="clear" w:color="auto" w:fill="auto"/>
            <w:vAlign w:val="center"/>
            <w:hideMark/>
          </w:tcPr>
          <w:p w14:paraId="04787317"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Transcription</w:t>
            </w:r>
          </w:p>
        </w:tc>
        <w:tc>
          <w:tcPr>
            <w:tcW w:w="1558" w:type="dxa"/>
            <w:tcBorders>
              <w:top w:val="nil"/>
              <w:left w:val="nil"/>
              <w:bottom w:val="nil"/>
              <w:right w:val="nil"/>
            </w:tcBorders>
            <w:shd w:val="clear" w:color="auto" w:fill="auto"/>
            <w:vAlign w:val="center"/>
            <w:hideMark/>
          </w:tcPr>
          <w:p w14:paraId="1BE3F5FA"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0.787721893</w:t>
            </w:r>
          </w:p>
        </w:tc>
        <w:tc>
          <w:tcPr>
            <w:tcW w:w="1116" w:type="dxa"/>
            <w:tcBorders>
              <w:top w:val="nil"/>
              <w:left w:val="nil"/>
              <w:bottom w:val="nil"/>
              <w:right w:val="nil"/>
            </w:tcBorders>
            <w:shd w:val="clear" w:color="auto" w:fill="auto"/>
            <w:vAlign w:val="center"/>
            <w:hideMark/>
          </w:tcPr>
          <w:p w14:paraId="13602947"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99.67229</w:t>
            </w:r>
          </w:p>
        </w:tc>
      </w:tr>
      <w:tr w:rsidR="00E60BFA" w:rsidRPr="00CE7FB1" w14:paraId="12CAA075" w14:textId="77777777" w:rsidTr="003E75CC">
        <w:trPr>
          <w:trHeight w:val="320"/>
          <w:jc w:val="center"/>
        </w:trPr>
        <w:tc>
          <w:tcPr>
            <w:tcW w:w="1455" w:type="dxa"/>
            <w:tcBorders>
              <w:top w:val="nil"/>
              <w:left w:val="nil"/>
              <w:bottom w:val="nil"/>
              <w:right w:val="nil"/>
            </w:tcBorders>
            <w:shd w:val="clear" w:color="auto" w:fill="auto"/>
            <w:vAlign w:val="center"/>
            <w:hideMark/>
          </w:tcPr>
          <w:p w14:paraId="34947C80"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NR2C2</w:t>
            </w:r>
          </w:p>
        </w:tc>
        <w:tc>
          <w:tcPr>
            <w:tcW w:w="3223" w:type="dxa"/>
            <w:tcBorders>
              <w:top w:val="nil"/>
              <w:left w:val="nil"/>
              <w:bottom w:val="nil"/>
              <w:right w:val="nil"/>
            </w:tcBorders>
            <w:shd w:val="clear" w:color="auto" w:fill="auto"/>
            <w:vAlign w:val="center"/>
            <w:hideMark/>
          </w:tcPr>
          <w:p w14:paraId="3F78FEC3"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Nuclear receptor subfamily 2 group C member 2</w:t>
            </w:r>
          </w:p>
        </w:tc>
        <w:tc>
          <w:tcPr>
            <w:tcW w:w="3402" w:type="dxa"/>
            <w:gridSpan w:val="2"/>
            <w:tcBorders>
              <w:top w:val="nil"/>
              <w:left w:val="nil"/>
              <w:bottom w:val="nil"/>
              <w:right w:val="nil"/>
            </w:tcBorders>
            <w:shd w:val="clear" w:color="auto" w:fill="auto"/>
            <w:vAlign w:val="center"/>
            <w:hideMark/>
          </w:tcPr>
          <w:p w14:paraId="1FD24487"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Glucocorticoid receptor</w:t>
            </w:r>
          </w:p>
        </w:tc>
        <w:tc>
          <w:tcPr>
            <w:tcW w:w="1558" w:type="dxa"/>
            <w:tcBorders>
              <w:top w:val="nil"/>
              <w:left w:val="nil"/>
              <w:bottom w:val="nil"/>
              <w:right w:val="nil"/>
            </w:tcBorders>
            <w:shd w:val="clear" w:color="auto" w:fill="auto"/>
            <w:vAlign w:val="center"/>
            <w:hideMark/>
          </w:tcPr>
          <w:p w14:paraId="609B9FAB"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c>
          <w:tcPr>
            <w:tcW w:w="1116" w:type="dxa"/>
            <w:tcBorders>
              <w:top w:val="nil"/>
              <w:left w:val="nil"/>
              <w:bottom w:val="nil"/>
              <w:right w:val="nil"/>
            </w:tcBorders>
            <w:shd w:val="clear" w:color="auto" w:fill="auto"/>
            <w:vAlign w:val="center"/>
            <w:hideMark/>
          </w:tcPr>
          <w:p w14:paraId="4D495EE7"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99.59137</w:t>
            </w:r>
          </w:p>
        </w:tc>
      </w:tr>
      <w:tr w:rsidR="00E60BFA" w:rsidRPr="00CE7FB1" w14:paraId="3CF0122F" w14:textId="77777777" w:rsidTr="003E75CC">
        <w:trPr>
          <w:trHeight w:val="1243"/>
          <w:jc w:val="center"/>
        </w:trPr>
        <w:tc>
          <w:tcPr>
            <w:tcW w:w="1455" w:type="dxa"/>
            <w:tcBorders>
              <w:top w:val="nil"/>
              <w:left w:val="nil"/>
              <w:bottom w:val="nil"/>
              <w:right w:val="nil"/>
            </w:tcBorders>
            <w:shd w:val="clear" w:color="auto" w:fill="auto"/>
            <w:vAlign w:val="center"/>
            <w:hideMark/>
          </w:tcPr>
          <w:p w14:paraId="027A687F"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NR3C1</w:t>
            </w:r>
          </w:p>
        </w:tc>
        <w:tc>
          <w:tcPr>
            <w:tcW w:w="3223" w:type="dxa"/>
            <w:tcBorders>
              <w:top w:val="nil"/>
              <w:left w:val="nil"/>
              <w:bottom w:val="nil"/>
              <w:right w:val="nil"/>
            </w:tcBorders>
            <w:shd w:val="clear" w:color="auto" w:fill="auto"/>
            <w:vAlign w:val="center"/>
            <w:hideMark/>
          </w:tcPr>
          <w:p w14:paraId="2D078842"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Nuclear receptor subfamily 3 group C member 1</w:t>
            </w:r>
          </w:p>
        </w:tc>
        <w:tc>
          <w:tcPr>
            <w:tcW w:w="3402" w:type="dxa"/>
            <w:gridSpan w:val="2"/>
            <w:tcBorders>
              <w:top w:val="nil"/>
              <w:left w:val="nil"/>
              <w:bottom w:val="nil"/>
              <w:right w:val="nil"/>
            </w:tcBorders>
            <w:shd w:val="clear" w:color="auto" w:fill="auto"/>
            <w:vAlign w:val="center"/>
            <w:hideMark/>
          </w:tcPr>
          <w:p w14:paraId="150327B2"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Glucocorticoid receptor</w:t>
            </w:r>
          </w:p>
        </w:tc>
        <w:tc>
          <w:tcPr>
            <w:tcW w:w="1558" w:type="dxa"/>
            <w:tcBorders>
              <w:top w:val="nil"/>
              <w:left w:val="nil"/>
              <w:bottom w:val="nil"/>
              <w:right w:val="nil"/>
            </w:tcBorders>
            <w:shd w:val="clear" w:color="auto" w:fill="auto"/>
            <w:vAlign w:val="center"/>
            <w:hideMark/>
          </w:tcPr>
          <w:p w14:paraId="3516885E"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0.512237762</w:t>
            </w:r>
          </w:p>
        </w:tc>
        <w:tc>
          <w:tcPr>
            <w:tcW w:w="1116" w:type="dxa"/>
            <w:tcBorders>
              <w:top w:val="nil"/>
              <w:left w:val="nil"/>
              <w:bottom w:val="nil"/>
              <w:right w:val="nil"/>
            </w:tcBorders>
            <w:shd w:val="clear" w:color="auto" w:fill="auto"/>
            <w:vAlign w:val="center"/>
            <w:hideMark/>
          </w:tcPr>
          <w:p w14:paraId="3C7A5A89"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99.31626</w:t>
            </w:r>
          </w:p>
        </w:tc>
      </w:tr>
      <w:tr w:rsidR="00E60BFA" w:rsidRPr="00CE7FB1" w14:paraId="7AFBD96F" w14:textId="77777777" w:rsidTr="003E75CC">
        <w:trPr>
          <w:trHeight w:val="640"/>
          <w:jc w:val="center"/>
        </w:trPr>
        <w:tc>
          <w:tcPr>
            <w:tcW w:w="1455" w:type="dxa"/>
            <w:tcBorders>
              <w:top w:val="nil"/>
              <w:left w:val="nil"/>
              <w:bottom w:val="nil"/>
              <w:right w:val="nil"/>
            </w:tcBorders>
            <w:shd w:val="clear" w:color="auto" w:fill="auto"/>
            <w:vAlign w:val="center"/>
            <w:hideMark/>
          </w:tcPr>
          <w:p w14:paraId="60F67BCD"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CRH</w:t>
            </w:r>
          </w:p>
        </w:tc>
        <w:tc>
          <w:tcPr>
            <w:tcW w:w="3223" w:type="dxa"/>
            <w:tcBorders>
              <w:top w:val="nil"/>
              <w:left w:val="nil"/>
              <w:bottom w:val="nil"/>
              <w:right w:val="nil"/>
            </w:tcBorders>
            <w:shd w:val="clear" w:color="auto" w:fill="auto"/>
            <w:vAlign w:val="center"/>
            <w:hideMark/>
          </w:tcPr>
          <w:p w14:paraId="6AF8426F"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Corticotropin releasing hormone</w:t>
            </w:r>
          </w:p>
        </w:tc>
        <w:tc>
          <w:tcPr>
            <w:tcW w:w="3402" w:type="dxa"/>
            <w:gridSpan w:val="2"/>
            <w:tcBorders>
              <w:top w:val="nil"/>
              <w:left w:val="nil"/>
              <w:bottom w:val="nil"/>
              <w:right w:val="nil"/>
            </w:tcBorders>
            <w:shd w:val="clear" w:color="auto" w:fill="auto"/>
            <w:vAlign w:val="center"/>
            <w:hideMark/>
          </w:tcPr>
          <w:p w14:paraId="511989CB"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Hormone/Hormone receptor</w:t>
            </w:r>
          </w:p>
        </w:tc>
        <w:tc>
          <w:tcPr>
            <w:tcW w:w="1558" w:type="dxa"/>
            <w:tcBorders>
              <w:top w:val="nil"/>
              <w:left w:val="nil"/>
              <w:bottom w:val="nil"/>
              <w:right w:val="nil"/>
            </w:tcBorders>
            <w:shd w:val="clear" w:color="auto" w:fill="auto"/>
            <w:vAlign w:val="center"/>
            <w:hideMark/>
          </w:tcPr>
          <w:p w14:paraId="5BC8191F"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c>
          <w:tcPr>
            <w:tcW w:w="1116" w:type="dxa"/>
            <w:tcBorders>
              <w:top w:val="nil"/>
              <w:left w:val="nil"/>
              <w:bottom w:val="nil"/>
              <w:right w:val="nil"/>
            </w:tcBorders>
            <w:shd w:val="clear" w:color="auto" w:fill="auto"/>
            <w:vAlign w:val="center"/>
            <w:hideMark/>
          </w:tcPr>
          <w:p w14:paraId="26789514"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97.32573</w:t>
            </w:r>
          </w:p>
        </w:tc>
      </w:tr>
      <w:tr w:rsidR="00E60BFA" w:rsidRPr="00CE7FB1" w14:paraId="4B95D047" w14:textId="77777777" w:rsidTr="003E75CC">
        <w:trPr>
          <w:trHeight w:val="671"/>
          <w:jc w:val="center"/>
        </w:trPr>
        <w:tc>
          <w:tcPr>
            <w:tcW w:w="1455" w:type="dxa"/>
            <w:tcBorders>
              <w:top w:val="nil"/>
              <w:left w:val="nil"/>
              <w:bottom w:val="nil"/>
              <w:right w:val="nil"/>
            </w:tcBorders>
            <w:shd w:val="clear" w:color="auto" w:fill="auto"/>
            <w:vAlign w:val="center"/>
            <w:hideMark/>
          </w:tcPr>
          <w:p w14:paraId="2AD167DE"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DRD2</w:t>
            </w:r>
          </w:p>
        </w:tc>
        <w:tc>
          <w:tcPr>
            <w:tcW w:w="3294" w:type="dxa"/>
            <w:gridSpan w:val="2"/>
            <w:tcBorders>
              <w:top w:val="nil"/>
              <w:left w:val="nil"/>
              <w:bottom w:val="nil"/>
              <w:right w:val="nil"/>
            </w:tcBorders>
            <w:shd w:val="clear" w:color="auto" w:fill="auto"/>
            <w:vAlign w:val="center"/>
            <w:hideMark/>
          </w:tcPr>
          <w:p w14:paraId="3E8A82E5"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 (2) dopamine receptor</w:t>
            </w:r>
          </w:p>
        </w:tc>
        <w:tc>
          <w:tcPr>
            <w:tcW w:w="3331" w:type="dxa"/>
            <w:tcBorders>
              <w:top w:val="nil"/>
              <w:left w:val="nil"/>
              <w:bottom w:val="nil"/>
              <w:right w:val="nil"/>
            </w:tcBorders>
            <w:shd w:val="clear" w:color="auto" w:fill="auto"/>
            <w:vAlign w:val="center"/>
          </w:tcPr>
          <w:p w14:paraId="62CC5D76"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Signaling protein/hormone</w:t>
            </w:r>
          </w:p>
        </w:tc>
        <w:tc>
          <w:tcPr>
            <w:tcW w:w="1558" w:type="dxa"/>
            <w:tcBorders>
              <w:top w:val="nil"/>
              <w:left w:val="nil"/>
              <w:bottom w:val="nil"/>
              <w:right w:val="nil"/>
            </w:tcBorders>
            <w:shd w:val="clear" w:color="auto" w:fill="auto"/>
            <w:vAlign w:val="center"/>
            <w:hideMark/>
          </w:tcPr>
          <w:p w14:paraId="552A62A4"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0.727065267</w:t>
            </w:r>
          </w:p>
        </w:tc>
        <w:tc>
          <w:tcPr>
            <w:tcW w:w="1116" w:type="dxa"/>
            <w:tcBorders>
              <w:top w:val="nil"/>
              <w:left w:val="nil"/>
              <w:bottom w:val="nil"/>
              <w:right w:val="nil"/>
            </w:tcBorders>
            <w:shd w:val="clear" w:color="auto" w:fill="auto"/>
            <w:vAlign w:val="center"/>
            <w:hideMark/>
          </w:tcPr>
          <w:p w14:paraId="56170132"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96.59344</w:t>
            </w:r>
          </w:p>
        </w:tc>
      </w:tr>
      <w:tr w:rsidR="00E60BFA" w:rsidRPr="00CE7FB1" w14:paraId="0788BD92" w14:textId="77777777" w:rsidTr="003E75CC">
        <w:trPr>
          <w:trHeight w:val="810"/>
          <w:jc w:val="center"/>
        </w:trPr>
        <w:tc>
          <w:tcPr>
            <w:tcW w:w="1455" w:type="dxa"/>
            <w:tcBorders>
              <w:top w:val="nil"/>
              <w:left w:val="nil"/>
              <w:bottom w:val="nil"/>
              <w:right w:val="nil"/>
            </w:tcBorders>
            <w:shd w:val="clear" w:color="auto" w:fill="auto"/>
            <w:vAlign w:val="center"/>
            <w:hideMark/>
          </w:tcPr>
          <w:p w14:paraId="4D6409F6"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HDAC2</w:t>
            </w:r>
          </w:p>
        </w:tc>
        <w:tc>
          <w:tcPr>
            <w:tcW w:w="3223" w:type="dxa"/>
            <w:tcBorders>
              <w:top w:val="nil"/>
              <w:left w:val="nil"/>
              <w:bottom w:val="nil"/>
              <w:right w:val="nil"/>
            </w:tcBorders>
            <w:shd w:val="clear" w:color="auto" w:fill="auto"/>
            <w:vAlign w:val="center"/>
            <w:hideMark/>
          </w:tcPr>
          <w:p w14:paraId="11DEF7DD"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Histone deacetylase 2</w:t>
            </w:r>
          </w:p>
        </w:tc>
        <w:tc>
          <w:tcPr>
            <w:tcW w:w="3402" w:type="dxa"/>
            <w:gridSpan w:val="2"/>
            <w:tcBorders>
              <w:top w:val="nil"/>
              <w:left w:val="nil"/>
              <w:bottom w:val="nil"/>
              <w:right w:val="nil"/>
            </w:tcBorders>
            <w:shd w:val="clear" w:color="auto" w:fill="auto"/>
            <w:vAlign w:val="center"/>
            <w:hideMark/>
          </w:tcPr>
          <w:p w14:paraId="31D7966E"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Hydrolase</w:t>
            </w:r>
          </w:p>
        </w:tc>
        <w:tc>
          <w:tcPr>
            <w:tcW w:w="1558" w:type="dxa"/>
            <w:tcBorders>
              <w:top w:val="nil"/>
              <w:left w:val="nil"/>
              <w:bottom w:val="nil"/>
              <w:right w:val="nil"/>
            </w:tcBorders>
            <w:shd w:val="clear" w:color="auto" w:fill="auto"/>
            <w:vAlign w:val="center"/>
            <w:hideMark/>
          </w:tcPr>
          <w:p w14:paraId="36B2B5D4"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0.997122302</w:t>
            </w:r>
          </w:p>
        </w:tc>
        <w:tc>
          <w:tcPr>
            <w:tcW w:w="1116" w:type="dxa"/>
            <w:tcBorders>
              <w:top w:val="nil"/>
              <w:left w:val="nil"/>
              <w:bottom w:val="nil"/>
              <w:right w:val="nil"/>
            </w:tcBorders>
            <w:shd w:val="clear" w:color="auto" w:fill="auto"/>
            <w:vAlign w:val="center"/>
            <w:hideMark/>
          </w:tcPr>
          <w:p w14:paraId="00F664E1"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96.24954</w:t>
            </w:r>
          </w:p>
        </w:tc>
      </w:tr>
      <w:tr w:rsidR="00E60BFA" w:rsidRPr="00CE7FB1" w14:paraId="4BE9394E" w14:textId="77777777" w:rsidTr="003E75CC">
        <w:trPr>
          <w:trHeight w:val="640"/>
          <w:jc w:val="center"/>
        </w:trPr>
        <w:tc>
          <w:tcPr>
            <w:tcW w:w="1455" w:type="dxa"/>
            <w:tcBorders>
              <w:top w:val="nil"/>
              <w:left w:val="nil"/>
              <w:bottom w:val="nil"/>
              <w:right w:val="nil"/>
            </w:tcBorders>
            <w:shd w:val="clear" w:color="auto" w:fill="auto"/>
            <w:vAlign w:val="center"/>
            <w:hideMark/>
          </w:tcPr>
          <w:p w14:paraId="23DD3580"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MEN1</w:t>
            </w:r>
          </w:p>
        </w:tc>
        <w:tc>
          <w:tcPr>
            <w:tcW w:w="3223" w:type="dxa"/>
            <w:tcBorders>
              <w:top w:val="nil"/>
              <w:left w:val="nil"/>
              <w:bottom w:val="nil"/>
              <w:right w:val="nil"/>
            </w:tcBorders>
            <w:shd w:val="clear" w:color="auto" w:fill="auto"/>
            <w:vAlign w:val="center"/>
            <w:hideMark/>
          </w:tcPr>
          <w:p w14:paraId="785A3BF6" w14:textId="77777777" w:rsidR="00E60BFA" w:rsidRPr="00CE7FB1" w:rsidRDefault="00E60BFA" w:rsidP="003E75CC">
            <w:pPr>
              <w:widowControl/>
              <w:spacing w:line="276" w:lineRule="auto"/>
              <w:jc w:val="center"/>
              <w:rPr>
                <w:rFonts w:ascii="Times New Roman" w:hAnsi="Times New Roman"/>
                <w:color w:val="000000"/>
                <w:kern w:val="0"/>
                <w:sz w:val="24"/>
                <w:szCs w:val="24"/>
              </w:rPr>
            </w:pPr>
            <w:proofErr w:type="spellStart"/>
            <w:r w:rsidRPr="00CE7FB1">
              <w:rPr>
                <w:rFonts w:ascii="Times New Roman" w:hAnsi="Times New Roman"/>
                <w:color w:val="000000"/>
                <w:kern w:val="0"/>
                <w:sz w:val="24"/>
                <w:szCs w:val="24"/>
              </w:rPr>
              <w:t>Menin</w:t>
            </w:r>
            <w:proofErr w:type="spellEnd"/>
          </w:p>
        </w:tc>
        <w:tc>
          <w:tcPr>
            <w:tcW w:w="3402" w:type="dxa"/>
            <w:gridSpan w:val="2"/>
            <w:tcBorders>
              <w:top w:val="nil"/>
              <w:left w:val="nil"/>
              <w:bottom w:val="nil"/>
              <w:right w:val="nil"/>
            </w:tcBorders>
            <w:shd w:val="clear" w:color="auto" w:fill="auto"/>
            <w:vAlign w:val="center"/>
            <w:hideMark/>
          </w:tcPr>
          <w:p w14:paraId="38BB475D"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Transcription/Transcription inhibitor</w:t>
            </w:r>
          </w:p>
        </w:tc>
        <w:tc>
          <w:tcPr>
            <w:tcW w:w="1558" w:type="dxa"/>
            <w:tcBorders>
              <w:top w:val="nil"/>
              <w:left w:val="nil"/>
              <w:bottom w:val="nil"/>
              <w:right w:val="nil"/>
            </w:tcBorders>
            <w:shd w:val="clear" w:color="auto" w:fill="auto"/>
            <w:vAlign w:val="center"/>
            <w:hideMark/>
          </w:tcPr>
          <w:p w14:paraId="03AD87BE"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0.879310345</w:t>
            </w:r>
          </w:p>
        </w:tc>
        <w:tc>
          <w:tcPr>
            <w:tcW w:w="1116" w:type="dxa"/>
            <w:tcBorders>
              <w:top w:val="nil"/>
              <w:left w:val="nil"/>
              <w:bottom w:val="nil"/>
              <w:right w:val="nil"/>
            </w:tcBorders>
            <w:shd w:val="clear" w:color="auto" w:fill="auto"/>
            <w:vAlign w:val="center"/>
            <w:hideMark/>
          </w:tcPr>
          <w:p w14:paraId="333D260B"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96.20909</w:t>
            </w:r>
          </w:p>
        </w:tc>
      </w:tr>
      <w:tr w:rsidR="00E60BFA" w:rsidRPr="00CE7FB1" w14:paraId="60D1D7D2" w14:textId="77777777" w:rsidTr="003E75CC">
        <w:trPr>
          <w:trHeight w:val="671"/>
          <w:jc w:val="center"/>
        </w:trPr>
        <w:tc>
          <w:tcPr>
            <w:tcW w:w="1455" w:type="dxa"/>
            <w:tcBorders>
              <w:top w:val="nil"/>
              <w:left w:val="nil"/>
              <w:bottom w:val="nil"/>
              <w:right w:val="nil"/>
            </w:tcBorders>
            <w:shd w:val="clear" w:color="auto" w:fill="auto"/>
            <w:vAlign w:val="center"/>
            <w:hideMark/>
          </w:tcPr>
          <w:p w14:paraId="4D483FD9"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HSP90AA1</w:t>
            </w:r>
          </w:p>
        </w:tc>
        <w:tc>
          <w:tcPr>
            <w:tcW w:w="3294" w:type="dxa"/>
            <w:gridSpan w:val="2"/>
            <w:tcBorders>
              <w:top w:val="nil"/>
              <w:left w:val="nil"/>
              <w:bottom w:val="nil"/>
              <w:right w:val="nil"/>
            </w:tcBorders>
            <w:shd w:val="clear" w:color="auto" w:fill="auto"/>
            <w:vAlign w:val="center"/>
            <w:hideMark/>
          </w:tcPr>
          <w:p w14:paraId="67C651DA"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Heat shock protein HSP 90-alpha</w:t>
            </w:r>
          </w:p>
        </w:tc>
        <w:tc>
          <w:tcPr>
            <w:tcW w:w="3331" w:type="dxa"/>
            <w:tcBorders>
              <w:top w:val="nil"/>
              <w:left w:val="nil"/>
              <w:bottom w:val="nil"/>
              <w:right w:val="nil"/>
            </w:tcBorders>
            <w:shd w:val="clear" w:color="auto" w:fill="auto"/>
            <w:vAlign w:val="center"/>
          </w:tcPr>
          <w:p w14:paraId="3E3F1939"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Heat shock proteins</w:t>
            </w:r>
          </w:p>
        </w:tc>
        <w:tc>
          <w:tcPr>
            <w:tcW w:w="1558" w:type="dxa"/>
            <w:tcBorders>
              <w:top w:val="nil"/>
              <w:left w:val="nil"/>
              <w:bottom w:val="nil"/>
              <w:right w:val="nil"/>
            </w:tcBorders>
            <w:shd w:val="clear" w:color="auto" w:fill="auto"/>
            <w:vAlign w:val="center"/>
            <w:hideMark/>
          </w:tcPr>
          <w:p w14:paraId="15B7714F"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0.796116505</w:t>
            </w:r>
          </w:p>
        </w:tc>
        <w:tc>
          <w:tcPr>
            <w:tcW w:w="1116" w:type="dxa"/>
            <w:tcBorders>
              <w:top w:val="nil"/>
              <w:left w:val="nil"/>
              <w:bottom w:val="nil"/>
              <w:right w:val="nil"/>
            </w:tcBorders>
            <w:shd w:val="clear" w:color="auto" w:fill="auto"/>
            <w:vAlign w:val="center"/>
            <w:hideMark/>
          </w:tcPr>
          <w:p w14:paraId="39828FC2"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95.48489</w:t>
            </w:r>
          </w:p>
        </w:tc>
      </w:tr>
      <w:tr w:rsidR="00E60BFA" w:rsidRPr="00CE7FB1" w14:paraId="145051CE" w14:textId="77777777" w:rsidTr="003E75CC">
        <w:trPr>
          <w:trHeight w:val="320"/>
          <w:jc w:val="center"/>
        </w:trPr>
        <w:tc>
          <w:tcPr>
            <w:tcW w:w="1455" w:type="dxa"/>
            <w:tcBorders>
              <w:top w:val="nil"/>
              <w:left w:val="nil"/>
              <w:bottom w:val="nil"/>
              <w:right w:val="nil"/>
            </w:tcBorders>
            <w:shd w:val="clear" w:color="auto" w:fill="auto"/>
            <w:vAlign w:val="center"/>
            <w:hideMark/>
          </w:tcPr>
          <w:p w14:paraId="6D518507"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lastRenderedPageBreak/>
              <w:t>PRL</w:t>
            </w:r>
          </w:p>
        </w:tc>
        <w:tc>
          <w:tcPr>
            <w:tcW w:w="3223" w:type="dxa"/>
            <w:tcBorders>
              <w:top w:val="nil"/>
              <w:left w:val="nil"/>
              <w:bottom w:val="nil"/>
              <w:right w:val="nil"/>
            </w:tcBorders>
            <w:shd w:val="clear" w:color="auto" w:fill="auto"/>
            <w:vAlign w:val="center"/>
            <w:hideMark/>
          </w:tcPr>
          <w:p w14:paraId="6B695367"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Prolactin</w:t>
            </w:r>
          </w:p>
        </w:tc>
        <w:tc>
          <w:tcPr>
            <w:tcW w:w="3402" w:type="dxa"/>
            <w:gridSpan w:val="2"/>
            <w:tcBorders>
              <w:top w:val="nil"/>
              <w:left w:val="nil"/>
              <w:bottom w:val="nil"/>
              <w:right w:val="nil"/>
            </w:tcBorders>
            <w:shd w:val="clear" w:color="auto" w:fill="auto"/>
            <w:vAlign w:val="center"/>
            <w:hideMark/>
          </w:tcPr>
          <w:p w14:paraId="42B18BFB"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Hormone/Hormone receptor</w:t>
            </w:r>
          </w:p>
        </w:tc>
        <w:tc>
          <w:tcPr>
            <w:tcW w:w="1558" w:type="dxa"/>
            <w:tcBorders>
              <w:top w:val="nil"/>
              <w:left w:val="nil"/>
              <w:bottom w:val="nil"/>
              <w:right w:val="nil"/>
            </w:tcBorders>
            <w:shd w:val="clear" w:color="auto" w:fill="auto"/>
            <w:vAlign w:val="center"/>
            <w:hideMark/>
          </w:tcPr>
          <w:p w14:paraId="3053F5E0"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c>
          <w:tcPr>
            <w:tcW w:w="1116" w:type="dxa"/>
            <w:tcBorders>
              <w:top w:val="nil"/>
              <w:left w:val="nil"/>
              <w:bottom w:val="nil"/>
              <w:right w:val="nil"/>
            </w:tcBorders>
            <w:shd w:val="clear" w:color="auto" w:fill="auto"/>
            <w:vAlign w:val="center"/>
            <w:hideMark/>
          </w:tcPr>
          <w:p w14:paraId="200C561D"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92.26039</w:t>
            </w:r>
          </w:p>
        </w:tc>
      </w:tr>
      <w:tr w:rsidR="00E60BFA" w:rsidRPr="00CE7FB1" w14:paraId="3BCCA279" w14:textId="77777777" w:rsidTr="003E75CC">
        <w:trPr>
          <w:trHeight w:val="670"/>
          <w:jc w:val="center"/>
        </w:trPr>
        <w:tc>
          <w:tcPr>
            <w:tcW w:w="1455" w:type="dxa"/>
            <w:tcBorders>
              <w:top w:val="nil"/>
              <w:left w:val="nil"/>
              <w:bottom w:val="nil"/>
              <w:right w:val="nil"/>
            </w:tcBorders>
            <w:shd w:val="clear" w:color="auto" w:fill="auto"/>
            <w:vAlign w:val="center"/>
            <w:hideMark/>
          </w:tcPr>
          <w:p w14:paraId="685F194F"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AVPR1B</w:t>
            </w:r>
          </w:p>
        </w:tc>
        <w:tc>
          <w:tcPr>
            <w:tcW w:w="3223" w:type="dxa"/>
            <w:tcBorders>
              <w:top w:val="nil"/>
              <w:left w:val="nil"/>
              <w:bottom w:val="nil"/>
              <w:right w:val="nil"/>
            </w:tcBorders>
            <w:shd w:val="clear" w:color="auto" w:fill="auto"/>
            <w:vAlign w:val="center"/>
            <w:hideMark/>
          </w:tcPr>
          <w:p w14:paraId="235AE4DC"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Vasopressin V1b receptor</w:t>
            </w:r>
          </w:p>
        </w:tc>
        <w:tc>
          <w:tcPr>
            <w:tcW w:w="3402" w:type="dxa"/>
            <w:gridSpan w:val="2"/>
            <w:tcBorders>
              <w:top w:val="nil"/>
              <w:left w:val="nil"/>
              <w:bottom w:val="nil"/>
              <w:right w:val="nil"/>
            </w:tcBorders>
            <w:shd w:val="clear" w:color="auto" w:fill="auto"/>
            <w:vAlign w:val="center"/>
            <w:hideMark/>
          </w:tcPr>
          <w:p w14:paraId="710A9ABE"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 xml:space="preserve">Signaling protein/hormone </w:t>
            </w:r>
          </w:p>
        </w:tc>
        <w:tc>
          <w:tcPr>
            <w:tcW w:w="1558" w:type="dxa"/>
            <w:tcBorders>
              <w:top w:val="nil"/>
              <w:left w:val="nil"/>
              <w:bottom w:val="nil"/>
              <w:right w:val="nil"/>
            </w:tcBorders>
            <w:shd w:val="clear" w:color="auto" w:fill="auto"/>
            <w:vAlign w:val="center"/>
            <w:hideMark/>
          </w:tcPr>
          <w:p w14:paraId="3EDF6E86"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0.920634921</w:t>
            </w:r>
          </w:p>
        </w:tc>
        <w:tc>
          <w:tcPr>
            <w:tcW w:w="1116" w:type="dxa"/>
            <w:tcBorders>
              <w:top w:val="nil"/>
              <w:left w:val="nil"/>
              <w:bottom w:val="nil"/>
              <w:right w:val="nil"/>
            </w:tcBorders>
            <w:shd w:val="clear" w:color="auto" w:fill="auto"/>
            <w:vAlign w:val="center"/>
            <w:hideMark/>
          </w:tcPr>
          <w:p w14:paraId="1C9FDC21"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90.93741</w:t>
            </w:r>
          </w:p>
        </w:tc>
      </w:tr>
      <w:tr w:rsidR="00E60BFA" w:rsidRPr="00CE7FB1" w14:paraId="317DB9D2" w14:textId="77777777" w:rsidTr="003E75CC">
        <w:trPr>
          <w:trHeight w:val="640"/>
          <w:jc w:val="center"/>
        </w:trPr>
        <w:tc>
          <w:tcPr>
            <w:tcW w:w="1455" w:type="dxa"/>
            <w:tcBorders>
              <w:top w:val="nil"/>
              <w:left w:val="nil"/>
              <w:bottom w:val="nil"/>
              <w:right w:val="nil"/>
            </w:tcBorders>
            <w:shd w:val="clear" w:color="auto" w:fill="auto"/>
            <w:vAlign w:val="center"/>
            <w:hideMark/>
          </w:tcPr>
          <w:p w14:paraId="3481D68C" w14:textId="77777777" w:rsidR="00E60BFA" w:rsidRPr="00CE7FB1" w:rsidRDefault="00E60BFA" w:rsidP="003E75CC">
            <w:pPr>
              <w:widowControl/>
              <w:spacing w:line="276" w:lineRule="auto"/>
              <w:jc w:val="center"/>
              <w:rPr>
                <w:rFonts w:ascii="Times New Roman" w:hAnsi="Times New Roman"/>
                <w:color w:val="000000"/>
                <w:kern w:val="0"/>
                <w:sz w:val="24"/>
                <w:szCs w:val="24"/>
              </w:rPr>
            </w:pPr>
          </w:p>
        </w:tc>
        <w:tc>
          <w:tcPr>
            <w:tcW w:w="3223" w:type="dxa"/>
            <w:tcBorders>
              <w:top w:val="nil"/>
              <w:left w:val="nil"/>
              <w:bottom w:val="nil"/>
              <w:right w:val="nil"/>
            </w:tcBorders>
            <w:shd w:val="clear" w:color="auto" w:fill="auto"/>
            <w:vAlign w:val="center"/>
            <w:hideMark/>
          </w:tcPr>
          <w:p w14:paraId="7410837C"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Gastric inhibitory polypeptide</w:t>
            </w:r>
          </w:p>
        </w:tc>
        <w:tc>
          <w:tcPr>
            <w:tcW w:w="3402" w:type="dxa"/>
            <w:gridSpan w:val="2"/>
            <w:tcBorders>
              <w:top w:val="nil"/>
              <w:left w:val="nil"/>
              <w:bottom w:val="nil"/>
              <w:right w:val="nil"/>
            </w:tcBorders>
            <w:shd w:val="clear" w:color="auto" w:fill="auto"/>
            <w:vAlign w:val="center"/>
            <w:hideMark/>
          </w:tcPr>
          <w:p w14:paraId="389128F4"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Signaling protein/hormone</w:t>
            </w:r>
          </w:p>
        </w:tc>
        <w:tc>
          <w:tcPr>
            <w:tcW w:w="1558" w:type="dxa"/>
            <w:tcBorders>
              <w:top w:val="nil"/>
              <w:left w:val="nil"/>
              <w:bottom w:val="nil"/>
              <w:right w:val="nil"/>
            </w:tcBorders>
            <w:shd w:val="clear" w:color="auto" w:fill="auto"/>
            <w:vAlign w:val="center"/>
            <w:hideMark/>
          </w:tcPr>
          <w:p w14:paraId="33DCEAB0"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1</w:t>
            </w:r>
          </w:p>
        </w:tc>
        <w:tc>
          <w:tcPr>
            <w:tcW w:w="1116" w:type="dxa"/>
            <w:tcBorders>
              <w:top w:val="nil"/>
              <w:left w:val="nil"/>
              <w:bottom w:val="nil"/>
              <w:right w:val="nil"/>
            </w:tcBorders>
            <w:shd w:val="clear" w:color="auto" w:fill="auto"/>
            <w:vAlign w:val="center"/>
            <w:hideMark/>
          </w:tcPr>
          <w:p w14:paraId="3D2437CE"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90.56924</w:t>
            </w:r>
          </w:p>
        </w:tc>
      </w:tr>
      <w:tr w:rsidR="00E60BFA" w:rsidRPr="00CE7FB1" w14:paraId="449CB0CE" w14:textId="77777777" w:rsidTr="003E75CC">
        <w:trPr>
          <w:trHeight w:val="640"/>
          <w:jc w:val="center"/>
        </w:trPr>
        <w:tc>
          <w:tcPr>
            <w:tcW w:w="1455" w:type="dxa"/>
            <w:tcBorders>
              <w:top w:val="nil"/>
              <w:left w:val="nil"/>
              <w:bottom w:val="nil"/>
              <w:right w:val="nil"/>
            </w:tcBorders>
            <w:shd w:val="clear" w:color="auto" w:fill="auto"/>
            <w:vAlign w:val="center"/>
            <w:hideMark/>
          </w:tcPr>
          <w:p w14:paraId="3F4E7AEA"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EGFR</w:t>
            </w:r>
          </w:p>
        </w:tc>
        <w:tc>
          <w:tcPr>
            <w:tcW w:w="3223" w:type="dxa"/>
            <w:tcBorders>
              <w:top w:val="nil"/>
              <w:left w:val="nil"/>
              <w:bottom w:val="nil"/>
              <w:right w:val="nil"/>
            </w:tcBorders>
            <w:shd w:val="clear" w:color="auto" w:fill="auto"/>
            <w:vAlign w:val="center"/>
            <w:hideMark/>
          </w:tcPr>
          <w:p w14:paraId="40CE43BE"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Epidermal growth factor receptor</w:t>
            </w:r>
          </w:p>
        </w:tc>
        <w:tc>
          <w:tcPr>
            <w:tcW w:w="3402" w:type="dxa"/>
            <w:gridSpan w:val="2"/>
            <w:tcBorders>
              <w:top w:val="nil"/>
              <w:left w:val="nil"/>
              <w:bottom w:val="nil"/>
              <w:right w:val="nil"/>
            </w:tcBorders>
            <w:shd w:val="clear" w:color="auto" w:fill="auto"/>
            <w:vAlign w:val="center"/>
            <w:hideMark/>
          </w:tcPr>
          <w:p w14:paraId="4409969B"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Transferase/Transferase inhibitor</w:t>
            </w:r>
          </w:p>
        </w:tc>
        <w:tc>
          <w:tcPr>
            <w:tcW w:w="1558" w:type="dxa"/>
            <w:tcBorders>
              <w:top w:val="nil"/>
              <w:left w:val="nil"/>
              <w:bottom w:val="nil"/>
              <w:right w:val="nil"/>
            </w:tcBorders>
            <w:shd w:val="clear" w:color="auto" w:fill="auto"/>
            <w:vAlign w:val="center"/>
            <w:hideMark/>
          </w:tcPr>
          <w:p w14:paraId="3EE39632"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0.935976789</w:t>
            </w:r>
          </w:p>
        </w:tc>
        <w:tc>
          <w:tcPr>
            <w:tcW w:w="1116" w:type="dxa"/>
            <w:tcBorders>
              <w:top w:val="nil"/>
              <w:left w:val="nil"/>
              <w:bottom w:val="nil"/>
              <w:right w:val="nil"/>
            </w:tcBorders>
            <w:shd w:val="clear" w:color="auto" w:fill="auto"/>
            <w:vAlign w:val="center"/>
            <w:hideMark/>
          </w:tcPr>
          <w:p w14:paraId="3C05C67E"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89.94215</w:t>
            </w:r>
          </w:p>
        </w:tc>
      </w:tr>
      <w:tr w:rsidR="00E60BFA" w:rsidRPr="00CE7FB1" w14:paraId="0B4B1748" w14:textId="77777777" w:rsidTr="003E75CC">
        <w:trPr>
          <w:trHeight w:val="640"/>
          <w:jc w:val="center"/>
        </w:trPr>
        <w:tc>
          <w:tcPr>
            <w:tcW w:w="1455" w:type="dxa"/>
            <w:tcBorders>
              <w:top w:val="nil"/>
              <w:left w:val="nil"/>
              <w:bottom w:val="nil"/>
              <w:right w:val="nil"/>
            </w:tcBorders>
            <w:shd w:val="clear" w:color="auto" w:fill="auto"/>
            <w:vAlign w:val="center"/>
            <w:hideMark/>
          </w:tcPr>
          <w:p w14:paraId="4A37B14B"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FGFR4</w:t>
            </w:r>
          </w:p>
        </w:tc>
        <w:tc>
          <w:tcPr>
            <w:tcW w:w="3223" w:type="dxa"/>
            <w:tcBorders>
              <w:top w:val="nil"/>
              <w:left w:val="nil"/>
              <w:bottom w:val="nil"/>
              <w:right w:val="nil"/>
            </w:tcBorders>
            <w:shd w:val="clear" w:color="auto" w:fill="auto"/>
            <w:vAlign w:val="center"/>
            <w:hideMark/>
          </w:tcPr>
          <w:p w14:paraId="559957A5"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Fibroblast growth factor receptor 4</w:t>
            </w:r>
          </w:p>
        </w:tc>
        <w:tc>
          <w:tcPr>
            <w:tcW w:w="3402" w:type="dxa"/>
            <w:gridSpan w:val="2"/>
            <w:tcBorders>
              <w:top w:val="nil"/>
              <w:left w:val="nil"/>
              <w:bottom w:val="nil"/>
              <w:right w:val="nil"/>
            </w:tcBorders>
            <w:shd w:val="clear" w:color="auto" w:fill="auto"/>
            <w:vAlign w:val="center"/>
            <w:hideMark/>
          </w:tcPr>
          <w:p w14:paraId="76C44721"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Transferase/transferase inhibitor</w:t>
            </w:r>
          </w:p>
        </w:tc>
        <w:tc>
          <w:tcPr>
            <w:tcW w:w="1558" w:type="dxa"/>
            <w:tcBorders>
              <w:top w:val="nil"/>
              <w:left w:val="nil"/>
              <w:bottom w:val="nil"/>
              <w:right w:val="nil"/>
            </w:tcBorders>
            <w:shd w:val="clear" w:color="auto" w:fill="auto"/>
            <w:vAlign w:val="center"/>
            <w:hideMark/>
          </w:tcPr>
          <w:p w14:paraId="62E9B64C"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0.956521739</w:t>
            </w:r>
          </w:p>
        </w:tc>
        <w:tc>
          <w:tcPr>
            <w:tcW w:w="1116" w:type="dxa"/>
            <w:tcBorders>
              <w:top w:val="nil"/>
              <w:left w:val="nil"/>
              <w:bottom w:val="nil"/>
              <w:right w:val="nil"/>
            </w:tcBorders>
            <w:shd w:val="clear" w:color="auto" w:fill="auto"/>
            <w:vAlign w:val="center"/>
            <w:hideMark/>
          </w:tcPr>
          <w:p w14:paraId="3B035E72"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88.14176</w:t>
            </w:r>
          </w:p>
        </w:tc>
      </w:tr>
      <w:tr w:rsidR="00E60BFA" w:rsidRPr="00CE7FB1" w14:paraId="19622FC4" w14:textId="77777777" w:rsidTr="003E75CC">
        <w:trPr>
          <w:trHeight w:val="320"/>
          <w:jc w:val="center"/>
        </w:trPr>
        <w:tc>
          <w:tcPr>
            <w:tcW w:w="1455" w:type="dxa"/>
            <w:tcBorders>
              <w:top w:val="nil"/>
              <w:left w:val="nil"/>
              <w:bottom w:val="nil"/>
              <w:right w:val="nil"/>
            </w:tcBorders>
            <w:shd w:val="clear" w:color="auto" w:fill="auto"/>
            <w:vAlign w:val="center"/>
            <w:hideMark/>
          </w:tcPr>
          <w:p w14:paraId="5AC8CCCB"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EGF</w:t>
            </w:r>
          </w:p>
        </w:tc>
        <w:tc>
          <w:tcPr>
            <w:tcW w:w="3294" w:type="dxa"/>
            <w:gridSpan w:val="2"/>
            <w:tcBorders>
              <w:top w:val="nil"/>
              <w:left w:val="nil"/>
              <w:bottom w:val="nil"/>
              <w:right w:val="nil"/>
            </w:tcBorders>
            <w:shd w:val="clear" w:color="auto" w:fill="auto"/>
            <w:vAlign w:val="center"/>
            <w:hideMark/>
          </w:tcPr>
          <w:p w14:paraId="646564F4"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Pro-epidermal growth factor</w:t>
            </w:r>
          </w:p>
        </w:tc>
        <w:tc>
          <w:tcPr>
            <w:tcW w:w="3331" w:type="dxa"/>
            <w:tcBorders>
              <w:top w:val="nil"/>
              <w:left w:val="nil"/>
              <w:bottom w:val="nil"/>
              <w:right w:val="nil"/>
            </w:tcBorders>
            <w:shd w:val="clear" w:color="auto" w:fill="auto"/>
            <w:vAlign w:val="center"/>
          </w:tcPr>
          <w:p w14:paraId="20DEE359"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Signaling protein/hormone</w:t>
            </w:r>
          </w:p>
        </w:tc>
        <w:tc>
          <w:tcPr>
            <w:tcW w:w="1558" w:type="dxa"/>
            <w:tcBorders>
              <w:top w:val="nil"/>
              <w:left w:val="nil"/>
              <w:bottom w:val="nil"/>
              <w:right w:val="nil"/>
            </w:tcBorders>
            <w:shd w:val="clear" w:color="auto" w:fill="auto"/>
            <w:vAlign w:val="center"/>
            <w:hideMark/>
          </w:tcPr>
          <w:p w14:paraId="21C486BB"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c>
          <w:tcPr>
            <w:tcW w:w="1116" w:type="dxa"/>
            <w:tcBorders>
              <w:top w:val="nil"/>
              <w:left w:val="nil"/>
              <w:bottom w:val="nil"/>
              <w:right w:val="nil"/>
            </w:tcBorders>
            <w:shd w:val="clear" w:color="auto" w:fill="auto"/>
            <w:vAlign w:val="center"/>
            <w:hideMark/>
          </w:tcPr>
          <w:p w14:paraId="0B716CA8"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87.09795</w:t>
            </w:r>
          </w:p>
        </w:tc>
      </w:tr>
      <w:tr w:rsidR="00E60BFA" w:rsidRPr="00CE7FB1" w14:paraId="54F058B6" w14:textId="77777777" w:rsidTr="003E75CC">
        <w:trPr>
          <w:trHeight w:val="320"/>
          <w:jc w:val="center"/>
        </w:trPr>
        <w:tc>
          <w:tcPr>
            <w:tcW w:w="1455" w:type="dxa"/>
            <w:tcBorders>
              <w:top w:val="nil"/>
              <w:left w:val="nil"/>
              <w:bottom w:val="nil"/>
              <w:right w:val="nil"/>
            </w:tcBorders>
            <w:shd w:val="clear" w:color="auto" w:fill="auto"/>
            <w:vAlign w:val="center"/>
            <w:hideMark/>
          </w:tcPr>
          <w:p w14:paraId="66CF37A9"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SMARCA4</w:t>
            </w:r>
          </w:p>
        </w:tc>
        <w:tc>
          <w:tcPr>
            <w:tcW w:w="3294" w:type="dxa"/>
            <w:gridSpan w:val="2"/>
            <w:tcBorders>
              <w:top w:val="nil"/>
              <w:left w:val="nil"/>
              <w:bottom w:val="nil"/>
              <w:right w:val="nil"/>
            </w:tcBorders>
            <w:shd w:val="clear" w:color="auto" w:fill="auto"/>
            <w:vAlign w:val="center"/>
            <w:hideMark/>
          </w:tcPr>
          <w:p w14:paraId="369736D8"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Transcription activator BRG1</w:t>
            </w:r>
          </w:p>
        </w:tc>
        <w:tc>
          <w:tcPr>
            <w:tcW w:w="3331" w:type="dxa"/>
            <w:tcBorders>
              <w:top w:val="nil"/>
              <w:left w:val="nil"/>
              <w:bottom w:val="nil"/>
              <w:right w:val="nil"/>
            </w:tcBorders>
            <w:shd w:val="clear" w:color="auto" w:fill="auto"/>
            <w:vAlign w:val="center"/>
          </w:tcPr>
          <w:p w14:paraId="621FDE40"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Transcription/Transcription activator</w:t>
            </w:r>
          </w:p>
        </w:tc>
        <w:tc>
          <w:tcPr>
            <w:tcW w:w="1558" w:type="dxa"/>
            <w:tcBorders>
              <w:top w:val="nil"/>
              <w:left w:val="nil"/>
              <w:bottom w:val="nil"/>
              <w:right w:val="nil"/>
            </w:tcBorders>
            <w:shd w:val="clear" w:color="auto" w:fill="auto"/>
            <w:vAlign w:val="center"/>
            <w:hideMark/>
          </w:tcPr>
          <w:p w14:paraId="7B9E18A9"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c>
          <w:tcPr>
            <w:tcW w:w="1116" w:type="dxa"/>
            <w:tcBorders>
              <w:top w:val="nil"/>
              <w:left w:val="nil"/>
              <w:bottom w:val="nil"/>
              <w:right w:val="nil"/>
            </w:tcBorders>
            <w:shd w:val="clear" w:color="auto" w:fill="auto"/>
            <w:vAlign w:val="center"/>
            <w:hideMark/>
          </w:tcPr>
          <w:p w14:paraId="7B24FC4F"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86.36971</w:t>
            </w:r>
          </w:p>
        </w:tc>
      </w:tr>
      <w:tr w:rsidR="00E60BFA" w:rsidRPr="00CE7FB1" w14:paraId="230B8EB5" w14:textId="77777777" w:rsidTr="003E75CC">
        <w:trPr>
          <w:trHeight w:val="320"/>
          <w:jc w:val="center"/>
        </w:trPr>
        <w:tc>
          <w:tcPr>
            <w:tcW w:w="1455" w:type="dxa"/>
            <w:tcBorders>
              <w:top w:val="nil"/>
              <w:left w:val="nil"/>
              <w:bottom w:val="nil"/>
              <w:right w:val="nil"/>
            </w:tcBorders>
            <w:shd w:val="clear" w:color="auto" w:fill="auto"/>
            <w:vAlign w:val="center"/>
            <w:hideMark/>
          </w:tcPr>
          <w:p w14:paraId="23881B41"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SSTR2</w:t>
            </w:r>
          </w:p>
        </w:tc>
        <w:tc>
          <w:tcPr>
            <w:tcW w:w="3294" w:type="dxa"/>
            <w:gridSpan w:val="2"/>
            <w:tcBorders>
              <w:top w:val="nil"/>
              <w:left w:val="nil"/>
              <w:bottom w:val="nil"/>
              <w:right w:val="nil"/>
            </w:tcBorders>
            <w:shd w:val="clear" w:color="auto" w:fill="auto"/>
            <w:vAlign w:val="center"/>
            <w:hideMark/>
          </w:tcPr>
          <w:p w14:paraId="378A5DFC"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Somatostatin receptor type 2</w:t>
            </w:r>
          </w:p>
        </w:tc>
        <w:tc>
          <w:tcPr>
            <w:tcW w:w="3331" w:type="dxa"/>
            <w:tcBorders>
              <w:top w:val="nil"/>
              <w:left w:val="nil"/>
              <w:bottom w:val="nil"/>
              <w:right w:val="nil"/>
            </w:tcBorders>
            <w:shd w:val="clear" w:color="auto" w:fill="auto"/>
            <w:vAlign w:val="center"/>
          </w:tcPr>
          <w:p w14:paraId="5244706D"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Signaling protein/hormone</w:t>
            </w:r>
          </w:p>
        </w:tc>
        <w:tc>
          <w:tcPr>
            <w:tcW w:w="1558" w:type="dxa"/>
            <w:tcBorders>
              <w:top w:val="nil"/>
              <w:left w:val="nil"/>
              <w:bottom w:val="nil"/>
              <w:right w:val="nil"/>
            </w:tcBorders>
            <w:shd w:val="clear" w:color="auto" w:fill="auto"/>
            <w:vAlign w:val="center"/>
            <w:hideMark/>
          </w:tcPr>
          <w:p w14:paraId="2699E44F"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0.795640327</w:t>
            </w:r>
          </w:p>
        </w:tc>
        <w:tc>
          <w:tcPr>
            <w:tcW w:w="1116" w:type="dxa"/>
            <w:tcBorders>
              <w:top w:val="nil"/>
              <w:left w:val="nil"/>
              <w:bottom w:val="nil"/>
              <w:right w:val="nil"/>
            </w:tcBorders>
            <w:shd w:val="clear" w:color="auto" w:fill="auto"/>
            <w:vAlign w:val="center"/>
            <w:hideMark/>
          </w:tcPr>
          <w:p w14:paraId="78D874F3"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86.25642</w:t>
            </w:r>
          </w:p>
        </w:tc>
      </w:tr>
      <w:tr w:rsidR="00E60BFA" w:rsidRPr="00CE7FB1" w14:paraId="07A9A88A" w14:textId="77777777" w:rsidTr="003E75CC">
        <w:trPr>
          <w:trHeight w:val="320"/>
          <w:jc w:val="center"/>
        </w:trPr>
        <w:tc>
          <w:tcPr>
            <w:tcW w:w="1455" w:type="dxa"/>
            <w:tcBorders>
              <w:top w:val="nil"/>
              <w:left w:val="nil"/>
              <w:bottom w:val="nil"/>
              <w:right w:val="nil"/>
            </w:tcBorders>
            <w:shd w:val="clear" w:color="auto" w:fill="auto"/>
            <w:vAlign w:val="center"/>
            <w:hideMark/>
          </w:tcPr>
          <w:p w14:paraId="0D6E761F"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GHSR</w:t>
            </w:r>
          </w:p>
        </w:tc>
        <w:tc>
          <w:tcPr>
            <w:tcW w:w="3223" w:type="dxa"/>
            <w:tcBorders>
              <w:top w:val="nil"/>
              <w:left w:val="nil"/>
              <w:bottom w:val="nil"/>
              <w:right w:val="nil"/>
            </w:tcBorders>
            <w:shd w:val="clear" w:color="auto" w:fill="auto"/>
            <w:vAlign w:val="center"/>
            <w:hideMark/>
          </w:tcPr>
          <w:p w14:paraId="61B637DC"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Growth hormone secretagogue receptor type 1</w:t>
            </w:r>
          </w:p>
        </w:tc>
        <w:tc>
          <w:tcPr>
            <w:tcW w:w="3402" w:type="dxa"/>
            <w:gridSpan w:val="2"/>
            <w:tcBorders>
              <w:top w:val="nil"/>
              <w:left w:val="nil"/>
              <w:bottom w:val="nil"/>
              <w:right w:val="nil"/>
            </w:tcBorders>
            <w:shd w:val="clear" w:color="auto" w:fill="auto"/>
            <w:vAlign w:val="center"/>
            <w:hideMark/>
          </w:tcPr>
          <w:p w14:paraId="2689E065"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Hormone/Hormone receptor</w:t>
            </w:r>
          </w:p>
        </w:tc>
        <w:tc>
          <w:tcPr>
            <w:tcW w:w="1558" w:type="dxa"/>
            <w:tcBorders>
              <w:top w:val="nil"/>
              <w:left w:val="nil"/>
              <w:bottom w:val="nil"/>
              <w:right w:val="nil"/>
            </w:tcBorders>
            <w:shd w:val="clear" w:color="auto" w:fill="auto"/>
            <w:vAlign w:val="center"/>
            <w:hideMark/>
          </w:tcPr>
          <w:p w14:paraId="127244A2"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0.569461827</w:t>
            </w:r>
          </w:p>
        </w:tc>
        <w:tc>
          <w:tcPr>
            <w:tcW w:w="1116" w:type="dxa"/>
            <w:tcBorders>
              <w:top w:val="nil"/>
              <w:left w:val="nil"/>
              <w:bottom w:val="nil"/>
              <w:right w:val="nil"/>
            </w:tcBorders>
            <w:shd w:val="clear" w:color="auto" w:fill="auto"/>
            <w:vAlign w:val="center"/>
            <w:hideMark/>
          </w:tcPr>
          <w:p w14:paraId="44BFA855"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85.46345</w:t>
            </w:r>
          </w:p>
        </w:tc>
      </w:tr>
      <w:tr w:rsidR="00E60BFA" w:rsidRPr="00CE7FB1" w14:paraId="4D8F5C86" w14:textId="77777777" w:rsidTr="003E75CC">
        <w:trPr>
          <w:trHeight w:val="480"/>
          <w:jc w:val="center"/>
        </w:trPr>
        <w:tc>
          <w:tcPr>
            <w:tcW w:w="1455" w:type="dxa"/>
            <w:tcBorders>
              <w:top w:val="nil"/>
              <w:left w:val="nil"/>
              <w:bottom w:val="nil"/>
              <w:right w:val="nil"/>
            </w:tcBorders>
            <w:shd w:val="clear" w:color="auto" w:fill="auto"/>
            <w:vAlign w:val="center"/>
            <w:hideMark/>
          </w:tcPr>
          <w:p w14:paraId="12B35994"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PRKCD</w:t>
            </w:r>
          </w:p>
        </w:tc>
        <w:tc>
          <w:tcPr>
            <w:tcW w:w="3294" w:type="dxa"/>
            <w:gridSpan w:val="2"/>
            <w:tcBorders>
              <w:top w:val="nil"/>
              <w:left w:val="nil"/>
              <w:bottom w:val="nil"/>
              <w:right w:val="nil"/>
            </w:tcBorders>
            <w:shd w:val="clear" w:color="auto" w:fill="auto"/>
            <w:vAlign w:val="center"/>
            <w:hideMark/>
          </w:tcPr>
          <w:p w14:paraId="05803306"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Protein kinase C delta type</w:t>
            </w:r>
          </w:p>
        </w:tc>
        <w:tc>
          <w:tcPr>
            <w:tcW w:w="3331" w:type="dxa"/>
            <w:tcBorders>
              <w:top w:val="nil"/>
              <w:left w:val="nil"/>
              <w:bottom w:val="nil"/>
              <w:right w:val="nil"/>
            </w:tcBorders>
            <w:shd w:val="clear" w:color="auto" w:fill="auto"/>
            <w:vAlign w:val="center"/>
          </w:tcPr>
          <w:p w14:paraId="22321FC2"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Signaling protein/hormone</w:t>
            </w:r>
          </w:p>
        </w:tc>
        <w:tc>
          <w:tcPr>
            <w:tcW w:w="1558" w:type="dxa"/>
            <w:tcBorders>
              <w:top w:val="nil"/>
              <w:left w:val="nil"/>
              <w:bottom w:val="nil"/>
              <w:right w:val="nil"/>
            </w:tcBorders>
            <w:shd w:val="clear" w:color="auto" w:fill="auto"/>
            <w:vAlign w:val="center"/>
            <w:hideMark/>
          </w:tcPr>
          <w:p w14:paraId="77F92040"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0.858247423</w:t>
            </w:r>
          </w:p>
        </w:tc>
        <w:tc>
          <w:tcPr>
            <w:tcW w:w="1116" w:type="dxa"/>
            <w:tcBorders>
              <w:top w:val="nil"/>
              <w:left w:val="nil"/>
              <w:bottom w:val="nil"/>
              <w:right w:val="nil"/>
            </w:tcBorders>
            <w:shd w:val="clear" w:color="auto" w:fill="auto"/>
            <w:vAlign w:val="center"/>
            <w:hideMark/>
          </w:tcPr>
          <w:p w14:paraId="2B574218"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84.99413</w:t>
            </w:r>
          </w:p>
        </w:tc>
      </w:tr>
      <w:tr w:rsidR="00E60BFA" w:rsidRPr="00CE7FB1" w14:paraId="3DFB3128" w14:textId="77777777" w:rsidTr="003E75CC">
        <w:trPr>
          <w:trHeight w:val="320"/>
          <w:jc w:val="center"/>
        </w:trPr>
        <w:tc>
          <w:tcPr>
            <w:tcW w:w="1455" w:type="dxa"/>
            <w:tcBorders>
              <w:top w:val="nil"/>
              <w:left w:val="nil"/>
              <w:bottom w:val="nil"/>
              <w:right w:val="nil"/>
            </w:tcBorders>
            <w:shd w:val="clear" w:color="auto" w:fill="auto"/>
            <w:vAlign w:val="center"/>
            <w:hideMark/>
          </w:tcPr>
          <w:p w14:paraId="0FDD574D"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SSTR5</w:t>
            </w:r>
          </w:p>
        </w:tc>
        <w:tc>
          <w:tcPr>
            <w:tcW w:w="3294" w:type="dxa"/>
            <w:gridSpan w:val="2"/>
            <w:tcBorders>
              <w:top w:val="nil"/>
              <w:left w:val="nil"/>
              <w:bottom w:val="nil"/>
              <w:right w:val="nil"/>
            </w:tcBorders>
            <w:shd w:val="clear" w:color="auto" w:fill="auto"/>
            <w:vAlign w:val="center"/>
            <w:hideMark/>
          </w:tcPr>
          <w:p w14:paraId="396AD78D"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Somatostatin receptor type 5</w:t>
            </w:r>
          </w:p>
        </w:tc>
        <w:tc>
          <w:tcPr>
            <w:tcW w:w="3331" w:type="dxa"/>
            <w:tcBorders>
              <w:top w:val="nil"/>
              <w:left w:val="nil"/>
              <w:bottom w:val="nil"/>
              <w:right w:val="nil"/>
            </w:tcBorders>
            <w:shd w:val="clear" w:color="auto" w:fill="auto"/>
            <w:vAlign w:val="center"/>
          </w:tcPr>
          <w:p w14:paraId="52DC0700"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Signaling protein/hormone</w:t>
            </w:r>
          </w:p>
        </w:tc>
        <w:tc>
          <w:tcPr>
            <w:tcW w:w="1558" w:type="dxa"/>
            <w:tcBorders>
              <w:top w:val="nil"/>
              <w:left w:val="nil"/>
              <w:bottom w:val="nil"/>
              <w:right w:val="nil"/>
            </w:tcBorders>
            <w:shd w:val="clear" w:color="auto" w:fill="auto"/>
            <w:vAlign w:val="center"/>
            <w:hideMark/>
          </w:tcPr>
          <w:p w14:paraId="5E056F7A"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0.87345679</w:t>
            </w:r>
          </w:p>
        </w:tc>
        <w:tc>
          <w:tcPr>
            <w:tcW w:w="1116" w:type="dxa"/>
            <w:tcBorders>
              <w:top w:val="nil"/>
              <w:left w:val="nil"/>
              <w:bottom w:val="nil"/>
              <w:right w:val="nil"/>
            </w:tcBorders>
            <w:shd w:val="clear" w:color="auto" w:fill="auto"/>
            <w:vAlign w:val="center"/>
            <w:hideMark/>
          </w:tcPr>
          <w:p w14:paraId="11928B6B"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84.6907</w:t>
            </w:r>
          </w:p>
        </w:tc>
      </w:tr>
      <w:tr w:rsidR="00E60BFA" w:rsidRPr="00CE7FB1" w14:paraId="37CB0EEE" w14:textId="77777777" w:rsidTr="003E75CC">
        <w:trPr>
          <w:trHeight w:val="320"/>
          <w:jc w:val="center"/>
        </w:trPr>
        <w:tc>
          <w:tcPr>
            <w:tcW w:w="1455" w:type="dxa"/>
            <w:tcBorders>
              <w:top w:val="nil"/>
              <w:left w:val="nil"/>
              <w:bottom w:val="nil"/>
              <w:right w:val="nil"/>
            </w:tcBorders>
            <w:shd w:val="clear" w:color="auto" w:fill="auto"/>
            <w:vAlign w:val="center"/>
            <w:hideMark/>
          </w:tcPr>
          <w:p w14:paraId="6899A897"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CRHR1</w:t>
            </w:r>
          </w:p>
        </w:tc>
        <w:tc>
          <w:tcPr>
            <w:tcW w:w="3223" w:type="dxa"/>
            <w:tcBorders>
              <w:top w:val="nil"/>
              <w:left w:val="nil"/>
              <w:bottom w:val="nil"/>
              <w:right w:val="nil"/>
            </w:tcBorders>
            <w:shd w:val="clear" w:color="auto" w:fill="auto"/>
            <w:vAlign w:val="center"/>
            <w:hideMark/>
          </w:tcPr>
          <w:p w14:paraId="69E5999F"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Corticotropin-releasing factor receptor 1</w:t>
            </w:r>
          </w:p>
        </w:tc>
        <w:tc>
          <w:tcPr>
            <w:tcW w:w="3402" w:type="dxa"/>
            <w:gridSpan w:val="2"/>
            <w:tcBorders>
              <w:top w:val="nil"/>
              <w:left w:val="nil"/>
              <w:bottom w:val="nil"/>
              <w:right w:val="nil"/>
            </w:tcBorders>
            <w:shd w:val="clear" w:color="auto" w:fill="auto"/>
            <w:vAlign w:val="center"/>
            <w:hideMark/>
          </w:tcPr>
          <w:p w14:paraId="284350C4"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Hormone/Hormone receptor</w:t>
            </w:r>
          </w:p>
        </w:tc>
        <w:tc>
          <w:tcPr>
            <w:tcW w:w="1558" w:type="dxa"/>
            <w:tcBorders>
              <w:top w:val="nil"/>
              <w:left w:val="nil"/>
              <w:right w:val="nil"/>
            </w:tcBorders>
            <w:shd w:val="clear" w:color="auto" w:fill="auto"/>
            <w:vAlign w:val="center"/>
            <w:hideMark/>
          </w:tcPr>
          <w:p w14:paraId="397E272D"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0.744966443</w:t>
            </w:r>
          </w:p>
        </w:tc>
        <w:tc>
          <w:tcPr>
            <w:tcW w:w="1116" w:type="dxa"/>
            <w:tcBorders>
              <w:top w:val="nil"/>
              <w:left w:val="nil"/>
              <w:right w:val="nil"/>
            </w:tcBorders>
            <w:shd w:val="clear" w:color="auto" w:fill="auto"/>
            <w:vAlign w:val="center"/>
            <w:hideMark/>
          </w:tcPr>
          <w:p w14:paraId="37B1B720"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84.29421</w:t>
            </w:r>
          </w:p>
        </w:tc>
      </w:tr>
      <w:tr w:rsidR="00E60BFA" w:rsidRPr="00CE7FB1" w14:paraId="59E81F98" w14:textId="77777777" w:rsidTr="003E75CC">
        <w:trPr>
          <w:trHeight w:val="480"/>
          <w:jc w:val="center"/>
        </w:trPr>
        <w:tc>
          <w:tcPr>
            <w:tcW w:w="1455" w:type="dxa"/>
            <w:tcBorders>
              <w:top w:val="nil"/>
              <w:left w:val="nil"/>
              <w:bottom w:val="single" w:sz="8" w:space="0" w:color="000000"/>
              <w:right w:val="nil"/>
            </w:tcBorders>
            <w:shd w:val="clear" w:color="auto" w:fill="auto"/>
            <w:vAlign w:val="center"/>
            <w:hideMark/>
          </w:tcPr>
          <w:p w14:paraId="0408A52B" w14:textId="77777777" w:rsidR="00E60BFA" w:rsidRPr="00CE7FB1" w:rsidRDefault="00E60BFA" w:rsidP="003E75CC">
            <w:pPr>
              <w:widowControl/>
              <w:spacing w:line="276"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KLK3</w:t>
            </w:r>
          </w:p>
        </w:tc>
        <w:tc>
          <w:tcPr>
            <w:tcW w:w="3223" w:type="dxa"/>
            <w:tcBorders>
              <w:top w:val="nil"/>
              <w:left w:val="nil"/>
              <w:bottom w:val="single" w:sz="8" w:space="0" w:color="000000"/>
              <w:right w:val="nil"/>
            </w:tcBorders>
            <w:shd w:val="clear" w:color="auto" w:fill="auto"/>
            <w:vAlign w:val="center"/>
            <w:hideMark/>
          </w:tcPr>
          <w:p w14:paraId="5AB51AE4"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Prostate-specific antigen</w:t>
            </w:r>
          </w:p>
        </w:tc>
        <w:tc>
          <w:tcPr>
            <w:tcW w:w="3402" w:type="dxa"/>
            <w:gridSpan w:val="2"/>
            <w:tcBorders>
              <w:top w:val="nil"/>
              <w:left w:val="nil"/>
              <w:bottom w:val="single" w:sz="8" w:space="0" w:color="000000"/>
              <w:right w:val="nil"/>
            </w:tcBorders>
            <w:shd w:val="clear" w:color="auto" w:fill="auto"/>
            <w:vAlign w:val="center"/>
            <w:hideMark/>
          </w:tcPr>
          <w:p w14:paraId="70D58679"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Immune system</w:t>
            </w:r>
          </w:p>
        </w:tc>
        <w:tc>
          <w:tcPr>
            <w:tcW w:w="1558" w:type="dxa"/>
            <w:tcBorders>
              <w:top w:val="nil"/>
              <w:left w:val="nil"/>
              <w:bottom w:val="single" w:sz="6" w:space="0" w:color="auto"/>
              <w:right w:val="nil"/>
            </w:tcBorders>
            <w:shd w:val="clear" w:color="auto" w:fill="auto"/>
            <w:vAlign w:val="center"/>
            <w:hideMark/>
          </w:tcPr>
          <w:p w14:paraId="4A94D481"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0.818181818</w:t>
            </w:r>
          </w:p>
        </w:tc>
        <w:tc>
          <w:tcPr>
            <w:tcW w:w="1116" w:type="dxa"/>
            <w:tcBorders>
              <w:top w:val="nil"/>
              <w:left w:val="nil"/>
              <w:bottom w:val="single" w:sz="6" w:space="0" w:color="auto"/>
              <w:right w:val="nil"/>
            </w:tcBorders>
            <w:shd w:val="clear" w:color="auto" w:fill="auto"/>
            <w:vAlign w:val="center"/>
            <w:hideMark/>
          </w:tcPr>
          <w:p w14:paraId="4AA93F24" w14:textId="77777777" w:rsidR="00E60BFA" w:rsidRPr="00CE7FB1" w:rsidRDefault="00E60BFA"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81.67658</w:t>
            </w:r>
          </w:p>
        </w:tc>
      </w:tr>
    </w:tbl>
    <w:p w14:paraId="3910EA0E" w14:textId="77777777" w:rsidR="00E60BFA" w:rsidRPr="00CE7FB1" w:rsidRDefault="00E60BFA" w:rsidP="002330B5">
      <w:pPr>
        <w:widowControl/>
        <w:spacing w:line="276" w:lineRule="auto"/>
        <w:jc w:val="center"/>
        <w:rPr>
          <w:rFonts w:ascii="Times New Roman" w:hAnsi="Times New Roman"/>
          <w:b/>
          <w:bCs/>
          <w:color w:val="000000"/>
          <w:kern w:val="0"/>
          <w:sz w:val="24"/>
          <w:szCs w:val="24"/>
        </w:rPr>
      </w:pPr>
    </w:p>
    <w:p w14:paraId="58EFDAC6" w14:textId="77777777" w:rsidR="00E60BFA" w:rsidRPr="00CE7FB1" w:rsidRDefault="00E60BFA" w:rsidP="00E60BFA">
      <w:pPr>
        <w:ind w:firstLineChars="700" w:firstLine="1680"/>
        <w:jc w:val="left"/>
        <w:rPr>
          <w:rFonts w:ascii="Times New Roman" w:eastAsia="宋体" w:hAnsi="Times New Roman"/>
          <w:sz w:val="24"/>
          <w:szCs w:val="24"/>
        </w:rPr>
      </w:pPr>
      <w:r w:rsidRPr="00CE7FB1">
        <w:rPr>
          <w:rFonts w:ascii="Times New Roman" w:hAnsi="Times New Roman"/>
          <w:sz w:val="24"/>
          <w:szCs w:val="24"/>
        </w:rPr>
        <w:t>Note: CD, Cushing’s disease; NA,</w:t>
      </w:r>
      <w:r w:rsidRPr="00CE7FB1">
        <w:rPr>
          <w:rFonts w:ascii="Times New Roman" w:hAnsi="Times New Roman" w:hint="eastAsia"/>
          <w:sz w:val="24"/>
          <w:szCs w:val="24"/>
        </w:rPr>
        <w:t xml:space="preserve"> Not </w:t>
      </w:r>
      <w:r w:rsidRPr="00CE7FB1">
        <w:rPr>
          <w:rFonts w:ascii="Times New Roman" w:hAnsi="Times New Roman"/>
          <w:sz w:val="24"/>
          <w:szCs w:val="24"/>
        </w:rPr>
        <w:t>available.</w:t>
      </w:r>
    </w:p>
    <w:p w14:paraId="04A8C6E8" w14:textId="77777777" w:rsidR="00E60BFA" w:rsidRPr="00CE7FB1" w:rsidRDefault="00E60BFA" w:rsidP="002330B5">
      <w:pPr>
        <w:widowControl/>
        <w:spacing w:line="276" w:lineRule="auto"/>
        <w:jc w:val="center"/>
        <w:rPr>
          <w:rFonts w:ascii="Times New Roman" w:hAnsi="Times New Roman"/>
          <w:b/>
          <w:bCs/>
          <w:color w:val="000000"/>
          <w:kern w:val="0"/>
          <w:sz w:val="24"/>
          <w:szCs w:val="24"/>
        </w:rPr>
      </w:pPr>
    </w:p>
    <w:p w14:paraId="59E3781D" w14:textId="77777777" w:rsidR="002330B5" w:rsidRPr="00CE7FB1" w:rsidRDefault="002330B5">
      <w:pPr>
        <w:widowControl/>
        <w:jc w:val="left"/>
        <w:rPr>
          <w:rFonts w:ascii="Times New Roman" w:hAnsi="Times New Roman"/>
          <w:b/>
          <w:bCs/>
          <w:color w:val="000000"/>
          <w:kern w:val="0"/>
          <w:sz w:val="24"/>
          <w:szCs w:val="24"/>
        </w:rPr>
        <w:sectPr w:rsidR="002330B5" w:rsidRPr="00CE7FB1" w:rsidSect="002330B5">
          <w:pgSz w:w="16838" w:h="11906" w:orient="landscape"/>
          <w:pgMar w:top="1800" w:right="1440" w:bottom="1800" w:left="1440" w:header="851" w:footer="992" w:gutter="0"/>
          <w:cols w:space="425"/>
          <w:docGrid w:type="lines" w:linePitch="312"/>
        </w:sectPr>
      </w:pPr>
    </w:p>
    <w:p w14:paraId="0683D578" w14:textId="77777777" w:rsidR="002330B5" w:rsidRPr="00CE7FB1" w:rsidRDefault="002330B5">
      <w:pPr>
        <w:widowControl/>
        <w:jc w:val="left"/>
        <w:rPr>
          <w:rFonts w:ascii="Times New Roman" w:hAnsi="Times New Roman"/>
          <w:b/>
          <w:bCs/>
          <w:color w:val="000000"/>
          <w:kern w:val="0"/>
          <w:sz w:val="24"/>
          <w:szCs w:val="24"/>
        </w:rPr>
      </w:pPr>
    </w:p>
    <w:p w14:paraId="0AA10369" w14:textId="77777777" w:rsidR="00752BA8" w:rsidRPr="00CE7FB1" w:rsidRDefault="00752BA8" w:rsidP="002330B5">
      <w:pPr>
        <w:widowControl/>
        <w:spacing w:line="276" w:lineRule="auto"/>
        <w:jc w:val="center"/>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T</w:t>
      </w:r>
      <w:r w:rsidRPr="00CE7FB1">
        <w:rPr>
          <w:rFonts w:ascii="Times New Roman" w:hAnsi="Times New Roman"/>
          <w:b/>
          <w:bCs/>
          <w:color w:val="000000"/>
          <w:kern w:val="0"/>
          <w:sz w:val="24"/>
          <w:szCs w:val="24"/>
        </w:rPr>
        <w:t>able S5. KEGG enrichment analysis of interested genes.</w:t>
      </w:r>
    </w:p>
    <w:tbl>
      <w:tblPr>
        <w:tblW w:w="7651" w:type="dxa"/>
        <w:jc w:val="center"/>
        <w:tblLayout w:type="fixed"/>
        <w:tblLook w:val="04A0" w:firstRow="1" w:lastRow="0" w:firstColumn="1" w:lastColumn="0" w:noHBand="0" w:noVBand="1"/>
      </w:tblPr>
      <w:tblGrid>
        <w:gridCol w:w="3540"/>
        <w:gridCol w:w="992"/>
        <w:gridCol w:w="1701"/>
        <w:gridCol w:w="1418"/>
      </w:tblGrid>
      <w:tr w:rsidR="002330B5" w:rsidRPr="00CE7FB1" w14:paraId="2EFEE27B" w14:textId="77777777" w:rsidTr="002330B5">
        <w:trPr>
          <w:trHeight w:val="340"/>
          <w:jc w:val="center"/>
        </w:trPr>
        <w:tc>
          <w:tcPr>
            <w:tcW w:w="3540" w:type="dxa"/>
            <w:tcBorders>
              <w:top w:val="single" w:sz="8" w:space="0" w:color="auto"/>
              <w:left w:val="nil"/>
              <w:bottom w:val="single" w:sz="8" w:space="0" w:color="auto"/>
              <w:right w:val="nil"/>
            </w:tcBorders>
            <w:shd w:val="clear" w:color="auto" w:fill="auto"/>
            <w:noWrap/>
            <w:vAlign w:val="center"/>
            <w:hideMark/>
          </w:tcPr>
          <w:p w14:paraId="5E0C8A11"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Term</w:t>
            </w:r>
          </w:p>
        </w:tc>
        <w:tc>
          <w:tcPr>
            <w:tcW w:w="992" w:type="dxa"/>
            <w:tcBorders>
              <w:top w:val="single" w:sz="8" w:space="0" w:color="auto"/>
              <w:left w:val="nil"/>
              <w:bottom w:val="single" w:sz="8" w:space="0" w:color="auto"/>
              <w:right w:val="nil"/>
            </w:tcBorders>
            <w:shd w:val="clear" w:color="auto" w:fill="auto"/>
            <w:noWrap/>
            <w:vAlign w:val="center"/>
            <w:hideMark/>
          </w:tcPr>
          <w:p w14:paraId="22198D7D"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Count</w:t>
            </w:r>
            <w:r w:rsidRPr="00CE7FB1">
              <w:rPr>
                <w:rFonts w:ascii="Times New Roman" w:hAnsi="Times New Roman"/>
                <w:color w:val="000000"/>
                <w:kern w:val="0"/>
                <w:sz w:val="24"/>
                <w:szCs w:val="24"/>
              </w:rPr>
              <w:t xml:space="preserve"> in gene set</w:t>
            </w:r>
          </w:p>
        </w:tc>
        <w:tc>
          <w:tcPr>
            <w:tcW w:w="1701" w:type="dxa"/>
            <w:tcBorders>
              <w:top w:val="single" w:sz="8" w:space="0" w:color="auto"/>
              <w:left w:val="nil"/>
              <w:bottom w:val="single" w:sz="8" w:space="0" w:color="auto"/>
              <w:right w:val="nil"/>
            </w:tcBorders>
            <w:shd w:val="clear" w:color="auto" w:fill="auto"/>
            <w:noWrap/>
            <w:vAlign w:val="center"/>
            <w:hideMark/>
          </w:tcPr>
          <w:p w14:paraId="4955A9AF" w14:textId="77777777" w:rsidR="002330B5" w:rsidRPr="00CE7FB1" w:rsidRDefault="002330B5" w:rsidP="003E75CC">
            <w:pPr>
              <w:widowControl/>
              <w:spacing w:line="276" w:lineRule="auto"/>
              <w:jc w:val="center"/>
              <w:rPr>
                <w:rFonts w:ascii="Times New Roman" w:hAnsi="Times New Roman"/>
                <w:color w:val="000000"/>
                <w:kern w:val="0"/>
                <w:sz w:val="24"/>
                <w:szCs w:val="24"/>
              </w:rPr>
            </w:pPr>
            <w:proofErr w:type="spellStart"/>
            <w:r w:rsidRPr="00CE7FB1">
              <w:rPr>
                <w:rFonts w:ascii="Times New Roman" w:hAnsi="Times New Roman" w:hint="eastAsia"/>
                <w:color w:val="000000"/>
                <w:kern w:val="0"/>
                <w:sz w:val="24"/>
                <w:szCs w:val="24"/>
              </w:rPr>
              <w:t>PValue</w:t>
            </w:r>
            <w:proofErr w:type="spellEnd"/>
          </w:p>
        </w:tc>
        <w:tc>
          <w:tcPr>
            <w:tcW w:w="1418" w:type="dxa"/>
            <w:tcBorders>
              <w:top w:val="single" w:sz="8" w:space="0" w:color="auto"/>
              <w:left w:val="nil"/>
              <w:bottom w:val="single" w:sz="8" w:space="0" w:color="auto"/>
              <w:right w:val="nil"/>
            </w:tcBorders>
            <w:shd w:val="clear" w:color="auto" w:fill="auto"/>
            <w:noWrap/>
            <w:vAlign w:val="center"/>
            <w:hideMark/>
          </w:tcPr>
          <w:p w14:paraId="765B7E08"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FDR</w:t>
            </w:r>
          </w:p>
        </w:tc>
      </w:tr>
      <w:tr w:rsidR="002330B5" w:rsidRPr="00CE7FB1" w14:paraId="2CD185D9" w14:textId="77777777" w:rsidTr="002330B5">
        <w:trPr>
          <w:trHeight w:val="320"/>
          <w:jc w:val="center"/>
        </w:trPr>
        <w:tc>
          <w:tcPr>
            <w:tcW w:w="3540" w:type="dxa"/>
            <w:tcBorders>
              <w:top w:val="nil"/>
              <w:left w:val="nil"/>
              <w:bottom w:val="nil"/>
              <w:right w:val="nil"/>
            </w:tcBorders>
            <w:shd w:val="clear" w:color="auto" w:fill="auto"/>
            <w:noWrap/>
            <w:vAlign w:val="center"/>
            <w:hideMark/>
          </w:tcPr>
          <w:p w14:paraId="03435FFB" w14:textId="77777777" w:rsidR="002330B5" w:rsidRPr="00CE7FB1" w:rsidRDefault="002330B5" w:rsidP="002330B5">
            <w:pPr>
              <w:widowControl/>
              <w:spacing w:line="276" w:lineRule="auto"/>
              <w:ind w:rightChars="-183" w:right="-384"/>
              <w:jc w:val="left"/>
              <w:rPr>
                <w:rFonts w:ascii="Times New Roman" w:hAnsi="Times New Roman"/>
                <w:color w:val="000000"/>
                <w:kern w:val="0"/>
                <w:sz w:val="24"/>
                <w:szCs w:val="24"/>
              </w:rPr>
            </w:pPr>
            <w:r w:rsidRPr="00CE7FB1">
              <w:rPr>
                <w:rFonts w:ascii="Times New Roman" w:hAnsi="Times New Roman" w:hint="eastAsia"/>
                <w:color w:val="000000"/>
                <w:kern w:val="0"/>
                <w:sz w:val="24"/>
                <w:szCs w:val="24"/>
              </w:rPr>
              <w:t>hsa04919:</w:t>
            </w:r>
            <w:r w:rsidRPr="00CE7FB1">
              <w:rPr>
                <w:rFonts w:ascii="Times New Roman" w:hAnsi="Times New Roman"/>
                <w:color w:val="000000"/>
                <w:kern w:val="0"/>
                <w:sz w:val="24"/>
                <w:szCs w:val="24"/>
              </w:rPr>
              <w:t xml:space="preserve"> </w:t>
            </w:r>
            <w:r w:rsidRPr="00CE7FB1">
              <w:rPr>
                <w:rFonts w:ascii="Times New Roman" w:hAnsi="Times New Roman" w:hint="eastAsia"/>
                <w:color w:val="000000"/>
                <w:kern w:val="0"/>
                <w:sz w:val="24"/>
                <w:szCs w:val="24"/>
              </w:rPr>
              <w:t>Thyroid hormone signaling pathway</w:t>
            </w:r>
          </w:p>
        </w:tc>
        <w:tc>
          <w:tcPr>
            <w:tcW w:w="992" w:type="dxa"/>
            <w:tcBorders>
              <w:top w:val="nil"/>
              <w:left w:val="nil"/>
              <w:bottom w:val="nil"/>
              <w:right w:val="nil"/>
            </w:tcBorders>
            <w:shd w:val="clear" w:color="auto" w:fill="auto"/>
            <w:noWrap/>
            <w:vAlign w:val="center"/>
            <w:hideMark/>
          </w:tcPr>
          <w:p w14:paraId="4AC5C4C0"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13</w:t>
            </w:r>
          </w:p>
        </w:tc>
        <w:tc>
          <w:tcPr>
            <w:tcW w:w="1701" w:type="dxa"/>
            <w:tcBorders>
              <w:top w:val="nil"/>
              <w:left w:val="nil"/>
              <w:bottom w:val="nil"/>
              <w:right w:val="nil"/>
            </w:tcBorders>
            <w:shd w:val="clear" w:color="auto" w:fill="auto"/>
            <w:noWrap/>
            <w:vAlign w:val="center"/>
            <w:hideMark/>
          </w:tcPr>
          <w:p w14:paraId="2019C5CF"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9.82E-14</w:t>
            </w:r>
          </w:p>
        </w:tc>
        <w:tc>
          <w:tcPr>
            <w:tcW w:w="1418" w:type="dxa"/>
            <w:tcBorders>
              <w:top w:val="nil"/>
              <w:left w:val="nil"/>
              <w:bottom w:val="nil"/>
              <w:right w:val="nil"/>
            </w:tcBorders>
            <w:shd w:val="clear" w:color="auto" w:fill="auto"/>
            <w:noWrap/>
            <w:vAlign w:val="center"/>
            <w:hideMark/>
          </w:tcPr>
          <w:p w14:paraId="17C64854"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1.10E-10</w:t>
            </w:r>
          </w:p>
        </w:tc>
      </w:tr>
      <w:tr w:rsidR="002330B5" w:rsidRPr="00CE7FB1" w14:paraId="72051B23" w14:textId="77777777" w:rsidTr="002330B5">
        <w:trPr>
          <w:trHeight w:val="320"/>
          <w:jc w:val="center"/>
        </w:trPr>
        <w:tc>
          <w:tcPr>
            <w:tcW w:w="3540" w:type="dxa"/>
            <w:tcBorders>
              <w:top w:val="nil"/>
              <w:left w:val="nil"/>
              <w:bottom w:val="nil"/>
              <w:right w:val="nil"/>
            </w:tcBorders>
            <w:shd w:val="clear" w:color="auto" w:fill="auto"/>
            <w:noWrap/>
            <w:vAlign w:val="center"/>
            <w:hideMark/>
          </w:tcPr>
          <w:p w14:paraId="7D08ACAC" w14:textId="77777777" w:rsidR="002330B5" w:rsidRPr="00CE7FB1" w:rsidRDefault="002330B5" w:rsidP="003E75CC">
            <w:pPr>
              <w:widowControl/>
              <w:spacing w:line="276" w:lineRule="auto"/>
              <w:jc w:val="left"/>
              <w:rPr>
                <w:rFonts w:ascii="Times New Roman" w:hAnsi="Times New Roman"/>
                <w:color w:val="000000"/>
                <w:kern w:val="0"/>
                <w:sz w:val="24"/>
                <w:szCs w:val="24"/>
              </w:rPr>
            </w:pPr>
            <w:r w:rsidRPr="00CE7FB1">
              <w:rPr>
                <w:rFonts w:ascii="Times New Roman" w:hAnsi="Times New Roman" w:hint="eastAsia"/>
                <w:color w:val="000000"/>
                <w:kern w:val="0"/>
                <w:sz w:val="24"/>
                <w:szCs w:val="24"/>
              </w:rPr>
              <w:t>hsa05200:</w:t>
            </w:r>
            <w:r w:rsidRPr="00CE7FB1">
              <w:rPr>
                <w:rFonts w:ascii="Times New Roman" w:hAnsi="Times New Roman"/>
                <w:color w:val="000000"/>
                <w:kern w:val="0"/>
                <w:sz w:val="24"/>
                <w:szCs w:val="24"/>
              </w:rPr>
              <w:t xml:space="preserve"> </w:t>
            </w:r>
            <w:r w:rsidRPr="00CE7FB1">
              <w:rPr>
                <w:rFonts w:ascii="Times New Roman" w:hAnsi="Times New Roman" w:hint="eastAsia"/>
                <w:color w:val="000000"/>
                <w:kern w:val="0"/>
                <w:sz w:val="24"/>
                <w:szCs w:val="24"/>
              </w:rPr>
              <w:t>Pathways in cancer</w:t>
            </w:r>
          </w:p>
        </w:tc>
        <w:tc>
          <w:tcPr>
            <w:tcW w:w="992" w:type="dxa"/>
            <w:tcBorders>
              <w:top w:val="nil"/>
              <w:left w:val="nil"/>
              <w:bottom w:val="nil"/>
              <w:right w:val="nil"/>
            </w:tcBorders>
            <w:shd w:val="clear" w:color="auto" w:fill="auto"/>
            <w:noWrap/>
            <w:vAlign w:val="center"/>
            <w:hideMark/>
          </w:tcPr>
          <w:p w14:paraId="50D53054"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16</w:t>
            </w:r>
          </w:p>
        </w:tc>
        <w:tc>
          <w:tcPr>
            <w:tcW w:w="1701" w:type="dxa"/>
            <w:tcBorders>
              <w:top w:val="nil"/>
              <w:left w:val="nil"/>
              <w:bottom w:val="nil"/>
              <w:right w:val="nil"/>
            </w:tcBorders>
            <w:shd w:val="clear" w:color="auto" w:fill="auto"/>
            <w:noWrap/>
            <w:vAlign w:val="center"/>
            <w:hideMark/>
          </w:tcPr>
          <w:p w14:paraId="1DABEB72"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1.26E-10</w:t>
            </w:r>
          </w:p>
        </w:tc>
        <w:tc>
          <w:tcPr>
            <w:tcW w:w="1418" w:type="dxa"/>
            <w:tcBorders>
              <w:top w:val="nil"/>
              <w:left w:val="nil"/>
              <w:bottom w:val="nil"/>
              <w:right w:val="nil"/>
            </w:tcBorders>
            <w:shd w:val="clear" w:color="auto" w:fill="auto"/>
            <w:noWrap/>
            <w:vAlign w:val="center"/>
            <w:hideMark/>
          </w:tcPr>
          <w:p w14:paraId="67744197"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1.41E-07</w:t>
            </w:r>
          </w:p>
        </w:tc>
      </w:tr>
      <w:tr w:rsidR="002330B5" w:rsidRPr="00CE7FB1" w14:paraId="78D5A27D" w14:textId="77777777" w:rsidTr="002330B5">
        <w:trPr>
          <w:trHeight w:val="320"/>
          <w:jc w:val="center"/>
        </w:trPr>
        <w:tc>
          <w:tcPr>
            <w:tcW w:w="3540" w:type="dxa"/>
            <w:tcBorders>
              <w:top w:val="nil"/>
              <w:left w:val="nil"/>
              <w:bottom w:val="nil"/>
              <w:right w:val="nil"/>
            </w:tcBorders>
            <w:shd w:val="clear" w:color="auto" w:fill="auto"/>
            <w:noWrap/>
            <w:vAlign w:val="center"/>
            <w:hideMark/>
          </w:tcPr>
          <w:p w14:paraId="48EF1363" w14:textId="77777777" w:rsidR="002330B5" w:rsidRPr="00CE7FB1" w:rsidRDefault="002330B5" w:rsidP="003E75CC">
            <w:pPr>
              <w:widowControl/>
              <w:spacing w:line="276" w:lineRule="auto"/>
              <w:jc w:val="left"/>
              <w:rPr>
                <w:rFonts w:ascii="Times New Roman" w:hAnsi="Times New Roman"/>
                <w:color w:val="000000"/>
                <w:kern w:val="0"/>
                <w:sz w:val="24"/>
                <w:szCs w:val="24"/>
              </w:rPr>
            </w:pPr>
            <w:r w:rsidRPr="00CE7FB1">
              <w:rPr>
                <w:rFonts w:ascii="Times New Roman" w:hAnsi="Times New Roman" w:hint="eastAsia"/>
                <w:color w:val="000000"/>
                <w:kern w:val="0"/>
                <w:sz w:val="24"/>
                <w:szCs w:val="24"/>
              </w:rPr>
              <w:t>hsa05223:</w:t>
            </w:r>
            <w:r w:rsidRPr="00CE7FB1">
              <w:rPr>
                <w:rFonts w:ascii="Times New Roman" w:hAnsi="Times New Roman"/>
                <w:color w:val="000000"/>
                <w:kern w:val="0"/>
                <w:sz w:val="24"/>
                <w:szCs w:val="24"/>
              </w:rPr>
              <w:t xml:space="preserve"> </w:t>
            </w:r>
            <w:r w:rsidRPr="00CE7FB1">
              <w:rPr>
                <w:rFonts w:ascii="Times New Roman" w:hAnsi="Times New Roman" w:hint="eastAsia"/>
                <w:color w:val="000000"/>
                <w:kern w:val="0"/>
                <w:sz w:val="24"/>
                <w:szCs w:val="24"/>
              </w:rPr>
              <w:t>Non-small cell lung cancer</w:t>
            </w:r>
          </w:p>
        </w:tc>
        <w:tc>
          <w:tcPr>
            <w:tcW w:w="992" w:type="dxa"/>
            <w:tcBorders>
              <w:top w:val="nil"/>
              <w:left w:val="nil"/>
              <w:bottom w:val="nil"/>
              <w:right w:val="nil"/>
            </w:tcBorders>
            <w:shd w:val="clear" w:color="auto" w:fill="auto"/>
            <w:noWrap/>
            <w:vAlign w:val="center"/>
            <w:hideMark/>
          </w:tcPr>
          <w:p w14:paraId="16C7989B"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9</w:t>
            </w:r>
          </w:p>
        </w:tc>
        <w:tc>
          <w:tcPr>
            <w:tcW w:w="1701" w:type="dxa"/>
            <w:tcBorders>
              <w:top w:val="nil"/>
              <w:left w:val="nil"/>
              <w:bottom w:val="nil"/>
              <w:right w:val="nil"/>
            </w:tcBorders>
            <w:shd w:val="clear" w:color="auto" w:fill="auto"/>
            <w:noWrap/>
            <w:vAlign w:val="center"/>
            <w:hideMark/>
          </w:tcPr>
          <w:p w14:paraId="02362B68"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2.08E-10</w:t>
            </w:r>
          </w:p>
        </w:tc>
        <w:tc>
          <w:tcPr>
            <w:tcW w:w="1418" w:type="dxa"/>
            <w:tcBorders>
              <w:top w:val="nil"/>
              <w:left w:val="nil"/>
              <w:bottom w:val="nil"/>
              <w:right w:val="nil"/>
            </w:tcBorders>
            <w:shd w:val="clear" w:color="auto" w:fill="auto"/>
            <w:noWrap/>
            <w:vAlign w:val="center"/>
            <w:hideMark/>
          </w:tcPr>
          <w:p w14:paraId="732BF7FD"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2.32E-07</w:t>
            </w:r>
          </w:p>
        </w:tc>
      </w:tr>
      <w:tr w:rsidR="002330B5" w:rsidRPr="00CE7FB1" w14:paraId="4DF164FB" w14:textId="77777777" w:rsidTr="002330B5">
        <w:trPr>
          <w:trHeight w:val="320"/>
          <w:jc w:val="center"/>
        </w:trPr>
        <w:tc>
          <w:tcPr>
            <w:tcW w:w="3540" w:type="dxa"/>
            <w:tcBorders>
              <w:top w:val="nil"/>
              <w:left w:val="nil"/>
              <w:bottom w:val="nil"/>
              <w:right w:val="nil"/>
            </w:tcBorders>
            <w:shd w:val="clear" w:color="auto" w:fill="auto"/>
            <w:noWrap/>
            <w:vAlign w:val="center"/>
            <w:hideMark/>
          </w:tcPr>
          <w:p w14:paraId="36C796D0" w14:textId="77777777" w:rsidR="002330B5" w:rsidRPr="00CE7FB1" w:rsidRDefault="002330B5" w:rsidP="003E75CC">
            <w:pPr>
              <w:widowControl/>
              <w:spacing w:line="276" w:lineRule="auto"/>
              <w:jc w:val="left"/>
              <w:rPr>
                <w:rFonts w:ascii="Times New Roman" w:hAnsi="Times New Roman"/>
                <w:color w:val="000000"/>
                <w:kern w:val="0"/>
                <w:sz w:val="24"/>
                <w:szCs w:val="24"/>
              </w:rPr>
            </w:pPr>
            <w:r w:rsidRPr="00CE7FB1">
              <w:rPr>
                <w:rFonts w:ascii="Times New Roman" w:hAnsi="Times New Roman" w:hint="eastAsia"/>
                <w:color w:val="000000"/>
                <w:kern w:val="0"/>
                <w:sz w:val="24"/>
                <w:szCs w:val="24"/>
              </w:rPr>
              <w:t>hsa05215:</w:t>
            </w:r>
            <w:r w:rsidRPr="00CE7FB1">
              <w:rPr>
                <w:rFonts w:ascii="Times New Roman" w:hAnsi="Times New Roman"/>
                <w:color w:val="000000"/>
                <w:kern w:val="0"/>
                <w:sz w:val="24"/>
                <w:szCs w:val="24"/>
              </w:rPr>
              <w:t xml:space="preserve"> </w:t>
            </w:r>
            <w:r w:rsidRPr="00CE7FB1">
              <w:rPr>
                <w:rFonts w:ascii="Times New Roman" w:hAnsi="Times New Roman" w:hint="eastAsia"/>
                <w:color w:val="000000"/>
                <w:kern w:val="0"/>
                <w:sz w:val="24"/>
                <w:szCs w:val="24"/>
              </w:rPr>
              <w:t>Prostate cancer</w:t>
            </w:r>
          </w:p>
        </w:tc>
        <w:tc>
          <w:tcPr>
            <w:tcW w:w="992" w:type="dxa"/>
            <w:tcBorders>
              <w:top w:val="nil"/>
              <w:left w:val="nil"/>
              <w:bottom w:val="nil"/>
              <w:right w:val="nil"/>
            </w:tcBorders>
            <w:shd w:val="clear" w:color="auto" w:fill="auto"/>
            <w:noWrap/>
            <w:vAlign w:val="center"/>
            <w:hideMark/>
          </w:tcPr>
          <w:p w14:paraId="21F177B7"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9</w:t>
            </w:r>
          </w:p>
        </w:tc>
        <w:tc>
          <w:tcPr>
            <w:tcW w:w="1701" w:type="dxa"/>
            <w:tcBorders>
              <w:top w:val="nil"/>
              <w:left w:val="nil"/>
              <w:bottom w:val="nil"/>
              <w:right w:val="nil"/>
            </w:tcBorders>
            <w:shd w:val="clear" w:color="auto" w:fill="auto"/>
            <w:noWrap/>
            <w:vAlign w:val="center"/>
            <w:hideMark/>
          </w:tcPr>
          <w:p w14:paraId="478A6C44"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7.67E-09</w:t>
            </w:r>
          </w:p>
        </w:tc>
        <w:tc>
          <w:tcPr>
            <w:tcW w:w="1418" w:type="dxa"/>
            <w:tcBorders>
              <w:top w:val="nil"/>
              <w:left w:val="nil"/>
              <w:bottom w:val="nil"/>
              <w:right w:val="nil"/>
            </w:tcBorders>
            <w:shd w:val="clear" w:color="auto" w:fill="auto"/>
            <w:noWrap/>
            <w:vAlign w:val="center"/>
            <w:hideMark/>
          </w:tcPr>
          <w:p w14:paraId="24683CCE"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8.58E-06</w:t>
            </w:r>
          </w:p>
        </w:tc>
      </w:tr>
      <w:tr w:rsidR="002330B5" w:rsidRPr="00CE7FB1" w14:paraId="5D03279C" w14:textId="77777777" w:rsidTr="002330B5">
        <w:trPr>
          <w:trHeight w:val="320"/>
          <w:jc w:val="center"/>
        </w:trPr>
        <w:tc>
          <w:tcPr>
            <w:tcW w:w="3540" w:type="dxa"/>
            <w:tcBorders>
              <w:top w:val="nil"/>
              <w:left w:val="nil"/>
              <w:bottom w:val="nil"/>
              <w:right w:val="nil"/>
            </w:tcBorders>
            <w:shd w:val="clear" w:color="auto" w:fill="auto"/>
            <w:noWrap/>
            <w:vAlign w:val="center"/>
            <w:hideMark/>
          </w:tcPr>
          <w:p w14:paraId="40BBC93A" w14:textId="77777777" w:rsidR="002330B5" w:rsidRPr="00CE7FB1" w:rsidRDefault="002330B5" w:rsidP="003E75CC">
            <w:pPr>
              <w:widowControl/>
              <w:spacing w:line="276" w:lineRule="auto"/>
              <w:jc w:val="left"/>
              <w:rPr>
                <w:rFonts w:ascii="Times New Roman" w:hAnsi="Times New Roman"/>
                <w:color w:val="000000"/>
                <w:kern w:val="0"/>
                <w:sz w:val="24"/>
                <w:szCs w:val="24"/>
              </w:rPr>
            </w:pPr>
            <w:r w:rsidRPr="00CE7FB1">
              <w:rPr>
                <w:rFonts w:ascii="Times New Roman" w:hAnsi="Times New Roman" w:hint="eastAsia"/>
                <w:color w:val="000000"/>
                <w:kern w:val="0"/>
                <w:sz w:val="24"/>
                <w:szCs w:val="24"/>
              </w:rPr>
              <w:t>hsa05222:</w:t>
            </w:r>
            <w:r w:rsidRPr="00CE7FB1">
              <w:rPr>
                <w:rFonts w:ascii="Times New Roman" w:hAnsi="Times New Roman"/>
                <w:color w:val="000000"/>
                <w:kern w:val="0"/>
                <w:sz w:val="24"/>
                <w:szCs w:val="24"/>
              </w:rPr>
              <w:t xml:space="preserve"> </w:t>
            </w:r>
            <w:r w:rsidRPr="00CE7FB1">
              <w:rPr>
                <w:rFonts w:ascii="Times New Roman" w:hAnsi="Times New Roman" w:hint="eastAsia"/>
                <w:color w:val="000000"/>
                <w:kern w:val="0"/>
                <w:sz w:val="24"/>
                <w:szCs w:val="24"/>
              </w:rPr>
              <w:t>Small cell lung cancer</w:t>
            </w:r>
          </w:p>
        </w:tc>
        <w:tc>
          <w:tcPr>
            <w:tcW w:w="992" w:type="dxa"/>
            <w:tcBorders>
              <w:top w:val="nil"/>
              <w:left w:val="nil"/>
              <w:bottom w:val="nil"/>
              <w:right w:val="nil"/>
            </w:tcBorders>
            <w:shd w:val="clear" w:color="auto" w:fill="auto"/>
            <w:noWrap/>
            <w:vAlign w:val="center"/>
            <w:hideMark/>
          </w:tcPr>
          <w:p w14:paraId="7F2379F4"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8</w:t>
            </w:r>
          </w:p>
        </w:tc>
        <w:tc>
          <w:tcPr>
            <w:tcW w:w="1701" w:type="dxa"/>
            <w:tcBorders>
              <w:top w:val="nil"/>
              <w:left w:val="nil"/>
              <w:bottom w:val="nil"/>
              <w:right w:val="nil"/>
            </w:tcBorders>
            <w:shd w:val="clear" w:color="auto" w:fill="auto"/>
            <w:noWrap/>
            <w:vAlign w:val="center"/>
            <w:hideMark/>
          </w:tcPr>
          <w:p w14:paraId="0F0A7536"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1.37E-07</w:t>
            </w:r>
          </w:p>
        </w:tc>
        <w:tc>
          <w:tcPr>
            <w:tcW w:w="1418" w:type="dxa"/>
            <w:tcBorders>
              <w:top w:val="nil"/>
              <w:left w:val="nil"/>
              <w:bottom w:val="nil"/>
              <w:right w:val="nil"/>
            </w:tcBorders>
            <w:shd w:val="clear" w:color="auto" w:fill="auto"/>
            <w:noWrap/>
            <w:vAlign w:val="center"/>
            <w:hideMark/>
          </w:tcPr>
          <w:p w14:paraId="1F3F5DEE"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1.53E-04</w:t>
            </w:r>
          </w:p>
        </w:tc>
      </w:tr>
      <w:tr w:rsidR="002330B5" w:rsidRPr="00CE7FB1" w14:paraId="3C979B5A" w14:textId="77777777" w:rsidTr="002330B5">
        <w:trPr>
          <w:trHeight w:val="320"/>
          <w:jc w:val="center"/>
        </w:trPr>
        <w:tc>
          <w:tcPr>
            <w:tcW w:w="3540" w:type="dxa"/>
            <w:tcBorders>
              <w:top w:val="nil"/>
              <w:left w:val="nil"/>
              <w:bottom w:val="nil"/>
              <w:right w:val="nil"/>
            </w:tcBorders>
            <w:shd w:val="clear" w:color="auto" w:fill="auto"/>
            <w:noWrap/>
            <w:vAlign w:val="center"/>
            <w:hideMark/>
          </w:tcPr>
          <w:p w14:paraId="5D1375B2" w14:textId="77777777" w:rsidR="002330B5" w:rsidRPr="00CE7FB1" w:rsidRDefault="002330B5" w:rsidP="003E75CC">
            <w:pPr>
              <w:widowControl/>
              <w:spacing w:line="276" w:lineRule="auto"/>
              <w:jc w:val="left"/>
              <w:rPr>
                <w:rFonts w:ascii="Times New Roman" w:hAnsi="Times New Roman"/>
                <w:color w:val="000000"/>
                <w:kern w:val="0"/>
                <w:sz w:val="24"/>
                <w:szCs w:val="24"/>
              </w:rPr>
            </w:pPr>
            <w:r w:rsidRPr="00CE7FB1">
              <w:rPr>
                <w:rFonts w:ascii="Times New Roman" w:hAnsi="Times New Roman" w:hint="eastAsia"/>
                <w:color w:val="000000"/>
                <w:kern w:val="0"/>
                <w:sz w:val="24"/>
                <w:szCs w:val="24"/>
              </w:rPr>
              <w:t>hsa04066:</w:t>
            </w:r>
            <w:r w:rsidRPr="00CE7FB1">
              <w:rPr>
                <w:rFonts w:ascii="Times New Roman" w:hAnsi="Times New Roman"/>
                <w:color w:val="000000"/>
                <w:kern w:val="0"/>
                <w:sz w:val="24"/>
                <w:szCs w:val="24"/>
              </w:rPr>
              <w:t xml:space="preserve"> </w:t>
            </w:r>
            <w:r w:rsidRPr="00CE7FB1">
              <w:rPr>
                <w:rFonts w:ascii="Times New Roman" w:hAnsi="Times New Roman" w:hint="eastAsia"/>
                <w:color w:val="000000"/>
                <w:kern w:val="0"/>
                <w:sz w:val="24"/>
                <w:szCs w:val="24"/>
              </w:rPr>
              <w:t>HIF-1 signaling pathway</w:t>
            </w:r>
          </w:p>
        </w:tc>
        <w:tc>
          <w:tcPr>
            <w:tcW w:w="992" w:type="dxa"/>
            <w:tcBorders>
              <w:top w:val="nil"/>
              <w:left w:val="nil"/>
              <w:bottom w:val="nil"/>
              <w:right w:val="nil"/>
            </w:tcBorders>
            <w:shd w:val="clear" w:color="auto" w:fill="auto"/>
            <w:noWrap/>
            <w:vAlign w:val="center"/>
            <w:hideMark/>
          </w:tcPr>
          <w:p w14:paraId="4E970854"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8</w:t>
            </w:r>
          </w:p>
        </w:tc>
        <w:tc>
          <w:tcPr>
            <w:tcW w:w="1701" w:type="dxa"/>
            <w:tcBorders>
              <w:top w:val="nil"/>
              <w:left w:val="nil"/>
              <w:bottom w:val="nil"/>
              <w:right w:val="nil"/>
            </w:tcBorders>
            <w:shd w:val="clear" w:color="auto" w:fill="auto"/>
            <w:noWrap/>
            <w:vAlign w:val="center"/>
            <w:hideMark/>
          </w:tcPr>
          <w:p w14:paraId="1327501E"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4.02E-07</w:t>
            </w:r>
          </w:p>
        </w:tc>
        <w:tc>
          <w:tcPr>
            <w:tcW w:w="1418" w:type="dxa"/>
            <w:tcBorders>
              <w:top w:val="nil"/>
              <w:left w:val="nil"/>
              <w:bottom w:val="nil"/>
              <w:right w:val="nil"/>
            </w:tcBorders>
            <w:shd w:val="clear" w:color="auto" w:fill="auto"/>
            <w:noWrap/>
            <w:vAlign w:val="center"/>
            <w:hideMark/>
          </w:tcPr>
          <w:p w14:paraId="66393AF4"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4.50E-04</w:t>
            </w:r>
          </w:p>
        </w:tc>
      </w:tr>
      <w:tr w:rsidR="002330B5" w:rsidRPr="00CE7FB1" w14:paraId="10323455" w14:textId="77777777" w:rsidTr="002330B5">
        <w:trPr>
          <w:trHeight w:val="320"/>
          <w:jc w:val="center"/>
        </w:trPr>
        <w:tc>
          <w:tcPr>
            <w:tcW w:w="3540" w:type="dxa"/>
            <w:tcBorders>
              <w:top w:val="nil"/>
              <w:left w:val="nil"/>
              <w:bottom w:val="nil"/>
              <w:right w:val="nil"/>
            </w:tcBorders>
            <w:shd w:val="clear" w:color="auto" w:fill="auto"/>
            <w:noWrap/>
            <w:vAlign w:val="center"/>
            <w:hideMark/>
          </w:tcPr>
          <w:p w14:paraId="1F2F9713" w14:textId="77777777" w:rsidR="002330B5" w:rsidRPr="00CE7FB1" w:rsidRDefault="002330B5" w:rsidP="003E75CC">
            <w:pPr>
              <w:widowControl/>
              <w:spacing w:line="276" w:lineRule="auto"/>
              <w:jc w:val="left"/>
              <w:rPr>
                <w:rFonts w:ascii="Times New Roman" w:hAnsi="Times New Roman"/>
                <w:color w:val="000000"/>
                <w:kern w:val="0"/>
                <w:sz w:val="24"/>
                <w:szCs w:val="24"/>
              </w:rPr>
            </w:pPr>
            <w:r w:rsidRPr="00CE7FB1">
              <w:rPr>
                <w:rFonts w:ascii="Times New Roman" w:hAnsi="Times New Roman" w:hint="eastAsia"/>
                <w:color w:val="000000"/>
                <w:kern w:val="0"/>
                <w:sz w:val="24"/>
                <w:szCs w:val="24"/>
              </w:rPr>
              <w:t>hsa04024:</w:t>
            </w:r>
            <w:r w:rsidRPr="00CE7FB1">
              <w:rPr>
                <w:rFonts w:ascii="Times New Roman" w:hAnsi="Times New Roman"/>
                <w:color w:val="000000"/>
                <w:kern w:val="0"/>
                <w:sz w:val="24"/>
                <w:szCs w:val="24"/>
              </w:rPr>
              <w:t xml:space="preserve"> </w:t>
            </w:r>
            <w:r w:rsidRPr="00CE7FB1">
              <w:rPr>
                <w:rFonts w:ascii="Times New Roman" w:hAnsi="Times New Roman" w:hint="eastAsia"/>
                <w:color w:val="000000"/>
                <w:kern w:val="0"/>
                <w:sz w:val="24"/>
                <w:szCs w:val="24"/>
              </w:rPr>
              <w:t>cAMP signaling pathway</w:t>
            </w:r>
          </w:p>
        </w:tc>
        <w:tc>
          <w:tcPr>
            <w:tcW w:w="992" w:type="dxa"/>
            <w:tcBorders>
              <w:top w:val="nil"/>
              <w:left w:val="nil"/>
              <w:bottom w:val="nil"/>
              <w:right w:val="nil"/>
            </w:tcBorders>
            <w:shd w:val="clear" w:color="auto" w:fill="auto"/>
            <w:noWrap/>
            <w:vAlign w:val="center"/>
            <w:hideMark/>
          </w:tcPr>
          <w:p w14:paraId="7FC38366"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9</w:t>
            </w:r>
          </w:p>
        </w:tc>
        <w:tc>
          <w:tcPr>
            <w:tcW w:w="1701" w:type="dxa"/>
            <w:tcBorders>
              <w:top w:val="nil"/>
              <w:left w:val="nil"/>
              <w:bottom w:val="nil"/>
              <w:right w:val="nil"/>
            </w:tcBorders>
            <w:shd w:val="clear" w:color="auto" w:fill="auto"/>
            <w:noWrap/>
            <w:vAlign w:val="center"/>
            <w:hideMark/>
          </w:tcPr>
          <w:p w14:paraId="0A94D58C"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3.89E-06</w:t>
            </w:r>
          </w:p>
        </w:tc>
        <w:tc>
          <w:tcPr>
            <w:tcW w:w="1418" w:type="dxa"/>
            <w:tcBorders>
              <w:top w:val="nil"/>
              <w:left w:val="nil"/>
              <w:bottom w:val="nil"/>
              <w:right w:val="nil"/>
            </w:tcBorders>
            <w:shd w:val="clear" w:color="auto" w:fill="auto"/>
            <w:noWrap/>
            <w:vAlign w:val="center"/>
            <w:hideMark/>
          </w:tcPr>
          <w:p w14:paraId="0AD10825"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4.35E-03</w:t>
            </w:r>
          </w:p>
        </w:tc>
      </w:tr>
      <w:tr w:rsidR="002330B5" w:rsidRPr="00CE7FB1" w14:paraId="6E9958D0" w14:textId="77777777" w:rsidTr="002330B5">
        <w:trPr>
          <w:trHeight w:val="320"/>
          <w:jc w:val="center"/>
        </w:trPr>
        <w:tc>
          <w:tcPr>
            <w:tcW w:w="3540" w:type="dxa"/>
            <w:tcBorders>
              <w:top w:val="nil"/>
              <w:left w:val="nil"/>
              <w:bottom w:val="nil"/>
              <w:right w:val="nil"/>
            </w:tcBorders>
            <w:shd w:val="clear" w:color="auto" w:fill="auto"/>
            <w:noWrap/>
            <w:vAlign w:val="center"/>
            <w:hideMark/>
          </w:tcPr>
          <w:p w14:paraId="710E5FE4" w14:textId="77777777" w:rsidR="002330B5" w:rsidRPr="00CE7FB1" w:rsidRDefault="002330B5" w:rsidP="003E75CC">
            <w:pPr>
              <w:widowControl/>
              <w:spacing w:line="276" w:lineRule="auto"/>
              <w:jc w:val="left"/>
              <w:rPr>
                <w:rFonts w:ascii="Times New Roman" w:hAnsi="Times New Roman"/>
                <w:color w:val="000000"/>
                <w:kern w:val="0"/>
                <w:sz w:val="24"/>
                <w:szCs w:val="24"/>
              </w:rPr>
            </w:pPr>
            <w:r w:rsidRPr="00CE7FB1">
              <w:rPr>
                <w:rFonts w:ascii="Times New Roman" w:hAnsi="Times New Roman" w:hint="eastAsia"/>
                <w:color w:val="000000"/>
                <w:kern w:val="0"/>
                <w:sz w:val="24"/>
                <w:szCs w:val="24"/>
              </w:rPr>
              <w:t>hsa04151:</w:t>
            </w:r>
            <w:r w:rsidRPr="00CE7FB1">
              <w:rPr>
                <w:rFonts w:ascii="Times New Roman" w:hAnsi="Times New Roman"/>
                <w:color w:val="000000"/>
                <w:kern w:val="0"/>
                <w:sz w:val="24"/>
                <w:szCs w:val="24"/>
              </w:rPr>
              <w:t xml:space="preserve"> </w:t>
            </w:r>
            <w:r w:rsidRPr="00CE7FB1">
              <w:rPr>
                <w:rFonts w:ascii="Times New Roman" w:hAnsi="Times New Roman" w:hint="eastAsia"/>
                <w:color w:val="000000"/>
                <w:kern w:val="0"/>
                <w:sz w:val="24"/>
                <w:szCs w:val="24"/>
              </w:rPr>
              <w:t>PI3K-Akt signaling pathway</w:t>
            </w:r>
          </w:p>
        </w:tc>
        <w:tc>
          <w:tcPr>
            <w:tcW w:w="992" w:type="dxa"/>
            <w:tcBorders>
              <w:top w:val="nil"/>
              <w:left w:val="nil"/>
              <w:bottom w:val="nil"/>
              <w:right w:val="nil"/>
            </w:tcBorders>
            <w:shd w:val="clear" w:color="auto" w:fill="auto"/>
            <w:noWrap/>
            <w:vAlign w:val="center"/>
            <w:hideMark/>
          </w:tcPr>
          <w:p w14:paraId="4F81A4D0"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11</w:t>
            </w:r>
          </w:p>
        </w:tc>
        <w:tc>
          <w:tcPr>
            <w:tcW w:w="1701" w:type="dxa"/>
            <w:tcBorders>
              <w:top w:val="nil"/>
              <w:left w:val="nil"/>
              <w:bottom w:val="nil"/>
              <w:right w:val="nil"/>
            </w:tcBorders>
            <w:shd w:val="clear" w:color="auto" w:fill="auto"/>
            <w:noWrap/>
            <w:vAlign w:val="center"/>
            <w:hideMark/>
          </w:tcPr>
          <w:p w14:paraId="3B9CAA7C"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4.36E-06</w:t>
            </w:r>
          </w:p>
        </w:tc>
        <w:tc>
          <w:tcPr>
            <w:tcW w:w="1418" w:type="dxa"/>
            <w:tcBorders>
              <w:top w:val="nil"/>
              <w:left w:val="nil"/>
              <w:bottom w:val="nil"/>
              <w:right w:val="nil"/>
            </w:tcBorders>
            <w:shd w:val="clear" w:color="auto" w:fill="auto"/>
            <w:noWrap/>
            <w:vAlign w:val="center"/>
            <w:hideMark/>
          </w:tcPr>
          <w:p w14:paraId="0445389C"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4.87E-03</w:t>
            </w:r>
          </w:p>
        </w:tc>
      </w:tr>
      <w:tr w:rsidR="002330B5" w:rsidRPr="00CE7FB1" w14:paraId="1D958E66" w14:textId="77777777" w:rsidTr="002330B5">
        <w:trPr>
          <w:trHeight w:val="320"/>
          <w:jc w:val="center"/>
        </w:trPr>
        <w:tc>
          <w:tcPr>
            <w:tcW w:w="3540" w:type="dxa"/>
            <w:tcBorders>
              <w:top w:val="nil"/>
              <w:left w:val="nil"/>
              <w:bottom w:val="nil"/>
              <w:right w:val="nil"/>
            </w:tcBorders>
            <w:shd w:val="clear" w:color="auto" w:fill="auto"/>
            <w:noWrap/>
            <w:vAlign w:val="center"/>
            <w:hideMark/>
          </w:tcPr>
          <w:p w14:paraId="0BF120D9" w14:textId="77777777" w:rsidR="002330B5" w:rsidRPr="00CE7FB1" w:rsidRDefault="002330B5" w:rsidP="003E75CC">
            <w:pPr>
              <w:widowControl/>
              <w:spacing w:line="276" w:lineRule="auto"/>
              <w:jc w:val="left"/>
              <w:rPr>
                <w:rFonts w:ascii="Times New Roman" w:hAnsi="Times New Roman"/>
                <w:color w:val="000000"/>
                <w:kern w:val="0"/>
                <w:sz w:val="24"/>
                <w:szCs w:val="24"/>
              </w:rPr>
            </w:pPr>
            <w:r w:rsidRPr="00CE7FB1">
              <w:rPr>
                <w:rFonts w:ascii="Times New Roman" w:hAnsi="Times New Roman" w:hint="eastAsia"/>
                <w:color w:val="000000"/>
                <w:kern w:val="0"/>
                <w:sz w:val="24"/>
                <w:szCs w:val="24"/>
              </w:rPr>
              <w:t>hsa05216:</w:t>
            </w:r>
            <w:r w:rsidRPr="00CE7FB1">
              <w:rPr>
                <w:rFonts w:ascii="Times New Roman" w:hAnsi="Times New Roman"/>
                <w:color w:val="000000"/>
                <w:kern w:val="0"/>
                <w:sz w:val="24"/>
                <w:szCs w:val="24"/>
              </w:rPr>
              <w:t xml:space="preserve"> </w:t>
            </w:r>
            <w:r w:rsidRPr="00CE7FB1">
              <w:rPr>
                <w:rFonts w:ascii="Times New Roman" w:hAnsi="Times New Roman" w:hint="eastAsia"/>
                <w:color w:val="000000"/>
                <w:kern w:val="0"/>
                <w:sz w:val="24"/>
                <w:szCs w:val="24"/>
              </w:rPr>
              <w:t>Thyroid cancer</w:t>
            </w:r>
          </w:p>
        </w:tc>
        <w:tc>
          <w:tcPr>
            <w:tcW w:w="992" w:type="dxa"/>
            <w:tcBorders>
              <w:top w:val="nil"/>
              <w:left w:val="nil"/>
              <w:bottom w:val="nil"/>
              <w:right w:val="nil"/>
            </w:tcBorders>
            <w:shd w:val="clear" w:color="auto" w:fill="auto"/>
            <w:noWrap/>
            <w:vAlign w:val="center"/>
            <w:hideMark/>
          </w:tcPr>
          <w:p w14:paraId="3C85CCEB"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5</w:t>
            </w:r>
          </w:p>
        </w:tc>
        <w:tc>
          <w:tcPr>
            <w:tcW w:w="1701" w:type="dxa"/>
            <w:tcBorders>
              <w:top w:val="nil"/>
              <w:left w:val="nil"/>
              <w:bottom w:val="nil"/>
              <w:right w:val="nil"/>
            </w:tcBorders>
            <w:shd w:val="clear" w:color="auto" w:fill="auto"/>
            <w:noWrap/>
            <w:vAlign w:val="center"/>
            <w:hideMark/>
          </w:tcPr>
          <w:p w14:paraId="74133407"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1.35E-05</w:t>
            </w:r>
          </w:p>
        </w:tc>
        <w:tc>
          <w:tcPr>
            <w:tcW w:w="1418" w:type="dxa"/>
            <w:tcBorders>
              <w:top w:val="nil"/>
              <w:left w:val="nil"/>
              <w:bottom w:val="nil"/>
              <w:right w:val="nil"/>
            </w:tcBorders>
            <w:shd w:val="clear" w:color="auto" w:fill="auto"/>
            <w:noWrap/>
            <w:vAlign w:val="center"/>
            <w:hideMark/>
          </w:tcPr>
          <w:p w14:paraId="1FBFD686"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1.51E-02</w:t>
            </w:r>
          </w:p>
        </w:tc>
      </w:tr>
      <w:tr w:rsidR="002330B5" w:rsidRPr="00CE7FB1" w14:paraId="026F47C0" w14:textId="77777777" w:rsidTr="002330B5">
        <w:trPr>
          <w:trHeight w:val="340"/>
          <w:jc w:val="center"/>
        </w:trPr>
        <w:tc>
          <w:tcPr>
            <w:tcW w:w="3540" w:type="dxa"/>
            <w:tcBorders>
              <w:top w:val="nil"/>
              <w:left w:val="nil"/>
              <w:bottom w:val="single" w:sz="8" w:space="0" w:color="auto"/>
              <w:right w:val="nil"/>
            </w:tcBorders>
            <w:shd w:val="clear" w:color="auto" w:fill="auto"/>
            <w:noWrap/>
            <w:vAlign w:val="center"/>
            <w:hideMark/>
          </w:tcPr>
          <w:p w14:paraId="0D84AFFB" w14:textId="77777777" w:rsidR="002330B5" w:rsidRPr="00CE7FB1" w:rsidRDefault="002330B5" w:rsidP="003E75CC">
            <w:pPr>
              <w:widowControl/>
              <w:spacing w:line="276" w:lineRule="auto"/>
              <w:jc w:val="left"/>
              <w:rPr>
                <w:rFonts w:ascii="Times New Roman" w:hAnsi="Times New Roman"/>
                <w:color w:val="000000"/>
                <w:kern w:val="0"/>
                <w:sz w:val="24"/>
                <w:szCs w:val="24"/>
              </w:rPr>
            </w:pPr>
            <w:r w:rsidRPr="00CE7FB1">
              <w:rPr>
                <w:rFonts w:ascii="Times New Roman" w:hAnsi="Times New Roman" w:hint="eastAsia"/>
                <w:color w:val="000000"/>
                <w:kern w:val="0"/>
                <w:sz w:val="24"/>
                <w:szCs w:val="24"/>
              </w:rPr>
              <w:t>hsa04920:</w:t>
            </w:r>
            <w:r w:rsidRPr="00CE7FB1">
              <w:rPr>
                <w:rFonts w:ascii="Times New Roman" w:hAnsi="Times New Roman"/>
                <w:color w:val="000000"/>
                <w:kern w:val="0"/>
                <w:sz w:val="24"/>
                <w:szCs w:val="24"/>
              </w:rPr>
              <w:t xml:space="preserve"> </w:t>
            </w:r>
            <w:r w:rsidRPr="00CE7FB1">
              <w:rPr>
                <w:rFonts w:ascii="Times New Roman" w:hAnsi="Times New Roman" w:hint="eastAsia"/>
                <w:color w:val="000000"/>
                <w:kern w:val="0"/>
                <w:sz w:val="24"/>
                <w:szCs w:val="24"/>
              </w:rPr>
              <w:t>Adipocytokine signaling pathway</w:t>
            </w:r>
          </w:p>
        </w:tc>
        <w:tc>
          <w:tcPr>
            <w:tcW w:w="992" w:type="dxa"/>
            <w:tcBorders>
              <w:top w:val="nil"/>
              <w:left w:val="nil"/>
              <w:bottom w:val="single" w:sz="8" w:space="0" w:color="auto"/>
              <w:right w:val="nil"/>
            </w:tcBorders>
            <w:shd w:val="clear" w:color="auto" w:fill="auto"/>
            <w:noWrap/>
            <w:vAlign w:val="center"/>
            <w:hideMark/>
          </w:tcPr>
          <w:p w14:paraId="365FEA41"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6</w:t>
            </w:r>
          </w:p>
        </w:tc>
        <w:tc>
          <w:tcPr>
            <w:tcW w:w="1701" w:type="dxa"/>
            <w:tcBorders>
              <w:top w:val="nil"/>
              <w:left w:val="nil"/>
              <w:bottom w:val="single" w:sz="8" w:space="0" w:color="auto"/>
              <w:right w:val="nil"/>
            </w:tcBorders>
            <w:shd w:val="clear" w:color="auto" w:fill="auto"/>
            <w:noWrap/>
            <w:vAlign w:val="center"/>
            <w:hideMark/>
          </w:tcPr>
          <w:p w14:paraId="18AA90B0"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2.83E-05</w:t>
            </w:r>
          </w:p>
        </w:tc>
        <w:tc>
          <w:tcPr>
            <w:tcW w:w="1418" w:type="dxa"/>
            <w:tcBorders>
              <w:top w:val="nil"/>
              <w:left w:val="nil"/>
              <w:bottom w:val="single" w:sz="8" w:space="0" w:color="auto"/>
              <w:right w:val="nil"/>
            </w:tcBorders>
            <w:shd w:val="clear" w:color="auto" w:fill="auto"/>
            <w:noWrap/>
            <w:vAlign w:val="center"/>
            <w:hideMark/>
          </w:tcPr>
          <w:p w14:paraId="627D77F1" w14:textId="77777777" w:rsidR="002330B5" w:rsidRPr="00CE7FB1" w:rsidRDefault="002330B5"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hint="eastAsia"/>
                <w:color w:val="000000"/>
                <w:kern w:val="0"/>
                <w:sz w:val="24"/>
                <w:szCs w:val="24"/>
              </w:rPr>
              <w:t>3.16E-02</w:t>
            </w:r>
          </w:p>
        </w:tc>
      </w:tr>
    </w:tbl>
    <w:p w14:paraId="02203325" w14:textId="77777777" w:rsidR="002330B5" w:rsidRPr="00CE7FB1" w:rsidRDefault="006662C5" w:rsidP="00752BA8">
      <w:pPr>
        <w:widowControl/>
        <w:spacing w:line="276" w:lineRule="auto"/>
        <w:rPr>
          <w:rFonts w:ascii="Times New Roman" w:hAnsi="Times New Roman"/>
          <w:b/>
          <w:bCs/>
          <w:color w:val="000000"/>
          <w:kern w:val="0"/>
          <w:sz w:val="24"/>
          <w:szCs w:val="24"/>
        </w:rPr>
      </w:pPr>
      <w:r w:rsidRPr="00CE7FB1">
        <w:rPr>
          <w:rFonts w:ascii="Times New Roman" w:hAnsi="Times New Roman"/>
          <w:color w:val="000000"/>
          <w:kern w:val="0"/>
          <w:sz w:val="24"/>
          <w:szCs w:val="24"/>
        </w:rPr>
        <w:t>KEGG: Kyoto Encyclopedia of Genes and Genomes; FDR, false discovery rate.</w:t>
      </w:r>
    </w:p>
    <w:p w14:paraId="2856D43C" w14:textId="77777777" w:rsidR="002330B5" w:rsidRPr="00CE7FB1" w:rsidRDefault="002330B5" w:rsidP="00752BA8">
      <w:pPr>
        <w:widowControl/>
        <w:spacing w:line="276" w:lineRule="auto"/>
        <w:rPr>
          <w:rFonts w:ascii="Times New Roman" w:hAnsi="Times New Roman"/>
          <w:b/>
          <w:bCs/>
          <w:color w:val="000000"/>
          <w:kern w:val="0"/>
          <w:sz w:val="24"/>
          <w:szCs w:val="24"/>
        </w:rPr>
      </w:pPr>
    </w:p>
    <w:p w14:paraId="2618B858" w14:textId="77777777" w:rsidR="002330B5" w:rsidRPr="00CE7FB1" w:rsidRDefault="002330B5" w:rsidP="00752BA8">
      <w:pPr>
        <w:widowControl/>
        <w:spacing w:line="276" w:lineRule="auto"/>
        <w:rPr>
          <w:rFonts w:ascii="Times New Roman" w:hAnsi="Times New Roman"/>
          <w:b/>
          <w:bCs/>
          <w:color w:val="000000"/>
          <w:kern w:val="0"/>
          <w:sz w:val="24"/>
          <w:szCs w:val="24"/>
        </w:rPr>
        <w:sectPr w:rsidR="002330B5" w:rsidRPr="00CE7FB1">
          <w:pgSz w:w="11906" w:h="16838"/>
          <w:pgMar w:top="1440" w:right="1800" w:bottom="1440" w:left="1800" w:header="851" w:footer="992" w:gutter="0"/>
          <w:cols w:space="425"/>
          <w:docGrid w:type="lines" w:linePitch="312"/>
        </w:sectPr>
      </w:pPr>
    </w:p>
    <w:p w14:paraId="1D64BCCC" w14:textId="77777777" w:rsidR="002330B5" w:rsidRPr="00CE7FB1" w:rsidRDefault="005C31BF" w:rsidP="005C31BF">
      <w:pPr>
        <w:widowControl/>
        <w:spacing w:line="276" w:lineRule="auto"/>
        <w:jc w:val="center"/>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lastRenderedPageBreak/>
        <w:t>T</w:t>
      </w:r>
      <w:r w:rsidRPr="00CE7FB1">
        <w:rPr>
          <w:rFonts w:ascii="Times New Roman" w:hAnsi="Times New Roman"/>
          <w:b/>
          <w:bCs/>
          <w:color w:val="000000"/>
          <w:kern w:val="0"/>
          <w:sz w:val="24"/>
          <w:szCs w:val="24"/>
        </w:rPr>
        <w:t>able S6. Drugs targeted EGFR.</w:t>
      </w:r>
    </w:p>
    <w:tbl>
      <w:tblPr>
        <w:tblW w:w="11653" w:type="dxa"/>
        <w:jc w:val="center"/>
        <w:tblLook w:val="04A0" w:firstRow="1" w:lastRow="0" w:firstColumn="1" w:lastColumn="0" w:noHBand="0" w:noVBand="1"/>
      </w:tblPr>
      <w:tblGrid>
        <w:gridCol w:w="1436"/>
        <w:gridCol w:w="1416"/>
        <w:gridCol w:w="1270"/>
        <w:gridCol w:w="4063"/>
        <w:gridCol w:w="1556"/>
        <w:gridCol w:w="1912"/>
      </w:tblGrid>
      <w:tr w:rsidR="005C31BF" w:rsidRPr="00CE7FB1" w14:paraId="1B25E473" w14:textId="77777777" w:rsidTr="005C31BF">
        <w:trPr>
          <w:trHeight w:val="740"/>
          <w:jc w:val="center"/>
        </w:trPr>
        <w:tc>
          <w:tcPr>
            <w:tcW w:w="1436" w:type="dxa"/>
            <w:tcBorders>
              <w:top w:val="single" w:sz="8" w:space="0" w:color="auto"/>
              <w:left w:val="nil"/>
              <w:bottom w:val="single" w:sz="8" w:space="0" w:color="auto"/>
              <w:right w:val="nil"/>
            </w:tcBorders>
            <w:shd w:val="clear" w:color="auto" w:fill="auto"/>
            <w:vAlign w:val="center"/>
            <w:hideMark/>
          </w:tcPr>
          <w:p w14:paraId="3CAB93C2" w14:textId="77777777" w:rsidR="005C31BF" w:rsidRPr="00CE7FB1" w:rsidRDefault="005C31BF" w:rsidP="003E75CC">
            <w:pPr>
              <w:widowControl/>
              <w:spacing w:line="276" w:lineRule="auto"/>
              <w:jc w:val="center"/>
              <w:rPr>
                <w:rFonts w:ascii="Times New Roman" w:hAnsi="Times New Roman"/>
                <w:color w:val="000000"/>
                <w:kern w:val="0"/>
                <w:sz w:val="24"/>
                <w:szCs w:val="24"/>
              </w:rPr>
            </w:pPr>
            <w:proofErr w:type="spellStart"/>
            <w:r w:rsidRPr="00CE7FB1">
              <w:rPr>
                <w:rFonts w:ascii="Times New Roman" w:hAnsi="Times New Roman"/>
                <w:color w:val="000000"/>
                <w:kern w:val="0"/>
                <w:sz w:val="24"/>
                <w:szCs w:val="24"/>
              </w:rPr>
              <w:t>Drugbank</w:t>
            </w:r>
            <w:proofErr w:type="spellEnd"/>
            <w:r w:rsidRPr="00CE7FB1">
              <w:rPr>
                <w:rFonts w:ascii="Times New Roman" w:hAnsi="Times New Roman"/>
                <w:color w:val="000000"/>
                <w:kern w:val="0"/>
                <w:sz w:val="24"/>
                <w:szCs w:val="24"/>
              </w:rPr>
              <w:t xml:space="preserve"> ID</w:t>
            </w:r>
          </w:p>
        </w:tc>
        <w:tc>
          <w:tcPr>
            <w:tcW w:w="1416" w:type="dxa"/>
            <w:tcBorders>
              <w:top w:val="single" w:sz="8" w:space="0" w:color="auto"/>
              <w:left w:val="nil"/>
              <w:bottom w:val="single" w:sz="8" w:space="0" w:color="auto"/>
              <w:right w:val="nil"/>
            </w:tcBorders>
            <w:shd w:val="clear" w:color="auto" w:fill="auto"/>
            <w:vAlign w:val="center"/>
            <w:hideMark/>
          </w:tcPr>
          <w:p w14:paraId="1D50556B"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Name</w:t>
            </w:r>
          </w:p>
        </w:tc>
        <w:tc>
          <w:tcPr>
            <w:tcW w:w="1270" w:type="dxa"/>
            <w:tcBorders>
              <w:top w:val="single" w:sz="8" w:space="0" w:color="auto"/>
              <w:left w:val="nil"/>
              <w:bottom w:val="single" w:sz="8" w:space="0" w:color="auto"/>
              <w:right w:val="nil"/>
            </w:tcBorders>
            <w:shd w:val="clear" w:color="auto" w:fill="auto"/>
            <w:vAlign w:val="center"/>
            <w:hideMark/>
          </w:tcPr>
          <w:p w14:paraId="2DE9987A"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Actions</w:t>
            </w:r>
          </w:p>
        </w:tc>
        <w:tc>
          <w:tcPr>
            <w:tcW w:w="4063" w:type="dxa"/>
            <w:tcBorders>
              <w:top w:val="single" w:sz="8" w:space="0" w:color="auto"/>
              <w:left w:val="nil"/>
              <w:bottom w:val="single" w:sz="8" w:space="0" w:color="auto"/>
              <w:right w:val="nil"/>
            </w:tcBorders>
            <w:shd w:val="clear" w:color="auto" w:fill="auto"/>
            <w:vAlign w:val="center"/>
            <w:hideMark/>
          </w:tcPr>
          <w:p w14:paraId="758B5968"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Description</w:t>
            </w:r>
          </w:p>
        </w:tc>
        <w:tc>
          <w:tcPr>
            <w:tcW w:w="1556" w:type="dxa"/>
            <w:tcBorders>
              <w:top w:val="single" w:sz="8" w:space="0" w:color="auto"/>
              <w:left w:val="nil"/>
              <w:bottom w:val="single" w:sz="8" w:space="0" w:color="auto"/>
              <w:right w:val="nil"/>
            </w:tcBorders>
            <w:shd w:val="clear" w:color="auto" w:fill="auto"/>
            <w:vAlign w:val="center"/>
            <w:hideMark/>
          </w:tcPr>
          <w:p w14:paraId="7DF1E9DB"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Research Phase for CD Treatment</w:t>
            </w:r>
          </w:p>
        </w:tc>
        <w:tc>
          <w:tcPr>
            <w:tcW w:w="1912" w:type="dxa"/>
            <w:tcBorders>
              <w:top w:val="single" w:sz="8" w:space="0" w:color="auto"/>
              <w:left w:val="nil"/>
              <w:bottom w:val="single" w:sz="8" w:space="0" w:color="auto"/>
              <w:right w:val="nil"/>
            </w:tcBorders>
            <w:shd w:val="clear" w:color="auto" w:fill="auto"/>
            <w:vAlign w:val="center"/>
            <w:hideMark/>
          </w:tcPr>
          <w:p w14:paraId="44A57929"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IC</w:t>
            </w:r>
            <w:r w:rsidRPr="00CE7FB1">
              <w:rPr>
                <w:rFonts w:ascii="Times New Roman" w:hAnsi="Times New Roman"/>
                <w:color w:val="000000"/>
                <w:kern w:val="0"/>
                <w:sz w:val="24"/>
                <w:szCs w:val="24"/>
                <w:vertAlign w:val="subscript"/>
              </w:rPr>
              <w:t>50</w:t>
            </w:r>
            <w:r w:rsidRPr="00CE7FB1">
              <w:rPr>
                <w:rFonts w:hint="eastAsia"/>
                <w:color w:val="000000"/>
                <w:kern w:val="0"/>
                <w:sz w:val="24"/>
                <w:szCs w:val="24"/>
              </w:rPr>
              <w:t>±</w:t>
            </w:r>
            <w:r w:rsidRPr="00CE7FB1">
              <w:rPr>
                <w:rFonts w:ascii="Times New Roman" w:hAnsi="Times New Roman"/>
                <w:color w:val="000000"/>
                <w:kern w:val="0"/>
                <w:sz w:val="24"/>
                <w:szCs w:val="24"/>
              </w:rPr>
              <w:t>SEM</w:t>
            </w:r>
          </w:p>
        </w:tc>
      </w:tr>
      <w:tr w:rsidR="005C31BF" w:rsidRPr="00CE7FB1" w14:paraId="73C66383" w14:textId="77777777" w:rsidTr="005C31BF">
        <w:trPr>
          <w:trHeight w:val="1251"/>
          <w:jc w:val="center"/>
        </w:trPr>
        <w:tc>
          <w:tcPr>
            <w:tcW w:w="1436" w:type="dxa"/>
            <w:tcBorders>
              <w:top w:val="nil"/>
              <w:left w:val="nil"/>
              <w:bottom w:val="nil"/>
              <w:right w:val="nil"/>
            </w:tcBorders>
            <w:shd w:val="clear" w:color="auto" w:fill="auto"/>
            <w:vAlign w:val="center"/>
            <w:hideMark/>
          </w:tcPr>
          <w:p w14:paraId="17B9DF5B"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DB08916</w:t>
            </w:r>
          </w:p>
        </w:tc>
        <w:tc>
          <w:tcPr>
            <w:tcW w:w="1416" w:type="dxa"/>
            <w:tcBorders>
              <w:top w:val="nil"/>
              <w:left w:val="nil"/>
              <w:bottom w:val="nil"/>
              <w:right w:val="nil"/>
            </w:tcBorders>
            <w:shd w:val="clear" w:color="auto" w:fill="auto"/>
            <w:vAlign w:val="center"/>
            <w:hideMark/>
          </w:tcPr>
          <w:p w14:paraId="50BA55CA" w14:textId="77777777" w:rsidR="005C31BF" w:rsidRPr="00CE7FB1" w:rsidRDefault="005C31BF" w:rsidP="003E75CC">
            <w:pPr>
              <w:widowControl/>
              <w:spacing w:line="276" w:lineRule="auto"/>
              <w:jc w:val="center"/>
              <w:rPr>
                <w:rFonts w:ascii="Times New Roman" w:hAnsi="Times New Roman"/>
                <w:color w:val="000000"/>
                <w:kern w:val="0"/>
                <w:sz w:val="24"/>
                <w:szCs w:val="24"/>
              </w:rPr>
            </w:pPr>
            <w:proofErr w:type="spellStart"/>
            <w:r w:rsidRPr="00CE7FB1">
              <w:rPr>
                <w:rFonts w:ascii="Times New Roman" w:hAnsi="Times New Roman"/>
                <w:color w:val="000000"/>
                <w:kern w:val="0"/>
                <w:sz w:val="24"/>
                <w:szCs w:val="24"/>
              </w:rPr>
              <w:t>Afatinib</w:t>
            </w:r>
            <w:proofErr w:type="spellEnd"/>
          </w:p>
        </w:tc>
        <w:tc>
          <w:tcPr>
            <w:tcW w:w="1270" w:type="dxa"/>
            <w:tcBorders>
              <w:top w:val="nil"/>
              <w:left w:val="nil"/>
              <w:bottom w:val="nil"/>
              <w:right w:val="nil"/>
            </w:tcBorders>
            <w:shd w:val="clear" w:color="auto" w:fill="auto"/>
            <w:vAlign w:val="center"/>
            <w:hideMark/>
          </w:tcPr>
          <w:p w14:paraId="1779F4E9"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Inhibitor</w:t>
            </w:r>
          </w:p>
        </w:tc>
        <w:tc>
          <w:tcPr>
            <w:tcW w:w="4063" w:type="dxa"/>
            <w:tcBorders>
              <w:top w:val="nil"/>
              <w:left w:val="nil"/>
              <w:bottom w:val="nil"/>
              <w:right w:val="nil"/>
            </w:tcBorders>
            <w:shd w:val="clear" w:color="auto" w:fill="auto"/>
            <w:vAlign w:val="center"/>
            <w:hideMark/>
          </w:tcPr>
          <w:p w14:paraId="3CB54FE8"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For the treatment of metastatic non-small cell lung cancer (NSCLC).</w:t>
            </w:r>
          </w:p>
        </w:tc>
        <w:tc>
          <w:tcPr>
            <w:tcW w:w="1556" w:type="dxa"/>
            <w:tcBorders>
              <w:top w:val="nil"/>
              <w:left w:val="nil"/>
              <w:bottom w:val="nil"/>
              <w:right w:val="nil"/>
            </w:tcBorders>
            <w:shd w:val="clear" w:color="auto" w:fill="auto"/>
            <w:vAlign w:val="center"/>
            <w:hideMark/>
          </w:tcPr>
          <w:p w14:paraId="12C75924"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c>
          <w:tcPr>
            <w:tcW w:w="1912" w:type="dxa"/>
            <w:tcBorders>
              <w:top w:val="nil"/>
              <w:left w:val="nil"/>
              <w:bottom w:val="nil"/>
              <w:right w:val="nil"/>
            </w:tcBorders>
            <w:shd w:val="clear" w:color="auto" w:fill="auto"/>
            <w:vAlign w:val="center"/>
            <w:hideMark/>
          </w:tcPr>
          <w:p w14:paraId="04B3761A"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4.35</w:t>
            </w:r>
            <w:r w:rsidRPr="00CE7FB1">
              <w:rPr>
                <w:rFonts w:hint="eastAsia"/>
                <w:color w:val="000000"/>
                <w:kern w:val="0"/>
                <w:sz w:val="24"/>
                <w:szCs w:val="24"/>
              </w:rPr>
              <w:t>±</w:t>
            </w:r>
            <w:r w:rsidRPr="00CE7FB1">
              <w:rPr>
                <w:rFonts w:ascii="Times New Roman" w:hAnsi="Times New Roman"/>
                <w:color w:val="000000"/>
                <w:kern w:val="0"/>
                <w:sz w:val="24"/>
                <w:szCs w:val="24"/>
              </w:rPr>
              <w:t>0.07</w:t>
            </w:r>
          </w:p>
        </w:tc>
      </w:tr>
      <w:tr w:rsidR="005C31BF" w:rsidRPr="00CE7FB1" w14:paraId="31751297" w14:textId="77777777" w:rsidTr="005C31BF">
        <w:trPr>
          <w:trHeight w:val="480"/>
          <w:jc w:val="center"/>
        </w:trPr>
        <w:tc>
          <w:tcPr>
            <w:tcW w:w="1436" w:type="dxa"/>
            <w:tcBorders>
              <w:top w:val="nil"/>
              <w:left w:val="nil"/>
              <w:bottom w:val="nil"/>
              <w:right w:val="nil"/>
            </w:tcBorders>
            <w:shd w:val="clear" w:color="auto" w:fill="auto"/>
            <w:vAlign w:val="center"/>
            <w:hideMark/>
          </w:tcPr>
          <w:p w14:paraId="1CE48EE7"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DB12267</w:t>
            </w:r>
          </w:p>
        </w:tc>
        <w:tc>
          <w:tcPr>
            <w:tcW w:w="1416" w:type="dxa"/>
            <w:tcBorders>
              <w:top w:val="nil"/>
              <w:left w:val="nil"/>
              <w:bottom w:val="nil"/>
              <w:right w:val="nil"/>
            </w:tcBorders>
            <w:shd w:val="clear" w:color="auto" w:fill="auto"/>
            <w:vAlign w:val="center"/>
            <w:hideMark/>
          </w:tcPr>
          <w:p w14:paraId="074B0691" w14:textId="77777777" w:rsidR="005C31BF" w:rsidRPr="00CE7FB1" w:rsidRDefault="005C31BF" w:rsidP="003E75CC">
            <w:pPr>
              <w:widowControl/>
              <w:spacing w:line="276" w:lineRule="auto"/>
              <w:jc w:val="center"/>
              <w:rPr>
                <w:rFonts w:ascii="Times New Roman" w:hAnsi="Times New Roman"/>
                <w:color w:val="000000"/>
                <w:kern w:val="0"/>
                <w:sz w:val="24"/>
                <w:szCs w:val="24"/>
              </w:rPr>
            </w:pPr>
            <w:proofErr w:type="spellStart"/>
            <w:r w:rsidRPr="00CE7FB1">
              <w:rPr>
                <w:rFonts w:ascii="Times New Roman" w:hAnsi="Times New Roman"/>
                <w:color w:val="000000"/>
                <w:kern w:val="0"/>
                <w:sz w:val="24"/>
                <w:szCs w:val="24"/>
              </w:rPr>
              <w:t>Brigatinib</w:t>
            </w:r>
            <w:proofErr w:type="spellEnd"/>
          </w:p>
        </w:tc>
        <w:tc>
          <w:tcPr>
            <w:tcW w:w="1270" w:type="dxa"/>
            <w:tcBorders>
              <w:top w:val="nil"/>
              <w:left w:val="nil"/>
              <w:bottom w:val="nil"/>
              <w:right w:val="nil"/>
            </w:tcBorders>
            <w:shd w:val="clear" w:color="auto" w:fill="auto"/>
            <w:vAlign w:val="center"/>
            <w:hideMark/>
          </w:tcPr>
          <w:p w14:paraId="6447A990"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Inhibitor</w:t>
            </w:r>
          </w:p>
        </w:tc>
        <w:tc>
          <w:tcPr>
            <w:tcW w:w="4063" w:type="dxa"/>
            <w:tcBorders>
              <w:top w:val="nil"/>
              <w:left w:val="nil"/>
              <w:bottom w:val="nil"/>
              <w:right w:val="nil"/>
            </w:tcBorders>
            <w:shd w:val="clear" w:color="auto" w:fill="auto"/>
            <w:vAlign w:val="center"/>
            <w:hideMark/>
          </w:tcPr>
          <w:p w14:paraId="2C40DEB1"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 xml:space="preserve">For the treatment of patients with ALK+ NSCLC with intolerance to </w:t>
            </w:r>
            <w:proofErr w:type="spellStart"/>
            <w:r w:rsidRPr="00CE7FB1">
              <w:rPr>
                <w:rFonts w:ascii="Times New Roman" w:hAnsi="Times New Roman"/>
                <w:color w:val="000000"/>
                <w:kern w:val="0"/>
                <w:sz w:val="24"/>
                <w:szCs w:val="24"/>
              </w:rPr>
              <w:t>Crizotinib</w:t>
            </w:r>
            <w:proofErr w:type="spellEnd"/>
            <w:r w:rsidRPr="00CE7FB1">
              <w:rPr>
                <w:rFonts w:ascii="Times New Roman" w:hAnsi="Times New Roman"/>
                <w:color w:val="000000"/>
                <w:kern w:val="0"/>
                <w:sz w:val="24"/>
                <w:szCs w:val="24"/>
              </w:rPr>
              <w:t>.</w:t>
            </w:r>
          </w:p>
        </w:tc>
        <w:tc>
          <w:tcPr>
            <w:tcW w:w="1556" w:type="dxa"/>
            <w:tcBorders>
              <w:top w:val="nil"/>
              <w:left w:val="nil"/>
              <w:bottom w:val="nil"/>
              <w:right w:val="nil"/>
            </w:tcBorders>
            <w:shd w:val="clear" w:color="auto" w:fill="auto"/>
            <w:vAlign w:val="center"/>
            <w:hideMark/>
          </w:tcPr>
          <w:p w14:paraId="4FABFCEC"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c>
          <w:tcPr>
            <w:tcW w:w="1912" w:type="dxa"/>
            <w:tcBorders>
              <w:top w:val="nil"/>
              <w:left w:val="nil"/>
              <w:bottom w:val="nil"/>
              <w:right w:val="nil"/>
            </w:tcBorders>
            <w:shd w:val="clear" w:color="auto" w:fill="auto"/>
            <w:vAlign w:val="center"/>
            <w:hideMark/>
          </w:tcPr>
          <w:p w14:paraId="1412D4A9"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4.95</w:t>
            </w:r>
            <w:r w:rsidRPr="00CE7FB1">
              <w:rPr>
                <w:rFonts w:hint="eastAsia"/>
                <w:color w:val="000000"/>
                <w:kern w:val="0"/>
                <w:sz w:val="24"/>
                <w:szCs w:val="24"/>
              </w:rPr>
              <w:t>±</w:t>
            </w:r>
            <w:r w:rsidRPr="00CE7FB1">
              <w:rPr>
                <w:rFonts w:ascii="Times New Roman" w:hAnsi="Times New Roman"/>
                <w:color w:val="000000"/>
                <w:kern w:val="0"/>
                <w:sz w:val="24"/>
                <w:szCs w:val="24"/>
              </w:rPr>
              <w:t>0.37</w:t>
            </w:r>
          </w:p>
        </w:tc>
      </w:tr>
      <w:tr w:rsidR="005C31BF" w:rsidRPr="00CE7FB1" w14:paraId="3D43296E" w14:textId="77777777" w:rsidTr="005C31BF">
        <w:trPr>
          <w:trHeight w:val="1775"/>
          <w:jc w:val="center"/>
        </w:trPr>
        <w:tc>
          <w:tcPr>
            <w:tcW w:w="1436" w:type="dxa"/>
            <w:tcBorders>
              <w:top w:val="nil"/>
              <w:left w:val="nil"/>
              <w:bottom w:val="nil"/>
              <w:right w:val="nil"/>
            </w:tcBorders>
            <w:shd w:val="clear" w:color="auto" w:fill="auto"/>
            <w:vAlign w:val="center"/>
            <w:hideMark/>
          </w:tcPr>
          <w:p w14:paraId="7356F15C"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DB11963</w:t>
            </w:r>
          </w:p>
        </w:tc>
        <w:tc>
          <w:tcPr>
            <w:tcW w:w="1416" w:type="dxa"/>
            <w:tcBorders>
              <w:top w:val="nil"/>
              <w:left w:val="nil"/>
              <w:bottom w:val="nil"/>
              <w:right w:val="nil"/>
            </w:tcBorders>
            <w:shd w:val="clear" w:color="auto" w:fill="auto"/>
            <w:vAlign w:val="center"/>
            <w:hideMark/>
          </w:tcPr>
          <w:p w14:paraId="697653B3"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Dacomitinib</w:t>
            </w:r>
          </w:p>
        </w:tc>
        <w:tc>
          <w:tcPr>
            <w:tcW w:w="1270" w:type="dxa"/>
            <w:tcBorders>
              <w:top w:val="nil"/>
              <w:left w:val="nil"/>
              <w:bottom w:val="nil"/>
              <w:right w:val="nil"/>
            </w:tcBorders>
            <w:shd w:val="clear" w:color="auto" w:fill="auto"/>
            <w:vAlign w:val="center"/>
            <w:hideMark/>
          </w:tcPr>
          <w:p w14:paraId="7B75EED6"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Inhibitor</w:t>
            </w:r>
          </w:p>
        </w:tc>
        <w:tc>
          <w:tcPr>
            <w:tcW w:w="4063" w:type="dxa"/>
            <w:tcBorders>
              <w:top w:val="nil"/>
              <w:left w:val="nil"/>
              <w:bottom w:val="nil"/>
              <w:right w:val="nil"/>
            </w:tcBorders>
            <w:shd w:val="clear" w:color="auto" w:fill="auto"/>
            <w:vAlign w:val="center"/>
            <w:hideMark/>
          </w:tcPr>
          <w:p w14:paraId="76588EC3"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Indicated as the first-line treatment of patients with metastatic NSCLC with EGFR exon 19 deletion or exon 21 L858R substitution mutations.</w:t>
            </w:r>
          </w:p>
        </w:tc>
        <w:tc>
          <w:tcPr>
            <w:tcW w:w="1556" w:type="dxa"/>
            <w:tcBorders>
              <w:top w:val="nil"/>
              <w:left w:val="nil"/>
              <w:bottom w:val="nil"/>
              <w:right w:val="nil"/>
            </w:tcBorders>
            <w:shd w:val="clear" w:color="auto" w:fill="auto"/>
            <w:vAlign w:val="center"/>
            <w:hideMark/>
          </w:tcPr>
          <w:p w14:paraId="3E69B4F8"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c>
          <w:tcPr>
            <w:tcW w:w="1912" w:type="dxa"/>
            <w:tcBorders>
              <w:top w:val="nil"/>
              <w:left w:val="nil"/>
              <w:bottom w:val="nil"/>
              <w:right w:val="nil"/>
            </w:tcBorders>
            <w:shd w:val="clear" w:color="auto" w:fill="auto"/>
            <w:vAlign w:val="center"/>
            <w:hideMark/>
          </w:tcPr>
          <w:p w14:paraId="785057BF"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2.96</w:t>
            </w:r>
            <w:r w:rsidRPr="00CE7FB1">
              <w:rPr>
                <w:rFonts w:hint="eastAsia"/>
                <w:color w:val="000000"/>
                <w:kern w:val="0"/>
                <w:sz w:val="24"/>
                <w:szCs w:val="24"/>
              </w:rPr>
              <w:t>±</w:t>
            </w:r>
            <w:r w:rsidRPr="00CE7FB1">
              <w:rPr>
                <w:rFonts w:ascii="Times New Roman" w:hAnsi="Times New Roman"/>
                <w:color w:val="000000"/>
                <w:kern w:val="0"/>
                <w:sz w:val="24"/>
                <w:szCs w:val="24"/>
              </w:rPr>
              <w:t>0.38</w:t>
            </w:r>
          </w:p>
        </w:tc>
      </w:tr>
      <w:tr w:rsidR="005C31BF" w:rsidRPr="00CE7FB1" w14:paraId="6B2C65B5" w14:textId="77777777" w:rsidTr="005C31BF">
        <w:trPr>
          <w:trHeight w:val="1285"/>
          <w:jc w:val="center"/>
        </w:trPr>
        <w:tc>
          <w:tcPr>
            <w:tcW w:w="1436" w:type="dxa"/>
            <w:tcBorders>
              <w:top w:val="nil"/>
              <w:left w:val="nil"/>
              <w:bottom w:val="nil"/>
              <w:right w:val="nil"/>
            </w:tcBorders>
            <w:shd w:val="clear" w:color="auto" w:fill="auto"/>
            <w:vAlign w:val="center"/>
            <w:hideMark/>
          </w:tcPr>
          <w:p w14:paraId="5499424B"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DB00530</w:t>
            </w:r>
          </w:p>
        </w:tc>
        <w:tc>
          <w:tcPr>
            <w:tcW w:w="1416" w:type="dxa"/>
            <w:tcBorders>
              <w:top w:val="nil"/>
              <w:left w:val="nil"/>
              <w:bottom w:val="nil"/>
              <w:right w:val="nil"/>
            </w:tcBorders>
            <w:shd w:val="clear" w:color="auto" w:fill="auto"/>
            <w:vAlign w:val="center"/>
            <w:hideMark/>
          </w:tcPr>
          <w:p w14:paraId="16910F37"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Erlotinib</w:t>
            </w:r>
          </w:p>
        </w:tc>
        <w:tc>
          <w:tcPr>
            <w:tcW w:w="1270" w:type="dxa"/>
            <w:tcBorders>
              <w:top w:val="nil"/>
              <w:left w:val="nil"/>
              <w:bottom w:val="nil"/>
              <w:right w:val="nil"/>
            </w:tcBorders>
            <w:shd w:val="clear" w:color="auto" w:fill="auto"/>
            <w:vAlign w:val="center"/>
            <w:hideMark/>
          </w:tcPr>
          <w:p w14:paraId="56016DE5"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Antagonist</w:t>
            </w:r>
          </w:p>
        </w:tc>
        <w:tc>
          <w:tcPr>
            <w:tcW w:w="4063" w:type="dxa"/>
            <w:tcBorders>
              <w:top w:val="nil"/>
              <w:left w:val="nil"/>
              <w:bottom w:val="nil"/>
              <w:right w:val="nil"/>
            </w:tcBorders>
            <w:shd w:val="clear" w:color="auto" w:fill="auto"/>
            <w:vAlign w:val="center"/>
            <w:hideMark/>
          </w:tcPr>
          <w:p w14:paraId="0FE1DDE2"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For the treatment of metastatic NSCLC and pancreatic cancer.</w:t>
            </w:r>
          </w:p>
        </w:tc>
        <w:tc>
          <w:tcPr>
            <w:tcW w:w="1556" w:type="dxa"/>
            <w:tcBorders>
              <w:top w:val="nil"/>
              <w:left w:val="nil"/>
              <w:bottom w:val="nil"/>
              <w:right w:val="nil"/>
            </w:tcBorders>
            <w:shd w:val="clear" w:color="auto" w:fill="auto"/>
            <w:vAlign w:val="center"/>
            <w:hideMark/>
          </w:tcPr>
          <w:p w14:paraId="6709EBF5"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c>
          <w:tcPr>
            <w:tcW w:w="1912" w:type="dxa"/>
            <w:tcBorders>
              <w:top w:val="nil"/>
              <w:left w:val="nil"/>
              <w:bottom w:val="nil"/>
              <w:right w:val="nil"/>
            </w:tcBorders>
            <w:shd w:val="clear" w:color="auto" w:fill="auto"/>
            <w:vAlign w:val="center"/>
            <w:hideMark/>
          </w:tcPr>
          <w:p w14:paraId="02AE1370"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18.98</w:t>
            </w:r>
            <w:r w:rsidRPr="00CE7FB1">
              <w:rPr>
                <w:rFonts w:hint="eastAsia"/>
                <w:color w:val="000000"/>
                <w:kern w:val="0"/>
                <w:sz w:val="24"/>
                <w:szCs w:val="24"/>
              </w:rPr>
              <w:t>±</w:t>
            </w:r>
            <w:r w:rsidRPr="00CE7FB1">
              <w:rPr>
                <w:rFonts w:ascii="Times New Roman" w:hAnsi="Times New Roman"/>
                <w:color w:val="000000"/>
                <w:kern w:val="0"/>
                <w:sz w:val="24"/>
                <w:szCs w:val="24"/>
              </w:rPr>
              <w:t>3.26</w:t>
            </w:r>
          </w:p>
        </w:tc>
      </w:tr>
      <w:tr w:rsidR="005C31BF" w:rsidRPr="00CE7FB1" w14:paraId="394BBC6C" w14:textId="77777777" w:rsidTr="005C31BF">
        <w:trPr>
          <w:trHeight w:val="1229"/>
          <w:jc w:val="center"/>
        </w:trPr>
        <w:tc>
          <w:tcPr>
            <w:tcW w:w="1436" w:type="dxa"/>
            <w:tcBorders>
              <w:top w:val="nil"/>
              <w:left w:val="nil"/>
              <w:bottom w:val="nil"/>
              <w:right w:val="nil"/>
            </w:tcBorders>
            <w:shd w:val="clear" w:color="auto" w:fill="auto"/>
            <w:vAlign w:val="center"/>
            <w:hideMark/>
          </w:tcPr>
          <w:p w14:paraId="2146CF8A"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DB00317</w:t>
            </w:r>
          </w:p>
        </w:tc>
        <w:tc>
          <w:tcPr>
            <w:tcW w:w="1416" w:type="dxa"/>
            <w:tcBorders>
              <w:top w:val="nil"/>
              <w:left w:val="nil"/>
              <w:bottom w:val="nil"/>
              <w:right w:val="nil"/>
            </w:tcBorders>
            <w:shd w:val="clear" w:color="auto" w:fill="auto"/>
            <w:vAlign w:val="center"/>
            <w:hideMark/>
          </w:tcPr>
          <w:p w14:paraId="34949236"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Gefitinib</w:t>
            </w:r>
          </w:p>
        </w:tc>
        <w:tc>
          <w:tcPr>
            <w:tcW w:w="1270" w:type="dxa"/>
            <w:tcBorders>
              <w:top w:val="nil"/>
              <w:left w:val="nil"/>
              <w:bottom w:val="nil"/>
              <w:right w:val="nil"/>
            </w:tcBorders>
            <w:shd w:val="clear" w:color="auto" w:fill="auto"/>
            <w:vAlign w:val="center"/>
            <w:hideMark/>
          </w:tcPr>
          <w:p w14:paraId="42B9FA7B"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Antagonist</w:t>
            </w:r>
          </w:p>
        </w:tc>
        <w:tc>
          <w:tcPr>
            <w:tcW w:w="4063" w:type="dxa"/>
            <w:tcBorders>
              <w:top w:val="nil"/>
              <w:left w:val="nil"/>
              <w:bottom w:val="nil"/>
              <w:right w:val="nil"/>
            </w:tcBorders>
            <w:shd w:val="clear" w:color="auto" w:fill="auto"/>
            <w:vAlign w:val="center"/>
            <w:hideMark/>
          </w:tcPr>
          <w:p w14:paraId="73CB2ADB"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For the continued treatment of patients with metastatic NSCLC after failure.</w:t>
            </w:r>
          </w:p>
        </w:tc>
        <w:tc>
          <w:tcPr>
            <w:tcW w:w="1556" w:type="dxa"/>
            <w:tcBorders>
              <w:top w:val="nil"/>
              <w:left w:val="nil"/>
              <w:bottom w:val="nil"/>
              <w:right w:val="nil"/>
            </w:tcBorders>
            <w:shd w:val="clear" w:color="auto" w:fill="auto"/>
            <w:vAlign w:val="center"/>
            <w:hideMark/>
          </w:tcPr>
          <w:p w14:paraId="5437FC28"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Clinical trial phase 2</w:t>
            </w:r>
          </w:p>
        </w:tc>
        <w:tc>
          <w:tcPr>
            <w:tcW w:w="1912" w:type="dxa"/>
            <w:tcBorders>
              <w:top w:val="nil"/>
              <w:left w:val="nil"/>
              <w:bottom w:val="nil"/>
              <w:right w:val="nil"/>
            </w:tcBorders>
            <w:shd w:val="clear" w:color="auto" w:fill="auto"/>
            <w:vAlign w:val="center"/>
            <w:hideMark/>
          </w:tcPr>
          <w:p w14:paraId="02D17A41"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17.63</w:t>
            </w:r>
            <w:r w:rsidRPr="00CE7FB1">
              <w:rPr>
                <w:rFonts w:hint="eastAsia"/>
                <w:color w:val="000000"/>
                <w:kern w:val="0"/>
                <w:sz w:val="24"/>
                <w:szCs w:val="24"/>
              </w:rPr>
              <w:t>±</w:t>
            </w:r>
            <w:r w:rsidRPr="00CE7FB1">
              <w:rPr>
                <w:rFonts w:ascii="Times New Roman" w:hAnsi="Times New Roman"/>
                <w:color w:val="000000"/>
                <w:kern w:val="0"/>
                <w:sz w:val="24"/>
                <w:szCs w:val="24"/>
              </w:rPr>
              <w:t>0.82</w:t>
            </w:r>
          </w:p>
        </w:tc>
      </w:tr>
      <w:tr w:rsidR="005C31BF" w:rsidRPr="00CE7FB1" w14:paraId="69A305D1" w14:textId="77777777" w:rsidTr="005C31BF">
        <w:trPr>
          <w:trHeight w:val="1286"/>
          <w:jc w:val="center"/>
        </w:trPr>
        <w:tc>
          <w:tcPr>
            <w:tcW w:w="1436" w:type="dxa"/>
            <w:tcBorders>
              <w:top w:val="nil"/>
              <w:left w:val="nil"/>
              <w:bottom w:val="nil"/>
              <w:right w:val="nil"/>
            </w:tcBorders>
            <w:shd w:val="clear" w:color="auto" w:fill="auto"/>
            <w:vAlign w:val="center"/>
            <w:hideMark/>
          </w:tcPr>
          <w:p w14:paraId="2988468B"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lastRenderedPageBreak/>
              <w:t>DB01259</w:t>
            </w:r>
          </w:p>
        </w:tc>
        <w:tc>
          <w:tcPr>
            <w:tcW w:w="1416" w:type="dxa"/>
            <w:tcBorders>
              <w:top w:val="nil"/>
              <w:left w:val="nil"/>
              <w:bottom w:val="nil"/>
              <w:right w:val="nil"/>
            </w:tcBorders>
            <w:shd w:val="clear" w:color="auto" w:fill="auto"/>
            <w:vAlign w:val="center"/>
            <w:hideMark/>
          </w:tcPr>
          <w:p w14:paraId="6C06FBAA"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Lapatinib</w:t>
            </w:r>
          </w:p>
        </w:tc>
        <w:tc>
          <w:tcPr>
            <w:tcW w:w="1270" w:type="dxa"/>
            <w:tcBorders>
              <w:top w:val="nil"/>
              <w:left w:val="nil"/>
              <w:bottom w:val="nil"/>
              <w:right w:val="nil"/>
            </w:tcBorders>
            <w:shd w:val="clear" w:color="auto" w:fill="auto"/>
            <w:vAlign w:val="center"/>
            <w:hideMark/>
          </w:tcPr>
          <w:p w14:paraId="62F1994C"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Antagonist</w:t>
            </w:r>
          </w:p>
        </w:tc>
        <w:tc>
          <w:tcPr>
            <w:tcW w:w="4063" w:type="dxa"/>
            <w:tcBorders>
              <w:top w:val="nil"/>
              <w:left w:val="nil"/>
              <w:bottom w:val="nil"/>
              <w:right w:val="nil"/>
            </w:tcBorders>
            <w:shd w:val="clear" w:color="auto" w:fill="auto"/>
            <w:vAlign w:val="center"/>
            <w:hideMark/>
          </w:tcPr>
          <w:p w14:paraId="6992F237"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Combine with capecitabine for the treatment of patients with advanced or metastatic breast cancer.</w:t>
            </w:r>
          </w:p>
        </w:tc>
        <w:tc>
          <w:tcPr>
            <w:tcW w:w="1556" w:type="dxa"/>
            <w:tcBorders>
              <w:top w:val="nil"/>
              <w:left w:val="nil"/>
              <w:bottom w:val="nil"/>
              <w:right w:val="nil"/>
            </w:tcBorders>
            <w:shd w:val="clear" w:color="auto" w:fill="auto"/>
            <w:vAlign w:val="center"/>
            <w:hideMark/>
          </w:tcPr>
          <w:p w14:paraId="4563209D"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Preclinical trials</w:t>
            </w:r>
          </w:p>
        </w:tc>
        <w:tc>
          <w:tcPr>
            <w:tcW w:w="1912" w:type="dxa"/>
            <w:tcBorders>
              <w:top w:val="nil"/>
              <w:left w:val="nil"/>
              <w:bottom w:val="nil"/>
              <w:right w:val="nil"/>
            </w:tcBorders>
            <w:shd w:val="clear" w:color="auto" w:fill="auto"/>
            <w:vAlign w:val="center"/>
            <w:hideMark/>
          </w:tcPr>
          <w:p w14:paraId="06E711D0"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2.67</w:t>
            </w:r>
            <w:r w:rsidRPr="00CE7FB1">
              <w:rPr>
                <w:rFonts w:hint="eastAsia"/>
                <w:color w:val="000000"/>
                <w:kern w:val="0"/>
                <w:sz w:val="24"/>
                <w:szCs w:val="24"/>
              </w:rPr>
              <w:t>±</w:t>
            </w:r>
            <w:r w:rsidRPr="00CE7FB1">
              <w:rPr>
                <w:rFonts w:ascii="Times New Roman" w:hAnsi="Times New Roman"/>
                <w:color w:val="000000"/>
                <w:kern w:val="0"/>
                <w:sz w:val="24"/>
                <w:szCs w:val="24"/>
              </w:rPr>
              <w:t>0.17</w:t>
            </w:r>
          </w:p>
        </w:tc>
      </w:tr>
      <w:tr w:rsidR="005C31BF" w:rsidRPr="00CE7FB1" w14:paraId="1DF22F9C" w14:textId="77777777" w:rsidTr="005C31BF">
        <w:trPr>
          <w:trHeight w:val="1313"/>
          <w:jc w:val="center"/>
        </w:trPr>
        <w:tc>
          <w:tcPr>
            <w:tcW w:w="1436" w:type="dxa"/>
            <w:tcBorders>
              <w:top w:val="nil"/>
              <w:left w:val="nil"/>
              <w:bottom w:val="nil"/>
              <w:right w:val="nil"/>
            </w:tcBorders>
            <w:shd w:val="clear" w:color="auto" w:fill="auto"/>
            <w:vAlign w:val="center"/>
            <w:hideMark/>
          </w:tcPr>
          <w:p w14:paraId="2E23180A"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DB11828</w:t>
            </w:r>
          </w:p>
        </w:tc>
        <w:tc>
          <w:tcPr>
            <w:tcW w:w="1416" w:type="dxa"/>
            <w:tcBorders>
              <w:top w:val="nil"/>
              <w:left w:val="nil"/>
              <w:bottom w:val="nil"/>
              <w:right w:val="nil"/>
            </w:tcBorders>
            <w:shd w:val="clear" w:color="auto" w:fill="auto"/>
            <w:vAlign w:val="center"/>
            <w:hideMark/>
          </w:tcPr>
          <w:p w14:paraId="135E0DCE"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Neratinib</w:t>
            </w:r>
          </w:p>
        </w:tc>
        <w:tc>
          <w:tcPr>
            <w:tcW w:w="1270" w:type="dxa"/>
            <w:tcBorders>
              <w:top w:val="nil"/>
              <w:left w:val="nil"/>
              <w:bottom w:val="nil"/>
              <w:right w:val="nil"/>
            </w:tcBorders>
            <w:shd w:val="clear" w:color="auto" w:fill="auto"/>
            <w:vAlign w:val="center"/>
            <w:hideMark/>
          </w:tcPr>
          <w:p w14:paraId="1A4446F8"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Inhibitor</w:t>
            </w:r>
          </w:p>
        </w:tc>
        <w:tc>
          <w:tcPr>
            <w:tcW w:w="4063" w:type="dxa"/>
            <w:tcBorders>
              <w:top w:val="nil"/>
              <w:left w:val="nil"/>
              <w:bottom w:val="nil"/>
              <w:right w:val="nil"/>
            </w:tcBorders>
            <w:shd w:val="clear" w:color="auto" w:fill="auto"/>
            <w:vAlign w:val="center"/>
            <w:hideMark/>
          </w:tcPr>
          <w:p w14:paraId="4863553C"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For use as an extended adjuvant treatment in adult patients with breast cancer.</w:t>
            </w:r>
          </w:p>
        </w:tc>
        <w:tc>
          <w:tcPr>
            <w:tcW w:w="1556" w:type="dxa"/>
            <w:tcBorders>
              <w:top w:val="nil"/>
              <w:left w:val="nil"/>
              <w:bottom w:val="nil"/>
              <w:right w:val="nil"/>
            </w:tcBorders>
            <w:shd w:val="clear" w:color="auto" w:fill="auto"/>
            <w:vAlign w:val="center"/>
            <w:hideMark/>
          </w:tcPr>
          <w:p w14:paraId="25C9C108"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c>
          <w:tcPr>
            <w:tcW w:w="1912" w:type="dxa"/>
            <w:tcBorders>
              <w:top w:val="nil"/>
              <w:left w:val="nil"/>
              <w:bottom w:val="nil"/>
              <w:right w:val="nil"/>
            </w:tcBorders>
            <w:shd w:val="clear" w:color="auto" w:fill="auto"/>
            <w:vAlign w:val="center"/>
            <w:hideMark/>
          </w:tcPr>
          <w:p w14:paraId="47FF0867"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4.44</w:t>
            </w:r>
            <w:r w:rsidRPr="00CE7FB1">
              <w:rPr>
                <w:rFonts w:hint="eastAsia"/>
                <w:color w:val="000000"/>
                <w:kern w:val="0"/>
                <w:sz w:val="24"/>
                <w:szCs w:val="24"/>
              </w:rPr>
              <w:t>±</w:t>
            </w:r>
            <w:r w:rsidRPr="00CE7FB1">
              <w:rPr>
                <w:rFonts w:ascii="Times New Roman" w:hAnsi="Times New Roman"/>
                <w:color w:val="000000"/>
                <w:kern w:val="0"/>
                <w:sz w:val="24"/>
                <w:szCs w:val="24"/>
              </w:rPr>
              <w:t>0.32</w:t>
            </w:r>
          </w:p>
        </w:tc>
      </w:tr>
      <w:tr w:rsidR="005C31BF" w:rsidRPr="00CE7FB1" w14:paraId="524C70C0" w14:textId="77777777" w:rsidTr="005C31BF">
        <w:trPr>
          <w:trHeight w:val="1229"/>
          <w:jc w:val="center"/>
        </w:trPr>
        <w:tc>
          <w:tcPr>
            <w:tcW w:w="1436" w:type="dxa"/>
            <w:tcBorders>
              <w:top w:val="nil"/>
              <w:left w:val="nil"/>
              <w:bottom w:val="single" w:sz="8" w:space="0" w:color="auto"/>
              <w:right w:val="nil"/>
            </w:tcBorders>
            <w:shd w:val="clear" w:color="auto" w:fill="auto"/>
            <w:vAlign w:val="center"/>
            <w:hideMark/>
          </w:tcPr>
          <w:p w14:paraId="6F19457E"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DB09330</w:t>
            </w:r>
          </w:p>
        </w:tc>
        <w:tc>
          <w:tcPr>
            <w:tcW w:w="1416" w:type="dxa"/>
            <w:tcBorders>
              <w:top w:val="nil"/>
              <w:left w:val="nil"/>
              <w:bottom w:val="single" w:sz="8" w:space="0" w:color="auto"/>
              <w:right w:val="nil"/>
            </w:tcBorders>
            <w:shd w:val="clear" w:color="auto" w:fill="auto"/>
            <w:vAlign w:val="center"/>
            <w:hideMark/>
          </w:tcPr>
          <w:p w14:paraId="378BDA1A" w14:textId="77777777" w:rsidR="005C31BF" w:rsidRPr="00CE7FB1" w:rsidRDefault="005C31BF" w:rsidP="003E75CC">
            <w:pPr>
              <w:widowControl/>
              <w:spacing w:line="276" w:lineRule="auto"/>
              <w:jc w:val="center"/>
              <w:rPr>
                <w:rFonts w:ascii="Times New Roman" w:hAnsi="Times New Roman"/>
                <w:color w:val="000000"/>
                <w:kern w:val="0"/>
                <w:sz w:val="24"/>
                <w:szCs w:val="24"/>
              </w:rPr>
            </w:pPr>
            <w:proofErr w:type="spellStart"/>
            <w:r w:rsidRPr="00CE7FB1">
              <w:rPr>
                <w:rFonts w:ascii="Times New Roman" w:hAnsi="Times New Roman"/>
                <w:color w:val="000000"/>
                <w:kern w:val="0"/>
                <w:sz w:val="24"/>
                <w:szCs w:val="24"/>
              </w:rPr>
              <w:t>Osimertinib</w:t>
            </w:r>
            <w:proofErr w:type="spellEnd"/>
          </w:p>
        </w:tc>
        <w:tc>
          <w:tcPr>
            <w:tcW w:w="1270" w:type="dxa"/>
            <w:tcBorders>
              <w:top w:val="nil"/>
              <w:left w:val="nil"/>
              <w:bottom w:val="single" w:sz="8" w:space="0" w:color="auto"/>
              <w:right w:val="nil"/>
            </w:tcBorders>
            <w:shd w:val="clear" w:color="auto" w:fill="auto"/>
            <w:vAlign w:val="center"/>
            <w:hideMark/>
          </w:tcPr>
          <w:p w14:paraId="0B3ADD82"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Inhibitor</w:t>
            </w:r>
          </w:p>
        </w:tc>
        <w:tc>
          <w:tcPr>
            <w:tcW w:w="4063" w:type="dxa"/>
            <w:tcBorders>
              <w:top w:val="nil"/>
              <w:left w:val="nil"/>
              <w:bottom w:val="single" w:sz="8" w:space="0" w:color="auto"/>
              <w:right w:val="nil"/>
            </w:tcBorders>
            <w:shd w:val="clear" w:color="auto" w:fill="auto"/>
            <w:vAlign w:val="center"/>
            <w:hideMark/>
          </w:tcPr>
          <w:p w14:paraId="6C507155"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For the treatment of patients with metastatic EGFR T790M mutation-positive NSCLC.</w:t>
            </w:r>
          </w:p>
        </w:tc>
        <w:tc>
          <w:tcPr>
            <w:tcW w:w="1556" w:type="dxa"/>
            <w:tcBorders>
              <w:top w:val="nil"/>
              <w:left w:val="nil"/>
              <w:bottom w:val="single" w:sz="8" w:space="0" w:color="auto"/>
              <w:right w:val="nil"/>
            </w:tcBorders>
            <w:shd w:val="clear" w:color="auto" w:fill="auto"/>
            <w:vAlign w:val="center"/>
            <w:hideMark/>
          </w:tcPr>
          <w:p w14:paraId="6518B10E"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NA</w:t>
            </w:r>
          </w:p>
        </w:tc>
        <w:tc>
          <w:tcPr>
            <w:tcW w:w="1912" w:type="dxa"/>
            <w:tcBorders>
              <w:top w:val="nil"/>
              <w:left w:val="nil"/>
              <w:bottom w:val="single" w:sz="8" w:space="0" w:color="auto"/>
              <w:right w:val="nil"/>
            </w:tcBorders>
            <w:shd w:val="clear" w:color="auto" w:fill="auto"/>
            <w:vAlign w:val="center"/>
            <w:hideMark/>
          </w:tcPr>
          <w:p w14:paraId="7F4D4491" w14:textId="77777777" w:rsidR="005C31BF" w:rsidRPr="00CE7FB1" w:rsidRDefault="005C31BF"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4.82</w:t>
            </w:r>
            <w:r w:rsidRPr="00CE7FB1">
              <w:rPr>
                <w:rFonts w:hint="eastAsia"/>
                <w:color w:val="000000"/>
                <w:kern w:val="0"/>
                <w:sz w:val="24"/>
                <w:szCs w:val="24"/>
              </w:rPr>
              <w:t>±</w:t>
            </w:r>
            <w:r w:rsidRPr="00CE7FB1">
              <w:rPr>
                <w:rFonts w:ascii="Times New Roman" w:hAnsi="Times New Roman"/>
                <w:color w:val="000000"/>
                <w:kern w:val="0"/>
                <w:sz w:val="24"/>
                <w:szCs w:val="24"/>
              </w:rPr>
              <w:t>0.25</w:t>
            </w:r>
          </w:p>
        </w:tc>
      </w:tr>
    </w:tbl>
    <w:p w14:paraId="598E5C2D" w14:textId="77777777" w:rsidR="002330B5" w:rsidRPr="00CE7FB1" w:rsidRDefault="005C31BF" w:rsidP="00752BA8">
      <w:pPr>
        <w:widowControl/>
        <w:spacing w:line="276" w:lineRule="auto"/>
        <w:rPr>
          <w:rFonts w:ascii="Times New Roman" w:hAnsi="Times New Roman"/>
          <w:b/>
          <w:bCs/>
          <w:color w:val="000000"/>
          <w:kern w:val="0"/>
          <w:sz w:val="24"/>
          <w:szCs w:val="24"/>
        </w:rPr>
      </w:pPr>
      <w:r w:rsidRPr="00CE7FB1">
        <w:rPr>
          <w:rFonts w:ascii="Times New Roman" w:hAnsi="Times New Roman"/>
          <w:color w:val="000000"/>
          <w:kern w:val="0"/>
          <w:sz w:val="24"/>
          <w:szCs w:val="24"/>
        </w:rPr>
        <w:t>CD</w:t>
      </w:r>
      <w:r w:rsidR="00810F00" w:rsidRPr="00CE7FB1">
        <w:rPr>
          <w:rFonts w:ascii="Times New Roman" w:hAnsi="Times New Roman"/>
          <w:color w:val="000000"/>
          <w:kern w:val="0"/>
          <w:sz w:val="24"/>
          <w:szCs w:val="24"/>
        </w:rPr>
        <w:t>:</w:t>
      </w:r>
      <w:r w:rsidRPr="00CE7FB1">
        <w:rPr>
          <w:rFonts w:ascii="Times New Roman" w:hAnsi="Times New Roman"/>
          <w:color w:val="000000"/>
          <w:kern w:val="0"/>
          <w:sz w:val="24"/>
          <w:szCs w:val="24"/>
        </w:rPr>
        <w:t xml:space="preserve"> Cushing’s disease; </w:t>
      </w:r>
      <w:proofErr w:type="spellStart"/>
      <w:proofErr w:type="gramStart"/>
      <w:r w:rsidRPr="00CE7FB1">
        <w:rPr>
          <w:rFonts w:ascii="Times New Roman" w:hAnsi="Times New Roman"/>
          <w:color w:val="000000"/>
          <w:kern w:val="0"/>
          <w:sz w:val="24"/>
          <w:szCs w:val="24"/>
        </w:rPr>
        <w:t>NA</w:t>
      </w:r>
      <w:r w:rsidR="00810F00" w:rsidRPr="00CE7FB1">
        <w:rPr>
          <w:rFonts w:ascii="Times New Roman" w:hAnsi="Times New Roman"/>
          <w:color w:val="000000"/>
          <w:kern w:val="0"/>
          <w:sz w:val="24"/>
          <w:szCs w:val="24"/>
        </w:rPr>
        <w:t>:</w:t>
      </w:r>
      <w:r w:rsidRPr="00CE7FB1">
        <w:rPr>
          <w:rFonts w:ascii="Times New Roman" w:hAnsi="Times New Roman"/>
          <w:color w:val="000000"/>
          <w:kern w:val="0"/>
          <w:sz w:val="24"/>
          <w:szCs w:val="24"/>
        </w:rPr>
        <w:t>not</w:t>
      </w:r>
      <w:proofErr w:type="spellEnd"/>
      <w:proofErr w:type="gramEnd"/>
      <w:r w:rsidRPr="00CE7FB1">
        <w:rPr>
          <w:rFonts w:ascii="Times New Roman" w:hAnsi="Times New Roman"/>
          <w:color w:val="000000"/>
          <w:kern w:val="0"/>
          <w:sz w:val="24"/>
          <w:szCs w:val="24"/>
        </w:rPr>
        <w:t xml:space="preserve"> available; IC</w:t>
      </w:r>
      <w:r w:rsidRPr="00CE7FB1">
        <w:rPr>
          <w:rFonts w:ascii="Times New Roman" w:hAnsi="Times New Roman"/>
          <w:color w:val="000000"/>
          <w:kern w:val="0"/>
          <w:sz w:val="24"/>
          <w:szCs w:val="24"/>
          <w:vertAlign w:val="subscript"/>
        </w:rPr>
        <w:t>50</w:t>
      </w:r>
      <w:r w:rsidR="00810F00" w:rsidRPr="00CE7FB1">
        <w:rPr>
          <w:rFonts w:ascii="Times New Roman" w:hAnsi="Times New Roman"/>
          <w:color w:val="000000"/>
          <w:kern w:val="0"/>
          <w:sz w:val="24"/>
          <w:szCs w:val="24"/>
        </w:rPr>
        <w:t>:</w:t>
      </w:r>
      <w:r w:rsidRPr="00CE7FB1">
        <w:rPr>
          <w:rFonts w:ascii="Times New Roman" w:hAnsi="Times New Roman"/>
          <w:color w:val="000000"/>
          <w:kern w:val="0"/>
          <w:sz w:val="24"/>
          <w:szCs w:val="24"/>
        </w:rPr>
        <w:t>50% inhibitory concentration; SEM</w:t>
      </w:r>
      <w:r w:rsidR="00810F00" w:rsidRPr="00CE7FB1">
        <w:rPr>
          <w:rFonts w:ascii="Times New Roman" w:hAnsi="Times New Roman"/>
          <w:color w:val="000000"/>
          <w:kern w:val="0"/>
          <w:sz w:val="24"/>
          <w:szCs w:val="24"/>
        </w:rPr>
        <w:t>:</w:t>
      </w:r>
      <w:r w:rsidRPr="00CE7FB1">
        <w:rPr>
          <w:sz w:val="24"/>
          <w:szCs w:val="24"/>
        </w:rPr>
        <w:t xml:space="preserve"> </w:t>
      </w:r>
      <w:r w:rsidRPr="00CE7FB1">
        <w:rPr>
          <w:rFonts w:ascii="Times New Roman" w:hAnsi="Times New Roman"/>
          <w:color w:val="000000"/>
          <w:kern w:val="0"/>
          <w:sz w:val="24"/>
          <w:szCs w:val="24"/>
        </w:rPr>
        <w:t>standard error of mean.</w:t>
      </w:r>
    </w:p>
    <w:p w14:paraId="45730FCD" w14:textId="77777777" w:rsidR="002330B5" w:rsidRPr="00CE7FB1" w:rsidRDefault="002330B5" w:rsidP="00752BA8">
      <w:pPr>
        <w:widowControl/>
        <w:spacing w:line="276" w:lineRule="auto"/>
        <w:rPr>
          <w:rFonts w:ascii="Times New Roman" w:hAnsi="Times New Roman"/>
          <w:b/>
          <w:bCs/>
          <w:color w:val="000000"/>
          <w:kern w:val="0"/>
          <w:sz w:val="24"/>
          <w:szCs w:val="24"/>
        </w:rPr>
      </w:pPr>
    </w:p>
    <w:p w14:paraId="6A320310" w14:textId="77777777" w:rsidR="002330B5" w:rsidRPr="00CE7FB1" w:rsidRDefault="002330B5" w:rsidP="00752BA8">
      <w:pPr>
        <w:widowControl/>
        <w:spacing w:line="276" w:lineRule="auto"/>
        <w:rPr>
          <w:rFonts w:ascii="Times New Roman" w:hAnsi="Times New Roman"/>
          <w:b/>
          <w:bCs/>
          <w:color w:val="000000"/>
          <w:kern w:val="0"/>
          <w:sz w:val="24"/>
          <w:szCs w:val="24"/>
        </w:rPr>
      </w:pPr>
    </w:p>
    <w:p w14:paraId="1BAC639E" w14:textId="77777777" w:rsidR="002330B5" w:rsidRPr="00CE7FB1" w:rsidRDefault="002330B5" w:rsidP="00752BA8">
      <w:pPr>
        <w:widowControl/>
        <w:spacing w:line="276" w:lineRule="auto"/>
        <w:rPr>
          <w:rFonts w:ascii="Times New Roman" w:hAnsi="Times New Roman"/>
          <w:b/>
          <w:bCs/>
          <w:color w:val="000000"/>
          <w:kern w:val="0"/>
          <w:sz w:val="24"/>
          <w:szCs w:val="24"/>
        </w:rPr>
      </w:pPr>
    </w:p>
    <w:p w14:paraId="3F765FF7" w14:textId="77777777" w:rsidR="002330B5" w:rsidRPr="00CE7FB1" w:rsidRDefault="002330B5" w:rsidP="00752BA8">
      <w:pPr>
        <w:widowControl/>
        <w:spacing w:line="276" w:lineRule="auto"/>
        <w:rPr>
          <w:rFonts w:ascii="Times New Roman" w:hAnsi="Times New Roman"/>
          <w:b/>
          <w:bCs/>
          <w:color w:val="000000"/>
          <w:kern w:val="0"/>
          <w:sz w:val="24"/>
          <w:szCs w:val="24"/>
        </w:rPr>
      </w:pPr>
    </w:p>
    <w:p w14:paraId="3B4C7015" w14:textId="77777777" w:rsidR="002330B5" w:rsidRPr="00CE7FB1" w:rsidRDefault="002330B5" w:rsidP="00752BA8">
      <w:pPr>
        <w:widowControl/>
        <w:spacing w:line="276" w:lineRule="auto"/>
        <w:rPr>
          <w:rFonts w:ascii="Times New Roman" w:hAnsi="Times New Roman"/>
          <w:b/>
          <w:bCs/>
          <w:color w:val="000000"/>
          <w:kern w:val="0"/>
          <w:sz w:val="24"/>
          <w:szCs w:val="24"/>
        </w:rPr>
      </w:pPr>
    </w:p>
    <w:p w14:paraId="7E7497F0" w14:textId="77777777" w:rsidR="00752BA8" w:rsidRPr="00CE7FB1" w:rsidRDefault="00752BA8" w:rsidP="002330B5">
      <w:pPr>
        <w:widowControl/>
        <w:spacing w:line="276" w:lineRule="auto"/>
        <w:jc w:val="center"/>
        <w:rPr>
          <w:rFonts w:ascii="Times New Roman" w:hAnsi="Times New Roman"/>
          <w:b/>
          <w:bCs/>
          <w:color w:val="000000"/>
          <w:kern w:val="0"/>
          <w:sz w:val="24"/>
          <w:szCs w:val="24"/>
        </w:rPr>
      </w:pPr>
    </w:p>
    <w:p w14:paraId="59F5C8DF" w14:textId="77777777" w:rsidR="002330B5" w:rsidRPr="00CE7FB1" w:rsidRDefault="002330B5" w:rsidP="00752BA8">
      <w:pPr>
        <w:widowControl/>
        <w:spacing w:line="276" w:lineRule="auto"/>
        <w:rPr>
          <w:rFonts w:ascii="Times New Roman" w:hAnsi="Times New Roman"/>
          <w:b/>
          <w:bCs/>
          <w:color w:val="000000"/>
          <w:kern w:val="0"/>
          <w:sz w:val="24"/>
          <w:szCs w:val="24"/>
        </w:rPr>
        <w:sectPr w:rsidR="002330B5" w:rsidRPr="00CE7FB1" w:rsidSect="002330B5">
          <w:pgSz w:w="16838" w:h="11906" w:orient="landscape"/>
          <w:pgMar w:top="1800" w:right="1440" w:bottom="1800" w:left="1440" w:header="851" w:footer="992" w:gutter="0"/>
          <w:cols w:space="425"/>
          <w:docGrid w:type="lines" w:linePitch="312"/>
        </w:sectPr>
      </w:pPr>
    </w:p>
    <w:p w14:paraId="4528086D" w14:textId="77777777" w:rsidR="002330B5" w:rsidRPr="00CE7FB1" w:rsidRDefault="004451B6" w:rsidP="004451B6">
      <w:pPr>
        <w:widowControl/>
        <w:spacing w:line="276" w:lineRule="auto"/>
        <w:jc w:val="center"/>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lastRenderedPageBreak/>
        <w:t>T</w:t>
      </w:r>
      <w:r w:rsidRPr="00CE7FB1">
        <w:rPr>
          <w:rFonts w:ascii="Times New Roman" w:hAnsi="Times New Roman"/>
          <w:b/>
          <w:bCs/>
          <w:color w:val="000000"/>
          <w:kern w:val="0"/>
          <w:sz w:val="24"/>
          <w:szCs w:val="24"/>
        </w:rPr>
        <w:t>able S7. IC50 of bexarotene and lapatinib on Cell survival</w:t>
      </w:r>
    </w:p>
    <w:p w14:paraId="2BD80947" w14:textId="77777777" w:rsidR="004451B6" w:rsidRPr="00CE7FB1" w:rsidRDefault="004451B6" w:rsidP="00752BA8">
      <w:pPr>
        <w:widowControl/>
        <w:spacing w:line="276" w:lineRule="auto"/>
        <w:rPr>
          <w:rFonts w:ascii="Times New Roman" w:hAnsi="Times New Roman"/>
          <w:b/>
          <w:bCs/>
          <w:color w:val="000000"/>
          <w:kern w:val="0"/>
          <w:sz w:val="24"/>
          <w:szCs w:val="24"/>
        </w:rPr>
      </w:pPr>
    </w:p>
    <w:tbl>
      <w:tblPr>
        <w:tblW w:w="5529" w:type="dxa"/>
        <w:jc w:val="center"/>
        <w:tblLook w:val="04A0" w:firstRow="1" w:lastRow="0" w:firstColumn="1" w:lastColumn="0" w:noHBand="0" w:noVBand="1"/>
      </w:tblPr>
      <w:tblGrid>
        <w:gridCol w:w="1309"/>
        <w:gridCol w:w="1392"/>
        <w:gridCol w:w="1414"/>
        <w:gridCol w:w="1414"/>
      </w:tblGrid>
      <w:tr w:rsidR="004451B6" w:rsidRPr="00CE7FB1" w14:paraId="10408261" w14:textId="77777777" w:rsidTr="003E75CC">
        <w:trPr>
          <w:trHeight w:val="380"/>
          <w:jc w:val="center"/>
        </w:trPr>
        <w:tc>
          <w:tcPr>
            <w:tcW w:w="1300" w:type="dxa"/>
            <w:tcBorders>
              <w:top w:val="single" w:sz="8" w:space="0" w:color="auto"/>
              <w:left w:val="nil"/>
              <w:bottom w:val="single" w:sz="8" w:space="0" w:color="auto"/>
              <w:right w:val="nil"/>
            </w:tcBorders>
            <w:shd w:val="clear" w:color="auto" w:fill="auto"/>
            <w:vAlign w:val="center"/>
            <w:hideMark/>
          </w:tcPr>
          <w:p w14:paraId="19E8ADCE" w14:textId="77777777" w:rsidR="004451B6" w:rsidRPr="00CE7FB1" w:rsidRDefault="004451B6" w:rsidP="003E75CC">
            <w:pPr>
              <w:widowControl/>
              <w:spacing w:line="276" w:lineRule="auto"/>
              <w:jc w:val="center"/>
              <w:rPr>
                <w:rFonts w:ascii="Times New Roman" w:hAnsi="Times New Roman"/>
                <w:color w:val="000000"/>
                <w:kern w:val="0"/>
                <w:sz w:val="24"/>
                <w:szCs w:val="24"/>
              </w:rPr>
            </w:pPr>
          </w:p>
        </w:tc>
        <w:tc>
          <w:tcPr>
            <w:tcW w:w="1394" w:type="dxa"/>
            <w:tcBorders>
              <w:top w:val="single" w:sz="8" w:space="0" w:color="auto"/>
              <w:left w:val="nil"/>
              <w:bottom w:val="single" w:sz="8" w:space="0" w:color="auto"/>
              <w:right w:val="nil"/>
            </w:tcBorders>
            <w:shd w:val="clear" w:color="auto" w:fill="auto"/>
            <w:vAlign w:val="center"/>
            <w:hideMark/>
          </w:tcPr>
          <w:p w14:paraId="0E60767B" w14:textId="77777777" w:rsidR="004451B6" w:rsidRPr="00CE7FB1" w:rsidRDefault="004451B6"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IC</w:t>
            </w:r>
            <w:r w:rsidRPr="00CE7FB1">
              <w:rPr>
                <w:rFonts w:ascii="Times New Roman" w:hAnsi="Times New Roman"/>
                <w:color w:val="000000"/>
                <w:kern w:val="0"/>
                <w:sz w:val="24"/>
                <w:szCs w:val="24"/>
                <w:vertAlign w:val="subscript"/>
              </w:rPr>
              <w:t>50</w:t>
            </w:r>
          </w:p>
        </w:tc>
        <w:tc>
          <w:tcPr>
            <w:tcW w:w="1417" w:type="dxa"/>
            <w:tcBorders>
              <w:top w:val="single" w:sz="8" w:space="0" w:color="auto"/>
              <w:left w:val="nil"/>
              <w:bottom w:val="single" w:sz="8" w:space="0" w:color="auto"/>
              <w:right w:val="nil"/>
            </w:tcBorders>
            <w:shd w:val="clear" w:color="auto" w:fill="auto"/>
            <w:vAlign w:val="center"/>
            <w:hideMark/>
          </w:tcPr>
          <w:p w14:paraId="25ADFA77" w14:textId="77777777" w:rsidR="004451B6" w:rsidRPr="00CE7FB1" w:rsidRDefault="004451B6"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SEM</w:t>
            </w:r>
          </w:p>
        </w:tc>
        <w:tc>
          <w:tcPr>
            <w:tcW w:w="1418" w:type="dxa"/>
            <w:tcBorders>
              <w:top w:val="single" w:sz="8" w:space="0" w:color="auto"/>
              <w:left w:val="nil"/>
              <w:bottom w:val="single" w:sz="8" w:space="0" w:color="auto"/>
              <w:right w:val="nil"/>
            </w:tcBorders>
            <w:shd w:val="clear" w:color="auto" w:fill="auto"/>
            <w:vAlign w:val="center"/>
            <w:hideMark/>
          </w:tcPr>
          <w:p w14:paraId="1E6E8066" w14:textId="77777777" w:rsidR="004451B6" w:rsidRPr="00CE7FB1" w:rsidRDefault="004451B6"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N</w:t>
            </w:r>
          </w:p>
        </w:tc>
      </w:tr>
      <w:tr w:rsidR="004451B6" w:rsidRPr="00CE7FB1" w14:paraId="001B819E" w14:textId="77777777" w:rsidTr="003E75CC">
        <w:trPr>
          <w:trHeight w:val="320"/>
          <w:jc w:val="center"/>
        </w:trPr>
        <w:tc>
          <w:tcPr>
            <w:tcW w:w="1300" w:type="dxa"/>
            <w:tcBorders>
              <w:top w:val="nil"/>
              <w:left w:val="nil"/>
              <w:bottom w:val="nil"/>
              <w:right w:val="nil"/>
            </w:tcBorders>
            <w:shd w:val="clear" w:color="auto" w:fill="auto"/>
            <w:vAlign w:val="center"/>
            <w:hideMark/>
          </w:tcPr>
          <w:p w14:paraId="15D674FE" w14:textId="77777777" w:rsidR="004451B6" w:rsidRPr="00CE7FB1" w:rsidRDefault="004451B6"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Lapatinib</w:t>
            </w:r>
          </w:p>
        </w:tc>
        <w:tc>
          <w:tcPr>
            <w:tcW w:w="1394" w:type="dxa"/>
            <w:tcBorders>
              <w:top w:val="nil"/>
              <w:left w:val="nil"/>
              <w:bottom w:val="nil"/>
              <w:right w:val="nil"/>
            </w:tcBorders>
            <w:shd w:val="clear" w:color="auto" w:fill="auto"/>
            <w:vAlign w:val="center"/>
            <w:hideMark/>
          </w:tcPr>
          <w:p w14:paraId="5F52FF20" w14:textId="77777777" w:rsidR="004451B6" w:rsidRPr="00CE7FB1" w:rsidRDefault="004451B6"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7.38</w:t>
            </w:r>
          </w:p>
        </w:tc>
        <w:tc>
          <w:tcPr>
            <w:tcW w:w="1417" w:type="dxa"/>
            <w:tcBorders>
              <w:top w:val="nil"/>
              <w:left w:val="nil"/>
              <w:bottom w:val="nil"/>
              <w:right w:val="nil"/>
            </w:tcBorders>
            <w:shd w:val="clear" w:color="auto" w:fill="auto"/>
            <w:vAlign w:val="center"/>
            <w:hideMark/>
          </w:tcPr>
          <w:p w14:paraId="0E125A13" w14:textId="77777777" w:rsidR="004451B6" w:rsidRPr="00CE7FB1" w:rsidRDefault="004451B6"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0.17</w:t>
            </w:r>
          </w:p>
        </w:tc>
        <w:tc>
          <w:tcPr>
            <w:tcW w:w="1418" w:type="dxa"/>
            <w:tcBorders>
              <w:top w:val="nil"/>
              <w:left w:val="nil"/>
              <w:bottom w:val="nil"/>
              <w:right w:val="nil"/>
            </w:tcBorders>
            <w:shd w:val="clear" w:color="auto" w:fill="auto"/>
            <w:vAlign w:val="center"/>
            <w:hideMark/>
          </w:tcPr>
          <w:p w14:paraId="71165082" w14:textId="77777777" w:rsidR="004451B6" w:rsidRPr="00CE7FB1" w:rsidRDefault="004451B6"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w:t>
            </w:r>
          </w:p>
        </w:tc>
      </w:tr>
      <w:tr w:rsidR="004451B6" w:rsidRPr="00CE7FB1" w14:paraId="0C800B92" w14:textId="77777777" w:rsidTr="003E75CC">
        <w:trPr>
          <w:trHeight w:val="340"/>
          <w:jc w:val="center"/>
        </w:trPr>
        <w:tc>
          <w:tcPr>
            <w:tcW w:w="1300" w:type="dxa"/>
            <w:tcBorders>
              <w:top w:val="nil"/>
              <w:left w:val="nil"/>
              <w:bottom w:val="single" w:sz="8" w:space="0" w:color="auto"/>
              <w:right w:val="nil"/>
            </w:tcBorders>
            <w:shd w:val="clear" w:color="auto" w:fill="auto"/>
            <w:vAlign w:val="center"/>
            <w:hideMark/>
          </w:tcPr>
          <w:p w14:paraId="3A483D93" w14:textId="77777777" w:rsidR="004451B6" w:rsidRPr="00CE7FB1" w:rsidRDefault="004451B6"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Bexarotene</w:t>
            </w:r>
          </w:p>
        </w:tc>
        <w:tc>
          <w:tcPr>
            <w:tcW w:w="1394" w:type="dxa"/>
            <w:tcBorders>
              <w:top w:val="nil"/>
              <w:left w:val="nil"/>
              <w:bottom w:val="single" w:sz="8" w:space="0" w:color="auto"/>
              <w:right w:val="nil"/>
            </w:tcBorders>
            <w:shd w:val="clear" w:color="auto" w:fill="auto"/>
            <w:vAlign w:val="center"/>
            <w:hideMark/>
          </w:tcPr>
          <w:p w14:paraId="006F0C92" w14:textId="77777777" w:rsidR="004451B6" w:rsidRPr="00CE7FB1" w:rsidRDefault="004451B6"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96.13</w:t>
            </w:r>
          </w:p>
        </w:tc>
        <w:tc>
          <w:tcPr>
            <w:tcW w:w="1417" w:type="dxa"/>
            <w:tcBorders>
              <w:top w:val="nil"/>
              <w:left w:val="nil"/>
              <w:bottom w:val="single" w:sz="8" w:space="0" w:color="auto"/>
              <w:right w:val="nil"/>
            </w:tcBorders>
            <w:shd w:val="clear" w:color="auto" w:fill="auto"/>
            <w:vAlign w:val="center"/>
            <w:hideMark/>
          </w:tcPr>
          <w:p w14:paraId="3F41E893" w14:textId="77777777" w:rsidR="004451B6" w:rsidRPr="00CE7FB1" w:rsidRDefault="004451B6"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1.87</w:t>
            </w:r>
          </w:p>
        </w:tc>
        <w:tc>
          <w:tcPr>
            <w:tcW w:w="1418" w:type="dxa"/>
            <w:tcBorders>
              <w:top w:val="nil"/>
              <w:left w:val="nil"/>
              <w:bottom w:val="single" w:sz="8" w:space="0" w:color="auto"/>
              <w:right w:val="nil"/>
            </w:tcBorders>
            <w:shd w:val="clear" w:color="auto" w:fill="auto"/>
            <w:vAlign w:val="center"/>
            <w:hideMark/>
          </w:tcPr>
          <w:p w14:paraId="5E841755" w14:textId="77777777" w:rsidR="004451B6" w:rsidRPr="00CE7FB1" w:rsidRDefault="004451B6" w:rsidP="003E75CC">
            <w:pPr>
              <w:widowControl/>
              <w:spacing w:line="276" w:lineRule="auto"/>
              <w:jc w:val="center"/>
              <w:rPr>
                <w:rFonts w:ascii="Times New Roman" w:hAnsi="Times New Roman"/>
                <w:color w:val="000000"/>
                <w:kern w:val="0"/>
                <w:sz w:val="24"/>
                <w:szCs w:val="24"/>
              </w:rPr>
            </w:pPr>
            <w:r w:rsidRPr="00CE7FB1">
              <w:rPr>
                <w:rFonts w:ascii="Times New Roman" w:hAnsi="Times New Roman"/>
                <w:color w:val="000000"/>
                <w:kern w:val="0"/>
                <w:sz w:val="24"/>
                <w:szCs w:val="24"/>
              </w:rPr>
              <w:t>9</w:t>
            </w:r>
          </w:p>
        </w:tc>
      </w:tr>
    </w:tbl>
    <w:p w14:paraId="2748A4E6" w14:textId="77777777" w:rsidR="004451B6" w:rsidRPr="00CE7FB1" w:rsidRDefault="004451B6" w:rsidP="00752BA8">
      <w:pPr>
        <w:widowControl/>
        <w:spacing w:line="276" w:lineRule="auto"/>
        <w:rPr>
          <w:rFonts w:ascii="Times New Roman" w:hAnsi="Times New Roman"/>
          <w:color w:val="000000"/>
          <w:kern w:val="0"/>
          <w:sz w:val="24"/>
          <w:szCs w:val="24"/>
        </w:rPr>
      </w:pPr>
    </w:p>
    <w:p w14:paraId="28EAE2A0" w14:textId="77777777" w:rsidR="004451B6" w:rsidRPr="00CE7FB1" w:rsidRDefault="004451B6" w:rsidP="00752BA8">
      <w:pPr>
        <w:widowControl/>
        <w:spacing w:line="276" w:lineRule="auto"/>
        <w:rPr>
          <w:rFonts w:ascii="Times New Roman" w:hAnsi="Times New Roman"/>
          <w:b/>
          <w:bCs/>
          <w:color w:val="000000"/>
          <w:kern w:val="0"/>
          <w:sz w:val="24"/>
          <w:szCs w:val="24"/>
        </w:rPr>
      </w:pPr>
      <w:r w:rsidRPr="00CE7FB1">
        <w:rPr>
          <w:rFonts w:ascii="Times New Roman" w:hAnsi="Times New Roman"/>
          <w:color w:val="000000"/>
          <w:kern w:val="0"/>
          <w:sz w:val="24"/>
          <w:szCs w:val="24"/>
        </w:rPr>
        <w:t>IC</w:t>
      </w:r>
      <w:r w:rsidRPr="00CE7FB1">
        <w:rPr>
          <w:rFonts w:ascii="Times New Roman" w:hAnsi="Times New Roman"/>
          <w:color w:val="000000"/>
          <w:kern w:val="0"/>
          <w:sz w:val="24"/>
          <w:szCs w:val="24"/>
          <w:vertAlign w:val="subscript"/>
        </w:rPr>
        <w:t>50</w:t>
      </w:r>
      <w:r w:rsidR="00DE3EFE" w:rsidRPr="00CE7FB1">
        <w:rPr>
          <w:rFonts w:ascii="Times New Roman" w:hAnsi="Times New Roman"/>
          <w:color w:val="000000"/>
          <w:kern w:val="0"/>
          <w:sz w:val="24"/>
          <w:szCs w:val="24"/>
        </w:rPr>
        <w:t>:</w:t>
      </w:r>
      <w:r w:rsidRPr="00CE7FB1">
        <w:rPr>
          <w:sz w:val="24"/>
          <w:szCs w:val="24"/>
        </w:rPr>
        <w:t xml:space="preserve"> </w:t>
      </w:r>
      <w:r w:rsidRPr="00CE7FB1">
        <w:rPr>
          <w:rFonts w:ascii="Times New Roman" w:hAnsi="Times New Roman"/>
          <w:color w:val="000000"/>
          <w:kern w:val="0"/>
          <w:sz w:val="24"/>
          <w:szCs w:val="24"/>
        </w:rPr>
        <w:t xml:space="preserve">50% inhibitory concentration; </w:t>
      </w:r>
      <w:proofErr w:type="spellStart"/>
      <w:proofErr w:type="gramStart"/>
      <w:r w:rsidRPr="00CE7FB1">
        <w:rPr>
          <w:rFonts w:ascii="Times New Roman" w:hAnsi="Times New Roman"/>
          <w:color w:val="000000"/>
          <w:kern w:val="0"/>
          <w:sz w:val="24"/>
          <w:szCs w:val="24"/>
        </w:rPr>
        <w:t>SEM</w:t>
      </w:r>
      <w:r w:rsidR="00DE3EFE" w:rsidRPr="00CE7FB1">
        <w:rPr>
          <w:rFonts w:ascii="Times New Roman" w:hAnsi="Times New Roman"/>
          <w:color w:val="000000"/>
          <w:kern w:val="0"/>
          <w:sz w:val="24"/>
          <w:szCs w:val="24"/>
        </w:rPr>
        <w:t>:</w:t>
      </w:r>
      <w:r w:rsidRPr="00CE7FB1">
        <w:rPr>
          <w:rFonts w:ascii="Times New Roman" w:hAnsi="Times New Roman"/>
          <w:color w:val="000000"/>
          <w:kern w:val="0"/>
          <w:sz w:val="24"/>
          <w:szCs w:val="24"/>
        </w:rPr>
        <w:t>standard</w:t>
      </w:r>
      <w:proofErr w:type="spellEnd"/>
      <w:proofErr w:type="gramEnd"/>
      <w:r w:rsidRPr="00CE7FB1">
        <w:rPr>
          <w:rFonts w:ascii="Times New Roman" w:hAnsi="Times New Roman"/>
          <w:color w:val="000000"/>
          <w:kern w:val="0"/>
          <w:sz w:val="24"/>
          <w:szCs w:val="24"/>
        </w:rPr>
        <w:t xml:space="preserve"> error of mean.</w:t>
      </w:r>
    </w:p>
    <w:p w14:paraId="5604CA26" w14:textId="77777777" w:rsidR="004451B6" w:rsidRPr="00CE7FB1" w:rsidRDefault="004451B6" w:rsidP="00752BA8">
      <w:pPr>
        <w:widowControl/>
        <w:spacing w:line="276" w:lineRule="auto"/>
        <w:rPr>
          <w:rFonts w:ascii="Times New Roman" w:hAnsi="Times New Roman"/>
          <w:b/>
          <w:bCs/>
          <w:color w:val="000000"/>
          <w:kern w:val="0"/>
          <w:sz w:val="24"/>
          <w:szCs w:val="24"/>
        </w:rPr>
      </w:pPr>
    </w:p>
    <w:p w14:paraId="10CBEC39" w14:textId="77777777" w:rsidR="00752BA8" w:rsidRPr="00CE7FB1" w:rsidRDefault="00752BA8" w:rsidP="004451B6">
      <w:pPr>
        <w:widowControl/>
        <w:spacing w:line="276" w:lineRule="auto"/>
        <w:jc w:val="center"/>
        <w:rPr>
          <w:rFonts w:ascii="Times New Roman" w:hAnsi="Times New Roman"/>
          <w:b/>
          <w:bCs/>
          <w:color w:val="000000"/>
          <w:kern w:val="0"/>
          <w:sz w:val="24"/>
          <w:szCs w:val="24"/>
        </w:rPr>
      </w:pPr>
    </w:p>
    <w:p w14:paraId="7A320711" w14:textId="77777777" w:rsidR="004451B6" w:rsidRPr="00CE7FB1" w:rsidRDefault="004451B6" w:rsidP="004451B6">
      <w:pPr>
        <w:widowControl/>
        <w:spacing w:line="276" w:lineRule="auto"/>
        <w:jc w:val="center"/>
        <w:rPr>
          <w:rFonts w:ascii="Times New Roman" w:hAnsi="Times New Roman"/>
          <w:b/>
          <w:bCs/>
          <w:color w:val="000000"/>
          <w:kern w:val="0"/>
          <w:sz w:val="24"/>
          <w:szCs w:val="24"/>
        </w:rPr>
      </w:pPr>
      <w:r w:rsidRPr="00CE7FB1">
        <w:rPr>
          <w:rFonts w:ascii="Times New Roman" w:hAnsi="Times New Roman" w:hint="eastAsia"/>
          <w:b/>
          <w:bCs/>
          <w:color w:val="000000"/>
          <w:kern w:val="0"/>
          <w:sz w:val="24"/>
          <w:szCs w:val="24"/>
        </w:rPr>
        <w:t>T</w:t>
      </w:r>
      <w:r w:rsidRPr="00CE7FB1">
        <w:rPr>
          <w:rFonts w:ascii="Times New Roman" w:hAnsi="Times New Roman"/>
          <w:b/>
          <w:bCs/>
          <w:color w:val="000000"/>
          <w:kern w:val="0"/>
          <w:sz w:val="24"/>
          <w:szCs w:val="24"/>
        </w:rPr>
        <w:t>able S8. Combination Index of bexarotene and lapatinib.</w:t>
      </w:r>
    </w:p>
    <w:p w14:paraId="6C461880" w14:textId="77777777" w:rsidR="00641370" w:rsidRPr="00CE7FB1" w:rsidRDefault="00641370" w:rsidP="00641370">
      <w:pPr>
        <w:rPr>
          <w:rFonts w:ascii="Times New Roman" w:hAnsi="Times New Roman"/>
          <w:color w:val="000000"/>
          <w:kern w:val="0"/>
          <w:sz w:val="18"/>
          <w:szCs w:val="18"/>
        </w:rPr>
      </w:pPr>
    </w:p>
    <w:tbl>
      <w:tblPr>
        <w:tblW w:w="8223" w:type="dxa"/>
        <w:jc w:val="center"/>
        <w:tblLook w:val="04A0" w:firstRow="1" w:lastRow="0" w:firstColumn="1" w:lastColumn="0" w:noHBand="0" w:noVBand="1"/>
      </w:tblPr>
      <w:tblGrid>
        <w:gridCol w:w="1418"/>
        <w:gridCol w:w="1592"/>
        <w:gridCol w:w="1671"/>
        <w:gridCol w:w="1819"/>
        <w:gridCol w:w="1723"/>
      </w:tblGrid>
      <w:tr w:rsidR="004451B6" w:rsidRPr="00CE7FB1" w14:paraId="14CADF31" w14:textId="77777777" w:rsidTr="00DE3EFE">
        <w:trPr>
          <w:trHeight w:val="340"/>
          <w:jc w:val="center"/>
        </w:trPr>
        <w:tc>
          <w:tcPr>
            <w:tcW w:w="1418" w:type="dxa"/>
            <w:vMerge w:val="restart"/>
            <w:tcBorders>
              <w:top w:val="single" w:sz="4" w:space="0" w:color="auto"/>
              <w:left w:val="nil"/>
              <w:right w:val="nil"/>
            </w:tcBorders>
            <w:shd w:val="clear" w:color="auto" w:fill="auto"/>
            <w:hideMark/>
          </w:tcPr>
          <w:p w14:paraId="5826D41E" w14:textId="77777777" w:rsidR="004451B6" w:rsidRPr="00CE7FB1" w:rsidRDefault="004451B6" w:rsidP="004451B6">
            <w:pPr>
              <w:widowControl/>
              <w:jc w:val="center"/>
              <w:rPr>
                <w:color w:val="000000"/>
                <w:kern w:val="0"/>
                <w:sz w:val="24"/>
                <w:szCs w:val="24"/>
              </w:rPr>
            </w:pPr>
            <w:r w:rsidRPr="00CE7FB1">
              <w:rPr>
                <w:rFonts w:hint="eastAsia"/>
                <w:color w:val="000000"/>
                <w:kern w:val="0"/>
                <w:sz w:val="24"/>
                <w:szCs w:val="24"/>
              </w:rPr>
              <w:t xml:space="preserve">　</w:t>
            </w:r>
            <w:r w:rsidRPr="00CE7FB1">
              <w:rPr>
                <w:rFonts w:ascii="Times New Roman" w:hAnsi="Times New Roman"/>
                <w:color w:val="000000"/>
                <w:kern w:val="0"/>
                <w:sz w:val="24"/>
                <w:szCs w:val="24"/>
              </w:rPr>
              <w:t>Bexarotene [</w:t>
            </w:r>
            <w:proofErr w:type="spellStart"/>
            <w:r w:rsidRPr="00CE7FB1">
              <w:rPr>
                <w:rFonts w:ascii="Times New Roman" w:hAnsi="Times New Roman"/>
                <w:color w:val="000000"/>
                <w:kern w:val="0"/>
                <w:sz w:val="24"/>
                <w:szCs w:val="24"/>
              </w:rPr>
              <w:t>μM</w:t>
            </w:r>
            <w:proofErr w:type="spellEnd"/>
            <w:r w:rsidRPr="00CE7FB1">
              <w:rPr>
                <w:rFonts w:ascii="Times New Roman" w:hAnsi="Times New Roman"/>
                <w:color w:val="000000"/>
                <w:kern w:val="0"/>
                <w:sz w:val="24"/>
                <w:szCs w:val="24"/>
              </w:rPr>
              <w:t>]</w:t>
            </w:r>
          </w:p>
        </w:tc>
        <w:tc>
          <w:tcPr>
            <w:tcW w:w="6805" w:type="dxa"/>
            <w:gridSpan w:val="4"/>
            <w:tcBorders>
              <w:top w:val="single" w:sz="4" w:space="0" w:color="auto"/>
              <w:left w:val="nil"/>
              <w:bottom w:val="single" w:sz="8" w:space="0" w:color="auto"/>
              <w:right w:val="nil"/>
            </w:tcBorders>
            <w:shd w:val="clear" w:color="auto" w:fill="auto"/>
            <w:vAlign w:val="center"/>
            <w:hideMark/>
          </w:tcPr>
          <w:p w14:paraId="64A47935" w14:textId="77777777" w:rsidR="004451B6" w:rsidRPr="00CE7FB1" w:rsidRDefault="004451B6"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CI</w:t>
            </w:r>
          </w:p>
        </w:tc>
      </w:tr>
      <w:tr w:rsidR="004451B6" w:rsidRPr="00CE7FB1" w14:paraId="62D48A6E" w14:textId="77777777" w:rsidTr="00DE3EFE">
        <w:trPr>
          <w:trHeight w:val="340"/>
          <w:jc w:val="center"/>
        </w:trPr>
        <w:tc>
          <w:tcPr>
            <w:tcW w:w="1418" w:type="dxa"/>
            <w:vMerge/>
            <w:tcBorders>
              <w:left w:val="nil"/>
              <w:bottom w:val="single" w:sz="8" w:space="0" w:color="auto"/>
              <w:right w:val="nil"/>
            </w:tcBorders>
            <w:shd w:val="clear" w:color="auto" w:fill="auto"/>
            <w:vAlign w:val="center"/>
            <w:hideMark/>
          </w:tcPr>
          <w:p w14:paraId="45E114B8" w14:textId="77777777" w:rsidR="004451B6" w:rsidRPr="00CE7FB1" w:rsidRDefault="004451B6" w:rsidP="003E75CC">
            <w:pPr>
              <w:widowControl/>
              <w:jc w:val="center"/>
              <w:rPr>
                <w:rFonts w:ascii="Times New Roman" w:hAnsi="Times New Roman"/>
                <w:color w:val="000000"/>
                <w:kern w:val="0"/>
                <w:sz w:val="24"/>
                <w:szCs w:val="24"/>
              </w:rPr>
            </w:pPr>
          </w:p>
        </w:tc>
        <w:tc>
          <w:tcPr>
            <w:tcW w:w="1592" w:type="dxa"/>
            <w:tcBorders>
              <w:top w:val="single" w:sz="8" w:space="0" w:color="auto"/>
              <w:left w:val="nil"/>
              <w:bottom w:val="single" w:sz="8" w:space="0" w:color="auto"/>
              <w:right w:val="nil"/>
            </w:tcBorders>
            <w:shd w:val="clear" w:color="auto" w:fill="auto"/>
            <w:vAlign w:val="center"/>
            <w:hideMark/>
          </w:tcPr>
          <w:p w14:paraId="66E4C057" w14:textId="77777777" w:rsidR="004451B6" w:rsidRPr="00CE7FB1" w:rsidRDefault="004451B6"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 xml:space="preserve">+ 5μM LAPA </w:t>
            </w:r>
          </w:p>
        </w:tc>
        <w:tc>
          <w:tcPr>
            <w:tcW w:w="1671" w:type="dxa"/>
            <w:tcBorders>
              <w:top w:val="single" w:sz="8" w:space="0" w:color="auto"/>
              <w:left w:val="nil"/>
              <w:bottom w:val="single" w:sz="8" w:space="0" w:color="auto"/>
              <w:right w:val="nil"/>
            </w:tcBorders>
            <w:shd w:val="clear" w:color="auto" w:fill="auto"/>
            <w:vAlign w:val="center"/>
            <w:hideMark/>
          </w:tcPr>
          <w:p w14:paraId="70B3C037" w14:textId="77777777" w:rsidR="004451B6" w:rsidRPr="00CE7FB1" w:rsidRDefault="004451B6"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+ 1.5μM LAPA</w:t>
            </w:r>
          </w:p>
        </w:tc>
        <w:tc>
          <w:tcPr>
            <w:tcW w:w="1819" w:type="dxa"/>
            <w:tcBorders>
              <w:top w:val="single" w:sz="8" w:space="0" w:color="auto"/>
              <w:left w:val="nil"/>
              <w:bottom w:val="single" w:sz="8" w:space="0" w:color="auto"/>
              <w:right w:val="nil"/>
            </w:tcBorders>
            <w:shd w:val="clear" w:color="auto" w:fill="auto"/>
            <w:vAlign w:val="center"/>
            <w:hideMark/>
          </w:tcPr>
          <w:p w14:paraId="3AE1EC6D" w14:textId="77777777" w:rsidR="004451B6" w:rsidRPr="00CE7FB1" w:rsidRDefault="004451B6"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+ 0.5μM LAPA</w:t>
            </w:r>
          </w:p>
        </w:tc>
        <w:tc>
          <w:tcPr>
            <w:tcW w:w="1723" w:type="dxa"/>
            <w:tcBorders>
              <w:top w:val="single" w:sz="8" w:space="0" w:color="auto"/>
              <w:left w:val="nil"/>
              <w:bottom w:val="single" w:sz="8" w:space="0" w:color="auto"/>
              <w:right w:val="nil"/>
            </w:tcBorders>
            <w:shd w:val="clear" w:color="auto" w:fill="auto"/>
            <w:vAlign w:val="center"/>
            <w:hideMark/>
          </w:tcPr>
          <w:p w14:paraId="0837E18D" w14:textId="77777777" w:rsidR="004451B6" w:rsidRPr="00CE7FB1" w:rsidRDefault="004451B6"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+ 0.15μM LAPA</w:t>
            </w:r>
          </w:p>
        </w:tc>
      </w:tr>
      <w:tr w:rsidR="00641370" w:rsidRPr="00CE7FB1" w14:paraId="3C18E3BF" w14:textId="77777777" w:rsidTr="00DE3EFE">
        <w:trPr>
          <w:trHeight w:val="320"/>
          <w:jc w:val="center"/>
        </w:trPr>
        <w:tc>
          <w:tcPr>
            <w:tcW w:w="1418" w:type="dxa"/>
            <w:tcBorders>
              <w:top w:val="nil"/>
              <w:left w:val="nil"/>
              <w:bottom w:val="nil"/>
              <w:right w:val="nil"/>
            </w:tcBorders>
            <w:shd w:val="clear" w:color="auto" w:fill="auto"/>
            <w:vAlign w:val="center"/>
            <w:hideMark/>
          </w:tcPr>
          <w:p w14:paraId="0ECF7E3F"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15</w:t>
            </w:r>
          </w:p>
        </w:tc>
        <w:tc>
          <w:tcPr>
            <w:tcW w:w="1592" w:type="dxa"/>
            <w:tcBorders>
              <w:top w:val="nil"/>
              <w:left w:val="nil"/>
              <w:bottom w:val="nil"/>
              <w:right w:val="nil"/>
            </w:tcBorders>
            <w:shd w:val="clear" w:color="auto" w:fill="auto"/>
            <w:vAlign w:val="center"/>
            <w:hideMark/>
          </w:tcPr>
          <w:p w14:paraId="492AFA06"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0.39</w:t>
            </w:r>
            <w:r w:rsidRPr="00CE7FB1">
              <w:rPr>
                <w:rFonts w:hint="eastAsia"/>
                <w:color w:val="000000"/>
                <w:kern w:val="0"/>
                <w:sz w:val="24"/>
                <w:szCs w:val="24"/>
              </w:rPr>
              <w:t>±</w:t>
            </w:r>
            <w:r w:rsidRPr="00CE7FB1">
              <w:rPr>
                <w:rFonts w:ascii="Times New Roman" w:hAnsi="Times New Roman"/>
                <w:color w:val="000000"/>
                <w:kern w:val="0"/>
                <w:sz w:val="24"/>
                <w:szCs w:val="24"/>
              </w:rPr>
              <w:t>0.01</w:t>
            </w:r>
          </w:p>
        </w:tc>
        <w:tc>
          <w:tcPr>
            <w:tcW w:w="1671" w:type="dxa"/>
            <w:tcBorders>
              <w:top w:val="nil"/>
              <w:left w:val="nil"/>
              <w:bottom w:val="nil"/>
              <w:right w:val="nil"/>
            </w:tcBorders>
            <w:shd w:val="clear" w:color="auto" w:fill="auto"/>
            <w:vAlign w:val="center"/>
            <w:hideMark/>
          </w:tcPr>
          <w:p w14:paraId="10C6886E"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0.41</w:t>
            </w:r>
            <w:r w:rsidRPr="00CE7FB1">
              <w:rPr>
                <w:rFonts w:hint="eastAsia"/>
                <w:color w:val="000000"/>
                <w:kern w:val="0"/>
                <w:sz w:val="24"/>
                <w:szCs w:val="24"/>
              </w:rPr>
              <w:t>±</w:t>
            </w:r>
            <w:r w:rsidRPr="00CE7FB1">
              <w:rPr>
                <w:rFonts w:ascii="Times New Roman" w:hAnsi="Times New Roman"/>
                <w:color w:val="000000"/>
                <w:kern w:val="0"/>
                <w:sz w:val="24"/>
                <w:szCs w:val="24"/>
              </w:rPr>
              <w:t>0.01</w:t>
            </w:r>
          </w:p>
        </w:tc>
        <w:tc>
          <w:tcPr>
            <w:tcW w:w="1819" w:type="dxa"/>
            <w:tcBorders>
              <w:top w:val="nil"/>
              <w:left w:val="nil"/>
              <w:bottom w:val="nil"/>
              <w:right w:val="nil"/>
            </w:tcBorders>
            <w:shd w:val="clear" w:color="auto" w:fill="auto"/>
            <w:vAlign w:val="center"/>
            <w:hideMark/>
          </w:tcPr>
          <w:p w14:paraId="2B6CAC0B"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0.46</w:t>
            </w:r>
            <w:r w:rsidRPr="00CE7FB1">
              <w:rPr>
                <w:rFonts w:hint="eastAsia"/>
                <w:color w:val="000000"/>
                <w:kern w:val="0"/>
                <w:sz w:val="24"/>
                <w:szCs w:val="24"/>
              </w:rPr>
              <w:t>±</w:t>
            </w:r>
            <w:r w:rsidRPr="00CE7FB1">
              <w:rPr>
                <w:rFonts w:ascii="Times New Roman" w:hAnsi="Times New Roman"/>
                <w:color w:val="000000"/>
                <w:kern w:val="0"/>
                <w:sz w:val="24"/>
                <w:szCs w:val="24"/>
              </w:rPr>
              <w:t>0.05</w:t>
            </w:r>
          </w:p>
        </w:tc>
        <w:tc>
          <w:tcPr>
            <w:tcW w:w="1723" w:type="dxa"/>
            <w:tcBorders>
              <w:top w:val="nil"/>
              <w:left w:val="nil"/>
              <w:bottom w:val="nil"/>
              <w:right w:val="nil"/>
            </w:tcBorders>
            <w:shd w:val="clear" w:color="auto" w:fill="auto"/>
            <w:vAlign w:val="center"/>
            <w:hideMark/>
          </w:tcPr>
          <w:p w14:paraId="0310F1CC"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0.33</w:t>
            </w:r>
            <w:r w:rsidRPr="00CE7FB1">
              <w:rPr>
                <w:rFonts w:hint="eastAsia"/>
                <w:color w:val="000000"/>
                <w:kern w:val="0"/>
                <w:sz w:val="24"/>
                <w:szCs w:val="24"/>
              </w:rPr>
              <w:t>±</w:t>
            </w:r>
            <w:r w:rsidRPr="00CE7FB1">
              <w:rPr>
                <w:rFonts w:ascii="Times New Roman" w:hAnsi="Times New Roman"/>
                <w:color w:val="000000"/>
                <w:kern w:val="0"/>
                <w:sz w:val="24"/>
                <w:szCs w:val="24"/>
              </w:rPr>
              <w:t>0.03</w:t>
            </w:r>
          </w:p>
        </w:tc>
      </w:tr>
      <w:tr w:rsidR="00641370" w:rsidRPr="00CE7FB1" w14:paraId="31BC826B" w14:textId="77777777" w:rsidTr="00DE3EFE">
        <w:trPr>
          <w:trHeight w:val="320"/>
          <w:jc w:val="center"/>
        </w:trPr>
        <w:tc>
          <w:tcPr>
            <w:tcW w:w="1418" w:type="dxa"/>
            <w:tcBorders>
              <w:top w:val="nil"/>
              <w:left w:val="nil"/>
              <w:bottom w:val="nil"/>
              <w:right w:val="nil"/>
            </w:tcBorders>
            <w:shd w:val="clear" w:color="auto" w:fill="auto"/>
            <w:vAlign w:val="center"/>
            <w:hideMark/>
          </w:tcPr>
          <w:p w14:paraId="21E5D88E"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5</w:t>
            </w:r>
          </w:p>
        </w:tc>
        <w:tc>
          <w:tcPr>
            <w:tcW w:w="1592" w:type="dxa"/>
            <w:tcBorders>
              <w:top w:val="nil"/>
              <w:left w:val="nil"/>
              <w:bottom w:val="nil"/>
              <w:right w:val="nil"/>
            </w:tcBorders>
            <w:shd w:val="clear" w:color="auto" w:fill="auto"/>
            <w:vAlign w:val="center"/>
            <w:hideMark/>
          </w:tcPr>
          <w:p w14:paraId="09B1729E"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0.34</w:t>
            </w:r>
            <w:r w:rsidRPr="00CE7FB1">
              <w:rPr>
                <w:rFonts w:hint="eastAsia"/>
                <w:color w:val="000000"/>
                <w:kern w:val="0"/>
                <w:sz w:val="24"/>
                <w:szCs w:val="24"/>
              </w:rPr>
              <w:t>±</w:t>
            </w:r>
            <w:r w:rsidRPr="00CE7FB1">
              <w:rPr>
                <w:rFonts w:ascii="Times New Roman" w:hAnsi="Times New Roman"/>
                <w:color w:val="000000"/>
                <w:kern w:val="0"/>
                <w:sz w:val="24"/>
                <w:szCs w:val="24"/>
              </w:rPr>
              <w:t>0.00</w:t>
            </w:r>
          </w:p>
        </w:tc>
        <w:tc>
          <w:tcPr>
            <w:tcW w:w="1671" w:type="dxa"/>
            <w:tcBorders>
              <w:top w:val="nil"/>
              <w:left w:val="nil"/>
              <w:bottom w:val="nil"/>
              <w:right w:val="nil"/>
            </w:tcBorders>
            <w:shd w:val="clear" w:color="auto" w:fill="auto"/>
            <w:vAlign w:val="center"/>
            <w:hideMark/>
          </w:tcPr>
          <w:p w14:paraId="7786BF42"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0.47</w:t>
            </w:r>
            <w:r w:rsidRPr="00CE7FB1">
              <w:rPr>
                <w:rFonts w:hint="eastAsia"/>
                <w:color w:val="000000"/>
                <w:kern w:val="0"/>
                <w:sz w:val="24"/>
                <w:szCs w:val="24"/>
              </w:rPr>
              <w:t>±</w:t>
            </w:r>
            <w:r w:rsidRPr="00CE7FB1">
              <w:rPr>
                <w:rFonts w:ascii="Times New Roman" w:hAnsi="Times New Roman"/>
                <w:color w:val="000000"/>
                <w:kern w:val="0"/>
                <w:sz w:val="24"/>
                <w:szCs w:val="24"/>
              </w:rPr>
              <w:t>0.03</w:t>
            </w:r>
          </w:p>
        </w:tc>
        <w:tc>
          <w:tcPr>
            <w:tcW w:w="1819" w:type="dxa"/>
            <w:tcBorders>
              <w:top w:val="nil"/>
              <w:left w:val="nil"/>
              <w:bottom w:val="nil"/>
              <w:right w:val="nil"/>
            </w:tcBorders>
            <w:shd w:val="clear" w:color="auto" w:fill="auto"/>
            <w:vAlign w:val="center"/>
            <w:hideMark/>
          </w:tcPr>
          <w:p w14:paraId="07643919"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1.07</w:t>
            </w:r>
            <w:r w:rsidRPr="00CE7FB1">
              <w:rPr>
                <w:rFonts w:hint="eastAsia"/>
                <w:color w:val="000000"/>
                <w:kern w:val="0"/>
                <w:sz w:val="24"/>
                <w:szCs w:val="24"/>
              </w:rPr>
              <w:t>±</w:t>
            </w:r>
            <w:r w:rsidRPr="00CE7FB1">
              <w:rPr>
                <w:rFonts w:ascii="Times New Roman" w:hAnsi="Times New Roman"/>
                <w:color w:val="000000"/>
                <w:kern w:val="0"/>
                <w:sz w:val="24"/>
                <w:szCs w:val="24"/>
              </w:rPr>
              <w:t>0.15</w:t>
            </w:r>
          </w:p>
        </w:tc>
        <w:tc>
          <w:tcPr>
            <w:tcW w:w="1723" w:type="dxa"/>
            <w:tcBorders>
              <w:top w:val="nil"/>
              <w:left w:val="nil"/>
              <w:bottom w:val="nil"/>
              <w:right w:val="nil"/>
            </w:tcBorders>
            <w:shd w:val="clear" w:color="auto" w:fill="auto"/>
            <w:vAlign w:val="center"/>
            <w:hideMark/>
          </w:tcPr>
          <w:p w14:paraId="2AEF19C6"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2.31±1.30</w:t>
            </w:r>
          </w:p>
        </w:tc>
      </w:tr>
      <w:tr w:rsidR="00641370" w:rsidRPr="00CE7FB1" w14:paraId="5645AD2D" w14:textId="77777777" w:rsidTr="00DE3EFE">
        <w:trPr>
          <w:trHeight w:val="320"/>
          <w:jc w:val="center"/>
        </w:trPr>
        <w:tc>
          <w:tcPr>
            <w:tcW w:w="1418" w:type="dxa"/>
            <w:tcBorders>
              <w:top w:val="nil"/>
              <w:left w:val="nil"/>
              <w:bottom w:val="nil"/>
              <w:right w:val="nil"/>
            </w:tcBorders>
            <w:shd w:val="clear" w:color="auto" w:fill="auto"/>
            <w:vAlign w:val="center"/>
            <w:hideMark/>
          </w:tcPr>
          <w:p w14:paraId="27E41345"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1.5</w:t>
            </w:r>
          </w:p>
        </w:tc>
        <w:tc>
          <w:tcPr>
            <w:tcW w:w="1592" w:type="dxa"/>
            <w:tcBorders>
              <w:top w:val="nil"/>
              <w:left w:val="nil"/>
              <w:bottom w:val="nil"/>
              <w:right w:val="nil"/>
            </w:tcBorders>
            <w:shd w:val="clear" w:color="auto" w:fill="auto"/>
            <w:vAlign w:val="center"/>
            <w:hideMark/>
          </w:tcPr>
          <w:p w14:paraId="73C41415"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0.37</w:t>
            </w:r>
            <w:r w:rsidRPr="00CE7FB1">
              <w:rPr>
                <w:rFonts w:hint="eastAsia"/>
                <w:color w:val="000000"/>
                <w:kern w:val="0"/>
                <w:sz w:val="24"/>
                <w:szCs w:val="24"/>
              </w:rPr>
              <w:t>±</w:t>
            </w:r>
            <w:r w:rsidRPr="00CE7FB1">
              <w:rPr>
                <w:rFonts w:ascii="Times New Roman" w:hAnsi="Times New Roman"/>
                <w:color w:val="000000"/>
                <w:kern w:val="0"/>
                <w:sz w:val="24"/>
                <w:szCs w:val="24"/>
              </w:rPr>
              <w:t>0.02</w:t>
            </w:r>
          </w:p>
        </w:tc>
        <w:tc>
          <w:tcPr>
            <w:tcW w:w="1671" w:type="dxa"/>
            <w:tcBorders>
              <w:top w:val="nil"/>
              <w:left w:val="nil"/>
              <w:bottom w:val="nil"/>
              <w:right w:val="nil"/>
            </w:tcBorders>
            <w:shd w:val="clear" w:color="auto" w:fill="auto"/>
            <w:vAlign w:val="center"/>
            <w:hideMark/>
          </w:tcPr>
          <w:p w14:paraId="4443578C"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0.89</w:t>
            </w:r>
            <w:r w:rsidRPr="00CE7FB1">
              <w:rPr>
                <w:rFonts w:hint="eastAsia"/>
                <w:color w:val="000000"/>
                <w:kern w:val="0"/>
                <w:sz w:val="24"/>
                <w:szCs w:val="24"/>
              </w:rPr>
              <w:t>±</w:t>
            </w:r>
            <w:r w:rsidRPr="00CE7FB1">
              <w:rPr>
                <w:rFonts w:ascii="Times New Roman" w:hAnsi="Times New Roman"/>
                <w:color w:val="000000"/>
                <w:kern w:val="0"/>
                <w:sz w:val="24"/>
                <w:szCs w:val="24"/>
              </w:rPr>
              <w:t>0.25</w:t>
            </w:r>
          </w:p>
        </w:tc>
        <w:tc>
          <w:tcPr>
            <w:tcW w:w="1819" w:type="dxa"/>
            <w:tcBorders>
              <w:top w:val="nil"/>
              <w:left w:val="nil"/>
              <w:bottom w:val="nil"/>
              <w:right w:val="nil"/>
            </w:tcBorders>
            <w:shd w:val="clear" w:color="auto" w:fill="auto"/>
            <w:vAlign w:val="center"/>
            <w:hideMark/>
          </w:tcPr>
          <w:p w14:paraId="668281AE"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0.84</w:t>
            </w:r>
            <w:r w:rsidRPr="00CE7FB1">
              <w:rPr>
                <w:rFonts w:hint="eastAsia"/>
                <w:color w:val="000000"/>
                <w:kern w:val="0"/>
                <w:sz w:val="24"/>
                <w:szCs w:val="24"/>
              </w:rPr>
              <w:t>±</w:t>
            </w:r>
            <w:r w:rsidRPr="00CE7FB1">
              <w:rPr>
                <w:rFonts w:ascii="Times New Roman" w:hAnsi="Times New Roman"/>
                <w:color w:val="000000"/>
                <w:kern w:val="0"/>
                <w:sz w:val="24"/>
                <w:szCs w:val="24"/>
              </w:rPr>
              <w:t>0.19</w:t>
            </w:r>
          </w:p>
        </w:tc>
        <w:tc>
          <w:tcPr>
            <w:tcW w:w="1723" w:type="dxa"/>
            <w:tcBorders>
              <w:top w:val="nil"/>
              <w:left w:val="nil"/>
              <w:bottom w:val="nil"/>
              <w:right w:val="nil"/>
            </w:tcBorders>
            <w:shd w:val="clear" w:color="auto" w:fill="auto"/>
            <w:vAlign w:val="center"/>
            <w:hideMark/>
          </w:tcPr>
          <w:p w14:paraId="37B5D8A9"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1.26±0.76</w:t>
            </w:r>
          </w:p>
        </w:tc>
      </w:tr>
      <w:tr w:rsidR="00641370" w:rsidRPr="00CE7FB1" w14:paraId="4DA47B7A" w14:textId="77777777" w:rsidTr="00DE3EFE">
        <w:trPr>
          <w:trHeight w:val="340"/>
          <w:jc w:val="center"/>
        </w:trPr>
        <w:tc>
          <w:tcPr>
            <w:tcW w:w="1418" w:type="dxa"/>
            <w:tcBorders>
              <w:top w:val="nil"/>
              <w:left w:val="nil"/>
              <w:bottom w:val="single" w:sz="8" w:space="0" w:color="auto"/>
              <w:right w:val="nil"/>
            </w:tcBorders>
            <w:shd w:val="clear" w:color="auto" w:fill="auto"/>
            <w:vAlign w:val="center"/>
            <w:hideMark/>
          </w:tcPr>
          <w:p w14:paraId="4A1172C3"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0.5</w:t>
            </w:r>
          </w:p>
        </w:tc>
        <w:tc>
          <w:tcPr>
            <w:tcW w:w="1592" w:type="dxa"/>
            <w:tcBorders>
              <w:top w:val="nil"/>
              <w:left w:val="nil"/>
              <w:bottom w:val="single" w:sz="8" w:space="0" w:color="auto"/>
              <w:right w:val="nil"/>
            </w:tcBorders>
            <w:shd w:val="clear" w:color="auto" w:fill="auto"/>
            <w:vAlign w:val="center"/>
            <w:hideMark/>
          </w:tcPr>
          <w:p w14:paraId="1A6C6D65"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0.39</w:t>
            </w:r>
            <w:r w:rsidRPr="00CE7FB1">
              <w:rPr>
                <w:rFonts w:hint="eastAsia"/>
                <w:color w:val="000000"/>
                <w:kern w:val="0"/>
                <w:sz w:val="24"/>
                <w:szCs w:val="24"/>
              </w:rPr>
              <w:t>±</w:t>
            </w:r>
            <w:r w:rsidRPr="00CE7FB1">
              <w:rPr>
                <w:rFonts w:ascii="Times New Roman" w:hAnsi="Times New Roman"/>
                <w:color w:val="000000"/>
                <w:kern w:val="0"/>
                <w:sz w:val="24"/>
                <w:szCs w:val="24"/>
              </w:rPr>
              <w:t>0.02</w:t>
            </w:r>
          </w:p>
        </w:tc>
        <w:tc>
          <w:tcPr>
            <w:tcW w:w="1671" w:type="dxa"/>
            <w:tcBorders>
              <w:top w:val="nil"/>
              <w:left w:val="nil"/>
              <w:bottom w:val="single" w:sz="8" w:space="0" w:color="auto"/>
              <w:right w:val="nil"/>
            </w:tcBorders>
            <w:shd w:val="clear" w:color="auto" w:fill="auto"/>
            <w:vAlign w:val="center"/>
            <w:hideMark/>
          </w:tcPr>
          <w:p w14:paraId="4CAD8B44"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2.25</w:t>
            </w:r>
            <w:r w:rsidRPr="00CE7FB1">
              <w:rPr>
                <w:rFonts w:hint="eastAsia"/>
                <w:color w:val="000000"/>
                <w:kern w:val="0"/>
                <w:sz w:val="24"/>
                <w:szCs w:val="24"/>
              </w:rPr>
              <w:t>±</w:t>
            </w:r>
            <w:r w:rsidRPr="00CE7FB1">
              <w:rPr>
                <w:rFonts w:ascii="Times New Roman" w:hAnsi="Times New Roman"/>
                <w:color w:val="000000"/>
                <w:kern w:val="0"/>
                <w:sz w:val="24"/>
                <w:szCs w:val="24"/>
              </w:rPr>
              <w:t>1.4</w:t>
            </w:r>
          </w:p>
        </w:tc>
        <w:tc>
          <w:tcPr>
            <w:tcW w:w="1819" w:type="dxa"/>
            <w:tcBorders>
              <w:top w:val="nil"/>
              <w:left w:val="nil"/>
              <w:bottom w:val="single" w:sz="8" w:space="0" w:color="auto"/>
              <w:right w:val="nil"/>
            </w:tcBorders>
            <w:shd w:val="clear" w:color="auto" w:fill="auto"/>
            <w:vAlign w:val="center"/>
            <w:hideMark/>
          </w:tcPr>
          <w:p w14:paraId="38C485CC"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w:t>
            </w:r>
          </w:p>
        </w:tc>
        <w:tc>
          <w:tcPr>
            <w:tcW w:w="1723" w:type="dxa"/>
            <w:tcBorders>
              <w:top w:val="nil"/>
              <w:left w:val="nil"/>
              <w:bottom w:val="single" w:sz="8" w:space="0" w:color="auto"/>
              <w:right w:val="nil"/>
            </w:tcBorders>
            <w:shd w:val="clear" w:color="auto" w:fill="auto"/>
            <w:vAlign w:val="center"/>
            <w:hideMark/>
          </w:tcPr>
          <w:p w14:paraId="664DB1A2" w14:textId="77777777" w:rsidR="00641370" w:rsidRPr="00CE7FB1" w:rsidRDefault="00641370" w:rsidP="003E75CC">
            <w:pPr>
              <w:widowControl/>
              <w:jc w:val="center"/>
              <w:rPr>
                <w:rFonts w:ascii="Times New Roman" w:hAnsi="Times New Roman"/>
                <w:color w:val="000000"/>
                <w:kern w:val="0"/>
                <w:sz w:val="24"/>
                <w:szCs w:val="24"/>
              </w:rPr>
            </w:pPr>
            <w:r w:rsidRPr="00CE7FB1">
              <w:rPr>
                <w:rFonts w:ascii="Times New Roman" w:hAnsi="Times New Roman"/>
                <w:color w:val="000000"/>
                <w:kern w:val="0"/>
                <w:sz w:val="24"/>
                <w:szCs w:val="24"/>
              </w:rPr>
              <w:t>-</w:t>
            </w:r>
          </w:p>
        </w:tc>
      </w:tr>
    </w:tbl>
    <w:p w14:paraId="3A21D92D" w14:textId="77777777" w:rsidR="00641370" w:rsidRPr="00CE7FB1" w:rsidRDefault="00641370" w:rsidP="00752BA8">
      <w:pPr>
        <w:widowControl/>
        <w:spacing w:line="276" w:lineRule="auto"/>
        <w:rPr>
          <w:rFonts w:ascii="Times New Roman" w:hAnsi="Times New Roman"/>
          <w:b/>
          <w:bCs/>
          <w:color w:val="000000"/>
          <w:kern w:val="0"/>
          <w:sz w:val="24"/>
          <w:szCs w:val="24"/>
        </w:rPr>
      </w:pPr>
    </w:p>
    <w:p w14:paraId="3F9575BB" w14:textId="77777777" w:rsidR="004451B6" w:rsidRPr="004451B6" w:rsidRDefault="004451B6" w:rsidP="00C36922">
      <w:pPr>
        <w:widowControl/>
        <w:spacing w:line="480" w:lineRule="auto"/>
        <w:jc w:val="left"/>
        <w:rPr>
          <w:rFonts w:ascii="Times New Roman" w:hAnsi="Times New Roman"/>
          <w:color w:val="000000"/>
          <w:kern w:val="0"/>
          <w:sz w:val="24"/>
          <w:szCs w:val="24"/>
        </w:rPr>
      </w:pPr>
      <w:r w:rsidRPr="00CE7FB1">
        <w:rPr>
          <w:rFonts w:ascii="Times New Roman" w:hAnsi="Times New Roman"/>
          <w:color w:val="000000"/>
          <w:kern w:val="0"/>
          <w:sz w:val="24"/>
          <w:szCs w:val="24"/>
        </w:rPr>
        <w:t>CI &gt; 1 is considered to exert antagonistic effect, CI =1 additive effect, CI &lt;1 synergistic effect, and when the CI value is &lt;0.7, it is referred to a significant synergistic effect. n&lt;9 indicates partial data cannot be calculated, “-” indicates all groups of data cannot be calculated.</w:t>
      </w:r>
    </w:p>
    <w:p w14:paraId="63D24D5D" w14:textId="77777777" w:rsidR="00752BA8" w:rsidRDefault="00752BA8" w:rsidP="003815BD">
      <w:pPr>
        <w:widowControl/>
        <w:spacing w:line="276" w:lineRule="auto"/>
        <w:rPr>
          <w:rFonts w:ascii="Times New Roman" w:hAnsi="Times New Roman"/>
          <w:b/>
          <w:bCs/>
          <w:color w:val="000000"/>
          <w:kern w:val="0"/>
          <w:sz w:val="24"/>
          <w:szCs w:val="24"/>
        </w:rPr>
      </w:pPr>
    </w:p>
    <w:p w14:paraId="15EEDF1A" w14:textId="77777777" w:rsidR="002B6AA3" w:rsidRDefault="002B6AA3" w:rsidP="003815BD">
      <w:pPr>
        <w:widowControl/>
        <w:spacing w:line="276" w:lineRule="auto"/>
        <w:rPr>
          <w:rFonts w:ascii="Times New Roman" w:hAnsi="Times New Roman"/>
          <w:b/>
          <w:bCs/>
          <w:color w:val="000000"/>
          <w:kern w:val="0"/>
          <w:sz w:val="24"/>
          <w:szCs w:val="24"/>
        </w:rPr>
      </w:pPr>
    </w:p>
    <w:p w14:paraId="07F194A8" w14:textId="77777777" w:rsidR="002B6AA3" w:rsidRDefault="002B6AA3" w:rsidP="003815BD">
      <w:pPr>
        <w:widowControl/>
        <w:spacing w:line="276" w:lineRule="auto"/>
        <w:rPr>
          <w:rFonts w:ascii="Times New Roman" w:hAnsi="Times New Roman"/>
          <w:b/>
          <w:bCs/>
          <w:color w:val="000000"/>
          <w:kern w:val="0"/>
          <w:sz w:val="24"/>
          <w:szCs w:val="24"/>
        </w:rPr>
      </w:pPr>
    </w:p>
    <w:p w14:paraId="59E0AAF3" w14:textId="77777777" w:rsidR="002B6AA3" w:rsidRDefault="002B6AA3" w:rsidP="003815BD">
      <w:pPr>
        <w:widowControl/>
        <w:spacing w:line="276" w:lineRule="auto"/>
        <w:rPr>
          <w:rFonts w:ascii="Times New Roman" w:hAnsi="Times New Roman"/>
          <w:b/>
          <w:bCs/>
          <w:color w:val="000000"/>
          <w:kern w:val="0"/>
          <w:sz w:val="24"/>
          <w:szCs w:val="24"/>
        </w:rPr>
      </w:pPr>
    </w:p>
    <w:p w14:paraId="1B0B15C7" w14:textId="77777777" w:rsidR="002B6AA3" w:rsidRDefault="002B6AA3" w:rsidP="003815BD">
      <w:pPr>
        <w:widowControl/>
        <w:spacing w:line="276" w:lineRule="auto"/>
        <w:rPr>
          <w:rFonts w:ascii="Times New Roman" w:hAnsi="Times New Roman"/>
          <w:b/>
          <w:bCs/>
          <w:color w:val="000000"/>
          <w:kern w:val="0"/>
          <w:sz w:val="24"/>
          <w:szCs w:val="24"/>
        </w:rPr>
      </w:pPr>
    </w:p>
    <w:p w14:paraId="134F438B" w14:textId="77777777" w:rsidR="002B6AA3" w:rsidRDefault="002B6AA3" w:rsidP="003815BD">
      <w:pPr>
        <w:widowControl/>
        <w:spacing w:line="276" w:lineRule="auto"/>
        <w:rPr>
          <w:rFonts w:ascii="Times New Roman" w:hAnsi="Times New Roman"/>
          <w:b/>
          <w:bCs/>
          <w:color w:val="000000"/>
          <w:kern w:val="0"/>
          <w:sz w:val="24"/>
          <w:szCs w:val="24"/>
        </w:rPr>
      </w:pPr>
    </w:p>
    <w:p w14:paraId="62DEF393" w14:textId="77777777" w:rsidR="002B6AA3" w:rsidRDefault="002B6AA3" w:rsidP="003815BD">
      <w:pPr>
        <w:widowControl/>
        <w:spacing w:line="276" w:lineRule="auto"/>
        <w:rPr>
          <w:rFonts w:ascii="Times New Roman" w:hAnsi="Times New Roman"/>
          <w:b/>
          <w:bCs/>
          <w:color w:val="000000"/>
          <w:kern w:val="0"/>
          <w:sz w:val="24"/>
          <w:szCs w:val="24"/>
        </w:rPr>
      </w:pPr>
    </w:p>
    <w:p w14:paraId="1E334491" w14:textId="77777777" w:rsidR="002B6AA3" w:rsidRDefault="002B6AA3" w:rsidP="003815BD">
      <w:pPr>
        <w:widowControl/>
        <w:spacing w:line="276" w:lineRule="auto"/>
        <w:rPr>
          <w:rFonts w:ascii="Times New Roman" w:hAnsi="Times New Roman"/>
          <w:b/>
          <w:bCs/>
          <w:color w:val="000000"/>
          <w:kern w:val="0"/>
          <w:sz w:val="24"/>
          <w:szCs w:val="24"/>
        </w:rPr>
      </w:pPr>
    </w:p>
    <w:p w14:paraId="2FDA3350" w14:textId="77777777" w:rsidR="002B6AA3" w:rsidRDefault="002B6AA3" w:rsidP="003815BD">
      <w:pPr>
        <w:widowControl/>
        <w:spacing w:line="276" w:lineRule="auto"/>
        <w:rPr>
          <w:rFonts w:ascii="Times New Roman" w:hAnsi="Times New Roman"/>
          <w:b/>
          <w:bCs/>
          <w:color w:val="000000"/>
          <w:kern w:val="0"/>
          <w:sz w:val="24"/>
          <w:szCs w:val="24"/>
        </w:rPr>
      </w:pPr>
    </w:p>
    <w:sectPr w:rsidR="002B6A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772F6" w14:textId="77777777" w:rsidR="0055284A" w:rsidRDefault="0055284A" w:rsidP="00BF4743">
      <w:r>
        <w:separator/>
      </w:r>
    </w:p>
  </w:endnote>
  <w:endnote w:type="continuationSeparator" w:id="0">
    <w:p w14:paraId="24BF7C74" w14:textId="77777777" w:rsidR="0055284A" w:rsidRDefault="0055284A" w:rsidP="00BF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460907"/>
      <w:docPartObj>
        <w:docPartGallery w:val="Page Numbers (Bottom of Page)"/>
        <w:docPartUnique/>
      </w:docPartObj>
    </w:sdtPr>
    <w:sdtEndPr/>
    <w:sdtContent>
      <w:p w14:paraId="6A6108BC" w14:textId="36556871" w:rsidR="00166248" w:rsidRDefault="00166248">
        <w:pPr>
          <w:pStyle w:val="a7"/>
          <w:jc w:val="center"/>
        </w:pPr>
        <w:r>
          <w:fldChar w:fldCharType="begin"/>
        </w:r>
        <w:r>
          <w:instrText>PAGE   \* MERGEFORMAT</w:instrText>
        </w:r>
        <w:r>
          <w:fldChar w:fldCharType="separate"/>
        </w:r>
        <w:r>
          <w:rPr>
            <w:lang w:val="zh-CN"/>
          </w:rPr>
          <w:t>2</w:t>
        </w:r>
        <w:r>
          <w:fldChar w:fldCharType="end"/>
        </w:r>
      </w:p>
    </w:sdtContent>
  </w:sdt>
  <w:p w14:paraId="366B9173" w14:textId="77777777" w:rsidR="00166248" w:rsidRDefault="0016624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BCB21" w14:textId="77777777" w:rsidR="0055284A" w:rsidRDefault="0055284A" w:rsidP="00BF4743">
      <w:r>
        <w:separator/>
      </w:r>
    </w:p>
  </w:footnote>
  <w:footnote w:type="continuationSeparator" w:id="0">
    <w:p w14:paraId="0E97F7EA" w14:textId="77777777" w:rsidR="0055284A" w:rsidRDefault="0055284A" w:rsidP="00BF47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297"/>
    <w:rsid w:val="00003CCD"/>
    <w:rsid w:val="00014AC5"/>
    <w:rsid w:val="00080C21"/>
    <w:rsid w:val="000C2559"/>
    <w:rsid w:val="000C7636"/>
    <w:rsid w:val="000F7864"/>
    <w:rsid w:val="00103750"/>
    <w:rsid w:val="00133454"/>
    <w:rsid w:val="001363B7"/>
    <w:rsid w:val="00163939"/>
    <w:rsid w:val="00166248"/>
    <w:rsid w:val="001671D2"/>
    <w:rsid w:val="00183E4B"/>
    <w:rsid w:val="00194CB5"/>
    <w:rsid w:val="001A0140"/>
    <w:rsid w:val="001A08DD"/>
    <w:rsid w:val="001A4E63"/>
    <w:rsid w:val="001D1D38"/>
    <w:rsid w:val="0020423D"/>
    <w:rsid w:val="002258BB"/>
    <w:rsid w:val="002330B5"/>
    <w:rsid w:val="0027264D"/>
    <w:rsid w:val="00293517"/>
    <w:rsid w:val="002A222E"/>
    <w:rsid w:val="002A2709"/>
    <w:rsid w:val="002B6AA3"/>
    <w:rsid w:val="002C10BB"/>
    <w:rsid w:val="002D0C58"/>
    <w:rsid w:val="002E071A"/>
    <w:rsid w:val="002E197E"/>
    <w:rsid w:val="00315FB6"/>
    <w:rsid w:val="00321C27"/>
    <w:rsid w:val="0033755A"/>
    <w:rsid w:val="00344C0C"/>
    <w:rsid w:val="003530FB"/>
    <w:rsid w:val="003531C7"/>
    <w:rsid w:val="00361F28"/>
    <w:rsid w:val="00371C10"/>
    <w:rsid w:val="00373556"/>
    <w:rsid w:val="003815BD"/>
    <w:rsid w:val="003919BF"/>
    <w:rsid w:val="003E75CC"/>
    <w:rsid w:val="00411558"/>
    <w:rsid w:val="004143F1"/>
    <w:rsid w:val="00444F16"/>
    <w:rsid w:val="004451B6"/>
    <w:rsid w:val="00454297"/>
    <w:rsid w:val="004860C9"/>
    <w:rsid w:val="004C32BE"/>
    <w:rsid w:val="004C43D5"/>
    <w:rsid w:val="004D1C18"/>
    <w:rsid w:val="004E3CA3"/>
    <w:rsid w:val="00500A41"/>
    <w:rsid w:val="00523994"/>
    <w:rsid w:val="005405BC"/>
    <w:rsid w:val="0055284A"/>
    <w:rsid w:val="00577BD8"/>
    <w:rsid w:val="00582CA0"/>
    <w:rsid w:val="0058481A"/>
    <w:rsid w:val="005862E7"/>
    <w:rsid w:val="005902E1"/>
    <w:rsid w:val="005B642E"/>
    <w:rsid w:val="005C31BF"/>
    <w:rsid w:val="005D6C6B"/>
    <w:rsid w:val="00616934"/>
    <w:rsid w:val="006220B2"/>
    <w:rsid w:val="00641370"/>
    <w:rsid w:val="00662CB5"/>
    <w:rsid w:val="006662C5"/>
    <w:rsid w:val="00695C51"/>
    <w:rsid w:val="006A0907"/>
    <w:rsid w:val="006C1EFF"/>
    <w:rsid w:val="006E076B"/>
    <w:rsid w:val="006E1C5C"/>
    <w:rsid w:val="0070024E"/>
    <w:rsid w:val="007154EA"/>
    <w:rsid w:val="007216C5"/>
    <w:rsid w:val="00752BA8"/>
    <w:rsid w:val="00755494"/>
    <w:rsid w:val="007B25CF"/>
    <w:rsid w:val="007C4EFB"/>
    <w:rsid w:val="007E4247"/>
    <w:rsid w:val="00810F00"/>
    <w:rsid w:val="00820042"/>
    <w:rsid w:val="008538EF"/>
    <w:rsid w:val="008E2128"/>
    <w:rsid w:val="0092113D"/>
    <w:rsid w:val="00930564"/>
    <w:rsid w:val="009316B0"/>
    <w:rsid w:val="00985E9B"/>
    <w:rsid w:val="009A28D3"/>
    <w:rsid w:val="009C61A7"/>
    <w:rsid w:val="009E6B14"/>
    <w:rsid w:val="009E71E5"/>
    <w:rsid w:val="00A03C01"/>
    <w:rsid w:val="00A03F3C"/>
    <w:rsid w:val="00A12719"/>
    <w:rsid w:val="00A90AAB"/>
    <w:rsid w:val="00AE415C"/>
    <w:rsid w:val="00B00105"/>
    <w:rsid w:val="00B268DD"/>
    <w:rsid w:val="00B62D29"/>
    <w:rsid w:val="00B7506C"/>
    <w:rsid w:val="00BF4743"/>
    <w:rsid w:val="00C01297"/>
    <w:rsid w:val="00C36922"/>
    <w:rsid w:val="00CB0788"/>
    <w:rsid w:val="00CC2DEC"/>
    <w:rsid w:val="00CE7FB1"/>
    <w:rsid w:val="00D03C01"/>
    <w:rsid w:val="00D21060"/>
    <w:rsid w:val="00D87FC6"/>
    <w:rsid w:val="00DC641F"/>
    <w:rsid w:val="00DE3EFE"/>
    <w:rsid w:val="00DE7E88"/>
    <w:rsid w:val="00DF250D"/>
    <w:rsid w:val="00E02109"/>
    <w:rsid w:val="00E225C1"/>
    <w:rsid w:val="00E27DE2"/>
    <w:rsid w:val="00E3178C"/>
    <w:rsid w:val="00E60BFA"/>
    <w:rsid w:val="00E773CF"/>
    <w:rsid w:val="00EA0247"/>
    <w:rsid w:val="00EC55DE"/>
    <w:rsid w:val="00F10D54"/>
    <w:rsid w:val="00F31F7B"/>
    <w:rsid w:val="00F325F1"/>
    <w:rsid w:val="00F612B1"/>
    <w:rsid w:val="00F77ED8"/>
    <w:rsid w:val="00FA5B67"/>
    <w:rsid w:val="00FB14CC"/>
    <w:rsid w:val="00FB3C9A"/>
    <w:rsid w:val="00FD2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8E279"/>
  <w15:chartTrackingRefBased/>
  <w15:docId w15:val="{E9E651F6-4FC7-46B0-9CC5-4853A3A27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454297"/>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4297"/>
    <w:rPr>
      <w:color w:val="0000FF"/>
      <w:u w:val="single"/>
    </w:rPr>
  </w:style>
  <w:style w:type="table" w:styleId="a4">
    <w:name w:val="Table Grid"/>
    <w:basedOn w:val="a1"/>
    <w:uiPriority w:val="39"/>
    <w:qFormat/>
    <w:rsid w:val="00752BA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F474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F4743"/>
    <w:rPr>
      <w:rFonts w:ascii="等线" w:eastAsia="等线" w:hAnsi="等线" w:cs="Times New Roman"/>
      <w:sz w:val="18"/>
      <w:szCs w:val="18"/>
    </w:rPr>
  </w:style>
  <w:style w:type="paragraph" w:styleId="a7">
    <w:name w:val="footer"/>
    <w:basedOn w:val="a"/>
    <w:link w:val="a8"/>
    <w:uiPriority w:val="99"/>
    <w:unhideWhenUsed/>
    <w:rsid w:val="00BF4743"/>
    <w:pPr>
      <w:tabs>
        <w:tab w:val="center" w:pos="4153"/>
        <w:tab w:val="right" w:pos="8306"/>
      </w:tabs>
      <w:snapToGrid w:val="0"/>
      <w:jc w:val="left"/>
    </w:pPr>
    <w:rPr>
      <w:sz w:val="18"/>
      <w:szCs w:val="18"/>
    </w:rPr>
  </w:style>
  <w:style w:type="character" w:customStyle="1" w:styleId="a8">
    <w:name w:val="页脚 字符"/>
    <w:basedOn w:val="a0"/>
    <w:link w:val="a7"/>
    <w:uiPriority w:val="99"/>
    <w:rsid w:val="00BF4743"/>
    <w:rPr>
      <w:rFonts w:ascii="等线" w:eastAsia="等线" w:hAnsi="等线" w:cs="Times New Roman"/>
      <w:sz w:val="18"/>
      <w:szCs w:val="18"/>
    </w:rPr>
  </w:style>
  <w:style w:type="paragraph" w:styleId="a9">
    <w:name w:val="Balloon Text"/>
    <w:basedOn w:val="a"/>
    <w:link w:val="aa"/>
    <w:uiPriority w:val="99"/>
    <w:semiHidden/>
    <w:unhideWhenUsed/>
    <w:rsid w:val="00411558"/>
    <w:rPr>
      <w:sz w:val="18"/>
      <w:szCs w:val="18"/>
    </w:rPr>
  </w:style>
  <w:style w:type="character" w:customStyle="1" w:styleId="aa">
    <w:name w:val="批注框文本 字符"/>
    <w:basedOn w:val="a0"/>
    <w:link w:val="a9"/>
    <w:uiPriority w:val="99"/>
    <w:semiHidden/>
    <w:rsid w:val="00411558"/>
    <w:rPr>
      <w:rFonts w:ascii="等线" w:eastAsia="等线" w:hAnsi="等线" w:cs="Times New Roman"/>
      <w:sz w:val="18"/>
      <w:szCs w:val="18"/>
    </w:rPr>
  </w:style>
  <w:style w:type="paragraph" w:customStyle="1" w:styleId="p1">
    <w:name w:val="p1"/>
    <w:basedOn w:val="a"/>
    <w:rsid w:val="00577BD8"/>
    <w:pPr>
      <w:widowControl/>
      <w:jc w:val="left"/>
    </w:pPr>
    <w:rPr>
      <w:rFonts w:ascii="Helvetica" w:eastAsiaTheme="minorEastAsia" w:hAnsi="Helvetica"/>
      <w:kern w:val="0"/>
      <w:sz w:val="14"/>
      <w:szCs w:val="14"/>
    </w:rPr>
  </w:style>
  <w:style w:type="character" w:styleId="ab">
    <w:name w:val="line number"/>
    <w:basedOn w:val="a0"/>
    <w:uiPriority w:val="99"/>
    <w:semiHidden/>
    <w:unhideWhenUsed/>
    <w:rsid w:val="002E1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renshuyue@imm.ac.cn"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4A274-BF8A-4A55-BE89-B9FEDF617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3034</Words>
  <Characters>17300</Characters>
  <Application>Microsoft Office Word</Application>
  <DocSecurity>0</DocSecurity>
  <Lines>144</Lines>
  <Paragraphs>40</Paragraphs>
  <ScaleCrop>false</ScaleCrop>
  <Company/>
  <LinksUpToDate>false</LinksUpToDate>
  <CharactersWithSpaces>20294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 Yongyi</dc:creator>
  <cp:keywords/>
  <dc:description/>
  <cp:lastModifiedBy>Bai Yongyi</cp:lastModifiedBy>
  <cp:revision>3</cp:revision>
  <dcterms:created xsi:type="dcterms:W3CDTF">2020-07-16T01:02:00Z</dcterms:created>
  <dcterms:modified xsi:type="dcterms:W3CDTF">2020-07-16T01:02:00Z</dcterms:modified>
</cp:coreProperties>
</file>