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88641" w14:textId="77777777" w:rsidR="00F125EE" w:rsidRDefault="00F125EE" w:rsidP="003C6592">
      <w:pPr>
        <w:rPr>
          <w:sz w:val="36"/>
          <w:szCs w:val="36"/>
        </w:rPr>
      </w:pPr>
    </w:p>
    <w:p w14:paraId="31C337D1" w14:textId="77777777" w:rsidR="00D04BCF" w:rsidRPr="003B40E6" w:rsidRDefault="00BB2D2A" w:rsidP="00FA1481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</w:t>
      </w:r>
      <w:r w:rsidR="009743A9">
        <w:rPr>
          <w:sz w:val="36"/>
          <w:szCs w:val="36"/>
        </w:rPr>
        <w:t xml:space="preserve"> for</w:t>
      </w:r>
    </w:p>
    <w:p w14:paraId="29411C5A" w14:textId="77777777" w:rsidR="005001AC" w:rsidRDefault="005001AC"/>
    <w:p w14:paraId="57C5AED8" w14:textId="77777777" w:rsidR="00232D3A" w:rsidRPr="000914FF" w:rsidRDefault="00232D3A" w:rsidP="00232D3A">
      <w:pPr>
        <w:spacing w:line="480" w:lineRule="auto"/>
        <w:jc w:val="both"/>
        <w:rPr>
          <w:rStyle w:val="fontstyle01"/>
          <w:rFonts w:hint="eastAsia"/>
          <w:b/>
          <w:color w:val="000000"/>
          <w:szCs w:val="24"/>
        </w:rPr>
      </w:pPr>
      <w:bookmarkStart w:id="0" w:name="_Hlk52808330"/>
      <w:r w:rsidRPr="000914FF">
        <w:rPr>
          <w:b/>
          <w:color w:val="000000"/>
          <w:szCs w:val="24"/>
        </w:rPr>
        <w:t>HIF-1α-induced expression of m6A reader YTHDF1 drives hypoxia-induced autophagy and malignancy of hepatocellular carcinoma by promoting ATG2A and ATG14 translation</w:t>
      </w:r>
    </w:p>
    <w:bookmarkEnd w:id="0"/>
    <w:p w14:paraId="728064DE" w14:textId="77777777" w:rsidR="00232D3A" w:rsidRPr="000914FF" w:rsidRDefault="00232D3A" w:rsidP="003C6592">
      <w:pPr>
        <w:autoSpaceDE w:val="0"/>
        <w:autoSpaceDN w:val="0"/>
        <w:adjustRightInd w:val="0"/>
        <w:spacing w:line="480" w:lineRule="auto"/>
        <w:jc w:val="both"/>
        <w:rPr>
          <w:szCs w:val="24"/>
        </w:rPr>
      </w:pPr>
      <w:r w:rsidRPr="000914FF">
        <w:rPr>
          <w:szCs w:val="24"/>
        </w:rPr>
        <w:t>Qing Li</w:t>
      </w:r>
      <w:bookmarkStart w:id="1" w:name="OLE_LINK6"/>
      <w:r w:rsidRPr="000914FF">
        <w:rPr>
          <w:szCs w:val="24"/>
          <w:vertAlign w:val="superscript"/>
        </w:rPr>
        <w:t>1</w:t>
      </w:r>
      <w:r w:rsidRPr="000914FF">
        <w:rPr>
          <w:rFonts w:hint="eastAsia"/>
          <w:szCs w:val="24"/>
          <w:vertAlign w:val="superscript"/>
        </w:rPr>
        <w:t>,2</w:t>
      </w:r>
      <w:r w:rsidRPr="000914FF">
        <w:rPr>
          <w:szCs w:val="24"/>
          <w:vertAlign w:val="superscript"/>
        </w:rPr>
        <w:t>,†</w:t>
      </w:r>
      <w:bookmarkEnd w:id="1"/>
      <w:r w:rsidRPr="000914FF">
        <w:rPr>
          <w:szCs w:val="24"/>
        </w:rPr>
        <w:t>·</w:t>
      </w:r>
      <w:r w:rsidRPr="000914FF">
        <w:rPr>
          <w:rFonts w:hint="eastAsia"/>
          <w:szCs w:val="24"/>
        </w:rPr>
        <w:t xml:space="preserve"> </w:t>
      </w:r>
      <w:r w:rsidRPr="000914FF">
        <w:rPr>
          <w:szCs w:val="24"/>
        </w:rPr>
        <w:t>Runqiu Jiang</w:t>
      </w:r>
      <w:r w:rsidRPr="000914FF">
        <w:rPr>
          <w:szCs w:val="24"/>
          <w:vertAlign w:val="superscript"/>
        </w:rPr>
        <w:t>3</w:t>
      </w:r>
      <w:r w:rsidRPr="000914FF">
        <w:rPr>
          <w:rFonts w:hint="eastAsia"/>
          <w:szCs w:val="24"/>
          <w:vertAlign w:val="superscript"/>
        </w:rPr>
        <w:t>,</w:t>
      </w:r>
      <w:r w:rsidRPr="000914FF">
        <w:rPr>
          <w:szCs w:val="24"/>
          <w:vertAlign w:val="superscript"/>
        </w:rPr>
        <w:t>4,†</w:t>
      </w:r>
      <w:r w:rsidRPr="000914FF">
        <w:rPr>
          <w:szCs w:val="24"/>
        </w:rPr>
        <w:t>· Liren Zhang</w:t>
      </w:r>
      <w:r w:rsidRPr="000914FF">
        <w:rPr>
          <w:szCs w:val="24"/>
          <w:vertAlign w:val="superscript"/>
        </w:rPr>
        <w:t>1,†</w:t>
      </w:r>
      <w:r w:rsidRPr="000914FF">
        <w:rPr>
          <w:szCs w:val="24"/>
        </w:rPr>
        <w:t>· Hong Yang</w:t>
      </w:r>
      <w:r w:rsidRPr="000914FF">
        <w:rPr>
          <w:szCs w:val="24"/>
          <w:vertAlign w:val="superscript"/>
        </w:rPr>
        <w:t>5,†</w:t>
      </w:r>
      <w:r w:rsidRPr="000914FF">
        <w:rPr>
          <w:szCs w:val="24"/>
        </w:rPr>
        <w:t>· Jing Xu</w:t>
      </w:r>
      <w:r w:rsidRPr="000914FF">
        <w:rPr>
          <w:szCs w:val="24"/>
          <w:vertAlign w:val="superscript"/>
        </w:rPr>
        <w:t>6,†</w:t>
      </w:r>
      <w:r w:rsidRPr="000914FF">
        <w:rPr>
          <w:szCs w:val="24"/>
        </w:rPr>
        <w:t xml:space="preserve">· Yuanchang </w:t>
      </w:r>
      <w:r w:rsidRPr="000914FF">
        <w:rPr>
          <w:rFonts w:hint="eastAsia"/>
          <w:szCs w:val="24"/>
        </w:rPr>
        <w:t>Hu</w:t>
      </w:r>
      <w:r w:rsidRPr="000914FF">
        <w:rPr>
          <w:szCs w:val="24"/>
          <w:vertAlign w:val="superscript"/>
        </w:rPr>
        <w:t>1</w:t>
      </w:r>
      <w:r w:rsidRPr="000914FF">
        <w:rPr>
          <w:szCs w:val="24"/>
        </w:rPr>
        <w:t>· Jiannan Qiu</w:t>
      </w:r>
      <w:r w:rsidRPr="000914FF">
        <w:rPr>
          <w:szCs w:val="24"/>
          <w:vertAlign w:val="superscript"/>
        </w:rPr>
        <w:t>1</w:t>
      </w:r>
      <w:r w:rsidRPr="000914FF">
        <w:rPr>
          <w:szCs w:val="24"/>
        </w:rPr>
        <w:t xml:space="preserve">· </w:t>
      </w:r>
      <w:r w:rsidRPr="000914FF">
        <w:rPr>
          <w:rFonts w:hint="eastAsia"/>
          <w:szCs w:val="24"/>
        </w:rPr>
        <w:t>Yong</w:t>
      </w:r>
      <w:r w:rsidRPr="000914FF">
        <w:rPr>
          <w:szCs w:val="24"/>
        </w:rPr>
        <w:t xml:space="preserve"> Ni</w:t>
      </w:r>
      <w:r w:rsidRPr="000914FF">
        <w:rPr>
          <w:szCs w:val="24"/>
          <w:vertAlign w:val="superscript"/>
        </w:rPr>
        <w:t>7,*</w:t>
      </w:r>
      <w:r w:rsidRPr="000914FF">
        <w:rPr>
          <w:szCs w:val="24"/>
        </w:rPr>
        <w:t xml:space="preserve">· </w:t>
      </w:r>
      <w:r w:rsidRPr="000914FF">
        <w:rPr>
          <w:rFonts w:hint="eastAsia"/>
          <w:szCs w:val="24"/>
        </w:rPr>
        <w:t>Li</w:t>
      </w:r>
      <w:r w:rsidRPr="000914FF">
        <w:rPr>
          <w:szCs w:val="24"/>
        </w:rPr>
        <w:t>yong Pu</w:t>
      </w:r>
      <w:r w:rsidRPr="000914FF">
        <w:rPr>
          <w:szCs w:val="24"/>
          <w:vertAlign w:val="superscript"/>
        </w:rPr>
        <w:t>1,*</w:t>
      </w:r>
      <w:r w:rsidRPr="000914FF">
        <w:rPr>
          <w:szCs w:val="24"/>
        </w:rPr>
        <w:t xml:space="preserve">· </w:t>
      </w:r>
      <w:r w:rsidRPr="000914FF">
        <w:rPr>
          <w:rFonts w:hint="eastAsia"/>
          <w:szCs w:val="24"/>
        </w:rPr>
        <w:t>Jin</w:t>
      </w:r>
      <w:r w:rsidRPr="000914FF">
        <w:rPr>
          <w:szCs w:val="24"/>
        </w:rPr>
        <w:t>hai Tang</w:t>
      </w:r>
      <w:r w:rsidRPr="000914FF">
        <w:rPr>
          <w:szCs w:val="24"/>
          <w:vertAlign w:val="superscript"/>
        </w:rPr>
        <w:t>8,*</w:t>
      </w:r>
      <w:r w:rsidRPr="000914FF">
        <w:rPr>
          <w:szCs w:val="24"/>
        </w:rPr>
        <w:t>·</w:t>
      </w:r>
      <w:r w:rsidRPr="000914FF">
        <w:rPr>
          <w:rFonts w:hint="eastAsia"/>
          <w:szCs w:val="24"/>
        </w:rPr>
        <w:t xml:space="preserve"> Xuehao</w:t>
      </w:r>
      <w:r w:rsidRPr="000914FF">
        <w:rPr>
          <w:szCs w:val="24"/>
        </w:rPr>
        <w:t xml:space="preserve"> </w:t>
      </w:r>
      <w:r w:rsidRPr="000914FF">
        <w:rPr>
          <w:rFonts w:hint="eastAsia"/>
          <w:szCs w:val="24"/>
        </w:rPr>
        <w:t>Wang</w:t>
      </w:r>
      <w:r w:rsidRPr="000914FF">
        <w:rPr>
          <w:szCs w:val="24"/>
          <w:vertAlign w:val="superscript"/>
        </w:rPr>
        <w:t>1</w:t>
      </w:r>
      <w:r w:rsidRPr="000914FF">
        <w:rPr>
          <w:rFonts w:hint="eastAsia"/>
          <w:szCs w:val="24"/>
          <w:vertAlign w:val="superscript"/>
        </w:rPr>
        <w:t>,2</w:t>
      </w:r>
      <w:bookmarkStart w:id="2" w:name="OLE_LINK67"/>
      <w:r w:rsidRPr="000914FF">
        <w:rPr>
          <w:rFonts w:hint="eastAsia"/>
          <w:szCs w:val="24"/>
          <w:vertAlign w:val="superscript"/>
        </w:rPr>
        <w:t>,</w:t>
      </w:r>
      <w:r w:rsidRPr="000914FF">
        <w:rPr>
          <w:szCs w:val="24"/>
          <w:vertAlign w:val="superscript"/>
        </w:rPr>
        <w:t>*</w:t>
      </w:r>
      <w:bookmarkEnd w:id="2"/>
    </w:p>
    <w:p w14:paraId="5FD6287B" w14:textId="77777777" w:rsidR="00232D3A" w:rsidRPr="000914FF" w:rsidRDefault="00232D3A" w:rsidP="00232D3A">
      <w:pPr>
        <w:spacing w:line="480" w:lineRule="auto"/>
        <w:rPr>
          <w:szCs w:val="24"/>
          <w:vertAlign w:val="superscript"/>
        </w:rPr>
      </w:pPr>
    </w:p>
    <w:p w14:paraId="35DBF1F1" w14:textId="77777777" w:rsidR="00232D3A" w:rsidRPr="000914FF" w:rsidRDefault="00232D3A" w:rsidP="003C6592">
      <w:pPr>
        <w:spacing w:line="480" w:lineRule="auto"/>
        <w:jc w:val="both"/>
        <w:rPr>
          <w:rFonts w:eastAsia="Arial Unicode MS"/>
          <w:bCs/>
          <w:szCs w:val="24"/>
        </w:rPr>
      </w:pPr>
      <w:r w:rsidRPr="000914FF">
        <w:rPr>
          <w:rFonts w:hint="eastAsia"/>
          <w:szCs w:val="24"/>
          <w:vertAlign w:val="superscript"/>
        </w:rPr>
        <w:t>1</w:t>
      </w:r>
      <w:bookmarkStart w:id="3" w:name="OLE_LINK77"/>
      <w:bookmarkStart w:id="4" w:name="OLE_LINK78"/>
      <w:r w:rsidRPr="000914FF">
        <w:rPr>
          <w:rFonts w:eastAsia="Arial Unicode MS"/>
          <w:bCs/>
          <w:szCs w:val="24"/>
        </w:rPr>
        <w:t>Hepatobiliary Center</w:t>
      </w:r>
      <w:bookmarkEnd w:id="3"/>
      <w:bookmarkEnd w:id="4"/>
      <w:r w:rsidRPr="000914FF">
        <w:rPr>
          <w:rFonts w:eastAsia="Arial Unicode MS"/>
          <w:bCs/>
          <w:szCs w:val="24"/>
        </w:rPr>
        <w:t>,</w:t>
      </w:r>
      <w:r w:rsidRPr="000914FF">
        <w:rPr>
          <w:rFonts w:eastAsia="Arial Unicode MS" w:hint="eastAsia"/>
          <w:bCs/>
          <w:szCs w:val="24"/>
        </w:rPr>
        <w:t xml:space="preserve"> </w:t>
      </w:r>
      <w:r w:rsidRPr="000914FF">
        <w:rPr>
          <w:rFonts w:eastAsia="Arial Unicode MS"/>
          <w:bCs/>
          <w:szCs w:val="24"/>
        </w:rPr>
        <w:t>The First Affiliated Hospital of Nanjing Medical University; Key Laboratory of Liver Transplantation,</w:t>
      </w:r>
      <w:r w:rsidRPr="000914FF">
        <w:rPr>
          <w:rFonts w:eastAsia="Arial Unicode MS" w:hint="eastAsia"/>
          <w:bCs/>
          <w:szCs w:val="24"/>
        </w:rPr>
        <w:t xml:space="preserve"> </w:t>
      </w:r>
      <w:r w:rsidRPr="000914FF">
        <w:rPr>
          <w:rFonts w:eastAsia="Arial Unicode MS"/>
          <w:bCs/>
          <w:szCs w:val="24"/>
        </w:rPr>
        <w:t>Chinese Academy of Medical Sciences; NHC Key Laboratory of Living Donor Liver Transplantation</w:t>
      </w:r>
      <w:r w:rsidRPr="000914FF">
        <w:rPr>
          <w:rFonts w:eastAsia="Arial Unicode MS" w:hint="eastAsia"/>
          <w:bCs/>
          <w:szCs w:val="24"/>
        </w:rPr>
        <w:t xml:space="preserve"> </w:t>
      </w:r>
      <w:r w:rsidRPr="000914FF">
        <w:rPr>
          <w:rFonts w:eastAsia="Arial Unicode MS"/>
          <w:bCs/>
          <w:szCs w:val="24"/>
        </w:rPr>
        <w:t>(Nanjing Medical University)</w:t>
      </w:r>
      <w:r w:rsidRPr="000914FF">
        <w:rPr>
          <w:rFonts w:eastAsia="Arial Unicode MS" w:hint="eastAsia"/>
          <w:bCs/>
          <w:szCs w:val="24"/>
        </w:rPr>
        <w:t>,</w:t>
      </w:r>
      <w:r w:rsidRPr="000914FF">
        <w:rPr>
          <w:rFonts w:eastAsia="Arial Unicode MS"/>
          <w:bCs/>
          <w:szCs w:val="24"/>
        </w:rPr>
        <w:t xml:space="preserve"> Nanjing, Jiangsu Province, China</w:t>
      </w:r>
      <w:r w:rsidRPr="000914FF">
        <w:rPr>
          <w:rFonts w:eastAsia="Arial Unicode MS" w:hint="eastAsia"/>
          <w:bCs/>
          <w:szCs w:val="24"/>
        </w:rPr>
        <w:t>.</w:t>
      </w:r>
    </w:p>
    <w:p w14:paraId="51DD7CAC" w14:textId="77777777" w:rsidR="00232D3A" w:rsidRPr="000914FF" w:rsidRDefault="00232D3A" w:rsidP="003C6592">
      <w:pPr>
        <w:spacing w:line="480" w:lineRule="auto"/>
        <w:jc w:val="both"/>
        <w:rPr>
          <w:bCs/>
          <w:szCs w:val="24"/>
          <w:vertAlign w:val="superscript"/>
        </w:rPr>
      </w:pPr>
    </w:p>
    <w:p w14:paraId="3904AF52" w14:textId="77777777" w:rsidR="00232D3A" w:rsidRPr="000914FF" w:rsidRDefault="00232D3A" w:rsidP="003C6592">
      <w:pPr>
        <w:spacing w:line="480" w:lineRule="auto"/>
        <w:jc w:val="both"/>
        <w:rPr>
          <w:rFonts w:eastAsia="Arial Unicode MS"/>
          <w:bCs/>
          <w:szCs w:val="24"/>
        </w:rPr>
      </w:pPr>
      <w:r w:rsidRPr="000914FF">
        <w:rPr>
          <w:rFonts w:hint="eastAsia"/>
          <w:szCs w:val="24"/>
          <w:vertAlign w:val="superscript"/>
        </w:rPr>
        <w:t>2</w:t>
      </w:r>
      <w:r w:rsidRPr="000914FF">
        <w:rPr>
          <w:rFonts w:eastAsia="Arial Unicode MS" w:hint="eastAsia"/>
          <w:bCs/>
          <w:szCs w:val="24"/>
        </w:rPr>
        <w:t>School</w:t>
      </w:r>
      <w:r w:rsidRPr="000914FF">
        <w:rPr>
          <w:rFonts w:eastAsia="Arial Unicode MS"/>
          <w:bCs/>
          <w:szCs w:val="24"/>
        </w:rPr>
        <w:t xml:space="preserve"> of</w:t>
      </w:r>
      <w:r w:rsidRPr="000914FF">
        <w:rPr>
          <w:rFonts w:eastAsia="Arial Unicode MS" w:hint="eastAsia"/>
          <w:bCs/>
          <w:szCs w:val="24"/>
        </w:rPr>
        <w:t xml:space="preserve"> Medicine, </w:t>
      </w:r>
      <w:r w:rsidRPr="000914FF">
        <w:rPr>
          <w:rFonts w:eastAsia="Arial Unicode MS"/>
          <w:bCs/>
          <w:szCs w:val="24"/>
        </w:rPr>
        <w:t xml:space="preserve">Southeast University, Nanjing, China. </w:t>
      </w:r>
    </w:p>
    <w:p w14:paraId="03C6B8A8" w14:textId="77777777" w:rsidR="00232D3A" w:rsidRPr="000914FF" w:rsidRDefault="00232D3A" w:rsidP="003C6592">
      <w:pPr>
        <w:spacing w:line="480" w:lineRule="auto"/>
        <w:jc w:val="both"/>
        <w:rPr>
          <w:rFonts w:eastAsia="Arial Unicode MS"/>
          <w:bCs/>
          <w:szCs w:val="24"/>
        </w:rPr>
      </w:pPr>
    </w:p>
    <w:p w14:paraId="79A6ACAA" w14:textId="77777777" w:rsidR="00232D3A" w:rsidRPr="000914FF" w:rsidRDefault="00232D3A" w:rsidP="003C6592">
      <w:pPr>
        <w:spacing w:line="480" w:lineRule="auto"/>
        <w:jc w:val="both"/>
        <w:rPr>
          <w:rFonts w:eastAsia="Arial Unicode MS"/>
          <w:bCs/>
          <w:szCs w:val="24"/>
        </w:rPr>
      </w:pPr>
      <w:r w:rsidRPr="000914FF">
        <w:rPr>
          <w:szCs w:val="24"/>
          <w:vertAlign w:val="superscript"/>
        </w:rPr>
        <w:t>3</w:t>
      </w:r>
      <w:r w:rsidRPr="000914FF">
        <w:rPr>
          <w:rFonts w:eastAsia="Arial Unicode MS"/>
          <w:bCs/>
          <w:szCs w:val="24"/>
        </w:rPr>
        <w:t>Department of Hepatobiliary Surgery, The Affiliated Drum Tower Hospital of</w:t>
      </w:r>
      <w:r w:rsidRPr="000914FF">
        <w:rPr>
          <w:rFonts w:eastAsia="Arial Unicode MS" w:hint="eastAsia"/>
          <w:bCs/>
          <w:szCs w:val="24"/>
        </w:rPr>
        <w:t xml:space="preserve"> </w:t>
      </w:r>
      <w:r w:rsidRPr="000914FF">
        <w:rPr>
          <w:rFonts w:eastAsia="Arial Unicode MS"/>
          <w:bCs/>
          <w:szCs w:val="24"/>
        </w:rPr>
        <w:t>Nanjing University Medical School, Nanjing, Jiangsu Province, People's Republic of China.</w:t>
      </w:r>
    </w:p>
    <w:p w14:paraId="0A3AF956" w14:textId="77777777" w:rsidR="00232D3A" w:rsidRPr="000914FF" w:rsidRDefault="00232D3A" w:rsidP="003C6592">
      <w:pPr>
        <w:spacing w:line="480" w:lineRule="auto"/>
        <w:jc w:val="both"/>
        <w:rPr>
          <w:rFonts w:eastAsia="Arial Unicode MS"/>
          <w:bCs/>
          <w:szCs w:val="24"/>
        </w:rPr>
      </w:pPr>
    </w:p>
    <w:p w14:paraId="137C0A39" w14:textId="77777777" w:rsidR="00232D3A" w:rsidRPr="000914FF" w:rsidRDefault="00232D3A" w:rsidP="003C6592">
      <w:pPr>
        <w:spacing w:line="480" w:lineRule="auto"/>
        <w:jc w:val="both"/>
        <w:rPr>
          <w:rFonts w:eastAsia="Arial Unicode MS"/>
          <w:bCs/>
          <w:szCs w:val="24"/>
        </w:rPr>
      </w:pPr>
      <w:r w:rsidRPr="000914FF">
        <w:rPr>
          <w:szCs w:val="24"/>
          <w:vertAlign w:val="superscript"/>
        </w:rPr>
        <w:t>4</w:t>
      </w:r>
      <w:r w:rsidRPr="000914FF">
        <w:rPr>
          <w:rFonts w:eastAsia="Arial Unicode MS"/>
          <w:bCs/>
          <w:szCs w:val="24"/>
        </w:rPr>
        <w:t xml:space="preserve">Medical School of Nanjing University, Nanjing, Jiangsu, China. </w:t>
      </w:r>
    </w:p>
    <w:p w14:paraId="18A0E61B" w14:textId="77777777" w:rsidR="00232D3A" w:rsidRPr="000914FF" w:rsidRDefault="00232D3A" w:rsidP="003C6592">
      <w:pPr>
        <w:spacing w:line="480" w:lineRule="auto"/>
        <w:jc w:val="both"/>
        <w:rPr>
          <w:rFonts w:eastAsia="Arial Unicode MS"/>
          <w:bCs/>
          <w:szCs w:val="24"/>
        </w:rPr>
      </w:pPr>
    </w:p>
    <w:p w14:paraId="6FA85287" w14:textId="77777777" w:rsidR="00232D3A" w:rsidRPr="000914FF" w:rsidRDefault="00232D3A" w:rsidP="003C6592">
      <w:pPr>
        <w:spacing w:line="480" w:lineRule="auto"/>
        <w:jc w:val="both"/>
        <w:rPr>
          <w:rFonts w:eastAsia="Arial Unicode MS"/>
          <w:bCs/>
          <w:szCs w:val="24"/>
        </w:rPr>
      </w:pPr>
      <w:r w:rsidRPr="000914FF">
        <w:rPr>
          <w:szCs w:val="24"/>
          <w:vertAlign w:val="superscript"/>
        </w:rPr>
        <w:t>5</w:t>
      </w:r>
      <w:r w:rsidRPr="000914FF">
        <w:rPr>
          <w:rFonts w:eastAsia="Arial Unicode MS"/>
          <w:bCs/>
          <w:szCs w:val="24"/>
        </w:rPr>
        <w:t>Department of Immunology, Key Laboratory of Immune Microenvironment and Disease, Nanjing Medical University, Nanjing, Jiangsu Province, China</w:t>
      </w:r>
      <w:r w:rsidRPr="000914FF">
        <w:rPr>
          <w:rFonts w:eastAsia="Arial Unicode MS" w:hint="eastAsia"/>
          <w:bCs/>
          <w:szCs w:val="24"/>
        </w:rPr>
        <w:t>.</w:t>
      </w:r>
    </w:p>
    <w:p w14:paraId="2772F224" w14:textId="77777777" w:rsidR="00232D3A" w:rsidRPr="000914FF" w:rsidRDefault="00232D3A" w:rsidP="003C6592">
      <w:pPr>
        <w:spacing w:line="480" w:lineRule="auto"/>
        <w:jc w:val="both"/>
        <w:rPr>
          <w:rFonts w:eastAsia="Arial Unicode MS"/>
          <w:bCs/>
          <w:szCs w:val="24"/>
        </w:rPr>
      </w:pPr>
    </w:p>
    <w:p w14:paraId="7FC01488" w14:textId="77777777" w:rsidR="00232D3A" w:rsidRPr="000914FF" w:rsidRDefault="00232D3A" w:rsidP="003C6592">
      <w:pPr>
        <w:spacing w:line="480" w:lineRule="auto"/>
        <w:jc w:val="both"/>
        <w:rPr>
          <w:rFonts w:eastAsia="Arial Unicode MS"/>
          <w:bCs/>
          <w:szCs w:val="24"/>
        </w:rPr>
      </w:pPr>
      <w:r w:rsidRPr="000914FF">
        <w:rPr>
          <w:szCs w:val="24"/>
          <w:vertAlign w:val="superscript"/>
        </w:rPr>
        <w:lastRenderedPageBreak/>
        <w:t>6</w:t>
      </w:r>
      <w:r w:rsidRPr="000914FF">
        <w:rPr>
          <w:rFonts w:eastAsia="Arial Unicode MS"/>
          <w:bCs/>
          <w:szCs w:val="24"/>
        </w:rPr>
        <w:t>Department of Oncology, The First Affiliated Hospital of Nanjing Medical University, Nanjing, Jiangsu Province,</w:t>
      </w:r>
      <w:r w:rsidRPr="000914FF">
        <w:rPr>
          <w:rFonts w:eastAsia="Arial Unicode MS" w:hint="eastAsia"/>
          <w:bCs/>
          <w:szCs w:val="24"/>
        </w:rPr>
        <w:t xml:space="preserve"> </w:t>
      </w:r>
      <w:r w:rsidRPr="000914FF">
        <w:rPr>
          <w:rFonts w:eastAsia="Arial Unicode MS"/>
          <w:bCs/>
          <w:szCs w:val="24"/>
        </w:rPr>
        <w:t>China</w:t>
      </w:r>
      <w:r w:rsidRPr="000914FF">
        <w:rPr>
          <w:rFonts w:eastAsia="Arial Unicode MS" w:hint="eastAsia"/>
          <w:bCs/>
          <w:szCs w:val="24"/>
        </w:rPr>
        <w:t>.</w:t>
      </w:r>
    </w:p>
    <w:p w14:paraId="06E0B439" w14:textId="77777777" w:rsidR="00232D3A" w:rsidRPr="000914FF" w:rsidRDefault="00232D3A" w:rsidP="003C6592">
      <w:pPr>
        <w:spacing w:line="480" w:lineRule="auto"/>
        <w:jc w:val="both"/>
        <w:rPr>
          <w:rFonts w:eastAsia="Arial Unicode MS"/>
          <w:bCs/>
          <w:szCs w:val="24"/>
        </w:rPr>
      </w:pPr>
    </w:p>
    <w:p w14:paraId="756EAA46" w14:textId="77777777" w:rsidR="00232D3A" w:rsidRPr="000914FF" w:rsidRDefault="00232D3A" w:rsidP="003C6592">
      <w:pPr>
        <w:spacing w:line="480" w:lineRule="auto"/>
        <w:jc w:val="both"/>
        <w:rPr>
          <w:rFonts w:eastAsia="Arial Unicode MS"/>
          <w:bCs/>
          <w:szCs w:val="24"/>
        </w:rPr>
      </w:pPr>
      <w:r w:rsidRPr="000914FF">
        <w:rPr>
          <w:szCs w:val="24"/>
          <w:vertAlign w:val="superscript"/>
        </w:rPr>
        <w:t>7</w:t>
      </w:r>
      <w:r w:rsidRPr="000914FF">
        <w:rPr>
          <w:rFonts w:eastAsia="Arial Unicode MS"/>
          <w:bCs/>
          <w:szCs w:val="24"/>
        </w:rPr>
        <w:t>Department of Hepatopancreatobiliary Surgery, Shenzhen Second People's Hospital, The First Affiliated Hospital of Shenzhen University, Shenzhen, Guangdong, China.</w:t>
      </w:r>
    </w:p>
    <w:p w14:paraId="318728C8" w14:textId="77777777" w:rsidR="00232D3A" w:rsidRPr="000914FF" w:rsidRDefault="00232D3A" w:rsidP="003C6592">
      <w:pPr>
        <w:spacing w:line="480" w:lineRule="auto"/>
        <w:jc w:val="both"/>
        <w:rPr>
          <w:rFonts w:eastAsia="Arial Unicode MS"/>
          <w:bCs/>
          <w:szCs w:val="24"/>
        </w:rPr>
      </w:pPr>
    </w:p>
    <w:p w14:paraId="2934431F" w14:textId="77777777" w:rsidR="00232D3A" w:rsidRPr="000914FF" w:rsidRDefault="00232D3A" w:rsidP="003C6592">
      <w:pPr>
        <w:spacing w:line="480" w:lineRule="auto"/>
        <w:jc w:val="both"/>
        <w:rPr>
          <w:rFonts w:eastAsia="Arial Unicode MS"/>
          <w:bCs/>
          <w:szCs w:val="24"/>
        </w:rPr>
      </w:pPr>
      <w:r w:rsidRPr="000914FF">
        <w:rPr>
          <w:szCs w:val="24"/>
          <w:vertAlign w:val="superscript"/>
        </w:rPr>
        <w:t>8</w:t>
      </w:r>
      <w:r w:rsidRPr="000914FF">
        <w:rPr>
          <w:rFonts w:eastAsia="Arial Unicode MS"/>
          <w:bCs/>
          <w:szCs w:val="24"/>
        </w:rPr>
        <w:t>Department of General Surgery, The First Affiliated Hospital of Nanjing</w:t>
      </w:r>
      <w:r w:rsidRPr="000914FF">
        <w:rPr>
          <w:rFonts w:eastAsia="Arial Unicode MS" w:hint="eastAsia"/>
          <w:bCs/>
          <w:szCs w:val="24"/>
        </w:rPr>
        <w:t xml:space="preserve"> </w:t>
      </w:r>
      <w:r w:rsidRPr="000914FF">
        <w:rPr>
          <w:rFonts w:eastAsia="Arial Unicode MS"/>
          <w:bCs/>
          <w:szCs w:val="24"/>
        </w:rPr>
        <w:t>Medical</w:t>
      </w:r>
      <w:r w:rsidRPr="000914FF">
        <w:rPr>
          <w:rFonts w:eastAsia="Arial Unicode MS" w:hint="eastAsia"/>
          <w:bCs/>
          <w:szCs w:val="24"/>
        </w:rPr>
        <w:t xml:space="preserve"> </w:t>
      </w:r>
      <w:r w:rsidRPr="000914FF">
        <w:rPr>
          <w:rFonts w:eastAsia="Arial Unicode MS"/>
          <w:bCs/>
          <w:szCs w:val="24"/>
        </w:rPr>
        <w:t>University, Nanjing, Jiangsu Province,</w:t>
      </w:r>
      <w:r w:rsidRPr="000914FF">
        <w:rPr>
          <w:rFonts w:eastAsia="Arial Unicode MS" w:hint="eastAsia"/>
          <w:bCs/>
          <w:szCs w:val="24"/>
        </w:rPr>
        <w:t xml:space="preserve"> </w:t>
      </w:r>
      <w:r w:rsidRPr="000914FF">
        <w:rPr>
          <w:rFonts w:eastAsia="Arial Unicode MS"/>
          <w:bCs/>
          <w:szCs w:val="24"/>
        </w:rPr>
        <w:t>China</w:t>
      </w:r>
      <w:r w:rsidRPr="000914FF">
        <w:rPr>
          <w:rFonts w:eastAsia="Arial Unicode MS" w:hint="eastAsia"/>
          <w:bCs/>
          <w:szCs w:val="24"/>
        </w:rPr>
        <w:t>.</w:t>
      </w:r>
    </w:p>
    <w:p w14:paraId="54FFB428" w14:textId="77777777" w:rsidR="00232D3A" w:rsidRPr="000914FF" w:rsidRDefault="00232D3A" w:rsidP="003C6592">
      <w:pPr>
        <w:spacing w:line="480" w:lineRule="auto"/>
        <w:jc w:val="both"/>
        <w:rPr>
          <w:szCs w:val="24"/>
          <w:vertAlign w:val="superscript"/>
        </w:rPr>
      </w:pPr>
    </w:p>
    <w:p w14:paraId="70AF4FB3" w14:textId="77777777" w:rsidR="00232D3A" w:rsidRPr="000914FF" w:rsidRDefault="00232D3A" w:rsidP="003C6592">
      <w:pPr>
        <w:autoSpaceDE w:val="0"/>
        <w:autoSpaceDN w:val="0"/>
        <w:adjustRightInd w:val="0"/>
        <w:spacing w:line="480" w:lineRule="auto"/>
        <w:jc w:val="both"/>
        <w:rPr>
          <w:szCs w:val="24"/>
        </w:rPr>
      </w:pPr>
      <w:r w:rsidRPr="000914FF">
        <w:rPr>
          <w:szCs w:val="24"/>
          <w:vertAlign w:val="superscript"/>
        </w:rPr>
        <w:t>†</w:t>
      </w:r>
      <w:r w:rsidRPr="000914FF">
        <w:rPr>
          <w:szCs w:val="24"/>
        </w:rPr>
        <w:t>These authors contributed equally to this work</w:t>
      </w:r>
      <w:r w:rsidRPr="000914FF">
        <w:rPr>
          <w:rFonts w:hint="eastAsia"/>
          <w:szCs w:val="24"/>
        </w:rPr>
        <w:t>.</w:t>
      </w:r>
    </w:p>
    <w:p w14:paraId="109178D2" w14:textId="77777777" w:rsidR="00232D3A" w:rsidRPr="000914FF" w:rsidRDefault="00232D3A" w:rsidP="003C6592">
      <w:pPr>
        <w:spacing w:line="480" w:lineRule="auto"/>
        <w:jc w:val="both"/>
        <w:rPr>
          <w:szCs w:val="24"/>
        </w:rPr>
      </w:pPr>
    </w:p>
    <w:p w14:paraId="37D4CE41" w14:textId="77777777" w:rsidR="00232D3A" w:rsidRPr="000914FF" w:rsidRDefault="00232D3A" w:rsidP="003C6592">
      <w:pPr>
        <w:spacing w:line="480" w:lineRule="auto"/>
        <w:ind w:left="2280" w:hangingChars="950" w:hanging="2280"/>
        <w:jc w:val="both"/>
        <w:rPr>
          <w:szCs w:val="24"/>
        </w:rPr>
      </w:pPr>
      <w:r w:rsidRPr="000914FF">
        <w:rPr>
          <w:szCs w:val="24"/>
          <w:vertAlign w:val="superscript"/>
        </w:rPr>
        <w:t>*</w:t>
      </w:r>
      <w:r w:rsidRPr="000914FF">
        <w:rPr>
          <w:b/>
          <w:szCs w:val="24"/>
        </w:rPr>
        <w:t>Correspondence to:</w:t>
      </w:r>
      <w:r w:rsidRPr="000914FF">
        <w:rPr>
          <w:szCs w:val="24"/>
        </w:rPr>
        <w:t xml:space="preserve"> Xuehao Wang, </w:t>
      </w:r>
      <w:r w:rsidRPr="000914FF">
        <w:rPr>
          <w:b/>
          <w:szCs w:val="24"/>
        </w:rPr>
        <w:t xml:space="preserve">email: </w:t>
      </w:r>
      <w:hyperlink r:id="rId7" w:history="1">
        <w:r w:rsidRPr="000914FF">
          <w:rPr>
            <w:color w:val="0000FF"/>
            <w:szCs w:val="24"/>
            <w:u w:val="single"/>
          </w:rPr>
          <w:t>wangxh@njmu.edu.cn</w:t>
        </w:r>
      </w:hyperlink>
      <w:r w:rsidRPr="000914FF">
        <w:rPr>
          <w:szCs w:val="24"/>
        </w:rPr>
        <w:t xml:space="preserve"> </w:t>
      </w:r>
    </w:p>
    <w:p w14:paraId="79F975C4" w14:textId="77777777" w:rsidR="00232D3A" w:rsidRPr="000914FF" w:rsidRDefault="00232D3A" w:rsidP="003C6592">
      <w:pPr>
        <w:spacing w:line="480" w:lineRule="auto"/>
        <w:ind w:firstLineChars="900" w:firstLine="2160"/>
        <w:jc w:val="both"/>
        <w:rPr>
          <w:color w:val="0000FF"/>
          <w:szCs w:val="24"/>
          <w:u w:val="single"/>
        </w:rPr>
      </w:pPr>
      <w:r w:rsidRPr="000914FF">
        <w:rPr>
          <w:szCs w:val="24"/>
        </w:rPr>
        <w:t>Jinhai Tang,</w:t>
      </w:r>
      <w:r w:rsidRPr="000914FF">
        <w:rPr>
          <w:b/>
          <w:szCs w:val="24"/>
        </w:rPr>
        <w:t xml:space="preserve"> email:</w:t>
      </w:r>
      <w:r w:rsidRPr="000914FF">
        <w:rPr>
          <w:color w:val="0000FF"/>
          <w:szCs w:val="24"/>
          <w:u w:val="single"/>
        </w:rPr>
        <w:t xml:space="preserve"> jhtang@njmu.edu.cn</w:t>
      </w:r>
    </w:p>
    <w:p w14:paraId="7227DE74" w14:textId="77777777" w:rsidR="00232D3A" w:rsidRPr="000914FF" w:rsidRDefault="00232D3A" w:rsidP="003C6592">
      <w:pPr>
        <w:spacing w:line="480" w:lineRule="auto"/>
        <w:ind w:firstLineChars="900" w:firstLine="2160"/>
        <w:jc w:val="both"/>
        <w:rPr>
          <w:color w:val="0000FF"/>
          <w:szCs w:val="24"/>
          <w:u w:val="single"/>
        </w:rPr>
      </w:pPr>
      <w:r w:rsidRPr="000914FF">
        <w:rPr>
          <w:szCs w:val="24"/>
        </w:rPr>
        <w:t>Liyong Pu</w:t>
      </w:r>
      <w:r w:rsidRPr="000914FF">
        <w:rPr>
          <w:rFonts w:hint="eastAsia"/>
          <w:szCs w:val="24"/>
        </w:rPr>
        <w:t xml:space="preserve">, </w:t>
      </w:r>
      <w:r w:rsidRPr="000914FF">
        <w:rPr>
          <w:b/>
          <w:szCs w:val="24"/>
        </w:rPr>
        <w:t>email:</w:t>
      </w:r>
      <w:r w:rsidRPr="000914FF">
        <w:rPr>
          <w:rFonts w:hint="eastAsia"/>
          <w:b/>
          <w:szCs w:val="24"/>
        </w:rPr>
        <w:t xml:space="preserve"> </w:t>
      </w:r>
      <w:hyperlink r:id="rId8" w:history="1">
        <w:r w:rsidRPr="000914FF">
          <w:rPr>
            <w:color w:val="0000FF"/>
            <w:szCs w:val="24"/>
            <w:u w:val="single"/>
          </w:rPr>
          <w:t>puliyong@njmu.edu.cn</w:t>
        </w:r>
      </w:hyperlink>
    </w:p>
    <w:p w14:paraId="7E8E0AE3" w14:textId="77777777" w:rsidR="00232D3A" w:rsidRPr="000914FF" w:rsidRDefault="00232D3A" w:rsidP="003C6592">
      <w:pPr>
        <w:spacing w:line="480" w:lineRule="auto"/>
        <w:ind w:firstLineChars="900" w:firstLine="2160"/>
        <w:jc w:val="both"/>
        <w:rPr>
          <w:color w:val="0000FF"/>
          <w:szCs w:val="24"/>
          <w:u w:val="single"/>
        </w:rPr>
      </w:pPr>
      <w:r w:rsidRPr="000914FF">
        <w:rPr>
          <w:rFonts w:hint="eastAsia"/>
          <w:szCs w:val="24"/>
        </w:rPr>
        <w:t>Y</w:t>
      </w:r>
      <w:r w:rsidRPr="000914FF">
        <w:rPr>
          <w:szCs w:val="24"/>
        </w:rPr>
        <w:t xml:space="preserve">ong </w:t>
      </w:r>
      <w:r w:rsidRPr="000914FF">
        <w:rPr>
          <w:rFonts w:hint="eastAsia"/>
          <w:szCs w:val="24"/>
        </w:rPr>
        <w:t>N</w:t>
      </w:r>
      <w:r w:rsidRPr="000914FF">
        <w:rPr>
          <w:szCs w:val="24"/>
        </w:rPr>
        <w:t xml:space="preserve">i, </w:t>
      </w:r>
      <w:r w:rsidRPr="000914FF">
        <w:rPr>
          <w:b/>
          <w:bCs/>
          <w:szCs w:val="24"/>
        </w:rPr>
        <w:t xml:space="preserve">email: </w:t>
      </w:r>
      <w:r w:rsidRPr="000914FF">
        <w:rPr>
          <w:color w:val="0000FF"/>
          <w:szCs w:val="24"/>
          <w:u w:val="single"/>
        </w:rPr>
        <w:t>szniyong@sina.com</w:t>
      </w:r>
    </w:p>
    <w:p w14:paraId="223EBBEB" w14:textId="77777777" w:rsidR="002C030F" w:rsidRDefault="002C030F" w:rsidP="003C6592"/>
    <w:p w14:paraId="5BBBF32C" w14:textId="77777777" w:rsidR="00015F74" w:rsidRDefault="00015F74" w:rsidP="003C6592">
      <w:pPr>
        <w:rPr>
          <w:b/>
        </w:rPr>
      </w:pPr>
    </w:p>
    <w:p w14:paraId="546CBFCA" w14:textId="77777777" w:rsidR="002C030F" w:rsidRPr="00262D72" w:rsidRDefault="009743A9" w:rsidP="003C6592">
      <w:pPr>
        <w:rPr>
          <w:b/>
        </w:rPr>
      </w:pPr>
      <w:r>
        <w:rPr>
          <w:b/>
        </w:rPr>
        <w:t xml:space="preserve">This PDF file </w:t>
      </w:r>
      <w:r w:rsidR="002C030F" w:rsidRPr="00262D72">
        <w:rPr>
          <w:b/>
        </w:rPr>
        <w:t>includes:</w:t>
      </w:r>
    </w:p>
    <w:p w14:paraId="6B069C4B" w14:textId="77777777" w:rsidR="002C030F" w:rsidRDefault="002C030F" w:rsidP="003C6592"/>
    <w:p w14:paraId="7FC81517" w14:textId="0288D82D" w:rsidR="002C030F" w:rsidRDefault="002C030F" w:rsidP="00413D6F">
      <w:r>
        <w:t>Fig</w:t>
      </w:r>
      <w:r w:rsidR="00821F38">
        <w:rPr>
          <w:rFonts w:hint="eastAsia"/>
          <w:lang w:eastAsia="zh-CN"/>
        </w:rPr>
        <w:t>ure</w:t>
      </w:r>
      <w:r w:rsidR="00A3403B">
        <w:t xml:space="preserve">s. </w:t>
      </w:r>
      <w:r>
        <w:t>S1</w:t>
      </w:r>
      <w:r w:rsidR="00A3403B">
        <w:t xml:space="preserve"> to </w:t>
      </w:r>
      <w:r>
        <w:t>S</w:t>
      </w:r>
      <w:r w:rsidR="00232D3A">
        <w:t>14</w:t>
      </w:r>
    </w:p>
    <w:p w14:paraId="4B448789" w14:textId="77777777" w:rsidR="002C030F" w:rsidRDefault="002C030F" w:rsidP="003D5D84">
      <w:pPr>
        <w:spacing w:line="480" w:lineRule="auto"/>
      </w:pPr>
    </w:p>
    <w:p w14:paraId="5725CBAF" w14:textId="160CC85F" w:rsidR="002C030F" w:rsidRDefault="002C030F" w:rsidP="003D5D84">
      <w:pPr>
        <w:spacing w:line="480" w:lineRule="auto"/>
      </w:pPr>
      <w:r w:rsidRPr="00262D72">
        <w:rPr>
          <w:b/>
        </w:rPr>
        <w:t>Other Sup</w:t>
      </w:r>
      <w:r w:rsidR="00B77B2A">
        <w:rPr>
          <w:b/>
        </w:rPr>
        <w:t>p</w:t>
      </w:r>
      <w:r w:rsidR="00BB2D2A">
        <w:rPr>
          <w:b/>
        </w:rPr>
        <w:t>lementary</w:t>
      </w:r>
      <w:r w:rsidRPr="00262D72">
        <w:rPr>
          <w:b/>
        </w:rPr>
        <w:t xml:space="preserve"> Material</w:t>
      </w:r>
      <w:r w:rsidR="00BB2D2A">
        <w:rPr>
          <w:b/>
        </w:rPr>
        <w:t>s</w:t>
      </w:r>
      <w:r w:rsidRPr="00262D72">
        <w:rPr>
          <w:b/>
        </w:rPr>
        <w:t xml:space="preserve"> </w:t>
      </w:r>
      <w:r w:rsidR="009743A9">
        <w:rPr>
          <w:b/>
        </w:rPr>
        <w:t xml:space="preserve">for this manuscript </w:t>
      </w:r>
      <w:r w:rsidRPr="00262D72">
        <w:rPr>
          <w:b/>
        </w:rPr>
        <w:t>include the following</w:t>
      </w:r>
      <w:r w:rsidR="00B57F00">
        <w:rPr>
          <w:b/>
        </w:rPr>
        <w:t xml:space="preserve">: </w:t>
      </w:r>
    </w:p>
    <w:p w14:paraId="4CE9EFB8" w14:textId="25C0F499" w:rsidR="003D5D84" w:rsidRDefault="00232D3A" w:rsidP="003D5D84">
      <w:pPr>
        <w:spacing w:line="480" w:lineRule="auto"/>
        <w:rPr>
          <w:lang w:eastAsia="zh-CN"/>
        </w:rPr>
      </w:pPr>
      <w:r w:rsidRPr="00232D3A">
        <w:t>Supplementary Table 1</w:t>
      </w:r>
      <w:r>
        <w:t>-5</w:t>
      </w:r>
    </w:p>
    <w:p w14:paraId="66CE4563" w14:textId="2610A63E" w:rsidR="003D5D84" w:rsidRDefault="003D5D84" w:rsidP="003D5D84">
      <w:pPr>
        <w:spacing w:line="480" w:lineRule="auto"/>
      </w:pPr>
      <w:r w:rsidRPr="00232D3A">
        <w:t>Supplementary Table 1</w:t>
      </w:r>
      <w:r>
        <w:rPr>
          <w:rFonts w:hint="eastAsia"/>
          <w:lang w:eastAsia="zh-CN"/>
        </w:rPr>
        <w:t>：</w:t>
      </w:r>
      <w:r w:rsidRPr="003D5D84">
        <w:t>Correlations between regulated m6A gene expression and autophagic flux in the HCC cell lines</w:t>
      </w:r>
      <w:r>
        <w:rPr>
          <w:rFonts w:hint="eastAsia"/>
          <w:lang w:eastAsia="zh-CN"/>
        </w:rPr>
        <w:t>.</w:t>
      </w:r>
    </w:p>
    <w:p w14:paraId="0BD69CAD" w14:textId="61CF858C" w:rsidR="003D5D84" w:rsidRDefault="003D5D84" w:rsidP="003D5D84">
      <w:pPr>
        <w:spacing w:line="480" w:lineRule="auto"/>
      </w:pPr>
      <w:r w:rsidRPr="00232D3A">
        <w:lastRenderedPageBreak/>
        <w:t xml:space="preserve">Supplementary Table </w:t>
      </w: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t>：</w:t>
      </w:r>
      <w:r w:rsidRPr="003D5D84">
        <w:t>Correlations between YTHDF1 expression and clinical characteristics in HCC patients (n = 120)</w:t>
      </w:r>
      <w:r>
        <w:rPr>
          <w:rFonts w:hint="eastAsia"/>
          <w:lang w:eastAsia="zh-CN"/>
        </w:rPr>
        <w:t>.</w:t>
      </w:r>
    </w:p>
    <w:p w14:paraId="434560A1" w14:textId="6B7422C3" w:rsidR="003D5D84" w:rsidRDefault="003D5D84" w:rsidP="003D5D84">
      <w:pPr>
        <w:spacing w:line="480" w:lineRule="auto"/>
        <w:rPr>
          <w:szCs w:val="24"/>
        </w:rPr>
      </w:pPr>
      <w:r w:rsidRPr="00232D3A">
        <w:t xml:space="preserve">Supplementary Table </w:t>
      </w:r>
      <w:r>
        <w:rPr>
          <w:rFonts w:hint="eastAsia"/>
          <w:lang w:eastAsia="zh-CN"/>
        </w:rPr>
        <w:t>3</w:t>
      </w:r>
      <w:r>
        <w:rPr>
          <w:rFonts w:hint="eastAsia"/>
          <w:lang w:eastAsia="zh-CN"/>
        </w:rPr>
        <w:t>：</w:t>
      </w:r>
      <w:r w:rsidRPr="008A165D">
        <w:rPr>
          <w:szCs w:val="24"/>
        </w:rPr>
        <w:t xml:space="preserve">Univariate and multivariate </w:t>
      </w:r>
      <w:r w:rsidRPr="00A81AEC">
        <w:rPr>
          <w:szCs w:val="24"/>
        </w:rPr>
        <w:t xml:space="preserve">analysis of factors associated with </w:t>
      </w:r>
      <w:bookmarkStart w:id="5" w:name="OLE_LINK12"/>
      <w:r w:rsidRPr="00A81AEC">
        <w:rPr>
          <w:szCs w:val="24"/>
        </w:rPr>
        <w:t>overall survival</w:t>
      </w:r>
      <w:bookmarkEnd w:id="5"/>
      <w:r w:rsidRPr="00A81AEC">
        <w:rPr>
          <w:szCs w:val="24"/>
        </w:rPr>
        <w:t xml:space="preserve"> and </w:t>
      </w:r>
      <w:bookmarkStart w:id="6" w:name="OLE_LINK13"/>
      <w:r w:rsidRPr="00A81AEC">
        <w:rPr>
          <w:szCs w:val="24"/>
        </w:rPr>
        <w:t>recurrence-free survival</w:t>
      </w:r>
      <w:bookmarkEnd w:id="6"/>
      <w:r w:rsidRPr="00A81AEC">
        <w:rPr>
          <w:szCs w:val="24"/>
        </w:rPr>
        <w:t xml:space="preserve"> of </w:t>
      </w:r>
      <w:r>
        <w:rPr>
          <w:rFonts w:hint="eastAsia"/>
          <w:szCs w:val="24"/>
        </w:rPr>
        <w:t>120</w:t>
      </w:r>
      <w:r w:rsidRPr="00A81AEC">
        <w:rPr>
          <w:szCs w:val="24"/>
        </w:rPr>
        <w:t xml:space="preserve"> HCC patients</w:t>
      </w:r>
      <w:r>
        <w:rPr>
          <w:szCs w:val="24"/>
        </w:rPr>
        <w:t>.</w:t>
      </w:r>
    </w:p>
    <w:p w14:paraId="61668315" w14:textId="26AF54DF" w:rsidR="003D5D84" w:rsidRDefault="003D5D84" w:rsidP="003D5D84">
      <w:pPr>
        <w:spacing w:line="480" w:lineRule="auto"/>
        <w:rPr>
          <w:szCs w:val="24"/>
        </w:rPr>
      </w:pPr>
      <w:r w:rsidRPr="00232D3A">
        <w:t xml:space="preserve">Supplementary Table </w:t>
      </w:r>
      <w:r>
        <w:rPr>
          <w:lang w:eastAsia="zh-CN"/>
        </w:rPr>
        <w:t>4</w:t>
      </w:r>
      <w:r>
        <w:rPr>
          <w:rFonts w:hint="eastAsia"/>
          <w:lang w:eastAsia="zh-CN"/>
        </w:rPr>
        <w:t>：</w:t>
      </w:r>
      <w:r w:rsidRPr="003D5D84">
        <w:rPr>
          <w:szCs w:val="24"/>
        </w:rPr>
        <w:t>Methylated RNA immunoprecipitation sequencing (MeRIP-seq) of hypoxic SMMC7721 cells</w:t>
      </w:r>
      <w:r>
        <w:rPr>
          <w:szCs w:val="24"/>
        </w:rPr>
        <w:t>.</w:t>
      </w:r>
    </w:p>
    <w:p w14:paraId="2F57C5B5" w14:textId="22C9A71D" w:rsidR="003D5D84" w:rsidRPr="008A165D" w:rsidRDefault="003D5D84" w:rsidP="003D5D84">
      <w:pPr>
        <w:spacing w:line="480" w:lineRule="auto"/>
        <w:rPr>
          <w:szCs w:val="24"/>
        </w:rPr>
      </w:pPr>
      <w:r w:rsidRPr="00232D3A">
        <w:t xml:space="preserve">Supplementary Table </w:t>
      </w:r>
      <w:r>
        <w:rPr>
          <w:lang w:eastAsia="zh-CN"/>
        </w:rPr>
        <w:t>5</w:t>
      </w:r>
      <w:r>
        <w:rPr>
          <w:rFonts w:hint="eastAsia"/>
          <w:lang w:eastAsia="zh-CN"/>
        </w:rPr>
        <w:t>：</w:t>
      </w:r>
      <w:r w:rsidRPr="003D5D84">
        <w:rPr>
          <w:szCs w:val="24"/>
        </w:rPr>
        <w:t>Proteomics analysis of hypoxic SMMC7721 cells</w:t>
      </w:r>
      <w:r w:rsidR="00D75B5C">
        <w:rPr>
          <w:szCs w:val="24"/>
        </w:rPr>
        <w:t>.</w:t>
      </w:r>
    </w:p>
    <w:p w14:paraId="23718CE0" w14:textId="1CBFF995" w:rsidR="00015F74" w:rsidRDefault="00015F74" w:rsidP="00413D6F">
      <w:r>
        <w:br/>
      </w:r>
    </w:p>
    <w:p w14:paraId="614756DF" w14:textId="3A18279C" w:rsidR="00C50C6D" w:rsidRDefault="00015F74" w:rsidP="003C6592">
      <w:pPr>
        <w:pStyle w:val="SMHeading"/>
      </w:pPr>
      <w:r>
        <w:br w:type="page"/>
      </w:r>
      <w:r w:rsidR="00C70CB3"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0EBC27F4" wp14:editId="039285D6">
            <wp:simplePos x="0" y="0"/>
            <wp:positionH relativeFrom="margin">
              <wp:align>center</wp:align>
            </wp:positionH>
            <wp:positionV relativeFrom="paragraph">
              <wp:posOffset>408305</wp:posOffset>
            </wp:positionV>
            <wp:extent cx="5583555" cy="7674610"/>
            <wp:effectExtent l="0" t="0" r="0" b="254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600" cy="76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D3A">
        <w:t>FigureS1</w:t>
      </w:r>
    </w:p>
    <w:p w14:paraId="550509CE" w14:textId="65FF0C10" w:rsidR="00232D3A" w:rsidRPr="00BB7C0D" w:rsidRDefault="00232D3A" w:rsidP="00BB7C0D">
      <w:pPr>
        <w:pStyle w:val="SMcaption"/>
        <w:spacing w:line="480" w:lineRule="auto"/>
        <w:jc w:val="both"/>
      </w:pPr>
      <w:r>
        <w:rPr>
          <w:noProof/>
        </w:rPr>
        <w:lastRenderedPageBreak/>
        <w:softHyphen/>
      </w:r>
      <w:r>
        <w:rPr>
          <w:b/>
          <w:bCs/>
          <w:szCs w:val="24"/>
        </w:rPr>
        <w:t>Figure S1.</w:t>
      </w:r>
      <w:r>
        <w:rPr>
          <w:b/>
          <w:color w:val="000000"/>
          <w:szCs w:val="24"/>
        </w:rPr>
        <w:t xml:space="preserve"> </w:t>
      </w:r>
      <w:r w:rsidRPr="00254725">
        <w:rPr>
          <w:b/>
          <w:color w:val="000000"/>
          <w:szCs w:val="24"/>
        </w:rPr>
        <w:t>YTHDF1 is closely correlated with hypoxia-induced autophagy</w:t>
      </w:r>
      <w:r>
        <w:rPr>
          <w:b/>
          <w:color w:val="000000"/>
          <w:szCs w:val="24"/>
        </w:rPr>
        <w:t>. a</w:t>
      </w:r>
      <w:r>
        <w:rPr>
          <w:szCs w:val="24"/>
        </w:rPr>
        <w:t xml:space="preserve"> </w:t>
      </w:r>
      <w:r>
        <w:rPr>
          <w:bCs/>
          <w:color w:val="000000"/>
          <w:szCs w:val="24"/>
        </w:rPr>
        <w:t xml:space="preserve">Immunoﬂuorescence (IF) staining with </w:t>
      </w:r>
      <w:r>
        <w:rPr>
          <w:rFonts w:ascii="TimesNewRomanPSMT" w:hAnsi="TimesNewRomanPSMT" w:cs="TimesNewRomanPSMT"/>
          <w:color w:val="000000"/>
          <w:szCs w:val="24"/>
        </w:rPr>
        <w:t>mRFP-GFP-LC3</w:t>
      </w:r>
      <w:r>
        <w:rPr>
          <w:bCs/>
          <w:color w:val="000000"/>
          <w:szCs w:val="24"/>
        </w:rPr>
        <w:t xml:space="preserve"> in HCC cell lines under hypoxia. </w:t>
      </w:r>
      <w:r>
        <w:rPr>
          <w:rStyle w:val="fontstyle01"/>
          <w:rFonts w:ascii="Times New Roman" w:hAnsi="Times New Roman"/>
          <w:sz w:val="24"/>
          <w:szCs w:val="24"/>
        </w:rPr>
        <w:t>Red puncta signify autolysosomes and yellow puncta signify autophagosomes.</w:t>
      </w:r>
      <w:r>
        <w:rPr>
          <w:b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 xml:space="preserve">Scale bar, 10 µm. </w:t>
      </w:r>
      <w:r>
        <w:rPr>
          <w:b/>
          <w:color w:val="000000"/>
          <w:szCs w:val="24"/>
        </w:rPr>
        <w:t>b</w:t>
      </w:r>
      <w:r>
        <w:rPr>
          <w:szCs w:val="24"/>
        </w:rPr>
        <w:t xml:space="preserve"> </w:t>
      </w:r>
      <w:r>
        <w:rPr>
          <w:bCs/>
          <w:color w:val="000000"/>
          <w:szCs w:val="24"/>
        </w:rPr>
        <w:t xml:space="preserve">Quantification of LC3 puncta under hypoxia. </w:t>
      </w:r>
      <w:r w:rsidRPr="00CE1566">
        <w:rPr>
          <w:b/>
          <w:color w:val="000000"/>
          <w:szCs w:val="24"/>
        </w:rPr>
        <w:t>c</w:t>
      </w:r>
      <w:r w:rsidRPr="00CE1566">
        <w:rPr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>YTHDF1</w:t>
      </w:r>
      <w:r w:rsidRPr="00127208">
        <w:rPr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 xml:space="preserve">expression </w:t>
      </w:r>
      <w:r w:rsidRPr="00127208">
        <w:rPr>
          <w:bCs/>
          <w:color w:val="000000"/>
          <w:szCs w:val="24"/>
        </w:rPr>
        <w:t>detected</w:t>
      </w:r>
      <w:r>
        <w:rPr>
          <w:rFonts w:hint="eastAsia"/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>in HCC cell lines</w:t>
      </w:r>
      <w:r w:rsidRPr="00127208">
        <w:rPr>
          <w:bCs/>
          <w:color w:val="000000"/>
          <w:szCs w:val="24"/>
        </w:rPr>
        <w:t xml:space="preserve"> using </w:t>
      </w:r>
      <w:r>
        <w:rPr>
          <w:bCs/>
          <w:szCs w:val="24"/>
        </w:rPr>
        <w:t>qRT-PCR.</w:t>
      </w:r>
      <w:r w:rsidR="00C70CB3" w:rsidRPr="00C70CB3">
        <w:rPr>
          <w:color w:val="000000" w:themeColor="text1"/>
        </w:rPr>
        <w:t xml:space="preserve"> </w:t>
      </w:r>
      <w:r w:rsidR="00C70CB3">
        <w:rPr>
          <w:color w:val="000000" w:themeColor="text1"/>
        </w:rPr>
        <w:t xml:space="preserve">Error bars represent the mean ± </w:t>
      </w:r>
      <w:r w:rsidR="00C70CB3" w:rsidRPr="000914FF">
        <w:rPr>
          <w:bCs/>
          <w:color w:val="000000"/>
          <w:szCs w:val="24"/>
        </w:rPr>
        <w:t>SEM</w:t>
      </w:r>
      <w:r w:rsidR="00C70CB3">
        <w:t xml:space="preserve"> </w:t>
      </w:r>
      <w:r w:rsidR="00C70CB3">
        <w:rPr>
          <w:color w:val="000000" w:themeColor="text1"/>
        </w:rPr>
        <w:t>and the dots represent the value of each experiment.</w:t>
      </w:r>
      <w:r w:rsidR="00C70CB3">
        <w:t xml:space="preserve"> </w:t>
      </w:r>
    </w:p>
    <w:p w14:paraId="36D99A66" w14:textId="118D0F98" w:rsidR="00C6506A" w:rsidRDefault="00C6506A" w:rsidP="00BB7C0D">
      <w:pPr>
        <w:spacing w:line="480" w:lineRule="auto"/>
        <w:jc w:val="both"/>
      </w:pPr>
      <w:r>
        <w:br w:type="page"/>
      </w:r>
    </w:p>
    <w:p w14:paraId="6B9BE4C7" w14:textId="4CA028E3" w:rsidR="00232D3A" w:rsidRDefault="00C6506A" w:rsidP="00232D3A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0FEDBBE" wp14:editId="4FCD937D">
            <wp:simplePos x="0" y="0"/>
            <wp:positionH relativeFrom="margin">
              <wp:align>center</wp:align>
            </wp:positionH>
            <wp:positionV relativeFrom="page">
              <wp:posOffset>1252220</wp:posOffset>
            </wp:positionV>
            <wp:extent cx="5399405" cy="7826375"/>
            <wp:effectExtent l="0" t="0" r="0" b="3175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782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506A">
        <w:rPr>
          <w:b/>
          <w:bCs/>
        </w:rPr>
        <w:t>FigureS2</w:t>
      </w:r>
    </w:p>
    <w:p w14:paraId="3C8E05DB" w14:textId="2BFC7CDA" w:rsidR="00C70CB3" w:rsidRPr="00BB7C0D" w:rsidRDefault="00C6506A" w:rsidP="00C70CB3">
      <w:pPr>
        <w:pStyle w:val="SMcaption"/>
        <w:spacing w:line="480" w:lineRule="auto"/>
        <w:jc w:val="both"/>
      </w:pPr>
      <w:r w:rsidRPr="00C6506A">
        <w:rPr>
          <w:rFonts w:eastAsia="等线"/>
          <w:b/>
          <w:bCs/>
          <w:kern w:val="2"/>
          <w:szCs w:val="24"/>
          <w:lang w:eastAsia="zh-CN"/>
        </w:rPr>
        <w:lastRenderedPageBreak/>
        <w:t>Figure S2.</w:t>
      </w:r>
      <w:r w:rsidRPr="00C6506A">
        <w:rPr>
          <w:rFonts w:eastAsia="等线"/>
          <w:b/>
          <w:color w:val="000000"/>
          <w:kern w:val="2"/>
          <w:szCs w:val="24"/>
          <w:lang w:eastAsia="zh-CN"/>
        </w:rPr>
        <w:t xml:space="preserve"> YTHDF1 expression is increased in patients with HCC. a</w:t>
      </w:r>
      <w:r w:rsidRPr="00C6506A">
        <w:rPr>
          <w:rFonts w:eastAsia="等线"/>
          <w:bCs/>
          <w:color w:val="000000"/>
          <w:kern w:val="2"/>
          <w:szCs w:val="24"/>
          <w:lang w:eastAsia="zh-CN"/>
        </w:rPr>
        <w:t xml:space="preserve"> </w:t>
      </w:r>
      <w:r w:rsidRPr="00C6506A">
        <w:rPr>
          <w:rFonts w:eastAsia="等线"/>
          <w:color w:val="000000"/>
          <w:kern w:val="2"/>
          <w:szCs w:val="24"/>
          <w:lang w:eastAsia="zh-CN"/>
        </w:rPr>
        <w:t xml:space="preserve">Expression levels of </w:t>
      </w:r>
      <w:r w:rsidRPr="00C6506A">
        <w:rPr>
          <w:rFonts w:eastAsia="等线"/>
          <w:bCs/>
          <w:color w:val="000000"/>
          <w:kern w:val="2"/>
          <w:szCs w:val="24"/>
          <w:lang w:eastAsia="zh-CN"/>
        </w:rPr>
        <w:t>YTHDF1</w:t>
      </w:r>
      <w:r w:rsidRPr="00C6506A">
        <w:rPr>
          <w:rFonts w:eastAsia="等线"/>
          <w:color w:val="000000"/>
          <w:kern w:val="2"/>
          <w:szCs w:val="24"/>
          <w:lang w:eastAsia="zh-CN"/>
        </w:rPr>
        <w:t xml:space="preserve"> in HCC (n=371) and </w:t>
      </w:r>
      <w:r w:rsidRPr="00C6506A">
        <w:rPr>
          <w:rFonts w:eastAsia="等线"/>
          <w:bCs/>
          <w:color w:val="000000"/>
          <w:kern w:val="2"/>
          <w:szCs w:val="24"/>
          <w:lang w:eastAsia="zh-CN"/>
        </w:rPr>
        <w:t>normal tissues</w:t>
      </w:r>
      <w:r w:rsidRPr="00C6506A">
        <w:rPr>
          <w:rFonts w:eastAsia="等线"/>
          <w:color w:val="000000"/>
          <w:kern w:val="2"/>
          <w:szCs w:val="24"/>
          <w:lang w:eastAsia="zh-CN"/>
        </w:rPr>
        <w:t xml:space="preserve"> (n=50) using the TCGA database. </w:t>
      </w:r>
      <w:r w:rsidRPr="00C6506A">
        <w:rPr>
          <w:rFonts w:eastAsia="等线"/>
          <w:b/>
          <w:color w:val="000000"/>
          <w:kern w:val="2"/>
          <w:szCs w:val="24"/>
          <w:lang w:eastAsia="zh-CN"/>
        </w:rPr>
        <w:t>b</w:t>
      </w:r>
      <w:r w:rsidRPr="00C6506A">
        <w:rPr>
          <w:rFonts w:eastAsia="等线"/>
          <w:bCs/>
          <w:color w:val="000000"/>
          <w:kern w:val="2"/>
          <w:szCs w:val="24"/>
          <w:lang w:eastAsia="zh-CN"/>
        </w:rPr>
        <w:t xml:space="preserve"> </w:t>
      </w:r>
      <w:r w:rsidRPr="00C6506A">
        <w:rPr>
          <w:rFonts w:eastAsia="等线"/>
          <w:color w:val="000000"/>
          <w:kern w:val="2"/>
          <w:szCs w:val="24"/>
          <w:lang w:eastAsia="zh-CN"/>
        </w:rPr>
        <w:t xml:space="preserve">Expression levels of </w:t>
      </w:r>
      <w:r w:rsidRPr="00C6506A">
        <w:rPr>
          <w:rFonts w:eastAsia="等线"/>
          <w:bCs/>
          <w:color w:val="000000"/>
          <w:kern w:val="2"/>
          <w:szCs w:val="24"/>
          <w:lang w:eastAsia="zh-CN"/>
        </w:rPr>
        <w:t>YTHDF1</w:t>
      </w:r>
      <w:r w:rsidRPr="00C6506A">
        <w:rPr>
          <w:rFonts w:eastAsia="等线"/>
          <w:color w:val="000000"/>
          <w:kern w:val="2"/>
          <w:szCs w:val="24"/>
          <w:lang w:eastAsia="zh-CN"/>
        </w:rPr>
        <w:t xml:space="preserve"> in HCC (n=228) and </w:t>
      </w:r>
      <w:r w:rsidRPr="00C6506A">
        <w:rPr>
          <w:rFonts w:eastAsia="等线"/>
          <w:bCs/>
          <w:color w:val="000000"/>
          <w:kern w:val="2"/>
          <w:szCs w:val="24"/>
          <w:lang w:eastAsia="zh-CN"/>
        </w:rPr>
        <w:t>cirrhotic tissues</w:t>
      </w:r>
      <w:r w:rsidRPr="00C6506A">
        <w:rPr>
          <w:rFonts w:eastAsia="等线"/>
          <w:color w:val="000000"/>
          <w:kern w:val="2"/>
          <w:szCs w:val="24"/>
          <w:lang w:eastAsia="zh-CN"/>
        </w:rPr>
        <w:t xml:space="preserve"> (n=168) using the GEO</w:t>
      </w:r>
      <w:r w:rsidRPr="00C6506A">
        <w:rPr>
          <w:rFonts w:eastAsia="等线"/>
          <w:bCs/>
          <w:color w:val="000000"/>
          <w:kern w:val="2"/>
          <w:szCs w:val="24"/>
          <w:lang w:eastAsia="zh-CN"/>
        </w:rPr>
        <w:t xml:space="preserve"> database</w:t>
      </w:r>
      <w:r w:rsidRPr="00C6506A">
        <w:rPr>
          <w:rFonts w:eastAsia="等线"/>
          <w:color w:val="000000"/>
          <w:kern w:val="2"/>
          <w:szCs w:val="24"/>
          <w:lang w:eastAsia="zh-CN"/>
        </w:rPr>
        <w:t xml:space="preserve">. </w:t>
      </w:r>
      <w:r w:rsidRPr="00C6506A">
        <w:rPr>
          <w:rFonts w:eastAsia="等线"/>
          <w:b/>
          <w:bCs/>
          <w:color w:val="000000"/>
          <w:kern w:val="2"/>
          <w:szCs w:val="24"/>
          <w:lang w:eastAsia="zh-CN"/>
        </w:rPr>
        <w:t>c</w:t>
      </w:r>
      <w:r w:rsidRPr="00C6506A">
        <w:rPr>
          <w:rFonts w:eastAsia="等线"/>
          <w:color w:val="000000"/>
          <w:kern w:val="2"/>
          <w:szCs w:val="24"/>
          <w:lang w:eastAsia="zh-CN"/>
        </w:rPr>
        <w:t xml:space="preserve"> </w:t>
      </w:r>
      <w:r w:rsidRPr="00C6506A">
        <w:rPr>
          <w:rFonts w:eastAsia="等线"/>
          <w:bCs/>
          <w:color w:val="000000"/>
          <w:kern w:val="2"/>
          <w:szCs w:val="24"/>
          <w:lang w:eastAsia="zh-CN"/>
        </w:rPr>
        <w:t xml:space="preserve">Relative expression of YTHDF1 using qRT-PCR in 120 paired HCC and corresponding adjacent non-tumorous tissues. </w:t>
      </w:r>
      <w:r w:rsidRPr="00C6506A">
        <w:rPr>
          <w:rFonts w:eastAsia="等线"/>
          <w:b/>
          <w:color w:val="000000"/>
          <w:kern w:val="2"/>
          <w:szCs w:val="24"/>
          <w:lang w:eastAsia="zh-CN"/>
        </w:rPr>
        <w:t>d</w:t>
      </w:r>
      <w:r w:rsidRPr="00C6506A">
        <w:rPr>
          <w:rFonts w:eastAsia="等线"/>
          <w:bCs/>
          <w:color w:val="000000"/>
          <w:kern w:val="2"/>
          <w:szCs w:val="24"/>
          <w:lang w:eastAsia="zh-CN"/>
        </w:rPr>
        <w:t xml:space="preserve"> Protein levels of</w:t>
      </w:r>
      <w:r w:rsidRPr="00C6506A">
        <w:rPr>
          <w:rFonts w:eastAsia="等线"/>
          <w:bCs/>
          <w:color w:val="000000"/>
          <w:szCs w:val="24"/>
          <w:lang w:eastAsia="zh-CN"/>
        </w:rPr>
        <w:t xml:space="preserve"> YTHDF1 in 12 HCC tissues and corresponding adjacent non-tumorous tissues using western blotting. </w:t>
      </w:r>
      <w:r w:rsidRPr="00C6506A">
        <w:rPr>
          <w:rFonts w:eastAsia="等线"/>
          <w:b/>
          <w:color w:val="000000"/>
          <w:szCs w:val="24"/>
          <w:lang w:eastAsia="zh-CN"/>
        </w:rPr>
        <w:t>e</w:t>
      </w:r>
      <w:r w:rsidRPr="00C6506A">
        <w:rPr>
          <w:rFonts w:eastAsia="等线"/>
          <w:bCs/>
          <w:color w:val="000000"/>
          <w:szCs w:val="24"/>
          <w:lang w:eastAsia="zh-CN"/>
        </w:rPr>
        <w:t xml:space="preserve"> Correlations between YTHDF1 expression and clinical characteristics in patients with HCC (n=120). </w:t>
      </w:r>
      <w:r w:rsidRPr="00C6506A">
        <w:rPr>
          <w:rFonts w:eastAsia="等线"/>
          <w:b/>
          <w:color w:val="000000"/>
          <w:szCs w:val="24"/>
          <w:lang w:eastAsia="zh-CN"/>
        </w:rPr>
        <w:t>f-g</w:t>
      </w:r>
      <w:r w:rsidRPr="00C6506A">
        <w:rPr>
          <w:rFonts w:ascii="等线" w:eastAsia="等线" w:hAnsi="等线" w:hint="eastAsia"/>
          <w:kern w:val="2"/>
          <w:sz w:val="21"/>
          <w:szCs w:val="22"/>
          <w:lang w:eastAsia="zh-CN"/>
        </w:rPr>
        <w:t xml:space="preserve"> </w:t>
      </w:r>
      <w:r w:rsidRPr="00C6506A">
        <w:rPr>
          <w:rFonts w:eastAsia="等线"/>
          <w:bCs/>
          <w:color w:val="000000"/>
          <w:szCs w:val="24"/>
          <w:lang w:eastAsia="zh-CN"/>
        </w:rPr>
        <w:t xml:space="preserve">Kaplan-Meier analysis demonstrating disease-free survival </w:t>
      </w:r>
      <w:r w:rsidRPr="00C6506A">
        <w:rPr>
          <w:rFonts w:eastAsia="等线"/>
          <w:b/>
          <w:color w:val="000000"/>
          <w:szCs w:val="24"/>
          <w:lang w:eastAsia="zh-CN"/>
        </w:rPr>
        <w:t>(f)</w:t>
      </w:r>
      <w:r w:rsidRPr="00C6506A">
        <w:rPr>
          <w:rFonts w:eastAsia="等线"/>
          <w:bCs/>
          <w:color w:val="000000"/>
          <w:szCs w:val="24"/>
          <w:lang w:eastAsia="zh-CN"/>
        </w:rPr>
        <w:t xml:space="preserve"> and overall survival </w:t>
      </w:r>
      <w:r w:rsidRPr="00C6506A">
        <w:rPr>
          <w:rFonts w:eastAsia="等线"/>
          <w:b/>
          <w:color w:val="000000"/>
          <w:szCs w:val="24"/>
          <w:lang w:eastAsia="zh-CN"/>
        </w:rPr>
        <w:t xml:space="preserve">(g) </w:t>
      </w:r>
      <w:r w:rsidRPr="00C6506A">
        <w:rPr>
          <w:rFonts w:eastAsia="等线"/>
          <w:bCs/>
          <w:color w:val="000000"/>
          <w:szCs w:val="24"/>
          <w:lang w:eastAsia="zh-CN"/>
        </w:rPr>
        <w:t>of HCC patients with diverse YTHDF1 expression in the GEPIA database.</w:t>
      </w:r>
      <w:r w:rsidR="00C70CB3" w:rsidRPr="00C70CB3">
        <w:rPr>
          <w:color w:val="000000" w:themeColor="text1"/>
        </w:rPr>
        <w:t xml:space="preserve"> </w:t>
      </w:r>
      <w:r w:rsidR="00C70CB3">
        <w:rPr>
          <w:color w:val="000000" w:themeColor="text1"/>
        </w:rPr>
        <w:t xml:space="preserve">Error bars represent the mean ± </w:t>
      </w:r>
      <w:r w:rsidR="00C70CB3" w:rsidRPr="000914FF">
        <w:rPr>
          <w:bCs/>
          <w:color w:val="000000"/>
          <w:szCs w:val="24"/>
        </w:rPr>
        <w:t>SEM</w:t>
      </w:r>
      <w:r w:rsidR="00C70CB3">
        <w:t xml:space="preserve"> </w:t>
      </w:r>
      <w:r w:rsidR="00C70CB3">
        <w:rPr>
          <w:color w:val="000000" w:themeColor="text1"/>
        </w:rPr>
        <w:t>and the dots represent the value of each experiment; ***</w:t>
      </w:r>
      <w:r w:rsidR="00C70CB3">
        <w:rPr>
          <w:i/>
          <w:color w:val="000000" w:themeColor="text1"/>
        </w:rPr>
        <w:t>P</w:t>
      </w:r>
      <w:r w:rsidR="00C70CB3">
        <w:rPr>
          <w:color w:val="000000" w:themeColor="text1"/>
        </w:rPr>
        <w:t>&lt;0.001.</w:t>
      </w:r>
      <w:r w:rsidR="00C70CB3">
        <w:t xml:space="preserve"> </w:t>
      </w:r>
    </w:p>
    <w:p w14:paraId="7EE2DEAC" w14:textId="2F838757" w:rsidR="00C6506A" w:rsidRPr="00C70CB3" w:rsidRDefault="00C6506A" w:rsidP="004F0815">
      <w:pPr>
        <w:spacing w:line="480" w:lineRule="auto"/>
        <w:jc w:val="both"/>
        <w:rPr>
          <w:rFonts w:eastAsia="等线"/>
          <w:b/>
          <w:bCs/>
          <w:kern w:val="2"/>
          <w:szCs w:val="24"/>
          <w:lang w:eastAsia="zh-CN"/>
        </w:rPr>
      </w:pPr>
    </w:p>
    <w:p w14:paraId="562C978C" w14:textId="07BEB000" w:rsidR="00C6506A" w:rsidRDefault="00C6506A">
      <w:pPr>
        <w:rPr>
          <w:rFonts w:eastAsia="等线"/>
          <w:bCs/>
          <w:color w:val="000000"/>
          <w:szCs w:val="24"/>
          <w:lang w:eastAsia="zh-CN"/>
        </w:rPr>
      </w:pPr>
      <w:r>
        <w:rPr>
          <w:rFonts w:eastAsia="等线"/>
          <w:bCs/>
          <w:color w:val="000000"/>
          <w:szCs w:val="24"/>
          <w:lang w:eastAsia="zh-CN"/>
        </w:rPr>
        <w:br w:type="page"/>
      </w:r>
    </w:p>
    <w:p w14:paraId="3972B72F" w14:textId="417E48C0" w:rsidR="00C6506A" w:rsidRDefault="006513C8" w:rsidP="00C6506A">
      <w:pPr>
        <w:spacing w:line="480" w:lineRule="auto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CFE9B27" wp14:editId="24B9C0FF">
            <wp:simplePos x="0" y="0"/>
            <wp:positionH relativeFrom="margin">
              <wp:align>right</wp:align>
            </wp:positionH>
            <wp:positionV relativeFrom="page">
              <wp:posOffset>1448752</wp:posOffset>
            </wp:positionV>
            <wp:extent cx="5940000" cy="7380000"/>
            <wp:effectExtent l="0" t="0" r="3810" b="0"/>
            <wp:wrapSquare wrapText="bothSides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73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06A" w:rsidRPr="00C6506A">
        <w:rPr>
          <w:b/>
          <w:bCs/>
        </w:rPr>
        <w:t>FigureS</w:t>
      </w:r>
      <w:r w:rsidR="00C6506A">
        <w:rPr>
          <w:b/>
          <w:bCs/>
        </w:rPr>
        <w:t>3</w:t>
      </w:r>
    </w:p>
    <w:p w14:paraId="620D506F" w14:textId="7C5E1CA8" w:rsidR="00C6506A" w:rsidRDefault="00C6506A" w:rsidP="00C6506A">
      <w:pPr>
        <w:spacing w:line="480" w:lineRule="auto"/>
      </w:pPr>
    </w:p>
    <w:p w14:paraId="104E73F7" w14:textId="7BDBF085" w:rsidR="00C70CB3" w:rsidRPr="00BB7C0D" w:rsidRDefault="00C6506A" w:rsidP="00C70CB3">
      <w:pPr>
        <w:pStyle w:val="SMcaption"/>
        <w:spacing w:line="480" w:lineRule="auto"/>
        <w:jc w:val="both"/>
      </w:pPr>
      <w:r>
        <w:rPr>
          <w:rFonts w:eastAsia="Arial Unicode MS"/>
          <w:b/>
          <w:color w:val="000000"/>
          <w:szCs w:val="24"/>
        </w:rPr>
        <w:lastRenderedPageBreak/>
        <w:t xml:space="preserve">Figure S3. </w:t>
      </w:r>
      <w:r>
        <w:rPr>
          <w:rFonts w:ascii="TimesNewRomanPSMT" w:hAnsi="TimesNewRomanPSMT" w:cs="TimesNewRomanPSMT"/>
          <w:b/>
          <w:bCs/>
          <w:color w:val="000000"/>
          <w:szCs w:val="24"/>
        </w:rPr>
        <w:t>HIF-1α/YTHDF1 signaling promotes hypoxia-induced autophagy</w:t>
      </w:r>
      <w:r>
        <w:rPr>
          <w:b/>
          <w:color w:val="000000"/>
          <w:szCs w:val="24"/>
        </w:rPr>
        <w:t>.</w:t>
      </w:r>
      <w:r>
        <w:rPr>
          <w:bCs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 xml:space="preserve">a </w:t>
      </w:r>
      <w:r w:rsidRPr="00B2591C">
        <w:rPr>
          <w:bCs/>
          <w:color w:val="000000"/>
          <w:szCs w:val="24"/>
        </w:rPr>
        <w:t xml:space="preserve">IF </w:t>
      </w:r>
      <w:r>
        <w:rPr>
          <w:bCs/>
          <w:color w:val="000000"/>
          <w:szCs w:val="24"/>
        </w:rPr>
        <w:t xml:space="preserve">staining with </w:t>
      </w:r>
      <w:r>
        <w:rPr>
          <w:rFonts w:ascii="TimesNewRomanPSMT" w:hAnsi="TimesNewRomanPSMT" w:cs="TimesNewRomanPSMT"/>
          <w:color w:val="000000"/>
          <w:szCs w:val="24"/>
        </w:rPr>
        <w:t>mRFP-GFP-LC3</w:t>
      </w:r>
      <w:r>
        <w:rPr>
          <w:bCs/>
          <w:color w:val="000000"/>
          <w:szCs w:val="24"/>
        </w:rPr>
        <w:t xml:space="preserve"> of hypoxic SMMC7721 cells</w:t>
      </w:r>
      <w:r>
        <w:rPr>
          <w:color w:val="000000"/>
          <w:szCs w:val="24"/>
        </w:rPr>
        <w:t xml:space="preserve"> in different groups</w:t>
      </w:r>
      <w:r>
        <w:rPr>
          <w:bCs/>
          <w:color w:val="000000"/>
          <w:szCs w:val="24"/>
        </w:rPr>
        <w:t xml:space="preserve">. </w:t>
      </w:r>
      <w:r>
        <w:rPr>
          <w:rStyle w:val="fontstyle01"/>
          <w:rFonts w:ascii="Times New Roman" w:hAnsi="Times New Roman"/>
          <w:sz w:val="24"/>
          <w:szCs w:val="24"/>
        </w:rPr>
        <w:t>Red puncta signify autolysosomes and yellow puncta signify autophagosomes.</w:t>
      </w:r>
      <w:r>
        <w:rPr>
          <w:b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 xml:space="preserve">Scale bar, 10 µm. </w:t>
      </w:r>
      <w:r>
        <w:rPr>
          <w:b/>
          <w:color w:val="000000"/>
          <w:szCs w:val="24"/>
        </w:rPr>
        <w:t>b</w:t>
      </w:r>
      <w:r>
        <w:rPr>
          <w:bCs/>
          <w:color w:val="000000"/>
          <w:szCs w:val="24"/>
        </w:rPr>
        <w:t xml:space="preserve"> Quantification of LC3 puncta. </w:t>
      </w:r>
      <w:r>
        <w:rPr>
          <w:b/>
          <w:color w:val="000000"/>
          <w:szCs w:val="24"/>
        </w:rPr>
        <w:t xml:space="preserve">c </w:t>
      </w:r>
      <w:r>
        <w:rPr>
          <w:bCs/>
          <w:color w:val="000000"/>
          <w:szCs w:val="24"/>
        </w:rPr>
        <w:t xml:space="preserve">IF staining with </w:t>
      </w:r>
      <w:r>
        <w:rPr>
          <w:rFonts w:ascii="TimesNewRomanPSMT" w:hAnsi="TimesNewRomanPSMT" w:cs="TimesNewRomanPSMT"/>
          <w:color w:val="000000"/>
          <w:szCs w:val="24"/>
        </w:rPr>
        <w:t>mRFP-GFP-LC3</w:t>
      </w:r>
      <w:r>
        <w:rPr>
          <w:bCs/>
          <w:color w:val="000000"/>
          <w:szCs w:val="24"/>
        </w:rPr>
        <w:t xml:space="preserve"> of hypoxic Hep3B cells</w:t>
      </w:r>
      <w:r>
        <w:rPr>
          <w:color w:val="000000"/>
          <w:szCs w:val="24"/>
        </w:rPr>
        <w:t xml:space="preserve"> in different groups</w:t>
      </w:r>
      <w:r>
        <w:rPr>
          <w:bCs/>
          <w:color w:val="000000"/>
          <w:szCs w:val="24"/>
        </w:rPr>
        <w:t>.</w:t>
      </w:r>
      <w:r>
        <w:rPr>
          <w:b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 xml:space="preserve">Scale bar, 10 µm. </w:t>
      </w:r>
      <w:r>
        <w:rPr>
          <w:b/>
          <w:color w:val="000000"/>
          <w:szCs w:val="24"/>
        </w:rPr>
        <w:t>d</w:t>
      </w:r>
      <w:r>
        <w:rPr>
          <w:bCs/>
          <w:color w:val="000000"/>
          <w:szCs w:val="24"/>
        </w:rPr>
        <w:t xml:space="preserve"> Quantification of LC3 puncta.</w:t>
      </w:r>
      <w:r>
        <w:rPr>
          <w:b/>
          <w:color w:val="000000"/>
          <w:szCs w:val="24"/>
        </w:rPr>
        <w:t xml:space="preserve"> e-f </w:t>
      </w:r>
      <w:r>
        <w:rPr>
          <w:rFonts w:ascii="TimesNewRoman" w:hAnsi="TimesNewRoman"/>
          <w:bCs/>
          <w:iCs/>
          <w:szCs w:val="24"/>
        </w:rPr>
        <w:t xml:space="preserve">Western blotting of LC3 expression </w:t>
      </w:r>
      <w:r>
        <w:rPr>
          <w:rFonts w:eastAsia="Arial Unicode MS"/>
          <w:bCs/>
          <w:color w:val="000000"/>
          <w:szCs w:val="24"/>
        </w:rPr>
        <w:t xml:space="preserve">in </w:t>
      </w:r>
      <w:r>
        <w:rPr>
          <w:bCs/>
          <w:color w:val="000000"/>
          <w:szCs w:val="24"/>
        </w:rPr>
        <w:t>hypoxic</w:t>
      </w:r>
      <w:r>
        <w:rPr>
          <w:rFonts w:eastAsia="Arial Unicode MS"/>
          <w:bCs/>
          <w:color w:val="000000"/>
          <w:szCs w:val="24"/>
        </w:rPr>
        <w:t xml:space="preserve"> SMMC7721 and Hep3B cells.</w:t>
      </w:r>
      <w:r w:rsidR="00C70CB3" w:rsidRPr="00C70CB3">
        <w:rPr>
          <w:color w:val="000000" w:themeColor="text1"/>
        </w:rPr>
        <w:t xml:space="preserve"> </w:t>
      </w:r>
      <w:r w:rsidR="00C70CB3">
        <w:rPr>
          <w:color w:val="000000" w:themeColor="text1"/>
        </w:rPr>
        <w:t xml:space="preserve">Error bars represent the mean ± </w:t>
      </w:r>
      <w:r w:rsidR="00C70CB3" w:rsidRPr="000914FF">
        <w:rPr>
          <w:bCs/>
          <w:color w:val="000000"/>
          <w:szCs w:val="24"/>
        </w:rPr>
        <w:t>SEM</w:t>
      </w:r>
      <w:r w:rsidR="00C70CB3">
        <w:t xml:space="preserve"> </w:t>
      </w:r>
      <w:r w:rsidR="00C70CB3">
        <w:rPr>
          <w:color w:val="000000" w:themeColor="text1"/>
        </w:rPr>
        <w:t>and the dots represent the value of each experiment; *</w:t>
      </w:r>
      <w:r w:rsidR="00C70CB3">
        <w:rPr>
          <w:i/>
          <w:color w:val="000000" w:themeColor="text1"/>
        </w:rPr>
        <w:t>P</w:t>
      </w:r>
      <w:r w:rsidR="00C70CB3">
        <w:rPr>
          <w:color w:val="000000" w:themeColor="text1"/>
        </w:rPr>
        <w:t>&lt;0.0</w:t>
      </w:r>
      <w:r w:rsidR="00C70CB3">
        <w:rPr>
          <w:rFonts w:hint="eastAsia"/>
          <w:color w:val="000000" w:themeColor="text1"/>
          <w:lang w:eastAsia="zh-CN"/>
        </w:rPr>
        <w:t>5</w:t>
      </w:r>
      <w:r w:rsidR="00C70CB3">
        <w:rPr>
          <w:color w:val="000000" w:themeColor="text1"/>
        </w:rPr>
        <w:t>, **</w:t>
      </w:r>
      <w:r w:rsidR="00C70CB3">
        <w:rPr>
          <w:i/>
          <w:color w:val="000000" w:themeColor="text1"/>
        </w:rPr>
        <w:t>P</w:t>
      </w:r>
      <w:r w:rsidR="00C70CB3">
        <w:rPr>
          <w:color w:val="000000" w:themeColor="text1"/>
        </w:rPr>
        <w:t>&lt;0.01.</w:t>
      </w:r>
      <w:r w:rsidR="00C70CB3">
        <w:t xml:space="preserve"> </w:t>
      </w:r>
    </w:p>
    <w:p w14:paraId="1E99088E" w14:textId="2CC3959F" w:rsidR="00C6506A" w:rsidRDefault="00C6506A" w:rsidP="006F2F3F">
      <w:pPr>
        <w:spacing w:line="480" w:lineRule="auto"/>
        <w:jc w:val="both"/>
        <w:rPr>
          <w:rFonts w:eastAsia="Arial Unicode MS"/>
          <w:bCs/>
          <w:color w:val="000000"/>
          <w:szCs w:val="24"/>
        </w:rPr>
      </w:pPr>
    </w:p>
    <w:p w14:paraId="7D7D7DC0" w14:textId="77777777" w:rsidR="00C6506A" w:rsidRDefault="00C6506A">
      <w:pPr>
        <w:rPr>
          <w:rFonts w:eastAsia="Arial Unicode MS"/>
          <w:bCs/>
          <w:color w:val="000000"/>
          <w:szCs w:val="24"/>
        </w:rPr>
      </w:pPr>
      <w:r>
        <w:rPr>
          <w:rFonts w:eastAsia="Arial Unicode MS"/>
          <w:bCs/>
          <w:color w:val="000000"/>
          <w:szCs w:val="24"/>
        </w:rPr>
        <w:br w:type="page"/>
      </w:r>
    </w:p>
    <w:p w14:paraId="136D43A7" w14:textId="61F7C097" w:rsidR="00C6506A" w:rsidRPr="00C6506A" w:rsidRDefault="00875AE0" w:rsidP="00C6506A">
      <w:pPr>
        <w:spacing w:line="480" w:lineRule="auto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127D7842" wp14:editId="1FA380B7">
            <wp:simplePos x="0" y="0"/>
            <wp:positionH relativeFrom="margin">
              <wp:align>center</wp:align>
            </wp:positionH>
            <wp:positionV relativeFrom="page">
              <wp:align>center</wp:align>
            </wp:positionV>
            <wp:extent cx="6120000" cy="612000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61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06A" w:rsidRPr="00C6506A">
        <w:rPr>
          <w:b/>
          <w:bCs/>
        </w:rPr>
        <w:t>FigureS</w:t>
      </w:r>
      <w:r w:rsidR="00C6506A">
        <w:rPr>
          <w:b/>
          <w:bCs/>
        </w:rPr>
        <w:t>4</w:t>
      </w:r>
    </w:p>
    <w:p w14:paraId="5734CB38" w14:textId="18ED4834" w:rsidR="00C6506A" w:rsidRDefault="00C6506A" w:rsidP="00C6506A"/>
    <w:p w14:paraId="5E14B137" w14:textId="5FF5E5ED" w:rsidR="00C6506A" w:rsidRPr="00C6506A" w:rsidRDefault="00C6506A" w:rsidP="00C6506A"/>
    <w:p w14:paraId="6597A8F4" w14:textId="6F864F45" w:rsidR="00C6506A" w:rsidRPr="00C6506A" w:rsidRDefault="00C6506A" w:rsidP="00C6506A"/>
    <w:p w14:paraId="67C6A960" w14:textId="3ADEBADA" w:rsidR="00C6506A" w:rsidRPr="00C6506A" w:rsidRDefault="00C6506A" w:rsidP="00C6506A"/>
    <w:p w14:paraId="3F2173B5" w14:textId="0160C937" w:rsidR="00C6506A" w:rsidRPr="00C6506A" w:rsidRDefault="00C6506A" w:rsidP="00C6506A"/>
    <w:p w14:paraId="7913EA04" w14:textId="0C058DA6" w:rsidR="00C6506A" w:rsidRPr="00C6506A" w:rsidRDefault="00C6506A" w:rsidP="00C6506A"/>
    <w:p w14:paraId="4C17D16D" w14:textId="48CA1E4F" w:rsidR="00C6506A" w:rsidRPr="00C6506A" w:rsidRDefault="00C6506A" w:rsidP="00C6506A"/>
    <w:p w14:paraId="0CF9A321" w14:textId="5FF3E814" w:rsidR="00C6506A" w:rsidRPr="00C6506A" w:rsidRDefault="00C6506A" w:rsidP="00C6506A"/>
    <w:p w14:paraId="283411BA" w14:textId="7098E5BB" w:rsidR="00C6506A" w:rsidRPr="00C6506A" w:rsidRDefault="00C6506A" w:rsidP="00C6506A"/>
    <w:p w14:paraId="3FA705DE" w14:textId="49D5394B" w:rsidR="00C70CB3" w:rsidRPr="00BB7C0D" w:rsidRDefault="00875AE0" w:rsidP="00C70CB3">
      <w:pPr>
        <w:pStyle w:val="SMcaption"/>
        <w:spacing w:line="480" w:lineRule="auto"/>
        <w:jc w:val="both"/>
      </w:pPr>
      <w:r>
        <w:rPr>
          <w:b/>
          <w:bCs/>
          <w:szCs w:val="24"/>
        </w:rPr>
        <w:br w:type="page"/>
      </w:r>
      <w:r w:rsidR="00C6506A">
        <w:rPr>
          <w:b/>
          <w:bCs/>
          <w:szCs w:val="24"/>
        </w:rPr>
        <w:lastRenderedPageBreak/>
        <w:t xml:space="preserve">Figure S4. </w:t>
      </w:r>
      <w:r w:rsidR="00C6506A">
        <w:rPr>
          <w:b/>
          <w:color w:val="000000"/>
          <w:szCs w:val="24"/>
        </w:rPr>
        <w:t xml:space="preserve">YTHDF1 promotes hypoxia-induced autophagy in HCC cell lines. a-b </w:t>
      </w:r>
      <w:r w:rsidR="00C6506A">
        <w:rPr>
          <w:bCs/>
          <w:color w:val="000000"/>
          <w:szCs w:val="24"/>
        </w:rPr>
        <w:t xml:space="preserve">IF staining with </w:t>
      </w:r>
      <w:r w:rsidR="00C6506A">
        <w:rPr>
          <w:rFonts w:ascii="TimesNewRomanPSMT" w:hAnsi="TimesNewRomanPSMT" w:cs="TimesNewRomanPSMT"/>
          <w:color w:val="000000"/>
          <w:szCs w:val="24"/>
        </w:rPr>
        <w:t>mRFP-GFP-LC3</w:t>
      </w:r>
      <w:r w:rsidR="00C6506A">
        <w:rPr>
          <w:bCs/>
          <w:color w:val="000000"/>
          <w:szCs w:val="24"/>
        </w:rPr>
        <w:t xml:space="preserve"> in normoxic Huh7 and HepG2 cells with YTHDF1 knockdown or overexpression, respectively. </w:t>
      </w:r>
      <w:r w:rsidR="00C6506A">
        <w:rPr>
          <w:rStyle w:val="fontstyle01"/>
          <w:rFonts w:ascii="Times New Roman" w:hAnsi="Times New Roman"/>
          <w:sz w:val="24"/>
          <w:szCs w:val="24"/>
        </w:rPr>
        <w:t>Red puncta signify autolysosomes and yellow puncta signify autophagosomes.</w:t>
      </w:r>
      <w:r w:rsidR="00C6506A">
        <w:rPr>
          <w:b/>
          <w:color w:val="000000"/>
          <w:szCs w:val="24"/>
        </w:rPr>
        <w:t xml:space="preserve"> </w:t>
      </w:r>
      <w:r w:rsidR="00C6506A">
        <w:rPr>
          <w:bCs/>
          <w:color w:val="000000"/>
          <w:szCs w:val="24"/>
        </w:rPr>
        <w:t xml:space="preserve">Scale bar, 10 µm. </w:t>
      </w:r>
      <w:r w:rsidR="00C6506A">
        <w:rPr>
          <w:b/>
          <w:color w:val="000000"/>
          <w:szCs w:val="24"/>
        </w:rPr>
        <w:t>c</w:t>
      </w:r>
      <w:r w:rsidR="00C6506A">
        <w:rPr>
          <w:bCs/>
          <w:color w:val="000000"/>
          <w:szCs w:val="24"/>
        </w:rPr>
        <w:t xml:space="preserve"> Quantification of LC3 puncta under normoxia.</w:t>
      </w:r>
      <w:r w:rsidR="00C6506A">
        <w:rPr>
          <w:b/>
          <w:color w:val="000000"/>
          <w:szCs w:val="24"/>
        </w:rPr>
        <w:t xml:space="preserve"> d-e </w:t>
      </w:r>
      <w:r w:rsidR="00C6506A">
        <w:rPr>
          <w:bCs/>
          <w:color w:val="000000"/>
          <w:szCs w:val="24"/>
        </w:rPr>
        <w:t xml:space="preserve">IF staining with </w:t>
      </w:r>
      <w:r w:rsidR="00C6506A">
        <w:rPr>
          <w:rFonts w:ascii="TimesNewRomanPSMT" w:hAnsi="TimesNewRomanPSMT" w:cs="TimesNewRomanPSMT"/>
          <w:color w:val="000000"/>
          <w:szCs w:val="24"/>
        </w:rPr>
        <w:t>mRFP-GFP-LC3</w:t>
      </w:r>
      <w:r w:rsidR="00C6506A">
        <w:rPr>
          <w:bCs/>
          <w:color w:val="000000"/>
          <w:szCs w:val="24"/>
        </w:rPr>
        <w:t xml:space="preserve"> in hypoxic Huh7 and HepG2 with YTHDF1 knockdown or overexpression, respectively. </w:t>
      </w:r>
      <w:r w:rsidR="00C6506A">
        <w:rPr>
          <w:rStyle w:val="fontstyle01"/>
          <w:rFonts w:ascii="Times New Roman" w:hAnsi="Times New Roman"/>
          <w:sz w:val="24"/>
          <w:szCs w:val="24"/>
        </w:rPr>
        <w:t>Red puncta signify autolysosomes and yellow puncta signify autophagosomes.</w:t>
      </w:r>
      <w:r w:rsidR="00C6506A">
        <w:rPr>
          <w:b/>
          <w:color w:val="000000"/>
          <w:szCs w:val="24"/>
        </w:rPr>
        <w:t xml:space="preserve"> </w:t>
      </w:r>
      <w:r w:rsidR="00C6506A">
        <w:rPr>
          <w:bCs/>
          <w:color w:val="000000"/>
          <w:szCs w:val="24"/>
        </w:rPr>
        <w:t xml:space="preserve">Scale bar, 10 µm. </w:t>
      </w:r>
      <w:r w:rsidR="00C6506A">
        <w:rPr>
          <w:b/>
          <w:color w:val="000000"/>
          <w:szCs w:val="24"/>
        </w:rPr>
        <w:t>f</w:t>
      </w:r>
      <w:r w:rsidR="00C6506A">
        <w:rPr>
          <w:bCs/>
          <w:color w:val="000000"/>
          <w:szCs w:val="24"/>
        </w:rPr>
        <w:t xml:space="preserve"> Quantification of LC3 puncta under hypoxia. </w:t>
      </w:r>
      <w:r w:rsidR="00C6506A">
        <w:rPr>
          <w:b/>
          <w:color w:val="000000"/>
          <w:szCs w:val="24"/>
        </w:rPr>
        <w:t xml:space="preserve">g-h </w:t>
      </w:r>
      <w:r w:rsidR="00C6506A">
        <w:rPr>
          <w:bCs/>
          <w:color w:val="000000"/>
          <w:szCs w:val="24"/>
        </w:rPr>
        <w:t>TEM demonstrating autolysosomes and autophagosomes</w:t>
      </w:r>
      <w:r w:rsidR="00C6506A">
        <w:rPr>
          <w:rFonts w:hint="eastAsia"/>
          <w:bCs/>
          <w:szCs w:val="24"/>
        </w:rPr>
        <w:t xml:space="preserve"> </w:t>
      </w:r>
      <w:r w:rsidR="00C6506A">
        <w:rPr>
          <w:bCs/>
          <w:color w:val="000000"/>
          <w:szCs w:val="24"/>
        </w:rPr>
        <w:t>in normoxic Huh7 and HepG2 cells with YTHDF1 knockdown or overexpression, respectively.</w:t>
      </w:r>
      <w:r w:rsidR="00C6506A">
        <w:rPr>
          <w:b/>
          <w:color w:val="000000"/>
          <w:szCs w:val="24"/>
        </w:rPr>
        <w:t xml:space="preserve"> </w:t>
      </w:r>
      <w:r w:rsidR="00C6506A">
        <w:rPr>
          <w:bCs/>
          <w:color w:val="000000"/>
          <w:szCs w:val="24"/>
        </w:rPr>
        <w:t xml:space="preserve">Scale bar, 1 µm. </w:t>
      </w:r>
      <w:r w:rsidR="00C6506A">
        <w:rPr>
          <w:b/>
          <w:color w:val="000000"/>
          <w:szCs w:val="24"/>
        </w:rPr>
        <w:t>i</w:t>
      </w:r>
      <w:r w:rsidR="00C6506A">
        <w:rPr>
          <w:bCs/>
          <w:color w:val="000000"/>
          <w:szCs w:val="24"/>
        </w:rPr>
        <w:t xml:space="preserve"> Quantification of autophagic vesicles</w:t>
      </w:r>
      <w:r w:rsidR="00C6506A" w:rsidRPr="00CA2F59">
        <w:rPr>
          <w:bCs/>
          <w:color w:val="000000"/>
          <w:szCs w:val="24"/>
        </w:rPr>
        <w:t xml:space="preserve"> </w:t>
      </w:r>
      <w:r w:rsidR="00C6506A">
        <w:rPr>
          <w:bCs/>
          <w:color w:val="000000"/>
          <w:szCs w:val="24"/>
        </w:rPr>
        <w:t>under normoxia.</w:t>
      </w:r>
      <w:r w:rsidR="00C6506A">
        <w:rPr>
          <w:b/>
          <w:color w:val="000000"/>
          <w:szCs w:val="24"/>
        </w:rPr>
        <w:t xml:space="preserve"> j-k </w:t>
      </w:r>
      <w:r w:rsidR="00C6506A">
        <w:rPr>
          <w:bCs/>
          <w:color w:val="000000"/>
          <w:szCs w:val="24"/>
        </w:rPr>
        <w:t>TEM demonstrating autolysosomes and autophagosomes</w:t>
      </w:r>
      <w:r w:rsidR="00C6506A">
        <w:rPr>
          <w:rFonts w:hint="eastAsia"/>
          <w:bCs/>
          <w:szCs w:val="24"/>
        </w:rPr>
        <w:t xml:space="preserve"> </w:t>
      </w:r>
      <w:r w:rsidR="00C6506A">
        <w:rPr>
          <w:bCs/>
          <w:color w:val="000000"/>
          <w:szCs w:val="24"/>
        </w:rPr>
        <w:t>in hypoxic Huh7 and HepG2 cells with YTHDF1 knockdown or overexpression, respectively.</w:t>
      </w:r>
      <w:r w:rsidR="00C6506A">
        <w:rPr>
          <w:b/>
          <w:color w:val="000000"/>
          <w:szCs w:val="24"/>
        </w:rPr>
        <w:t xml:space="preserve"> </w:t>
      </w:r>
      <w:r w:rsidR="00C6506A">
        <w:rPr>
          <w:bCs/>
          <w:color w:val="000000"/>
          <w:szCs w:val="24"/>
        </w:rPr>
        <w:t xml:space="preserve">Scale bar, 1 µm. </w:t>
      </w:r>
      <w:r w:rsidR="00C6506A">
        <w:rPr>
          <w:b/>
          <w:color w:val="000000"/>
          <w:szCs w:val="24"/>
        </w:rPr>
        <w:t>l</w:t>
      </w:r>
      <w:r w:rsidR="00C6506A">
        <w:rPr>
          <w:bCs/>
          <w:color w:val="000000"/>
          <w:szCs w:val="24"/>
        </w:rPr>
        <w:t xml:space="preserve"> Quantification of autophagic vesicles</w:t>
      </w:r>
      <w:r w:rsidR="00C6506A" w:rsidRPr="00CA2F59">
        <w:rPr>
          <w:bCs/>
          <w:color w:val="000000"/>
          <w:szCs w:val="24"/>
        </w:rPr>
        <w:t xml:space="preserve"> </w:t>
      </w:r>
      <w:r w:rsidR="00C6506A">
        <w:rPr>
          <w:bCs/>
          <w:color w:val="000000"/>
          <w:szCs w:val="24"/>
        </w:rPr>
        <w:t xml:space="preserve">under hypoxia. </w:t>
      </w:r>
      <w:r w:rsidR="00C6506A">
        <w:rPr>
          <w:b/>
          <w:color w:val="000000"/>
          <w:szCs w:val="24"/>
        </w:rPr>
        <w:t xml:space="preserve">m </w:t>
      </w:r>
      <w:r w:rsidR="00C6506A">
        <w:rPr>
          <w:bCs/>
          <w:color w:val="000000"/>
          <w:szCs w:val="24"/>
        </w:rPr>
        <w:t>Western blotting demonstrating expression of LC3 in Huh7 cells with YTHDF1 knockdown under normoxia and hypoxia.</w:t>
      </w:r>
      <w:r w:rsidR="00C6506A">
        <w:rPr>
          <w:b/>
          <w:color w:val="000000"/>
          <w:szCs w:val="24"/>
        </w:rPr>
        <w:t xml:space="preserve"> n </w:t>
      </w:r>
      <w:r w:rsidR="00C6506A">
        <w:rPr>
          <w:bCs/>
          <w:color w:val="000000"/>
          <w:szCs w:val="24"/>
        </w:rPr>
        <w:t>Western blotting demonstrating expression of LC3 in HepG2 cells with YTHDF1 overexpression</w:t>
      </w:r>
      <w:r w:rsidR="00C6506A" w:rsidRPr="00C34854">
        <w:rPr>
          <w:bCs/>
          <w:color w:val="000000"/>
          <w:szCs w:val="24"/>
        </w:rPr>
        <w:t xml:space="preserve"> </w:t>
      </w:r>
      <w:r w:rsidR="00C6506A">
        <w:rPr>
          <w:bCs/>
          <w:color w:val="000000"/>
          <w:szCs w:val="24"/>
        </w:rPr>
        <w:t xml:space="preserve">under normoxia and hypoxia. </w:t>
      </w:r>
      <w:r w:rsidR="00C6506A">
        <w:rPr>
          <w:b/>
          <w:color w:val="000000"/>
          <w:szCs w:val="24"/>
        </w:rPr>
        <w:t xml:space="preserve">j </w:t>
      </w:r>
      <w:r w:rsidR="00C6506A">
        <w:rPr>
          <w:bCs/>
          <w:color w:val="000000"/>
          <w:szCs w:val="24"/>
        </w:rPr>
        <w:t>Western blotting demonstrating expression of LC3 in hypoxic YTHDF1 overexpressed HepG2 cells following 3-MA treatment.</w:t>
      </w:r>
      <w:r w:rsidR="00C70CB3" w:rsidRPr="00C70CB3">
        <w:rPr>
          <w:color w:val="000000" w:themeColor="text1"/>
        </w:rPr>
        <w:t xml:space="preserve"> </w:t>
      </w:r>
      <w:r w:rsidR="00C70CB3">
        <w:rPr>
          <w:color w:val="000000" w:themeColor="text1"/>
        </w:rPr>
        <w:t xml:space="preserve">Error bars represent the mean ± </w:t>
      </w:r>
      <w:r w:rsidR="00C70CB3" w:rsidRPr="000914FF">
        <w:rPr>
          <w:bCs/>
          <w:color w:val="000000"/>
          <w:szCs w:val="24"/>
        </w:rPr>
        <w:t>SEM</w:t>
      </w:r>
      <w:r w:rsidR="00C70CB3">
        <w:t xml:space="preserve"> </w:t>
      </w:r>
      <w:r w:rsidR="00C70CB3">
        <w:rPr>
          <w:color w:val="000000" w:themeColor="text1"/>
        </w:rPr>
        <w:t>and the dots represent the value of each experiment; *</w:t>
      </w:r>
      <w:r w:rsidR="00C70CB3">
        <w:rPr>
          <w:i/>
          <w:color w:val="000000" w:themeColor="text1"/>
        </w:rPr>
        <w:t>P</w:t>
      </w:r>
      <w:r w:rsidR="00C70CB3">
        <w:rPr>
          <w:color w:val="000000" w:themeColor="text1"/>
        </w:rPr>
        <w:t>&lt;0.0</w:t>
      </w:r>
      <w:r w:rsidR="00C70CB3">
        <w:rPr>
          <w:rFonts w:hint="eastAsia"/>
          <w:color w:val="000000" w:themeColor="text1"/>
          <w:lang w:eastAsia="zh-CN"/>
        </w:rPr>
        <w:t>5</w:t>
      </w:r>
      <w:r w:rsidR="00C70CB3">
        <w:rPr>
          <w:color w:val="000000" w:themeColor="text1"/>
        </w:rPr>
        <w:t>, **</w:t>
      </w:r>
      <w:r w:rsidR="00C70CB3">
        <w:rPr>
          <w:i/>
          <w:color w:val="000000" w:themeColor="text1"/>
        </w:rPr>
        <w:t>P</w:t>
      </w:r>
      <w:r w:rsidR="00C70CB3">
        <w:rPr>
          <w:color w:val="000000" w:themeColor="text1"/>
        </w:rPr>
        <w:t>&lt;0.01.</w:t>
      </w:r>
      <w:r w:rsidR="00C70CB3">
        <w:t xml:space="preserve"> </w:t>
      </w:r>
    </w:p>
    <w:p w14:paraId="1BD54F6A" w14:textId="0598F0B1" w:rsidR="00C03A87" w:rsidRPr="0008358A" w:rsidRDefault="00C03A87" w:rsidP="003B317A">
      <w:pPr>
        <w:spacing w:line="480" w:lineRule="auto"/>
        <w:jc w:val="both"/>
        <w:rPr>
          <w:b/>
          <w:bCs/>
          <w:szCs w:val="24"/>
        </w:rPr>
      </w:pPr>
    </w:p>
    <w:p w14:paraId="28A5F294" w14:textId="77777777" w:rsidR="00C03A87" w:rsidRDefault="00C03A87" w:rsidP="003B317A">
      <w:pPr>
        <w:spacing w:line="480" w:lineRule="auto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br w:type="page"/>
      </w:r>
    </w:p>
    <w:p w14:paraId="09C83C33" w14:textId="3E536D5F" w:rsidR="00C03A87" w:rsidRDefault="003317F1" w:rsidP="00C6506A">
      <w:pPr>
        <w:spacing w:line="480" w:lineRule="auto"/>
        <w:jc w:val="both"/>
        <w:rPr>
          <w:bCs/>
          <w:color w:val="000000"/>
          <w:szCs w:val="24"/>
        </w:rPr>
      </w:pPr>
      <w:bookmarkStart w:id="7" w:name="OLE_LINK1"/>
      <w:bookmarkStart w:id="8" w:name="OLE_LINK2"/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4303843D" wp14:editId="755030C6">
            <wp:simplePos x="0" y="0"/>
            <wp:positionH relativeFrom="margin">
              <wp:align>center</wp:align>
            </wp:positionH>
            <wp:positionV relativeFrom="margin">
              <wp:posOffset>579755</wp:posOffset>
            </wp:positionV>
            <wp:extent cx="5759450" cy="7585075"/>
            <wp:effectExtent l="0" t="0" r="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58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A87" w:rsidRPr="00C6506A">
        <w:rPr>
          <w:b/>
          <w:bCs/>
        </w:rPr>
        <w:t>FigureS</w:t>
      </w:r>
      <w:r w:rsidR="00C03A87">
        <w:rPr>
          <w:b/>
          <w:bCs/>
        </w:rPr>
        <w:t>5</w:t>
      </w:r>
    </w:p>
    <w:bookmarkEnd w:id="7"/>
    <w:bookmarkEnd w:id="8"/>
    <w:p w14:paraId="1403DFF2" w14:textId="527FE0A7" w:rsidR="00C70CB3" w:rsidRPr="00BB7C0D" w:rsidRDefault="00C03A87" w:rsidP="00C70CB3">
      <w:pPr>
        <w:pStyle w:val="SMcaption"/>
        <w:spacing w:line="480" w:lineRule="auto"/>
        <w:jc w:val="both"/>
      </w:pPr>
      <w:r>
        <w:rPr>
          <w:b/>
          <w:bCs/>
          <w:szCs w:val="24"/>
        </w:rPr>
        <w:lastRenderedPageBreak/>
        <w:t xml:space="preserve">Figure S5. </w:t>
      </w:r>
      <w:r>
        <w:rPr>
          <w:b/>
          <w:color w:val="000000"/>
          <w:szCs w:val="24"/>
        </w:rPr>
        <w:t xml:space="preserve">YTHDF1 promotes autophagy-related malignancy in hypoxic </w:t>
      </w:r>
      <w:r w:rsidRPr="00534933">
        <w:rPr>
          <w:b/>
          <w:color w:val="000000"/>
          <w:szCs w:val="24"/>
        </w:rPr>
        <w:t>SMMC7721 and Hep3B</w:t>
      </w:r>
      <w:r>
        <w:rPr>
          <w:b/>
          <w:color w:val="000000"/>
          <w:szCs w:val="24"/>
        </w:rPr>
        <w:t xml:space="preserve"> cell lines.</w:t>
      </w:r>
      <w:r>
        <w:rPr>
          <w:rFonts w:hint="eastAsia"/>
          <w:szCs w:val="24"/>
        </w:rPr>
        <w:t xml:space="preserve"> </w:t>
      </w:r>
      <w:r>
        <w:rPr>
          <w:b/>
          <w:color w:val="000000"/>
          <w:szCs w:val="24"/>
        </w:rPr>
        <w:t xml:space="preserve">a </w:t>
      </w:r>
      <w:r>
        <w:rPr>
          <w:bCs/>
          <w:color w:val="000000"/>
          <w:szCs w:val="24"/>
        </w:rPr>
        <w:t>CCK-8 assays in hypoxic SMMC7721 and Hep3B cells with YTHDF1 knockout or overexpression, respectively. 3-MA was used as an autophagy inhibitor. The OD value between KO#1 and KO#2 or LV-YTHDF1 and corresponding control was remarkably significant at P &lt; 0.001 using two-way ANOVA.</w:t>
      </w:r>
      <w:r>
        <w:rPr>
          <w:b/>
          <w:color w:val="000000"/>
          <w:szCs w:val="24"/>
        </w:rPr>
        <w:t xml:space="preserve"> b </w:t>
      </w:r>
      <w:r>
        <w:rPr>
          <w:bCs/>
          <w:color w:val="000000"/>
          <w:szCs w:val="24"/>
        </w:rPr>
        <w:t>Colony formation assays</w:t>
      </w:r>
      <w:r>
        <w:rPr>
          <w:b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 xml:space="preserve">in hypoxic SMMC7721 and Hep3B cells with YTHDF1 knockout or overexpression, respectively. 3-MA was used as an autophagy inhibitor. </w:t>
      </w:r>
      <w:r>
        <w:rPr>
          <w:b/>
          <w:color w:val="000000"/>
          <w:szCs w:val="24"/>
        </w:rPr>
        <w:t xml:space="preserve">c-d </w:t>
      </w:r>
      <w:r>
        <w:rPr>
          <w:bCs/>
          <w:color w:val="000000"/>
          <w:szCs w:val="24"/>
        </w:rPr>
        <w:t>EdU assays in hypoxic SMMC7721 and Hep3B cells with YTHDF1 knockout or overexpression, respectively. 3-MA was used as an autophagy inhibitor. Scale bar, 50 µm.</w:t>
      </w:r>
      <w:r>
        <w:rPr>
          <w:rFonts w:hint="eastAsia"/>
        </w:rPr>
        <w:t xml:space="preserve"> </w:t>
      </w:r>
      <w:r>
        <w:rPr>
          <w:b/>
          <w:bCs/>
          <w:szCs w:val="24"/>
        </w:rPr>
        <w:t>e</w:t>
      </w:r>
      <w:r>
        <w:rPr>
          <w:rFonts w:hint="eastAsia"/>
        </w:rPr>
        <w:t xml:space="preserve"> </w:t>
      </w:r>
      <w:r>
        <w:rPr>
          <w:bCs/>
          <w:color w:val="000000"/>
          <w:szCs w:val="24"/>
        </w:rPr>
        <w:t xml:space="preserve">Light field images of HCC tissue organoids (days 2, 4, and 6). Scale bar, 100 µm. </w:t>
      </w:r>
      <w:r>
        <w:rPr>
          <w:b/>
          <w:color w:val="000000"/>
          <w:szCs w:val="24"/>
        </w:rPr>
        <w:t>f</w:t>
      </w:r>
      <w:r>
        <w:rPr>
          <w:bCs/>
          <w:color w:val="000000"/>
          <w:szCs w:val="24"/>
        </w:rPr>
        <w:t xml:space="preserve"> Light field images of HCC tissue organoids after YTHDF1 knockdown or overexpression mediated by lentivirus infection, or control lentivirus.</w:t>
      </w:r>
      <w:r>
        <w:rPr>
          <w:b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 xml:space="preserve">Scale bar, 100 µm. </w:t>
      </w:r>
      <w:r>
        <w:rPr>
          <w:b/>
          <w:color w:val="000000"/>
          <w:szCs w:val="24"/>
        </w:rPr>
        <w:t>g</w:t>
      </w:r>
      <w:r>
        <w:rPr>
          <w:bCs/>
          <w:color w:val="000000"/>
          <w:szCs w:val="24"/>
        </w:rPr>
        <w:t xml:space="preserve"> Diameters of HCC tissue organoids. </w:t>
      </w:r>
      <w:r>
        <w:rPr>
          <w:b/>
          <w:color w:val="000000"/>
          <w:szCs w:val="24"/>
        </w:rPr>
        <w:t>h</w:t>
      </w:r>
      <w:r>
        <w:rPr>
          <w:bCs/>
          <w:color w:val="000000"/>
          <w:szCs w:val="24"/>
        </w:rPr>
        <w:t xml:space="preserve"> Protein levels of YTHDF1 in HCC tissue organoids using western blotting.</w:t>
      </w:r>
      <w:r>
        <w:rPr>
          <w:b/>
          <w:color w:val="000000"/>
          <w:szCs w:val="24"/>
        </w:rPr>
        <w:t xml:space="preserve"> i-j </w:t>
      </w:r>
      <w:r>
        <w:rPr>
          <w:bCs/>
          <w:color w:val="000000"/>
          <w:szCs w:val="24"/>
        </w:rPr>
        <w:t>Cell apoptosis assays in hypoxic SMMC7721 and Hep3B cells with YTHDF1 knockout or overexpression, respectively.</w:t>
      </w:r>
      <w:r>
        <w:rPr>
          <w:b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 xml:space="preserve">3-MA was used as an autophagy inhibitor. </w:t>
      </w:r>
      <w:r>
        <w:rPr>
          <w:b/>
          <w:color w:val="000000"/>
          <w:szCs w:val="24"/>
        </w:rPr>
        <w:t xml:space="preserve">k-l </w:t>
      </w:r>
      <w:r>
        <w:rPr>
          <w:bCs/>
          <w:color w:val="000000"/>
          <w:szCs w:val="24"/>
        </w:rPr>
        <w:t>Migration and invasion assays in hypoxic SMMC7721 and Hep3B cells with YTHDF1 knockout or overexpression, respectively. 3-MA was used as an autophagy inhibitor. Scale bar, 50 µm.</w:t>
      </w:r>
      <w:r w:rsidR="00C70CB3" w:rsidRPr="00C70CB3">
        <w:rPr>
          <w:color w:val="000000" w:themeColor="text1"/>
        </w:rPr>
        <w:t xml:space="preserve"> </w:t>
      </w:r>
      <w:r w:rsidR="00C70CB3">
        <w:rPr>
          <w:color w:val="000000" w:themeColor="text1"/>
        </w:rPr>
        <w:t xml:space="preserve">Error bars represent the mean ± </w:t>
      </w:r>
      <w:r w:rsidR="00C70CB3" w:rsidRPr="000914FF">
        <w:rPr>
          <w:bCs/>
          <w:color w:val="000000"/>
          <w:szCs w:val="24"/>
        </w:rPr>
        <w:t>SEM</w:t>
      </w:r>
      <w:r w:rsidR="00C70CB3">
        <w:t xml:space="preserve"> </w:t>
      </w:r>
      <w:r w:rsidR="00C70CB3">
        <w:rPr>
          <w:color w:val="000000" w:themeColor="text1"/>
        </w:rPr>
        <w:t>and the dots represent the value of each experiment; **</w:t>
      </w:r>
      <w:r w:rsidR="00C70CB3">
        <w:rPr>
          <w:i/>
          <w:color w:val="000000" w:themeColor="text1"/>
        </w:rPr>
        <w:t>P</w:t>
      </w:r>
      <w:r w:rsidR="00C70CB3">
        <w:rPr>
          <w:color w:val="000000" w:themeColor="text1"/>
        </w:rPr>
        <w:t>&lt;0.01, ***</w:t>
      </w:r>
      <w:r w:rsidR="00C70CB3">
        <w:rPr>
          <w:i/>
          <w:color w:val="000000" w:themeColor="text1"/>
        </w:rPr>
        <w:t>P</w:t>
      </w:r>
      <w:r w:rsidR="00C70CB3">
        <w:rPr>
          <w:color w:val="000000" w:themeColor="text1"/>
        </w:rPr>
        <w:t>&lt;0.001.</w:t>
      </w:r>
      <w:r w:rsidR="00C70CB3">
        <w:t xml:space="preserve"> </w:t>
      </w:r>
    </w:p>
    <w:p w14:paraId="13449321" w14:textId="73B2F764" w:rsidR="00C03A87" w:rsidRDefault="00C03A87" w:rsidP="00C03A87">
      <w:pPr>
        <w:spacing w:line="480" w:lineRule="auto"/>
        <w:jc w:val="both"/>
        <w:rPr>
          <w:bCs/>
          <w:color w:val="000000"/>
          <w:szCs w:val="24"/>
        </w:rPr>
      </w:pPr>
    </w:p>
    <w:p w14:paraId="43F11878" w14:textId="27F42155" w:rsidR="009C0EBA" w:rsidRDefault="009C0EBA">
      <w:r>
        <w:br w:type="page"/>
      </w:r>
    </w:p>
    <w:p w14:paraId="1C057E66" w14:textId="031D1536" w:rsidR="009C0EBA" w:rsidRDefault="009C0EBA" w:rsidP="009C0EBA">
      <w:pPr>
        <w:spacing w:line="480" w:lineRule="auto"/>
        <w:jc w:val="both"/>
        <w:rPr>
          <w:bCs/>
          <w:color w:val="000000"/>
          <w:szCs w:val="24"/>
        </w:rPr>
      </w:pPr>
      <w:r w:rsidRPr="00C6506A">
        <w:rPr>
          <w:b/>
          <w:bCs/>
        </w:rPr>
        <w:lastRenderedPageBreak/>
        <w:t>FigureS</w:t>
      </w:r>
      <w:r>
        <w:rPr>
          <w:b/>
          <w:bCs/>
        </w:rPr>
        <w:t>6</w:t>
      </w:r>
    </w:p>
    <w:p w14:paraId="5BAF84A8" w14:textId="39B84FFA" w:rsidR="00C03A87" w:rsidRDefault="00C03A87" w:rsidP="00C03A87"/>
    <w:p w14:paraId="1C653747" w14:textId="5C7D843C" w:rsidR="009C0EBA" w:rsidRPr="009C0EBA" w:rsidRDefault="009C0EBA" w:rsidP="009C0EBA"/>
    <w:p w14:paraId="7B68E660" w14:textId="025AF6A0" w:rsidR="009C0EBA" w:rsidRPr="009C0EBA" w:rsidRDefault="009C0EBA" w:rsidP="009C0EBA"/>
    <w:p w14:paraId="76B41470" w14:textId="6EE0EE01" w:rsidR="009C0EBA" w:rsidRPr="009C0EBA" w:rsidRDefault="000F0C05" w:rsidP="009C0EBA">
      <w:r>
        <w:rPr>
          <w:noProof/>
        </w:rPr>
        <w:drawing>
          <wp:anchor distT="0" distB="0" distL="114300" distR="114300" simplePos="0" relativeHeight="251679744" behindDoc="0" locked="0" layoutInCell="1" allowOverlap="1" wp14:anchorId="45913EB3" wp14:editId="1D1C4581">
            <wp:simplePos x="0" y="0"/>
            <wp:positionH relativeFrom="column">
              <wp:posOffset>94615</wp:posOffset>
            </wp:positionH>
            <wp:positionV relativeFrom="page">
              <wp:posOffset>1983105</wp:posOffset>
            </wp:positionV>
            <wp:extent cx="5759450" cy="5998210"/>
            <wp:effectExtent l="0" t="0" r="0" b="254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99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D40F6" w14:textId="215215C7" w:rsidR="009C0EBA" w:rsidRPr="009C0EBA" w:rsidRDefault="009C0EBA" w:rsidP="009C0EBA"/>
    <w:p w14:paraId="651A493C" w14:textId="3C7869C0" w:rsidR="009C0EBA" w:rsidRPr="009C0EBA" w:rsidRDefault="009C0EBA" w:rsidP="009C0EBA"/>
    <w:p w14:paraId="727DB440" w14:textId="5B7902B8" w:rsidR="009C0EBA" w:rsidRPr="009C0EBA" w:rsidRDefault="009C0EBA" w:rsidP="009C0EBA"/>
    <w:p w14:paraId="4C6A3644" w14:textId="21B0BE59" w:rsidR="009C0EBA" w:rsidRPr="009C0EBA" w:rsidRDefault="009C0EBA" w:rsidP="009C0EBA"/>
    <w:p w14:paraId="14832889" w14:textId="06B6DF33" w:rsidR="009C0EBA" w:rsidRPr="009C0EBA" w:rsidRDefault="009C0EBA" w:rsidP="009C0EBA"/>
    <w:p w14:paraId="309D4952" w14:textId="1D12A58F" w:rsidR="009C0EBA" w:rsidRPr="009C0EBA" w:rsidRDefault="009C0EBA" w:rsidP="009C0EBA"/>
    <w:p w14:paraId="0EDA5198" w14:textId="42B165A2" w:rsidR="00C70CB3" w:rsidRPr="00BB7C0D" w:rsidRDefault="009C0EBA" w:rsidP="00C70CB3">
      <w:pPr>
        <w:pStyle w:val="SMcaption"/>
        <w:spacing w:line="480" w:lineRule="auto"/>
        <w:jc w:val="both"/>
      </w:pPr>
      <w:r>
        <w:rPr>
          <w:b/>
          <w:bCs/>
          <w:szCs w:val="24"/>
        </w:rPr>
        <w:lastRenderedPageBreak/>
        <w:t xml:space="preserve">Figure S6. </w:t>
      </w:r>
      <w:r>
        <w:rPr>
          <w:b/>
          <w:color w:val="000000"/>
          <w:szCs w:val="24"/>
        </w:rPr>
        <w:t xml:space="preserve">YTHDF1 promotes autophagy-related malignancy in hypoxic </w:t>
      </w:r>
      <w:r w:rsidRPr="003A0D01">
        <w:rPr>
          <w:b/>
          <w:color w:val="000000"/>
          <w:szCs w:val="24"/>
        </w:rPr>
        <w:t>Huh7 and HepG2</w:t>
      </w:r>
      <w:r>
        <w:rPr>
          <w:b/>
          <w:color w:val="000000"/>
          <w:szCs w:val="24"/>
        </w:rPr>
        <w:t xml:space="preserve"> cell lines.</w:t>
      </w:r>
      <w:r>
        <w:rPr>
          <w:rFonts w:hint="eastAsia"/>
          <w:szCs w:val="24"/>
        </w:rPr>
        <w:t xml:space="preserve"> </w:t>
      </w:r>
      <w:r>
        <w:rPr>
          <w:b/>
          <w:color w:val="000000"/>
          <w:szCs w:val="24"/>
        </w:rPr>
        <w:t xml:space="preserve">a </w:t>
      </w:r>
      <w:r>
        <w:rPr>
          <w:bCs/>
          <w:color w:val="000000"/>
          <w:szCs w:val="24"/>
        </w:rPr>
        <w:t xml:space="preserve">CCK-8 assays in hypoxic </w:t>
      </w:r>
      <w:bookmarkStart w:id="9" w:name="_Hlk52207261"/>
      <w:r>
        <w:rPr>
          <w:bCs/>
          <w:color w:val="000000"/>
          <w:szCs w:val="24"/>
        </w:rPr>
        <w:t>Huh7 and HepG2</w:t>
      </w:r>
      <w:bookmarkEnd w:id="9"/>
      <w:r>
        <w:rPr>
          <w:bCs/>
          <w:color w:val="000000"/>
          <w:szCs w:val="24"/>
        </w:rPr>
        <w:t xml:space="preserve"> cells with YTHDF1 knockdown or overexpression, respectively. 3-MA was used as an autophagy inhibitor. The OD value between shYTHDF1-1 and shYTHDF1-2 or LV-YTHDF1 and the corresponding control was remarkably significant at P &lt; 0.001 confirmed using two-way ANOVA.</w:t>
      </w:r>
      <w:r>
        <w:rPr>
          <w:b/>
          <w:color w:val="000000"/>
          <w:szCs w:val="24"/>
        </w:rPr>
        <w:t xml:space="preserve"> b </w:t>
      </w:r>
      <w:r>
        <w:rPr>
          <w:bCs/>
          <w:color w:val="000000"/>
          <w:szCs w:val="24"/>
        </w:rPr>
        <w:t>Colony formation assays</w:t>
      </w:r>
      <w:r>
        <w:rPr>
          <w:b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 xml:space="preserve">in hypoxic Huh7 and HepG2 cells with YTHDF1 knockdown or overexpression, respectively. 3-MA was used as an autophagy inhibitor. </w:t>
      </w:r>
      <w:r>
        <w:rPr>
          <w:b/>
          <w:color w:val="000000"/>
          <w:szCs w:val="24"/>
        </w:rPr>
        <w:t xml:space="preserve">c-d </w:t>
      </w:r>
      <w:r>
        <w:rPr>
          <w:bCs/>
          <w:color w:val="000000"/>
          <w:szCs w:val="24"/>
        </w:rPr>
        <w:t xml:space="preserve">EdU assays in hypoxic Huh7 and HepG2 cells with YTHDF1 knockdown or overexpression, respectively. 3-MA was used as an autophagy inhibitor. Scale bar, 50 µm. </w:t>
      </w:r>
      <w:r>
        <w:rPr>
          <w:b/>
          <w:color w:val="000000"/>
          <w:szCs w:val="24"/>
        </w:rPr>
        <w:t xml:space="preserve">e-f </w:t>
      </w:r>
      <w:r>
        <w:rPr>
          <w:bCs/>
          <w:color w:val="000000"/>
          <w:szCs w:val="24"/>
        </w:rPr>
        <w:t xml:space="preserve">Cell apoptosis assays in hypoxic Huh7 and HepG2 cells with YTHDF1 knockdown or overexpression, respectively. 3-MA was used as an autophagy inhibitor. </w:t>
      </w:r>
      <w:r>
        <w:rPr>
          <w:b/>
          <w:color w:val="000000"/>
          <w:szCs w:val="24"/>
        </w:rPr>
        <w:t xml:space="preserve">g-h </w:t>
      </w:r>
      <w:r>
        <w:rPr>
          <w:bCs/>
          <w:color w:val="000000"/>
          <w:szCs w:val="24"/>
        </w:rPr>
        <w:t>Migration and invasion assays in hypoxic Huh7 and HepG2 cells with YTHDF1 knockdown or overexpression, respectively. 3-MA was used as an autophagy inhibitor. Scale bar, 50 µm.</w:t>
      </w:r>
      <w:r w:rsidR="00C70CB3" w:rsidRPr="00C70CB3">
        <w:rPr>
          <w:color w:val="000000" w:themeColor="text1"/>
        </w:rPr>
        <w:t xml:space="preserve"> </w:t>
      </w:r>
      <w:r w:rsidR="00C70CB3">
        <w:rPr>
          <w:color w:val="000000" w:themeColor="text1"/>
        </w:rPr>
        <w:t xml:space="preserve">Error bars represent the mean ± </w:t>
      </w:r>
      <w:r w:rsidR="00C70CB3" w:rsidRPr="000914FF">
        <w:rPr>
          <w:bCs/>
          <w:color w:val="000000"/>
          <w:szCs w:val="24"/>
        </w:rPr>
        <w:t>SEM</w:t>
      </w:r>
      <w:r w:rsidR="00C70CB3">
        <w:t xml:space="preserve"> </w:t>
      </w:r>
      <w:r w:rsidR="00C70CB3">
        <w:rPr>
          <w:color w:val="000000" w:themeColor="text1"/>
        </w:rPr>
        <w:t>and the dots represent the value of each experiment; *</w:t>
      </w:r>
      <w:r w:rsidR="00C70CB3">
        <w:rPr>
          <w:i/>
          <w:color w:val="000000" w:themeColor="text1"/>
        </w:rPr>
        <w:t>P</w:t>
      </w:r>
      <w:r w:rsidR="00C70CB3">
        <w:rPr>
          <w:color w:val="000000" w:themeColor="text1"/>
        </w:rPr>
        <w:t>&lt;0.0</w:t>
      </w:r>
      <w:r w:rsidR="00C70CB3">
        <w:rPr>
          <w:rFonts w:hint="eastAsia"/>
          <w:color w:val="000000" w:themeColor="text1"/>
          <w:lang w:eastAsia="zh-CN"/>
        </w:rPr>
        <w:t>5</w:t>
      </w:r>
      <w:r w:rsidR="00C70CB3">
        <w:rPr>
          <w:color w:val="000000" w:themeColor="text1"/>
        </w:rPr>
        <w:t>, **</w:t>
      </w:r>
      <w:r w:rsidR="00C70CB3">
        <w:rPr>
          <w:i/>
          <w:color w:val="000000" w:themeColor="text1"/>
        </w:rPr>
        <w:t>P</w:t>
      </w:r>
      <w:r w:rsidR="00C70CB3">
        <w:rPr>
          <w:color w:val="000000" w:themeColor="text1"/>
        </w:rPr>
        <w:t>&lt;0.01, ***</w:t>
      </w:r>
      <w:r w:rsidR="00C70CB3">
        <w:rPr>
          <w:i/>
          <w:color w:val="000000" w:themeColor="text1"/>
        </w:rPr>
        <w:t>P</w:t>
      </w:r>
      <w:r w:rsidR="00C70CB3">
        <w:rPr>
          <w:color w:val="000000" w:themeColor="text1"/>
        </w:rPr>
        <w:t>&lt;0.001.</w:t>
      </w:r>
      <w:r w:rsidR="00C70CB3">
        <w:t xml:space="preserve"> </w:t>
      </w:r>
    </w:p>
    <w:p w14:paraId="030D4A5F" w14:textId="6878EF69" w:rsidR="009C0EBA" w:rsidRDefault="009C0EBA" w:rsidP="009C0EBA">
      <w:pPr>
        <w:spacing w:line="480" w:lineRule="auto"/>
        <w:jc w:val="both"/>
        <w:rPr>
          <w:bCs/>
          <w:color w:val="000000"/>
          <w:szCs w:val="24"/>
        </w:rPr>
      </w:pPr>
    </w:p>
    <w:p w14:paraId="477D1C54" w14:textId="77777777" w:rsidR="009C0EBA" w:rsidRDefault="009C0EBA">
      <w:pPr>
        <w:rPr>
          <w:bCs/>
          <w:color w:val="000000"/>
          <w:szCs w:val="24"/>
        </w:rPr>
      </w:pPr>
      <w:r>
        <w:rPr>
          <w:bCs/>
          <w:color w:val="000000"/>
          <w:szCs w:val="24"/>
        </w:rPr>
        <w:br w:type="page"/>
      </w:r>
    </w:p>
    <w:p w14:paraId="409910C0" w14:textId="13D03E06" w:rsidR="009C0EBA" w:rsidRDefault="00155E6A" w:rsidP="009C0EBA">
      <w:pPr>
        <w:spacing w:line="480" w:lineRule="auto"/>
        <w:jc w:val="both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61825545" wp14:editId="36E8287F">
            <wp:simplePos x="0" y="0"/>
            <wp:positionH relativeFrom="margin">
              <wp:align>center</wp:align>
            </wp:positionH>
            <wp:positionV relativeFrom="paragraph">
              <wp:posOffset>445770</wp:posOffset>
            </wp:positionV>
            <wp:extent cx="6120000" cy="3200400"/>
            <wp:effectExtent l="0" t="0" r="0" b="0"/>
            <wp:wrapSquare wrapText="bothSides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EBA" w:rsidRPr="00C6506A">
        <w:rPr>
          <w:b/>
          <w:bCs/>
        </w:rPr>
        <w:t>FigureS</w:t>
      </w:r>
      <w:r w:rsidR="009C0EBA">
        <w:rPr>
          <w:b/>
          <w:bCs/>
        </w:rPr>
        <w:t>7</w:t>
      </w:r>
    </w:p>
    <w:p w14:paraId="243445E8" w14:textId="061DEDB9" w:rsidR="00155E6A" w:rsidRDefault="00155E6A" w:rsidP="00FB3848">
      <w:pPr>
        <w:spacing w:line="480" w:lineRule="auto"/>
        <w:jc w:val="both"/>
        <w:rPr>
          <w:rFonts w:eastAsia="Arial Unicode MS"/>
          <w:b/>
          <w:color w:val="000000"/>
          <w:szCs w:val="24"/>
        </w:rPr>
      </w:pPr>
    </w:p>
    <w:p w14:paraId="3EF481D6" w14:textId="651939EE" w:rsidR="00974E06" w:rsidRPr="006F2F3F" w:rsidRDefault="009C0EBA" w:rsidP="00FB3848">
      <w:pPr>
        <w:spacing w:line="480" w:lineRule="auto"/>
        <w:jc w:val="both"/>
        <w:rPr>
          <w:bCs/>
          <w:color w:val="000000"/>
          <w:szCs w:val="24"/>
        </w:rPr>
      </w:pPr>
      <w:r>
        <w:rPr>
          <w:rFonts w:eastAsia="Arial Unicode MS"/>
          <w:b/>
          <w:color w:val="000000"/>
          <w:szCs w:val="24"/>
        </w:rPr>
        <w:t xml:space="preserve">Figure S7. </w:t>
      </w:r>
      <w:r>
        <w:rPr>
          <w:rFonts w:eastAsia="Arial Unicode MS"/>
          <w:b/>
          <w:bCs/>
          <w:color w:val="000000"/>
          <w:szCs w:val="24"/>
        </w:rPr>
        <w:t>Generation of liver-specific YTHDF1 knockout mice.</w:t>
      </w:r>
      <w:r>
        <w:rPr>
          <w:b/>
          <w:bCs/>
          <w:szCs w:val="24"/>
        </w:rPr>
        <w:t xml:space="preserve"> a </w:t>
      </w:r>
      <w:r>
        <w:rPr>
          <w:szCs w:val="24"/>
        </w:rPr>
        <w:t>Conditional knockout strategy to edit the YTHDF1 gene.</w:t>
      </w:r>
    </w:p>
    <w:p w14:paraId="45941D31" w14:textId="77777777" w:rsidR="00974E06" w:rsidRDefault="00974E06">
      <w:pPr>
        <w:rPr>
          <w:szCs w:val="24"/>
        </w:rPr>
      </w:pPr>
      <w:r>
        <w:rPr>
          <w:szCs w:val="24"/>
        </w:rPr>
        <w:br w:type="page"/>
      </w:r>
    </w:p>
    <w:p w14:paraId="0E32DA3A" w14:textId="19553FB9" w:rsidR="00974E06" w:rsidRDefault="00155E6A" w:rsidP="00974E06">
      <w:pPr>
        <w:spacing w:line="480" w:lineRule="auto"/>
        <w:jc w:val="both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8C8759E" wp14:editId="4F88E4A4">
            <wp:simplePos x="0" y="0"/>
            <wp:positionH relativeFrom="margin">
              <wp:align>center</wp:align>
            </wp:positionH>
            <wp:positionV relativeFrom="paragraph">
              <wp:posOffset>483870</wp:posOffset>
            </wp:positionV>
            <wp:extent cx="6120000" cy="3430800"/>
            <wp:effectExtent l="0" t="0" r="0" b="0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4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E06" w:rsidRPr="00C6506A">
        <w:rPr>
          <w:b/>
          <w:bCs/>
        </w:rPr>
        <w:t>FigureS</w:t>
      </w:r>
      <w:r w:rsidR="00974E06">
        <w:rPr>
          <w:b/>
          <w:bCs/>
        </w:rPr>
        <w:t>8</w:t>
      </w:r>
    </w:p>
    <w:p w14:paraId="79FAE250" w14:textId="0449ABEC" w:rsidR="009C0EBA" w:rsidRDefault="009C0EBA" w:rsidP="009C0EBA">
      <w:pPr>
        <w:spacing w:line="480" w:lineRule="auto"/>
        <w:rPr>
          <w:szCs w:val="24"/>
        </w:rPr>
      </w:pPr>
    </w:p>
    <w:p w14:paraId="162D0E5A" w14:textId="0A795D4C" w:rsidR="00B10403" w:rsidRPr="00BB7C0D" w:rsidRDefault="00974E06" w:rsidP="00B10403">
      <w:pPr>
        <w:pStyle w:val="SMcaption"/>
        <w:spacing w:line="480" w:lineRule="auto"/>
        <w:jc w:val="both"/>
      </w:pPr>
      <w:r>
        <w:rPr>
          <w:rFonts w:eastAsia="Arial Unicode MS"/>
          <w:b/>
          <w:color w:val="000000"/>
          <w:szCs w:val="24"/>
        </w:rPr>
        <w:t xml:space="preserve">Figure S8. </w:t>
      </w:r>
      <w:r>
        <w:rPr>
          <w:rFonts w:eastAsia="Arial Unicode MS"/>
          <w:b/>
          <w:bCs/>
          <w:color w:val="000000"/>
          <w:szCs w:val="24"/>
        </w:rPr>
        <w:t>YTHDF1</w:t>
      </w:r>
      <w:r>
        <w:rPr>
          <w:rFonts w:hint="eastAsia"/>
        </w:rPr>
        <w:t xml:space="preserve"> </w:t>
      </w:r>
      <w:r>
        <w:rPr>
          <w:b/>
          <w:color w:val="000000"/>
          <w:szCs w:val="24"/>
        </w:rPr>
        <w:t>facilitates</w:t>
      </w:r>
      <w:r>
        <w:rPr>
          <w:rFonts w:ascii="TimesNewRoman" w:hAnsi="TimesNewRoman"/>
          <w:b/>
          <w:bCs/>
          <w:iCs/>
          <w:color w:val="000000"/>
          <w:szCs w:val="24"/>
        </w:rPr>
        <w:t xml:space="preserve"> HCC metastasis </w:t>
      </w:r>
      <w:r>
        <w:rPr>
          <w:rFonts w:ascii="TimesNewRoman" w:hAnsi="TimesNewRoman"/>
          <w:b/>
          <w:bCs/>
          <w:i/>
          <w:color w:val="000000"/>
          <w:szCs w:val="24"/>
        </w:rPr>
        <w:t>in vivo</w:t>
      </w:r>
      <w:r>
        <w:rPr>
          <w:rFonts w:ascii="TimesNewRoman" w:hAnsi="TimesNewRoman"/>
          <w:b/>
          <w:bCs/>
          <w:iCs/>
          <w:color w:val="000000"/>
          <w:szCs w:val="24"/>
        </w:rPr>
        <w:t>.</w:t>
      </w:r>
      <w:r>
        <w:rPr>
          <w:rFonts w:hint="eastAsia"/>
        </w:rPr>
        <w:t xml:space="preserve"> </w:t>
      </w:r>
      <w:r>
        <w:rPr>
          <w:rFonts w:ascii="TimesNewRoman" w:hAnsi="TimesNewRoman"/>
          <w:b/>
          <w:bCs/>
          <w:iCs/>
          <w:color w:val="000000"/>
          <w:szCs w:val="24"/>
        </w:rPr>
        <w:t>a</w:t>
      </w:r>
      <w:r>
        <w:rPr>
          <w:rFonts w:ascii="TimesNewRoman" w:hAnsi="TimesNewRoman"/>
          <w:iCs/>
          <w:color w:val="000000"/>
          <w:szCs w:val="24"/>
        </w:rPr>
        <w:t xml:space="preserve"> Representative images of lung metastasis models in nude mice after tail vein injection of SMMC7721 cells and Hep3B cells</w:t>
      </w:r>
      <w:r>
        <w:rPr>
          <w:bCs/>
          <w:color w:val="000000"/>
          <w:szCs w:val="24"/>
        </w:rPr>
        <w:t xml:space="preserve"> with YTHDF1 knockout or overexpression, respectively</w:t>
      </w:r>
      <w:r>
        <w:rPr>
          <w:rFonts w:ascii="TimesNewRoman" w:hAnsi="TimesNewRoman"/>
          <w:iCs/>
          <w:color w:val="000000"/>
          <w:szCs w:val="24"/>
        </w:rPr>
        <w:t>. Fluorescence intensity was examined.</w:t>
      </w:r>
      <w:r>
        <w:rPr>
          <w:bCs/>
          <w:iCs/>
          <w:color w:val="000000"/>
          <w:szCs w:val="24"/>
        </w:rPr>
        <w:t xml:space="preserve"> </w:t>
      </w:r>
      <w:r>
        <w:rPr>
          <w:b/>
          <w:iCs/>
          <w:color w:val="000000"/>
          <w:szCs w:val="24"/>
        </w:rPr>
        <w:t>b</w:t>
      </w:r>
      <w:r>
        <w:rPr>
          <w:bCs/>
          <w:iCs/>
          <w:color w:val="000000"/>
          <w:szCs w:val="24"/>
        </w:rPr>
        <w:t xml:space="preserve"> </w:t>
      </w:r>
      <w:r>
        <w:rPr>
          <w:rFonts w:ascii="T3" w:hAnsi="T3"/>
          <w:color w:val="000000"/>
          <w:szCs w:val="24"/>
        </w:rPr>
        <w:t>Hematoxylin and eosin (</w:t>
      </w:r>
      <w:r>
        <w:rPr>
          <w:bCs/>
          <w:iCs/>
          <w:color w:val="000000"/>
          <w:szCs w:val="24"/>
        </w:rPr>
        <w:t>H&amp;E) staining of pulmonary metastatic nodules.</w:t>
      </w:r>
      <w:r>
        <w:rPr>
          <w:bCs/>
          <w:color w:val="000000"/>
          <w:szCs w:val="24"/>
        </w:rPr>
        <w:t xml:space="preserve"> Scale bar, </w:t>
      </w:r>
      <w:r>
        <w:rPr>
          <w:rFonts w:hint="eastAsia"/>
          <w:bCs/>
          <w:color w:val="000000"/>
          <w:szCs w:val="24"/>
        </w:rPr>
        <w:t>2</w:t>
      </w:r>
      <w:r>
        <w:rPr>
          <w:bCs/>
          <w:color w:val="000000"/>
          <w:szCs w:val="24"/>
        </w:rPr>
        <w:t>00 µm.</w:t>
      </w:r>
      <w:r>
        <w:rPr>
          <w:bCs/>
          <w:iCs/>
          <w:color w:val="000000"/>
          <w:szCs w:val="24"/>
        </w:rPr>
        <w:t xml:space="preserve"> </w:t>
      </w:r>
      <w:r>
        <w:rPr>
          <w:rFonts w:ascii="TimesNewRoman" w:hAnsi="TimesNewRoman"/>
          <w:b/>
          <w:bCs/>
          <w:iCs/>
          <w:color w:val="000000"/>
          <w:szCs w:val="24"/>
        </w:rPr>
        <w:t>c</w:t>
      </w:r>
      <w:r>
        <w:rPr>
          <w:rFonts w:ascii="TimesNewRoman" w:hAnsi="TimesNewRoman"/>
          <w:iCs/>
          <w:color w:val="000000"/>
          <w:szCs w:val="24"/>
        </w:rPr>
        <w:t xml:space="preserve"> </w:t>
      </w:r>
      <w:r>
        <w:rPr>
          <w:bCs/>
          <w:iCs/>
          <w:color w:val="000000"/>
          <w:szCs w:val="24"/>
        </w:rPr>
        <w:t xml:space="preserve">Number of lung metastatic foci counted </w:t>
      </w:r>
      <w:r>
        <w:rPr>
          <w:rFonts w:ascii="TimesNewRomanPSMT" w:hAnsi="TimesNewRomanPSMT" w:cs="TimesNewRomanPSMT"/>
          <w:color w:val="000000"/>
          <w:szCs w:val="24"/>
        </w:rPr>
        <w:t>microscopically</w:t>
      </w:r>
      <w:r>
        <w:rPr>
          <w:bCs/>
          <w:iCs/>
          <w:color w:val="000000"/>
          <w:szCs w:val="24"/>
        </w:rPr>
        <w:t xml:space="preserve">. </w:t>
      </w:r>
      <w:r>
        <w:rPr>
          <w:b/>
          <w:iCs/>
          <w:color w:val="000000"/>
          <w:szCs w:val="24"/>
        </w:rPr>
        <w:t>d</w:t>
      </w:r>
      <w:r>
        <w:rPr>
          <w:rFonts w:ascii="TimesNewRoman" w:hAnsi="TimesNewRoman"/>
          <w:iCs/>
          <w:color w:val="000000"/>
          <w:szCs w:val="24"/>
        </w:rPr>
        <w:t xml:space="preserve"> Representative immunohistochemistry (IHC) staining of </w:t>
      </w:r>
      <w:r>
        <w:rPr>
          <w:bCs/>
          <w:color w:val="000000"/>
          <w:szCs w:val="24"/>
        </w:rPr>
        <w:t>YTHDF1</w:t>
      </w:r>
      <w:r>
        <w:rPr>
          <w:rFonts w:ascii="TimesNewRoman" w:hAnsi="TimesNewRoman"/>
          <w:iCs/>
          <w:color w:val="000000"/>
          <w:szCs w:val="24"/>
        </w:rPr>
        <w:t xml:space="preserve"> in lung metastatic nodules. </w:t>
      </w:r>
      <w:r>
        <w:rPr>
          <w:bCs/>
          <w:color w:val="000000"/>
          <w:szCs w:val="24"/>
        </w:rPr>
        <w:t xml:space="preserve">Scale bar, 100 µm. </w:t>
      </w:r>
      <w:r>
        <w:rPr>
          <w:rFonts w:ascii="TimesNewRoman" w:hAnsi="TimesNewRoman"/>
          <w:b/>
          <w:bCs/>
          <w:iCs/>
          <w:color w:val="000000"/>
          <w:szCs w:val="24"/>
        </w:rPr>
        <w:t>e</w:t>
      </w:r>
      <w:r>
        <w:rPr>
          <w:rFonts w:hint="eastAsia"/>
        </w:rPr>
        <w:t xml:space="preserve"> </w:t>
      </w:r>
      <w:r>
        <w:rPr>
          <w:rFonts w:ascii="TimesNewRoman" w:hAnsi="TimesNewRoman"/>
          <w:iCs/>
          <w:color w:val="000000"/>
          <w:szCs w:val="24"/>
        </w:rPr>
        <w:t>Overall survival of mice injected with SMMC7721 cells and Hep3B cells</w:t>
      </w:r>
      <w:r>
        <w:rPr>
          <w:bCs/>
          <w:color w:val="000000"/>
          <w:szCs w:val="24"/>
        </w:rPr>
        <w:t xml:space="preserve"> with YTHDF1 knockout or overexpression, respectively</w:t>
      </w:r>
      <w:r>
        <w:rPr>
          <w:rFonts w:ascii="TimesNewRoman" w:hAnsi="TimesNewRoman"/>
          <w:iCs/>
          <w:color w:val="000000"/>
          <w:szCs w:val="24"/>
        </w:rPr>
        <w:t>.</w:t>
      </w:r>
      <w:r w:rsidR="00B10403" w:rsidRPr="00B10403">
        <w:rPr>
          <w:color w:val="000000" w:themeColor="text1"/>
        </w:rPr>
        <w:t xml:space="preserve"> </w:t>
      </w:r>
      <w:r w:rsidR="005E5AB7">
        <w:rPr>
          <w:rFonts w:hint="eastAsia"/>
          <w:color w:val="000000" w:themeColor="text1"/>
          <w:lang w:eastAsia="zh-CN"/>
        </w:rPr>
        <w:t>T</w:t>
      </w:r>
      <w:r w:rsidR="00B10403">
        <w:rPr>
          <w:color w:val="000000" w:themeColor="text1"/>
        </w:rPr>
        <w:t>he dots represent the value of each experiment; ***</w:t>
      </w:r>
      <w:r w:rsidR="00B10403">
        <w:rPr>
          <w:i/>
          <w:color w:val="000000" w:themeColor="text1"/>
        </w:rPr>
        <w:t>P</w:t>
      </w:r>
      <w:r w:rsidR="00B10403">
        <w:rPr>
          <w:color w:val="000000" w:themeColor="text1"/>
        </w:rPr>
        <w:t>&lt;0.001.</w:t>
      </w:r>
      <w:r w:rsidR="00B10403">
        <w:t xml:space="preserve"> </w:t>
      </w:r>
    </w:p>
    <w:p w14:paraId="0D9194E2" w14:textId="598C62DE" w:rsidR="00974E06" w:rsidRDefault="00974E06" w:rsidP="00974E06">
      <w:pPr>
        <w:spacing w:line="480" w:lineRule="auto"/>
        <w:jc w:val="both"/>
        <w:rPr>
          <w:rFonts w:ascii="TimesNewRoman" w:hAnsi="TimesNewRoman" w:hint="eastAsia"/>
          <w:iCs/>
          <w:color w:val="000000"/>
          <w:szCs w:val="24"/>
        </w:rPr>
      </w:pPr>
    </w:p>
    <w:p w14:paraId="25031C3E" w14:textId="77777777" w:rsidR="00974E06" w:rsidRDefault="00974E06">
      <w:pPr>
        <w:rPr>
          <w:rFonts w:ascii="TimesNewRoman" w:hAnsi="TimesNewRoman" w:hint="eastAsia"/>
          <w:iCs/>
          <w:color w:val="000000"/>
          <w:szCs w:val="24"/>
        </w:rPr>
      </w:pPr>
      <w:r>
        <w:rPr>
          <w:rFonts w:ascii="TimesNewRoman" w:hAnsi="TimesNewRoman" w:hint="eastAsia"/>
          <w:iCs/>
          <w:color w:val="000000"/>
          <w:szCs w:val="24"/>
        </w:rPr>
        <w:br w:type="page"/>
      </w:r>
    </w:p>
    <w:p w14:paraId="4E1AFD71" w14:textId="4B700F9C" w:rsidR="00974E06" w:rsidRDefault="00974E06" w:rsidP="00974E06">
      <w:pPr>
        <w:spacing w:line="480" w:lineRule="auto"/>
        <w:jc w:val="both"/>
        <w:rPr>
          <w:b/>
          <w:bCs/>
        </w:rPr>
      </w:pPr>
      <w:r w:rsidRPr="00C6506A">
        <w:rPr>
          <w:b/>
          <w:bCs/>
        </w:rPr>
        <w:lastRenderedPageBreak/>
        <w:t>FigureS</w:t>
      </w:r>
      <w:r>
        <w:rPr>
          <w:b/>
          <w:bCs/>
        </w:rPr>
        <w:t>9</w:t>
      </w:r>
    </w:p>
    <w:p w14:paraId="2513C0C5" w14:textId="71585BE4" w:rsidR="00974E06" w:rsidRDefault="00974E06" w:rsidP="00974E06">
      <w:pPr>
        <w:spacing w:line="480" w:lineRule="auto"/>
        <w:jc w:val="both"/>
        <w:rPr>
          <w:b/>
          <w:bCs/>
        </w:rPr>
      </w:pPr>
    </w:p>
    <w:p w14:paraId="698D558D" w14:textId="65CA2D11" w:rsidR="00974E06" w:rsidRDefault="006513C8" w:rsidP="00974E06">
      <w:pPr>
        <w:spacing w:line="480" w:lineRule="auto"/>
        <w:jc w:val="both"/>
        <w:rPr>
          <w:rFonts w:ascii="TimesNewRoman" w:hAnsi="TimesNewRoman" w:hint="eastAsia"/>
          <w:iCs/>
          <w:color w:val="000000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5B37B45" wp14:editId="182FCD1B">
            <wp:simplePos x="0" y="0"/>
            <wp:positionH relativeFrom="margin">
              <wp:align>center</wp:align>
            </wp:positionH>
            <wp:positionV relativeFrom="page">
              <wp:posOffset>2052320</wp:posOffset>
            </wp:positionV>
            <wp:extent cx="6119495" cy="6162675"/>
            <wp:effectExtent l="0" t="0" r="0" b="9525"/>
            <wp:wrapSquare wrapText="bothSides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182BE" w14:textId="2B024C27" w:rsidR="00974E06" w:rsidRDefault="00974E06" w:rsidP="00974E06"/>
    <w:p w14:paraId="1230458B" w14:textId="60E8A303" w:rsidR="00974E06" w:rsidRPr="00974E06" w:rsidRDefault="00974E06" w:rsidP="00974E06"/>
    <w:p w14:paraId="57C288CC" w14:textId="5D06EABA" w:rsidR="00974E06" w:rsidRPr="00974E06" w:rsidRDefault="00974E06" w:rsidP="00974E06"/>
    <w:p w14:paraId="6D67BBA2" w14:textId="3F961C6E" w:rsidR="00974E06" w:rsidRPr="00974E06" w:rsidRDefault="00974E06" w:rsidP="00974E06"/>
    <w:p w14:paraId="690D78F7" w14:textId="2AD43DC6" w:rsidR="00B10403" w:rsidRPr="00BB7C0D" w:rsidRDefault="00974E06" w:rsidP="00B10403">
      <w:pPr>
        <w:pStyle w:val="SMcaption"/>
        <w:spacing w:line="480" w:lineRule="auto"/>
        <w:jc w:val="both"/>
      </w:pPr>
      <w:r>
        <w:rPr>
          <w:rFonts w:eastAsia="Arial Unicode MS"/>
          <w:b/>
          <w:color w:val="000000"/>
          <w:szCs w:val="24"/>
        </w:rPr>
        <w:lastRenderedPageBreak/>
        <w:t xml:space="preserve">Figure S9. </w:t>
      </w:r>
      <w:r>
        <w:rPr>
          <w:rFonts w:ascii="TimesNewRoman" w:hAnsi="TimesNewRoman"/>
          <w:b/>
          <w:iCs/>
          <w:color w:val="000000"/>
          <w:szCs w:val="24"/>
        </w:rPr>
        <w:t>m6A-binding pockets in the YTH domain are essential for YTHDF1 to play its oncogenic role.</w:t>
      </w:r>
      <w:r>
        <w:rPr>
          <w:rFonts w:hint="eastAsia"/>
        </w:rPr>
        <w:t xml:space="preserve"> </w:t>
      </w:r>
      <w:r>
        <w:rPr>
          <w:b/>
          <w:bCs/>
          <w:szCs w:val="24"/>
        </w:rPr>
        <w:t>a</w:t>
      </w:r>
      <w:r>
        <w:rPr>
          <w:rFonts w:hint="eastAsia"/>
        </w:rPr>
        <w:t xml:space="preserve"> </w:t>
      </w:r>
      <w:r>
        <w:rPr>
          <w:rFonts w:ascii="TimesNewRoman" w:hAnsi="TimesNewRoman"/>
          <w:bCs/>
          <w:iCs/>
          <w:color w:val="000000"/>
          <w:szCs w:val="24"/>
        </w:rPr>
        <w:t xml:space="preserve">Schematic </w:t>
      </w:r>
      <w:r>
        <w:rPr>
          <w:rFonts w:eastAsia="Arial Unicode MS"/>
          <w:color w:val="000000"/>
          <w:szCs w:val="24"/>
        </w:rPr>
        <w:t>illustration</w:t>
      </w:r>
      <w:r>
        <w:rPr>
          <w:rFonts w:ascii="TimesNewRoman" w:hAnsi="TimesNewRoman"/>
          <w:bCs/>
          <w:iCs/>
          <w:color w:val="000000"/>
          <w:szCs w:val="24"/>
        </w:rPr>
        <w:t xml:space="preserve"> of wild-type (YTHDF1-WT) and mutant (YTHDF1-MUT) YTHDF1 constructs.</w:t>
      </w:r>
      <w:r>
        <w:rPr>
          <w:rFonts w:hint="eastAsia"/>
        </w:rPr>
        <w:t xml:space="preserve"> </w:t>
      </w:r>
      <w:r>
        <w:rPr>
          <w:rFonts w:eastAsia="微软雅黑"/>
          <w:b/>
          <w:bCs/>
          <w:szCs w:val="24"/>
        </w:rPr>
        <w:t>b</w:t>
      </w:r>
      <w:r>
        <w:rPr>
          <w:rFonts w:hint="eastAsia"/>
        </w:rPr>
        <w:t xml:space="preserve"> </w:t>
      </w:r>
      <w:r>
        <w:rPr>
          <w:rFonts w:ascii="TimesNewRoman" w:hAnsi="TimesNewRoman"/>
          <w:bCs/>
          <w:iCs/>
          <w:color w:val="000000"/>
          <w:szCs w:val="24"/>
        </w:rPr>
        <w:t xml:space="preserve">YTHDF1 expression upon overexpression of YTHDF1-WT or YTHDF1-MUT in hypoxic SMMC7721 cells. </w:t>
      </w:r>
      <w:r>
        <w:rPr>
          <w:rFonts w:eastAsia="微软雅黑"/>
          <w:b/>
          <w:bCs/>
          <w:szCs w:val="24"/>
        </w:rPr>
        <w:t>c</w:t>
      </w:r>
      <w:r>
        <w:rPr>
          <w:rFonts w:hint="eastAsia"/>
        </w:rPr>
        <w:t xml:space="preserve"> </w:t>
      </w:r>
      <w:r>
        <w:rPr>
          <w:bCs/>
          <w:color w:val="000000"/>
          <w:szCs w:val="24"/>
        </w:rPr>
        <w:t xml:space="preserve">IF staining with </w:t>
      </w:r>
      <w:r>
        <w:rPr>
          <w:rFonts w:ascii="TimesNewRomanPSMT" w:hAnsi="TimesNewRomanPSMT" w:cs="TimesNewRomanPSMT"/>
          <w:color w:val="000000"/>
          <w:szCs w:val="24"/>
        </w:rPr>
        <w:t>mRFP-GFP-LC3</w:t>
      </w:r>
      <w:r>
        <w:rPr>
          <w:bCs/>
          <w:color w:val="000000"/>
          <w:szCs w:val="24"/>
        </w:rPr>
        <w:t xml:space="preserve"> </w:t>
      </w:r>
      <w:r>
        <w:rPr>
          <w:rFonts w:ascii="TimesNewRoman" w:hAnsi="TimesNewRoman"/>
          <w:bCs/>
          <w:iCs/>
          <w:color w:val="000000"/>
          <w:szCs w:val="24"/>
        </w:rPr>
        <w:t>of hypoxic SMMC7721 cells with overexpressed YTHDF1-WT or YTHDF1-MUT.</w:t>
      </w:r>
      <w:r>
        <w:rPr>
          <w:rFonts w:eastAsia="微软雅黑"/>
          <w:b/>
          <w:bCs/>
          <w:szCs w:val="24"/>
        </w:rPr>
        <w:t xml:space="preserve"> </w:t>
      </w:r>
      <w:r>
        <w:rPr>
          <w:bCs/>
          <w:color w:val="000000"/>
          <w:szCs w:val="24"/>
        </w:rPr>
        <w:t xml:space="preserve">Scale bar, 10 µm. </w:t>
      </w:r>
      <w:r>
        <w:rPr>
          <w:rFonts w:eastAsia="微软雅黑"/>
          <w:b/>
          <w:bCs/>
          <w:szCs w:val="24"/>
        </w:rPr>
        <w:t>d</w:t>
      </w:r>
      <w:r>
        <w:rPr>
          <w:rFonts w:hint="eastAsia"/>
        </w:rPr>
        <w:t xml:space="preserve"> </w:t>
      </w:r>
      <w:r>
        <w:rPr>
          <w:rFonts w:ascii="TimesNewRoman" w:hAnsi="TimesNewRoman"/>
          <w:bCs/>
          <w:iCs/>
          <w:color w:val="000000"/>
          <w:szCs w:val="24"/>
        </w:rPr>
        <w:t>CCK-8 assays of hypoxic SMMC7721 cells with overexpressed YTHDF1-WT or YTHDF1-MUT.</w:t>
      </w:r>
      <w:r>
        <w:rPr>
          <w:rFonts w:eastAsia="微软雅黑"/>
          <w:b/>
          <w:bCs/>
          <w:szCs w:val="24"/>
        </w:rPr>
        <w:t xml:space="preserve"> e</w:t>
      </w:r>
      <w:r>
        <w:rPr>
          <w:rFonts w:hint="eastAsia"/>
        </w:rPr>
        <w:t xml:space="preserve"> </w:t>
      </w:r>
      <w:r>
        <w:rPr>
          <w:rFonts w:ascii="TimesNewRoman" w:hAnsi="TimesNewRoman"/>
          <w:bCs/>
          <w:iCs/>
          <w:color w:val="000000"/>
          <w:szCs w:val="24"/>
        </w:rPr>
        <w:t>EDU assays of hypoxic SMMC7721 cells with overexpressed YTHDF1-WT or YTHDF1-MUT.</w:t>
      </w:r>
      <w:r>
        <w:rPr>
          <w:rFonts w:eastAsia="微软雅黑"/>
          <w:b/>
          <w:bCs/>
          <w:szCs w:val="24"/>
        </w:rPr>
        <w:t xml:space="preserve"> </w:t>
      </w:r>
      <w:r>
        <w:rPr>
          <w:bCs/>
          <w:color w:val="000000"/>
          <w:szCs w:val="24"/>
        </w:rPr>
        <w:t xml:space="preserve">Scale bar, 50 µm. </w:t>
      </w:r>
      <w:r>
        <w:rPr>
          <w:rFonts w:eastAsia="微软雅黑"/>
          <w:b/>
          <w:bCs/>
          <w:szCs w:val="24"/>
        </w:rPr>
        <w:t>f</w:t>
      </w:r>
      <w:r>
        <w:rPr>
          <w:rFonts w:hint="eastAsia"/>
        </w:rPr>
        <w:t xml:space="preserve"> </w:t>
      </w:r>
      <w:r>
        <w:rPr>
          <w:rFonts w:ascii="TimesNewRoman" w:hAnsi="TimesNewRoman"/>
          <w:bCs/>
          <w:iCs/>
          <w:color w:val="000000"/>
          <w:szCs w:val="24"/>
        </w:rPr>
        <w:t>Cell apoptosis assays of hypoxic SMMC7721 cells with overexpressed YTHDF1-WT or YTHDF1-MUT.</w:t>
      </w:r>
      <w:r>
        <w:rPr>
          <w:rFonts w:eastAsia="微软雅黑"/>
          <w:b/>
          <w:bCs/>
          <w:szCs w:val="24"/>
        </w:rPr>
        <w:t xml:space="preserve"> g</w:t>
      </w:r>
      <w:r>
        <w:rPr>
          <w:rFonts w:hint="eastAsia"/>
        </w:rPr>
        <w:t xml:space="preserve"> </w:t>
      </w:r>
      <w:r>
        <w:rPr>
          <w:bCs/>
          <w:color w:val="000000"/>
          <w:szCs w:val="24"/>
        </w:rPr>
        <w:t>Migration and invasion assays</w:t>
      </w:r>
      <w:r>
        <w:rPr>
          <w:rFonts w:ascii="TimesNewRoman" w:hAnsi="TimesNewRoman"/>
          <w:bCs/>
          <w:iCs/>
          <w:color w:val="000000"/>
          <w:szCs w:val="24"/>
        </w:rPr>
        <w:t xml:space="preserve"> of hypoxic SMMC7721 cells with overexpressed YTHDF1-WT or YTHDF1-MUT.</w:t>
      </w:r>
      <w:r>
        <w:rPr>
          <w:bCs/>
          <w:color w:val="000000"/>
          <w:szCs w:val="24"/>
        </w:rPr>
        <w:t xml:space="preserve"> Scale bar, 50 µm.</w:t>
      </w:r>
      <w:r>
        <w:rPr>
          <w:rFonts w:eastAsia="微软雅黑"/>
          <w:b/>
          <w:bCs/>
          <w:szCs w:val="24"/>
        </w:rPr>
        <w:t xml:space="preserve"> h</w:t>
      </w:r>
      <w:r>
        <w:rPr>
          <w:rFonts w:hint="eastAsia"/>
        </w:rPr>
        <w:t xml:space="preserve"> </w:t>
      </w:r>
      <w:r>
        <w:rPr>
          <w:rFonts w:ascii="TimesNewRoman" w:hAnsi="TimesNewRoman"/>
          <w:bCs/>
          <w:iCs/>
          <w:color w:val="000000"/>
          <w:szCs w:val="24"/>
        </w:rPr>
        <w:t xml:space="preserve">YTHDF1 expression upon overexpression of YTHDF1-WT or YTHDF1-MUT in hypoxic Hep3B cells. </w:t>
      </w:r>
      <w:r>
        <w:rPr>
          <w:rFonts w:eastAsia="微软雅黑"/>
          <w:b/>
          <w:bCs/>
          <w:szCs w:val="24"/>
        </w:rPr>
        <w:t>i</w:t>
      </w:r>
      <w:r>
        <w:rPr>
          <w:rFonts w:hint="eastAsia"/>
        </w:rPr>
        <w:t xml:space="preserve"> </w:t>
      </w:r>
      <w:r>
        <w:rPr>
          <w:bCs/>
          <w:color w:val="000000"/>
          <w:szCs w:val="24"/>
        </w:rPr>
        <w:t xml:space="preserve">IF staining with </w:t>
      </w:r>
      <w:r>
        <w:rPr>
          <w:rFonts w:ascii="TimesNewRomanPSMT" w:hAnsi="TimesNewRomanPSMT" w:cs="TimesNewRomanPSMT"/>
          <w:color w:val="000000"/>
          <w:szCs w:val="24"/>
        </w:rPr>
        <w:t>mRFP-GFP-LC3</w:t>
      </w:r>
      <w:r>
        <w:rPr>
          <w:bCs/>
          <w:color w:val="000000"/>
          <w:szCs w:val="24"/>
        </w:rPr>
        <w:t xml:space="preserve"> of</w:t>
      </w:r>
      <w:r>
        <w:rPr>
          <w:rFonts w:ascii="TimesNewRoman" w:hAnsi="TimesNewRoman"/>
          <w:bCs/>
          <w:iCs/>
          <w:color w:val="000000"/>
          <w:szCs w:val="24"/>
        </w:rPr>
        <w:t xml:space="preserve"> hypoxic Hep3B cells with overexpressed YTHDF1-WT or YTHDF1-MUT.</w:t>
      </w:r>
      <w:r>
        <w:rPr>
          <w:rFonts w:eastAsia="微软雅黑"/>
          <w:b/>
          <w:bCs/>
          <w:szCs w:val="24"/>
        </w:rPr>
        <w:t xml:space="preserve"> </w:t>
      </w:r>
      <w:r>
        <w:rPr>
          <w:bCs/>
          <w:color w:val="000000"/>
          <w:szCs w:val="24"/>
        </w:rPr>
        <w:t xml:space="preserve">Scale bar, 10 µm. </w:t>
      </w:r>
      <w:r>
        <w:rPr>
          <w:rFonts w:eastAsia="微软雅黑"/>
          <w:b/>
          <w:bCs/>
          <w:szCs w:val="24"/>
        </w:rPr>
        <w:t>j</w:t>
      </w:r>
      <w:r>
        <w:rPr>
          <w:rFonts w:hint="eastAsia"/>
        </w:rPr>
        <w:t xml:space="preserve"> </w:t>
      </w:r>
      <w:r>
        <w:rPr>
          <w:rFonts w:ascii="TimesNewRoman" w:hAnsi="TimesNewRoman"/>
          <w:bCs/>
          <w:iCs/>
          <w:color w:val="000000"/>
          <w:szCs w:val="24"/>
        </w:rPr>
        <w:t>CCK-8 assays of hypoxic Hep3B cells with overexpressed YTHDF1-WT or YTHDF1-MUT.</w:t>
      </w:r>
      <w:r>
        <w:rPr>
          <w:rFonts w:eastAsia="微软雅黑"/>
          <w:b/>
          <w:bCs/>
          <w:szCs w:val="24"/>
        </w:rPr>
        <w:t xml:space="preserve"> k</w:t>
      </w:r>
      <w:r>
        <w:rPr>
          <w:rFonts w:hint="eastAsia"/>
        </w:rPr>
        <w:t xml:space="preserve"> </w:t>
      </w:r>
      <w:r>
        <w:rPr>
          <w:rFonts w:ascii="TimesNewRoman" w:hAnsi="TimesNewRoman"/>
          <w:bCs/>
          <w:iCs/>
          <w:color w:val="000000"/>
          <w:szCs w:val="24"/>
        </w:rPr>
        <w:t>EDU assays of hypoxic Hep3B cells with overexpressed YTHDF1-WT or YTHDF1-MUT.</w:t>
      </w:r>
      <w:r>
        <w:rPr>
          <w:rFonts w:eastAsia="微软雅黑"/>
          <w:b/>
          <w:bCs/>
          <w:szCs w:val="24"/>
        </w:rPr>
        <w:t xml:space="preserve"> </w:t>
      </w:r>
      <w:r>
        <w:rPr>
          <w:bCs/>
          <w:color w:val="000000"/>
          <w:szCs w:val="24"/>
        </w:rPr>
        <w:t xml:space="preserve">Scale bar, 50 µm. </w:t>
      </w:r>
      <w:r>
        <w:rPr>
          <w:rFonts w:eastAsia="微软雅黑"/>
          <w:b/>
          <w:bCs/>
          <w:szCs w:val="24"/>
        </w:rPr>
        <w:t>l</w:t>
      </w:r>
      <w:r>
        <w:rPr>
          <w:rFonts w:hint="eastAsia"/>
        </w:rPr>
        <w:t xml:space="preserve"> </w:t>
      </w:r>
      <w:r>
        <w:rPr>
          <w:rFonts w:ascii="TimesNewRoman" w:hAnsi="TimesNewRoman"/>
          <w:bCs/>
          <w:iCs/>
          <w:color w:val="000000"/>
          <w:szCs w:val="24"/>
        </w:rPr>
        <w:t>Cell apoptosis assays of hypoxic Hep3B cells with overexpressed YTHDF1-WT or YTHDF1-MUT.</w:t>
      </w:r>
      <w:r>
        <w:rPr>
          <w:rFonts w:eastAsia="微软雅黑"/>
          <w:b/>
          <w:bCs/>
          <w:szCs w:val="24"/>
        </w:rPr>
        <w:t xml:space="preserve"> m </w:t>
      </w:r>
      <w:r>
        <w:rPr>
          <w:bCs/>
          <w:color w:val="000000"/>
          <w:szCs w:val="24"/>
        </w:rPr>
        <w:t>Migration and invasion assays</w:t>
      </w:r>
      <w:r>
        <w:rPr>
          <w:rFonts w:ascii="TimesNewRoman" w:hAnsi="TimesNewRoman"/>
          <w:bCs/>
          <w:iCs/>
          <w:color w:val="000000"/>
          <w:szCs w:val="24"/>
        </w:rPr>
        <w:t xml:space="preserve"> of hypoxic Hep3B cells with overexpressed YTHDF1-WT or YTHDF1-MUT.</w:t>
      </w:r>
      <w:r>
        <w:rPr>
          <w:bCs/>
          <w:color w:val="000000"/>
          <w:szCs w:val="24"/>
        </w:rPr>
        <w:t xml:space="preserve"> Scale bar, 50 µm.</w:t>
      </w:r>
      <w:r w:rsidR="00B10403" w:rsidRPr="00B10403">
        <w:rPr>
          <w:color w:val="000000" w:themeColor="text1"/>
        </w:rPr>
        <w:t xml:space="preserve"> </w:t>
      </w:r>
      <w:r w:rsidR="00B10403">
        <w:rPr>
          <w:color w:val="000000" w:themeColor="text1"/>
        </w:rPr>
        <w:t xml:space="preserve">Error bars represent the mean ± </w:t>
      </w:r>
      <w:r w:rsidR="00B10403" w:rsidRPr="000914FF">
        <w:rPr>
          <w:bCs/>
          <w:color w:val="000000"/>
          <w:szCs w:val="24"/>
        </w:rPr>
        <w:t>SEM</w:t>
      </w:r>
      <w:r w:rsidR="00B10403">
        <w:t xml:space="preserve"> </w:t>
      </w:r>
      <w:r w:rsidR="00B10403">
        <w:rPr>
          <w:color w:val="000000" w:themeColor="text1"/>
        </w:rPr>
        <w:t>and the dots represent the value of each experiment; *</w:t>
      </w:r>
      <w:r w:rsidR="00B10403">
        <w:rPr>
          <w:i/>
          <w:color w:val="000000" w:themeColor="text1"/>
        </w:rPr>
        <w:t>P</w:t>
      </w:r>
      <w:r w:rsidR="00B10403">
        <w:rPr>
          <w:color w:val="000000" w:themeColor="text1"/>
        </w:rPr>
        <w:t>&lt;0.0</w:t>
      </w:r>
      <w:r w:rsidR="00B10403">
        <w:rPr>
          <w:rFonts w:hint="eastAsia"/>
          <w:color w:val="000000" w:themeColor="text1"/>
          <w:lang w:eastAsia="zh-CN"/>
        </w:rPr>
        <w:t>5</w:t>
      </w:r>
      <w:r w:rsidR="00B10403">
        <w:rPr>
          <w:color w:val="000000" w:themeColor="text1"/>
        </w:rPr>
        <w:t>, **</w:t>
      </w:r>
      <w:r w:rsidR="00B10403">
        <w:rPr>
          <w:i/>
          <w:color w:val="000000" w:themeColor="text1"/>
        </w:rPr>
        <w:t>P</w:t>
      </w:r>
      <w:r w:rsidR="00B10403">
        <w:rPr>
          <w:color w:val="000000" w:themeColor="text1"/>
        </w:rPr>
        <w:t>&lt;0.01, ***</w:t>
      </w:r>
      <w:r w:rsidR="00B10403">
        <w:rPr>
          <w:i/>
          <w:color w:val="000000" w:themeColor="text1"/>
        </w:rPr>
        <w:t>P</w:t>
      </w:r>
      <w:r w:rsidR="00B10403">
        <w:rPr>
          <w:color w:val="000000" w:themeColor="text1"/>
        </w:rPr>
        <w:t>&lt;0.001.</w:t>
      </w:r>
      <w:r w:rsidR="00B10403">
        <w:t xml:space="preserve"> </w:t>
      </w:r>
    </w:p>
    <w:p w14:paraId="0137FA28" w14:textId="44E67A5D" w:rsidR="00974E06" w:rsidRDefault="00974E06" w:rsidP="00974E06">
      <w:pPr>
        <w:spacing w:line="480" w:lineRule="auto"/>
        <w:jc w:val="both"/>
        <w:rPr>
          <w:bCs/>
          <w:color w:val="000000"/>
          <w:szCs w:val="24"/>
        </w:rPr>
      </w:pPr>
    </w:p>
    <w:p w14:paraId="02F2D83E" w14:textId="77777777" w:rsidR="00974E06" w:rsidRDefault="00974E06">
      <w:pPr>
        <w:rPr>
          <w:bCs/>
          <w:color w:val="000000"/>
          <w:szCs w:val="24"/>
        </w:rPr>
      </w:pPr>
      <w:r>
        <w:rPr>
          <w:bCs/>
          <w:color w:val="000000"/>
          <w:szCs w:val="24"/>
        </w:rPr>
        <w:br w:type="page"/>
      </w:r>
    </w:p>
    <w:p w14:paraId="3F27AC49" w14:textId="0B7A8E7E" w:rsidR="00974E06" w:rsidRPr="00974E06" w:rsidRDefault="00B10403" w:rsidP="00974E06">
      <w:pPr>
        <w:spacing w:line="480" w:lineRule="auto"/>
        <w:jc w:val="both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591578B1" wp14:editId="440C50A5">
            <wp:simplePos x="0" y="0"/>
            <wp:positionH relativeFrom="margin">
              <wp:align>right</wp:align>
            </wp:positionH>
            <wp:positionV relativeFrom="paragraph">
              <wp:posOffset>516890</wp:posOffset>
            </wp:positionV>
            <wp:extent cx="5939790" cy="3988435"/>
            <wp:effectExtent l="0" t="0" r="381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8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E06" w:rsidRPr="00C6506A">
        <w:rPr>
          <w:b/>
          <w:bCs/>
        </w:rPr>
        <w:t>FigureS</w:t>
      </w:r>
      <w:r w:rsidR="00974E06">
        <w:rPr>
          <w:b/>
          <w:bCs/>
        </w:rPr>
        <w:t>10</w:t>
      </w:r>
    </w:p>
    <w:p w14:paraId="3367F5A8" w14:textId="046400AD" w:rsidR="00974E06" w:rsidRDefault="00974E06" w:rsidP="00974E06">
      <w:pPr>
        <w:spacing w:line="480" w:lineRule="auto"/>
        <w:jc w:val="both"/>
        <w:rPr>
          <w:bCs/>
          <w:color w:val="000000"/>
          <w:szCs w:val="24"/>
        </w:rPr>
      </w:pPr>
    </w:p>
    <w:p w14:paraId="31F6CF36" w14:textId="77777777" w:rsidR="006513C8" w:rsidRDefault="006513C8" w:rsidP="00974E06">
      <w:pPr>
        <w:spacing w:line="480" w:lineRule="auto"/>
        <w:jc w:val="both"/>
        <w:rPr>
          <w:rFonts w:eastAsia="Arial Unicode MS"/>
          <w:b/>
          <w:color w:val="000000"/>
          <w:szCs w:val="24"/>
        </w:rPr>
      </w:pPr>
    </w:p>
    <w:p w14:paraId="44BC879A" w14:textId="078BA907" w:rsidR="00D60E16" w:rsidRPr="00B10403" w:rsidRDefault="00974E06" w:rsidP="00B10403">
      <w:pPr>
        <w:pStyle w:val="SMcaption"/>
        <w:spacing w:line="480" w:lineRule="auto"/>
        <w:jc w:val="both"/>
      </w:pPr>
      <w:r>
        <w:rPr>
          <w:rFonts w:eastAsia="Arial Unicode MS"/>
          <w:b/>
          <w:color w:val="000000"/>
          <w:szCs w:val="24"/>
        </w:rPr>
        <w:t xml:space="preserve">Figure S10. </w:t>
      </w:r>
      <w:r>
        <w:rPr>
          <w:rFonts w:ascii="TimesNewRomanPSMT" w:hAnsi="TimesNewRomanPSMT" w:cs="TimesNewRomanPSMT"/>
          <w:b/>
          <w:bCs/>
          <w:color w:val="000000"/>
          <w:szCs w:val="24"/>
        </w:rPr>
        <w:t xml:space="preserve">YTHDF1 does not affect RNA stability and protein stability of ATG2A and ATG14. a-b </w:t>
      </w:r>
      <w:r>
        <w:rPr>
          <w:color w:val="000000"/>
          <w:szCs w:val="24"/>
        </w:rPr>
        <w:t>ATG2A mRNA expression upon a</w:t>
      </w:r>
      <w:r w:rsidRPr="00FF0DCB">
        <w:rPr>
          <w:color w:val="000000"/>
          <w:szCs w:val="24"/>
        </w:rPr>
        <w:t>ctinomycin D</w:t>
      </w:r>
      <w:r>
        <w:rPr>
          <w:color w:val="000000"/>
          <w:szCs w:val="24"/>
        </w:rPr>
        <w:t xml:space="preserve"> treatment in hypoxic SMMC7721 and Hep3B cells</w:t>
      </w:r>
      <w:r>
        <w:rPr>
          <w:szCs w:val="24"/>
        </w:rPr>
        <w:t>.</w:t>
      </w:r>
      <w:r>
        <w:rPr>
          <w:rFonts w:ascii="TimesNewRomanPSMT" w:hAnsi="TimesNewRomanPSMT" w:cs="TimesNewRomanPSMT"/>
          <w:b/>
          <w:bCs/>
          <w:color w:val="000000"/>
          <w:szCs w:val="24"/>
        </w:rPr>
        <w:t xml:space="preserve"> c-d </w:t>
      </w:r>
      <w:r>
        <w:rPr>
          <w:color w:val="000000"/>
          <w:szCs w:val="24"/>
        </w:rPr>
        <w:t>ATG14 mRNA expression upon a</w:t>
      </w:r>
      <w:r w:rsidRPr="00FF0DCB">
        <w:rPr>
          <w:color w:val="000000"/>
          <w:szCs w:val="24"/>
        </w:rPr>
        <w:t>ctinomycin D</w:t>
      </w:r>
      <w:r>
        <w:rPr>
          <w:color w:val="000000"/>
          <w:szCs w:val="24"/>
        </w:rPr>
        <w:t xml:space="preserve"> treatment in hypoxic SMMC7721 and Hep3B cell</w:t>
      </w:r>
      <w:r>
        <w:rPr>
          <w:szCs w:val="24"/>
        </w:rPr>
        <w:t xml:space="preserve">s. </w:t>
      </w:r>
      <w:r>
        <w:rPr>
          <w:rFonts w:ascii="TimesNewRomanPSMT" w:hAnsi="TimesNewRomanPSMT" w:cs="TimesNewRomanPSMT"/>
          <w:b/>
          <w:bCs/>
          <w:color w:val="000000"/>
          <w:szCs w:val="24"/>
        </w:rPr>
        <w:t xml:space="preserve">e-f </w:t>
      </w:r>
      <w:r>
        <w:rPr>
          <w:color w:val="000000"/>
          <w:szCs w:val="24"/>
        </w:rPr>
        <w:t>ATG2A protein expression upon cycloheximide (CHX) treatment in hypoxic SMMC7721 and Hep3B cells</w:t>
      </w:r>
      <w:r>
        <w:rPr>
          <w:szCs w:val="24"/>
        </w:rPr>
        <w:t>.</w:t>
      </w:r>
      <w:r>
        <w:rPr>
          <w:rFonts w:ascii="TimesNewRomanPSMT" w:hAnsi="TimesNewRomanPSMT" w:cs="TimesNewRomanPSMT"/>
          <w:b/>
          <w:bCs/>
          <w:color w:val="000000"/>
          <w:szCs w:val="24"/>
        </w:rPr>
        <w:t xml:space="preserve"> g-h </w:t>
      </w:r>
      <w:r>
        <w:rPr>
          <w:color w:val="000000"/>
          <w:szCs w:val="24"/>
        </w:rPr>
        <w:t>ATG14 protein expression upon CHX treatment in hypoxic SMMC7721 and Hep3B cell</w:t>
      </w:r>
      <w:r>
        <w:rPr>
          <w:szCs w:val="24"/>
        </w:rPr>
        <w:t>s.</w:t>
      </w:r>
      <w:r>
        <w:rPr>
          <w:rFonts w:ascii="TimesNewRomanPSMT" w:hAnsi="TimesNewRomanPSMT" w:cs="TimesNewRomanPSMT"/>
          <w:b/>
          <w:bCs/>
          <w:color w:val="000000"/>
          <w:szCs w:val="24"/>
        </w:rPr>
        <w:t xml:space="preserve"> i </w:t>
      </w:r>
      <w:r>
        <w:rPr>
          <w:color w:val="000000"/>
          <w:szCs w:val="24"/>
        </w:rPr>
        <w:t xml:space="preserve">Schematic </w:t>
      </w:r>
      <w:r>
        <w:rPr>
          <w:rFonts w:eastAsia="Arial Unicode MS"/>
          <w:color w:val="000000"/>
          <w:szCs w:val="24"/>
        </w:rPr>
        <w:t>illustration</w:t>
      </w:r>
      <w:r>
        <w:rPr>
          <w:color w:val="000000"/>
          <w:szCs w:val="24"/>
        </w:rPr>
        <w:t xml:space="preserve"> of HA-tagged wild-type (ATG2A-WT) and mutant (ATG2A-MUT) ATG2A constructs.</w:t>
      </w:r>
      <w:r>
        <w:rPr>
          <w:rFonts w:ascii="TimesNewRomanPSMT" w:hAnsi="TimesNewRomanPSMT" w:cs="TimesNewRomanPSMT"/>
          <w:b/>
          <w:bCs/>
          <w:color w:val="000000"/>
          <w:szCs w:val="24"/>
        </w:rPr>
        <w:t xml:space="preserve"> j </w:t>
      </w:r>
      <w:r>
        <w:rPr>
          <w:color w:val="000000"/>
          <w:szCs w:val="24"/>
        </w:rPr>
        <w:t xml:space="preserve">Schematic </w:t>
      </w:r>
      <w:r>
        <w:rPr>
          <w:rFonts w:eastAsia="Arial Unicode MS"/>
          <w:color w:val="000000"/>
          <w:szCs w:val="24"/>
        </w:rPr>
        <w:t>illustration</w:t>
      </w:r>
      <w:r>
        <w:rPr>
          <w:color w:val="000000"/>
          <w:szCs w:val="24"/>
        </w:rPr>
        <w:t xml:space="preserve"> of HA-tagged wild-type (ATG14-WT) and mutant (ATG14-MUT) ATG14 constructs.</w:t>
      </w:r>
      <w:r w:rsidR="00B10403" w:rsidRPr="00B10403">
        <w:rPr>
          <w:color w:val="000000" w:themeColor="text1"/>
        </w:rPr>
        <w:t xml:space="preserve"> </w:t>
      </w:r>
      <w:r w:rsidR="00B10403">
        <w:rPr>
          <w:color w:val="000000" w:themeColor="text1"/>
        </w:rPr>
        <w:t>ns, no significance.</w:t>
      </w:r>
      <w:r w:rsidR="00B10403">
        <w:t xml:space="preserve"> </w:t>
      </w:r>
    </w:p>
    <w:p w14:paraId="0FAAF797" w14:textId="2D0EDD9B" w:rsidR="00D60E16" w:rsidRDefault="00D60E16" w:rsidP="00D60E16">
      <w:pPr>
        <w:spacing w:line="480" w:lineRule="auto"/>
        <w:jc w:val="both"/>
        <w:rPr>
          <w:b/>
          <w:bCs/>
        </w:rPr>
      </w:pPr>
      <w:r w:rsidRPr="00C6506A">
        <w:rPr>
          <w:b/>
          <w:bCs/>
        </w:rPr>
        <w:lastRenderedPageBreak/>
        <w:t>FigureS</w:t>
      </w:r>
      <w:r>
        <w:rPr>
          <w:b/>
          <w:bCs/>
        </w:rPr>
        <w:t>11</w:t>
      </w:r>
    </w:p>
    <w:p w14:paraId="2E584B51" w14:textId="46D44931" w:rsidR="00D60E16" w:rsidRPr="00974E06" w:rsidRDefault="006513C8" w:rsidP="00D60E16">
      <w:pPr>
        <w:spacing w:line="480" w:lineRule="auto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03CED75C" wp14:editId="6030D339">
            <wp:simplePos x="0" y="0"/>
            <wp:positionH relativeFrom="column">
              <wp:align>center</wp:align>
            </wp:positionH>
            <wp:positionV relativeFrom="page">
              <wp:posOffset>1695450</wp:posOffset>
            </wp:positionV>
            <wp:extent cx="6120000" cy="6224400"/>
            <wp:effectExtent l="0" t="0" r="0" b="508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62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BAC91D" w14:textId="2E1716D9" w:rsidR="00974E06" w:rsidRDefault="00974E06" w:rsidP="00974E06">
      <w:pPr>
        <w:spacing w:line="480" w:lineRule="auto"/>
        <w:jc w:val="both"/>
      </w:pPr>
    </w:p>
    <w:p w14:paraId="661019CA" w14:textId="12BA4B7D" w:rsidR="00D60E16" w:rsidRPr="00D60E16" w:rsidRDefault="00D60E16" w:rsidP="00D60E16"/>
    <w:p w14:paraId="0FEEC830" w14:textId="5682A1BE" w:rsidR="00D60E16" w:rsidRPr="00D60E16" w:rsidRDefault="00D60E16" w:rsidP="00D60E16"/>
    <w:p w14:paraId="6C83DABA" w14:textId="196AF035" w:rsidR="00D60E16" w:rsidRPr="00D60E16" w:rsidRDefault="00D60E16" w:rsidP="00D60E16"/>
    <w:p w14:paraId="368DE49E" w14:textId="7C88402F" w:rsidR="00D60E16" w:rsidRPr="00D60E16" w:rsidRDefault="00D60E16" w:rsidP="00D60E16"/>
    <w:p w14:paraId="3C527335" w14:textId="421A93F7" w:rsidR="00D60E16" w:rsidRDefault="00D60E16" w:rsidP="00D60E16"/>
    <w:p w14:paraId="363D8C01" w14:textId="7C843F52" w:rsidR="00B10403" w:rsidRPr="00BB7C0D" w:rsidRDefault="00D60E16" w:rsidP="00B10403">
      <w:pPr>
        <w:pStyle w:val="SMcaption"/>
        <w:spacing w:line="480" w:lineRule="auto"/>
        <w:jc w:val="both"/>
      </w:pPr>
      <w:r>
        <w:rPr>
          <w:rFonts w:eastAsia="Arial Unicode MS"/>
          <w:b/>
          <w:color w:val="000000"/>
          <w:szCs w:val="24"/>
        </w:rPr>
        <w:t xml:space="preserve">Figure S11. YTHDF1 promotes </w:t>
      </w:r>
      <w:r>
        <w:rPr>
          <w:rFonts w:ascii="TimesNewRomanPSMT" w:hAnsi="TimesNewRomanPSMT" w:cs="TimesNewRomanPSMT"/>
          <w:b/>
          <w:bCs/>
          <w:color w:val="000000"/>
          <w:szCs w:val="24"/>
        </w:rPr>
        <w:t>hypoxia-induced autophagy</w:t>
      </w:r>
      <w:r>
        <w:rPr>
          <w:rFonts w:eastAsia="Arial Unicode MS"/>
          <w:b/>
          <w:color w:val="000000"/>
          <w:szCs w:val="24"/>
        </w:rPr>
        <w:t xml:space="preserve"> dependent on ATG2A and ATG14 under hypoxia. a </w:t>
      </w:r>
      <w:r>
        <w:rPr>
          <w:bCs/>
          <w:color w:val="000000"/>
          <w:szCs w:val="24"/>
        </w:rPr>
        <w:t xml:space="preserve">IF staining with </w:t>
      </w:r>
      <w:r>
        <w:rPr>
          <w:rFonts w:ascii="TimesNewRomanPSMT" w:hAnsi="TimesNewRomanPSMT" w:cs="TimesNewRomanPSMT"/>
          <w:color w:val="000000"/>
          <w:szCs w:val="24"/>
        </w:rPr>
        <w:t>mRFP-GFP-LC3</w:t>
      </w:r>
      <w:r>
        <w:rPr>
          <w:rFonts w:eastAsia="Arial Unicode MS"/>
          <w:bCs/>
          <w:color w:val="000000"/>
          <w:szCs w:val="24"/>
        </w:rPr>
        <w:t xml:space="preserve"> detected by confocal microscopy. </w:t>
      </w:r>
      <w:r>
        <w:rPr>
          <w:bCs/>
          <w:color w:val="000000"/>
          <w:szCs w:val="24"/>
        </w:rPr>
        <w:t xml:space="preserve">The decreased autophagy induced by YTHDF1-KO#1 was corrected by ATG2A and ATG14 overexpression in hypoxic SMMC7721 cells. Scale bar, 10 µm. </w:t>
      </w:r>
      <w:r>
        <w:rPr>
          <w:b/>
          <w:color w:val="000000"/>
          <w:szCs w:val="24"/>
        </w:rPr>
        <w:t xml:space="preserve">b </w:t>
      </w:r>
      <w:r>
        <w:rPr>
          <w:bCs/>
          <w:color w:val="000000"/>
          <w:szCs w:val="24"/>
        </w:rPr>
        <w:t>TEM showing autolysosomes and autophagosomes</w:t>
      </w:r>
      <w:r>
        <w:rPr>
          <w:rFonts w:hint="eastAsia"/>
          <w:bCs/>
          <w:szCs w:val="24"/>
        </w:rPr>
        <w:t xml:space="preserve"> </w:t>
      </w:r>
      <w:r>
        <w:rPr>
          <w:bCs/>
          <w:color w:val="000000"/>
          <w:szCs w:val="24"/>
        </w:rPr>
        <w:t>in hypoxic SMMC7721 cells. The decreased autophagy induced by YTHDF1-KO#1 was corrected by ATG2A and ATG14 overexpression.</w:t>
      </w:r>
      <w:r>
        <w:rPr>
          <w:rFonts w:eastAsia="Arial Unicode MS"/>
          <w:b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 xml:space="preserve">Scale bar, 1 µm. </w:t>
      </w:r>
      <w:r>
        <w:rPr>
          <w:rFonts w:eastAsia="Arial Unicode MS"/>
          <w:b/>
          <w:color w:val="000000"/>
          <w:szCs w:val="24"/>
        </w:rPr>
        <w:t>c</w:t>
      </w:r>
      <w:r>
        <w:rPr>
          <w:bCs/>
          <w:color w:val="000000"/>
          <w:szCs w:val="24"/>
        </w:rPr>
        <w:t xml:space="preserve"> Quantification of LC3 puncta in hypoxic SMMC7721 cells. </w:t>
      </w:r>
      <w:r>
        <w:rPr>
          <w:b/>
          <w:color w:val="000000"/>
          <w:szCs w:val="24"/>
        </w:rPr>
        <w:t>d</w:t>
      </w:r>
      <w:r>
        <w:rPr>
          <w:bCs/>
          <w:color w:val="000000"/>
          <w:szCs w:val="24"/>
        </w:rPr>
        <w:t xml:space="preserve"> Quantification of autophagic vesicles. </w:t>
      </w:r>
      <w:r>
        <w:rPr>
          <w:b/>
          <w:color w:val="000000"/>
          <w:szCs w:val="24"/>
        </w:rPr>
        <w:t>e</w:t>
      </w:r>
      <w:r>
        <w:rPr>
          <w:bCs/>
          <w:color w:val="000000"/>
          <w:szCs w:val="24"/>
        </w:rPr>
        <w:t xml:space="preserve"> Western blotting demonstrating expression of ATG2A, ATG14, and LC3 in hypoxic SMMC7721. </w:t>
      </w:r>
      <w:r>
        <w:rPr>
          <w:b/>
          <w:color w:val="000000"/>
          <w:szCs w:val="24"/>
        </w:rPr>
        <w:t>f</w:t>
      </w:r>
      <w:r>
        <w:rPr>
          <w:bCs/>
          <w:color w:val="000000"/>
          <w:szCs w:val="24"/>
        </w:rPr>
        <w:t xml:space="preserve"> IF staining with </w:t>
      </w:r>
      <w:r>
        <w:rPr>
          <w:rFonts w:ascii="TimesNewRomanPSMT" w:hAnsi="TimesNewRomanPSMT" w:cs="TimesNewRomanPSMT"/>
          <w:color w:val="000000"/>
          <w:szCs w:val="24"/>
        </w:rPr>
        <w:t>mRFP-GFP-LC3</w:t>
      </w:r>
      <w:r>
        <w:rPr>
          <w:rFonts w:eastAsia="Arial Unicode MS"/>
          <w:bCs/>
          <w:color w:val="000000"/>
          <w:szCs w:val="24"/>
        </w:rPr>
        <w:t xml:space="preserve"> detected by confocal microscopy. </w:t>
      </w:r>
      <w:r>
        <w:rPr>
          <w:bCs/>
          <w:color w:val="000000"/>
          <w:szCs w:val="24"/>
        </w:rPr>
        <w:t xml:space="preserve">The increased autophagy induced by LV-YTHDF1 was rescued by ATG2A and ATG14 knockdown. Scale bar, 10 µm. </w:t>
      </w:r>
      <w:r>
        <w:rPr>
          <w:b/>
          <w:color w:val="000000"/>
          <w:szCs w:val="24"/>
        </w:rPr>
        <w:t xml:space="preserve">g </w:t>
      </w:r>
      <w:r>
        <w:rPr>
          <w:bCs/>
          <w:color w:val="000000"/>
          <w:szCs w:val="24"/>
        </w:rPr>
        <w:t>TEM showing autolysosomes and autophagosomes</w:t>
      </w:r>
      <w:r>
        <w:rPr>
          <w:rFonts w:hint="eastAsia"/>
          <w:bCs/>
          <w:szCs w:val="24"/>
        </w:rPr>
        <w:t xml:space="preserve"> </w:t>
      </w:r>
      <w:r>
        <w:rPr>
          <w:bCs/>
          <w:color w:val="000000"/>
          <w:szCs w:val="24"/>
        </w:rPr>
        <w:t xml:space="preserve">in hypoxic Hep3B cells. The increased autophagy induced by LV-YTHDF1 was rescued by ATG2A and ATG14 knockdown. Scale bar, 1 µm. </w:t>
      </w:r>
      <w:r>
        <w:rPr>
          <w:b/>
          <w:color w:val="000000"/>
          <w:szCs w:val="24"/>
        </w:rPr>
        <w:t>h</w:t>
      </w:r>
      <w:r>
        <w:rPr>
          <w:bCs/>
          <w:color w:val="000000"/>
          <w:szCs w:val="24"/>
        </w:rPr>
        <w:t xml:space="preserve"> Quantification of LC3 puncta in hypoxic Hep3B cells.</w:t>
      </w:r>
      <w:r>
        <w:rPr>
          <w:rFonts w:eastAsia="Arial Unicode MS"/>
          <w:bCs/>
          <w:color w:val="000000"/>
          <w:szCs w:val="24"/>
        </w:rPr>
        <w:t xml:space="preserve"> </w:t>
      </w:r>
      <w:r>
        <w:rPr>
          <w:rFonts w:eastAsia="Arial Unicode MS"/>
          <w:b/>
          <w:color w:val="000000"/>
          <w:szCs w:val="24"/>
        </w:rPr>
        <w:t>i</w:t>
      </w:r>
      <w:r>
        <w:rPr>
          <w:bCs/>
          <w:color w:val="000000"/>
          <w:szCs w:val="24"/>
        </w:rPr>
        <w:t xml:space="preserve"> Quantification of autophagic vesicles in hypoxic Hep3B cells.</w:t>
      </w:r>
      <w:r>
        <w:rPr>
          <w:rFonts w:eastAsia="Arial Unicode MS"/>
          <w:b/>
          <w:color w:val="000000"/>
          <w:szCs w:val="24"/>
        </w:rPr>
        <w:t xml:space="preserve"> j</w:t>
      </w:r>
      <w:r>
        <w:rPr>
          <w:bCs/>
          <w:color w:val="000000"/>
          <w:szCs w:val="24"/>
        </w:rPr>
        <w:t xml:space="preserve"> Western blotting showing expression of ATG2A, ATG14, and LC3 in hypoxic Hep3B cells.</w:t>
      </w:r>
      <w:r w:rsidR="00B10403" w:rsidRPr="00B10403">
        <w:rPr>
          <w:color w:val="000000" w:themeColor="text1"/>
        </w:rPr>
        <w:t xml:space="preserve"> </w:t>
      </w:r>
      <w:r w:rsidR="00B10403">
        <w:rPr>
          <w:color w:val="000000" w:themeColor="text1"/>
        </w:rPr>
        <w:t xml:space="preserve">Error bars represent the mean ± </w:t>
      </w:r>
      <w:r w:rsidR="00B10403" w:rsidRPr="000914FF">
        <w:rPr>
          <w:bCs/>
          <w:color w:val="000000"/>
          <w:szCs w:val="24"/>
        </w:rPr>
        <w:t>SEM</w:t>
      </w:r>
      <w:r w:rsidR="00B10403">
        <w:t xml:space="preserve"> </w:t>
      </w:r>
      <w:r w:rsidR="00B10403">
        <w:rPr>
          <w:color w:val="000000" w:themeColor="text1"/>
        </w:rPr>
        <w:t>and the dots represent the value of each experiment; *</w:t>
      </w:r>
      <w:r w:rsidR="00B10403">
        <w:rPr>
          <w:i/>
          <w:color w:val="000000" w:themeColor="text1"/>
        </w:rPr>
        <w:t>P</w:t>
      </w:r>
      <w:r w:rsidR="00B10403">
        <w:rPr>
          <w:color w:val="000000" w:themeColor="text1"/>
        </w:rPr>
        <w:t>&lt;0.0</w:t>
      </w:r>
      <w:r w:rsidR="00B10403">
        <w:rPr>
          <w:rFonts w:hint="eastAsia"/>
          <w:color w:val="000000" w:themeColor="text1"/>
          <w:lang w:eastAsia="zh-CN"/>
        </w:rPr>
        <w:t>5</w:t>
      </w:r>
      <w:r w:rsidR="00B10403">
        <w:rPr>
          <w:color w:val="000000" w:themeColor="text1"/>
        </w:rPr>
        <w:t>, **</w:t>
      </w:r>
      <w:r w:rsidR="00B10403">
        <w:rPr>
          <w:i/>
          <w:color w:val="000000" w:themeColor="text1"/>
        </w:rPr>
        <w:t>P</w:t>
      </w:r>
      <w:r w:rsidR="00B10403">
        <w:rPr>
          <w:color w:val="000000" w:themeColor="text1"/>
        </w:rPr>
        <w:t>&lt;0.01, ***</w:t>
      </w:r>
      <w:r w:rsidR="00B10403">
        <w:rPr>
          <w:i/>
          <w:color w:val="000000" w:themeColor="text1"/>
        </w:rPr>
        <w:t>P</w:t>
      </w:r>
      <w:r w:rsidR="00B10403">
        <w:rPr>
          <w:color w:val="000000" w:themeColor="text1"/>
        </w:rPr>
        <w:t>&lt;0.001.</w:t>
      </w:r>
      <w:r w:rsidR="00B10403">
        <w:t xml:space="preserve"> </w:t>
      </w:r>
    </w:p>
    <w:p w14:paraId="175550FD" w14:textId="7230CBCA" w:rsidR="00D60E16" w:rsidRDefault="00D60E16" w:rsidP="00D60E16">
      <w:pPr>
        <w:spacing w:line="480" w:lineRule="auto"/>
        <w:jc w:val="both"/>
        <w:rPr>
          <w:rFonts w:eastAsia="Arial Unicode MS"/>
          <w:b/>
          <w:color w:val="000000"/>
          <w:szCs w:val="24"/>
        </w:rPr>
      </w:pPr>
    </w:p>
    <w:p w14:paraId="10AB5129" w14:textId="098B5DE3" w:rsidR="00D60E16" w:rsidRDefault="00D60E16">
      <w:r>
        <w:br w:type="page"/>
      </w:r>
    </w:p>
    <w:p w14:paraId="6DB5C05A" w14:textId="19B12093" w:rsidR="00D60E16" w:rsidRDefault="00D60E16" w:rsidP="00D60E16">
      <w:pPr>
        <w:spacing w:line="480" w:lineRule="auto"/>
        <w:jc w:val="both"/>
        <w:rPr>
          <w:b/>
          <w:bCs/>
        </w:rPr>
      </w:pPr>
      <w:r w:rsidRPr="00C6506A">
        <w:rPr>
          <w:b/>
          <w:bCs/>
        </w:rPr>
        <w:lastRenderedPageBreak/>
        <w:t>FigureS</w:t>
      </w:r>
      <w:r>
        <w:rPr>
          <w:b/>
          <w:bCs/>
        </w:rPr>
        <w:t>12</w:t>
      </w:r>
    </w:p>
    <w:p w14:paraId="3B3B75DA" w14:textId="4D9B4371" w:rsidR="00D60E16" w:rsidRDefault="000C616B" w:rsidP="00D60E16">
      <w:pPr>
        <w:spacing w:line="480" w:lineRule="auto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7737F545" wp14:editId="4476BA1F">
            <wp:simplePos x="0" y="0"/>
            <wp:positionH relativeFrom="column">
              <wp:align>center</wp:align>
            </wp:positionH>
            <wp:positionV relativeFrom="page">
              <wp:posOffset>1663700</wp:posOffset>
            </wp:positionV>
            <wp:extent cx="6120000" cy="4644000"/>
            <wp:effectExtent l="0" t="0" r="0" b="4445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6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0C05">
        <w:rPr>
          <w:b/>
          <w:bCs/>
        </w:rPr>
        <w:softHyphen/>
      </w:r>
    </w:p>
    <w:p w14:paraId="64DA1A4C" w14:textId="2CDF647F" w:rsidR="00155E6A" w:rsidRDefault="00155E6A" w:rsidP="00D60E16">
      <w:pPr>
        <w:spacing w:line="480" w:lineRule="auto"/>
        <w:jc w:val="both"/>
        <w:rPr>
          <w:rFonts w:eastAsia="Arial Unicode MS"/>
          <w:b/>
          <w:color w:val="000000"/>
          <w:szCs w:val="24"/>
        </w:rPr>
      </w:pPr>
    </w:p>
    <w:p w14:paraId="26ACBD7A" w14:textId="7E2BB129" w:rsidR="00155E6A" w:rsidRDefault="00155E6A" w:rsidP="00D60E16">
      <w:pPr>
        <w:spacing w:line="480" w:lineRule="auto"/>
        <w:jc w:val="both"/>
        <w:rPr>
          <w:rFonts w:eastAsia="Arial Unicode MS"/>
          <w:b/>
          <w:color w:val="000000"/>
          <w:szCs w:val="24"/>
        </w:rPr>
      </w:pPr>
    </w:p>
    <w:p w14:paraId="79D1B582" w14:textId="65465002" w:rsidR="00155E6A" w:rsidRDefault="00155E6A" w:rsidP="00D60E16">
      <w:pPr>
        <w:spacing w:line="480" w:lineRule="auto"/>
        <w:jc w:val="both"/>
        <w:rPr>
          <w:rFonts w:eastAsia="Arial Unicode MS"/>
          <w:b/>
          <w:color w:val="000000"/>
          <w:szCs w:val="24"/>
        </w:rPr>
      </w:pPr>
    </w:p>
    <w:p w14:paraId="48B3D978" w14:textId="77777777" w:rsidR="00155E6A" w:rsidRDefault="00155E6A" w:rsidP="00D60E16">
      <w:pPr>
        <w:spacing w:line="480" w:lineRule="auto"/>
        <w:jc w:val="both"/>
        <w:rPr>
          <w:rFonts w:eastAsia="Arial Unicode MS"/>
          <w:b/>
          <w:color w:val="000000"/>
          <w:szCs w:val="24"/>
        </w:rPr>
      </w:pPr>
    </w:p>
    <w:p w14:paraId="4A764BB9" w14:textId="77777777" w:rsidR="00155E6A" w:rsidRDefault="00155E6A" w:rsidP="00D60E16">
      <w:pPr>
        <w:spacing w:line="480" w:lineRule="auto"/>
        <w:jc w:val="both"/>
        <w:rPr>
          <w:rFonts w:eastAsia="Arial Unicode MS"/>
          <w:b/>
          <w:color w:val="000000"/>
          <w:szCs w:val="24"/>
        </w:rPr>
      </w:pPr>
    </w:p>
    <w:p w14:paraId="4011A5B4" w14:textId="77777777" w:rsidR="00155E6A" w:rsidRDefault="00155E6A" w:rsidP="00D60E16">
      <w:pPr>
        <w:spacing w:line="480" w:lineRule="auto"/>
        <w:jc w:val="both"/>
        <w:rPr>
          <w:rFonts w:eastAsia="Arial Unicode MS"/>
          <w:b/>
          <w:color w:val="000000"/>
          <w:szCs w:val="24"/>
        </w:rPr>
      </w:pPr>
    </w:p>
    <w:p w14:paraId="51DB597C" w14:textId="77777777" w:rsidR="00155E6A" w:rsidRDefault="00155E6A" w:rsidP="00D60E16">
      <w:pPr>
        <w:spacing w:line="480" w:lineRule="auto"/>
        <w:jc w:val="both"/>
        <w:rPr>
          <w:rFonts w:eastAsia="Arial Unicode MS"/>
          <w:b/>
          <w:color w:val="000000"/>
          <w:szCs w:val="24"/>
        </w:rPr>
      </w:pPr>
    </w:p>
    <w:p w14:paraId="6F7B8D1B" w14:textId="77777777" w:rsidR="00155E6A" w:rsidRDefault="00155E6A" w:rsidP="00D60E16">
      <w:pPr>
        <w:spacing w:line="480" w:lineRule="auto"/>
        <w:jc w:val="both"/>
        <w:rPr>
          <w:rFonts w:eastAsia="Arial Unicode MS"/>
          <w:b/>
          <w:color w:val="000000"/>
          <w:szCs w:val="24"/>
        </w:rPr>
      </w:pPr>
    </w:p>
    <w:p w14:paraId="787E2EB6" w14:textId="3F6F195C" w:rsidR="00B10403" w:rsidRPr="00BB7C0D" w:rsidRDefault="00D60E16" w:rsidP="00B10403">
      <w:pPr>
        <w:pStyle w:val="SMcaption"/>
        <w:spacing w:line="480" w:lineRule="auto"/>
        <w:jc w:val="both"/>
      </w:pPr>
      <w:r>
        <w:rPr>
          <w:rFonts w:eastAsia="Arial Unicode MS"/>
          <w:b/>
          <w:color w:val="000000"/>
          <w:szCs w:val="24"/>
        </w:rPr>
        <w:lastRenderedPageBreak/>
        <w:t xml:space="preserve">Figure S12. YTHDF1 promotes </w:t>
      </w:r>
      <w:r>
        <w:rPr>
          <w:b/>
          <w:color w:val="000000"/>
          <w:szCs w:val="24"/>
        </w:rPr>
        <w:t xml:space="preserve">autophagy-related </w:t>
      </w:r>
      <w:r>
        <w:rPr>
          <w:rFonts w:eastAsia="Arial Unicode MS"/>
          <w:b/>
          <w:color w:val="000000"/>
          <w:szCs w:val="24"/>
        </w:rPr>
        <w:t xml:space="preserve">malignancy dependent on ATG2A and ATG14 under hypoxia. a-b </w:t>
      </w:r>
      <w:r>
        <w:rPr>
          <w:bCs/>
          <w:color w:val="000000"/>
          <w:szCs w:val="24"/>
        </w:rPr>
        <w:t>EdU and colony formation assays demonstrating</w:t>
      </w:r>
      <w:r>
        <w:rPr>
          <w:rFonts w:eastAsia="Arial Unicode MS"/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 xml:space="preserve">the impaired proliferation ability induced by YTHDF1-KO#1 was corrected by ATG2A and ATG14 overexpression in hypoxic SMMC7721 cells. Scale bar, 50 µm. </w:t>
      </w:r>
      <w:r>
        <w:rPr>
          <w:rFonts w:eastAsia="Arial Unicode MS"/>
          <w:b/>
          <w:color w:val="000000"/>
          <w:szCs w:val="24"/>
        </w:rPr>
        <w:t xml:space="preserve">c-d </w:t>
      </w:r>
      <w:r>
        <w:rPr>
          <w:bCs/>
          <w:color w:val="000000"/>
          <w:szCs w:val="24"/>
        </w:rPr>
        <w:t>EdU and colony formation assays demonstrating</w:t>
      </w:r>
      <w:r>
        <w:rPr>
          <w:rFonts w:eastAsia="Arial Unicode MS"/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 xml:space="preserve">the increased proliferation ability induced by LV-YTHDF1 was rescued by ATG2A and ATG14 knockdown. Scale bar, 50 µm. </w:t>
      </w:r>
      <w:r>
        <w:rPr>
          <w:b/>
          <w:color w:val="000000"/>
          <w:szCs w:val="24"/>
        </w:rPr>
        <w:t>e</w:t>
      </w:r>
      <w:r>
        <w:rPr>
          <w:bCs/>
          <w:color w:val="000000"/>
          <w:szCs w:val="24"/>
        </w:rPr>
        <w:t xml:space="preserve"> Cell apoptosis assays demonstrating</w:t>
      </w:r>
      <w:r>
        <w:rPr>
          <w:rFonts w:eastAsia="Arial Unicode MS"/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>the increased apoptosis ability induced by YTHDF1-KO#1 was corrected by ATG2A and ATG14 overexpression in hypoxic SMMC7721 cells.</w:t>
      </w:r>
      <w:r>
        <w:rPr>
          <w:b/>
          <w:color w:val="000000"/>
          <w:szCs w:val="24"/>
        </w:rPr>
        <w:t xml:space="preserve"> f</w:t>
      </w:r>
      <w:r>
        <w:rPr>
          <w:bCs/>
          <w:color w:val="000000"/>
          <w:szCs w:val="24"/>
        </w:rPr>
        <w:t xml:space="preserve"> Cell apoptosis assays demonstrating</w:t>
      </w:r>
      <w:r>
        <w:rPr>
          <w:rFonts w:eastAsia="Arial Unicode MS"/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 xml:space="preserve">the decreased apoptosis ability induced by LV-YTHDF1 was rescued by ATG2A and ATG14 knockdown. </w:t>
      </w:r>
      <w:r>
        <w:rPr>
          <w:b/>
          <w:color w:val="000000"/>
          <w:szCs w:val="24"/>
        </w:rPr>
        <w:t>g</w:t>
      </w:r>
      <w:r>
        <w:rPr>
          <w:bCs/>
          <w:color w:val="000000"/>
          <w:szCs w:val="24"/>
        </w:rPr>
        <w:t xml:space="preserve"> Migration and invasion assays demonstrating the impaired migration and invasion induced by YTHDF1-KO#1 was corrected by ATG2A and ATG14 overexpression in hypoxic SMMC7721 cells.</w:t>
      </w:r>
      <w:r>
        <w:rPr>
          <w:b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 xml:space="preserve">Scale bar, 50 µm. </w:t>
      </w:r>
      <w:r>
        <w:rPr>
          <w:b/>
          <w:color w:val="000000"/>
          <w:szCs w:val="24"/>
        </w:rPr>
        <w:t>h</w:t>
      </w:r>
      <w:r>
        <w:rPr>
          <w:bCs/>
          <w:color w:val="000000"/>
          <w:szCs w:val="24"/>
        </w:rPr>
        <w:t xml:space="preserve"> Migration and invasion assays demonstrating</w:t>
      </w:r>
      <w:r>
        <w:rPr>
          <w:rFonts w:eastAsia="Arial Unicode MS"/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>the increased migration and invasion induced by LV-YTHDF1 could be rescued by ATG2A and ATG14 knockdown. Scale bar, 50 µm.</w:t>
      </w:r>
      <w:r w:rsidR="00B10403" w:rsidRPr="00B10403">
        <w:rPr>
          <w:color w:val="000000" w:themeColor="text1"/>
        </w:rPr>
        <w:t xml:space="preserve"> </w:t>
      </w:r>
      <w:r w:rsidR="00B10403">
        <w:rPr>
          <w:color w:val="000000" w:themeColor="text1"/>
        </w:rPr>
        <w:t xml:space="preserve">Error bars represent the mean ± </w:t>
      </w:r>
      <w:r w:rsidR="00B10403" w:rsidRPr="000914FF">
        <w:rPr>
          <w:bCs/>
          <w:color w:val="000000"/>
          <w:szCs w:val="24"/>
        </w:rPr>
        <w:t>SEM</w:t>
      </w:r>
      <w:r w:rsidR="00B10403">
        <w:t xml:space="preserve"> </w:t>
      </w:r>
      <w:r w:rsidR="00B10403">
        <w:rPr>
          <w:color w:val="000000" w:themeColor="text1"/>
        </w:rPr>
        <w:t>and the dots represent the value of each experiment; *</w:t>
      </w:r>
      <w:r w:rsidR="00B10403">
        <w:rPr>
          <w:i/>
          <w:color w:val="000000" w:themeColor="text1"/>
        </w:rPr>
        <w:t>P</w:t>
      </w:r>
      <w:r w:rsidR="00B10403">
        <w:rPr>
          <w:color w:val="000000" w:themeColor="text1"/>
        </w:rPr>
        <w:t>&lt;0.0</w:t>
      </w:r>
      <w:r w:rsidR="00B10403">
        <w:rPr>
          <w:rFonts w:hint="eastAsia"/>
          <w:color w:val="000000" w:themeColor="text1"/>
          <w:lang w:eastAsia="zh-CN"/>
        </w:rPr>
        <w:t>5</w:t>
      </w:r>
      <w:r w:rsidR="00B10403">
        <w:rPr>
          <w:color w:val="000000" w:themeColor="text1"/>
        </w:rPr>
        <w:t>, **</w:t>
      </w:r>
      <w:r w:rsidR="00B10403">
        <w:rPr>
          <w:i/>
          <w:color w:val="000000" w:themeColor="text1"/>
        </w:rPr>
        <w:t>P</w:t>
      </w:r>
      <w:r w:rsidR="00B10403">
        <w:rPr>
          <w:color w:val="000000" w:themeColor="text1"/>
        </w:rPr>
        <w:t>&lt;0.01, ***</w:t>
      </w:r>
      <w:r w:rsidR="00B10403">
        <w:rPr>
          <w:i/>
          <w:color w:val="000000" w:themeColor="text1"/>
        </w:rPr>
        <w:t>P</w:t>
      </w:r>
      <w:r w:rsidR="00B10403">
        <w:rPr>
          <w:color w:val="000000" w:themeColor="text1"/>
        </w:rPr>
        <w:t>&lt;0.001.</w:t>
      </w:r>
      <w:r w:rsidR="00B10403">
        <w:t xml:space="preserve"> </w:t>
      </w:r>
    </w:p>
    <w:p w14:paraId="0C01F0B8" w14:textId="1BD2FB20" w:rsidR="00D60E16" w:rsidRDefault="00D60E16" w:rsidP="00D60E16">
      <w:pPr>
        <w:spacing w:line="480" w:lineRule="auto"/>
        <w:jc w:val="both"/>
        <w:rPr>
          <w:bCs/>
          <w:color w:val="000000"/>
          <w:szCs w:val="24"/>
        </w:rPr>
      </w:pPr>
    </w:p>
    <w:p w14:paraId="51C1730C" w14:textId="77777777" w:rsidR="00D60E16" w:rsidRDefault="00D60E16">
      <w:pPr>
        <w:rPr>
          <w:bCs/>
          <w:color w:val="000000"/>
          <w:szCs w:val="24"/>
        </w:rPr>
      </w:pPr>
      <w:r>
        <w:rPr>
          <w:bCs/>
          <w:color w:val="000000"/>
          <w:szCs w:val="24"/>
        </w:rPr>
        <w:br w:type="page"/>
      </w:r>
    </w:p>
    <w:p w14:paraId="268FEAF5" w14:textId="1466607C" w:rsidR="00D60E16" w:rsidRDefault="00ED6958" w:rsidP="00D60E16">
      <w:pPr>
        <w:spacing w:line="480" w:lineRule="auto"/>
        <w:jc w:val="both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207581CB" wp14:editId="6763E51F">
            <wp:simplePos x="0" y="0"/>
            <wp:positionH relativeFrom="margin">
              <wp:align>center</wp:align>
            </wp:positionH>
            <wp:positionV relativeFrom="margin">
              <wp:posOffset>394970</wp:posOffset>
            </wp:positionV>
            <wp:extent cx="5400000" cy="7671600"/>
            <wp:effectExtent l="0" t="0" r="0" b="5715"/>
            <wp:wrapSquare wrapText="bothSides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6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E16" w:rsidRPr="00C6506A">
        <w:rPr>
          <w:b/>
          <w:bCs/>
        </w:rPr>
        <w:t>FigureS</w:t>
      </w:r>
      <w:r w:rsidR="00D60E16">
        <w:rPr>
          <w:b/>
          <w:bCs/>
        </w:rPr>
        <w:t>13</w:t>
      </w:r>
    </w:p>
    <w:p w14:paraId="242CA3E2" w14:textId="14EFAE5B" w:rsidR="00B10403" w:rsidRPr="00BB7C0D" w:rsidRDefault="00D60E16" w:rsidP="00B10403">
      <w:pPr>
        <w:pStyle w:val="SMcaption"/>
        <w:spacing w:line="480" w:lineRule="auto"/>
        <w:jc w:val="both"/>
      </w:pPr>
      <w:r>
        <w:rPr>
          <w:b/>
          <w:bCs/>
          <w:szCs w:val="24"/>
        </w:rPr>
        <w:lastRenderedPageBreak/>
        <w:t xml:space="preserve">Figure S13. </w:t>
      </w:r>
      <w:r>
        <w:rPr>
          <w:b/>
          <w:bCs/>
          <w:color w:val="000000"/>
          <w:szCs w:val="24"/>
        </w:rPr>
        <w:t>ATG2A and ATG14 are functionally targeted genes of YTHDF1 in vivo.</w:t>
      </w:r>
      <w:r>
        <w:rPr>
          <w:color w:val="000000"/>
          <w:szCs w:val="24"/>
        </w:rPr>
        <w:t xml:space="preserve"> </w:t>
      </w:r>
      <w:r>
        <w:rPr>
          <w:b/>
          <w:bCs/>
          <w:color w:val="000000"/>
          <w:szCs w:val="24"/>
        </w:rPr>
        <w:t>a-c</w:t>
      </w:r>
      <w:r>
        <w:rPr>
          <w:color w:val="000000"/>
          <w:szCs w:val="24"/>
        </w:rPr>
        <w:t xml:space="preserve"> Representative images of tumors (a), tumor volumes (b), and tumor weights (c) in nude mice bearing SMMC7721 cells in different groups.</w:t>
      </w:r>
      <w:r>
        <w:rPr>
          <w:b/>
          <w:bCs/>
          <w:color w:val="000000"/>
          <w:szCs w:val="24"/>
        </w:rPr>
        <w:t xml:space="preserve"> d-f</w:t>
      </w:r>
      <w:r>
        <w:rPr>
          <w:color w:val="000000"/>
          <w:szCs w:val="24"/>
        </w:rPr>
        <w:t xml:space="preserve"> Representative images of tumors (d), tumor volumes (e), and tumor weights (f) in nude mice bearing Hep3B cells in different groups.</w:t>
      </w:r>
      <w:r>
        <w:rPr>
          <w:b/>
          <w:bCs/>
          <w:color w:val="000000"/>
          <w:szCs w:val="24"/>
        </w:rPr>
        <w:t xml:space="preserve"> g</w:t>
      </w:r>
      <w:r>
        <w:rPr>
          <w:color w:val="000000"/>
          <w:szCs w:val="24"/>
        </w:rPr>
        <w:t xml:space="preserve"> Representative </w:t>
      </w:r>
      <w:r>
        <w:rPr>
          <w:rFonts w:ascii="T3" w:hAnsi="T3"/>
          <w:color w:val="000000"/>
          <w:szCs w:val="24"/>
        </w:rPr>
        <w:t>bioluminescence imaging</w:t>
      </w:r>
      <w:r>
        <w:rPr>
          <w:color w:val="000000"/>
          <w:szCs w:val="24"/>
        </w:rPr>
        <w:t xml:space="preserve"> of </w:t>
      </w:r>
      <w:r>
        <w:rPr>
          <w:rFonts w:ascii="T3" w:hAnsi="T3"/>
          <w:color w:val="000000"/>
          <w:szCs w:val="24"/>
        </w:rPr>
        <w:t>lung metastasis</w:t>
      </w:r>
      <w:r>
        <w:rPr>
          <w:color w:val="000000"/>
          <w:szCs w:val="24"/>
        </w:rPr>
        <w:t xml:space="preserve"> in nude mice bearing SMMC7721 cells in different groups.</w:t>
      </w:r>
      <w:r>
        <w:rPr>
          <w:b/>
          <w:bCs/>
          <w:color w:val="000000"/>
          <w:szCs w:val="24"/>
        </w:rPr>
        <w:t xml:space="preserve"> h</w:t>
      </w:r>
      <w:r>
        <w:rPr>
          <w:color w:val="000000"/>
          <w:szCs w:val="24"/>
        </w:rPr>
        <w:t xml:space="preserve"> Representative </w:t>
      </w:r>
      <w:r>
        <w:rPr>
          <w:rFonts w:ascii="T3" w:hAnsi="T3"/>
          <w:color w:val="000000"/>
          <w:szCs w:val="24"/>
        </w:rPr>
        <w:t>bioluminescence imaging</w:t>
      </w:r>
      <w:r>
        <w:rPr>
          <w:color w:val="000000"/>
          <w:szCs w:val="24"/>
        </w:rPr>
        <w:t xml:space="preserve"> of </w:t>
      </w:r>
      <w:r>
        <w:rPr>
          <w:rFonts w:ascii="T3" w:hAnsi="T3"/>
          <w:color w:val="000000"/>
          <w:szCs w:val="24"/>
        </w:rPr>
        <w:t>lung metastasis</w:t>
      </w:r>
      <w:r>
        <w:rPr>
          <w:color w:val="000000"/>
          <w:szCs w:val="24"/>
        </w:rPr>
        <w:t xml:space="preserve"> in nude mice bearing Hep3B cells in different groups.</w:t>
      </w:r>
      <w:r>
        <w:rPr>
          <w:rFonts w:ascii="T3" w:hAnsi="T3"/>
          <w:color w:val="000000"/>
          <w:szCs w:val="24"/>
        </w:rPr>
        <w:t xml:space="preserve"> </w:t>
      </w:r>
      <w:r>
        <w:rPr>
          <w:rFonts w:ascii="T3" w:hAnsi="T3"/>
          <w:b/>
          <w:bCs/>
          <w:color w:val="000000"/>
          <w:szCs w:val="24"/>
        </w:rPr>
        <w:t>i</w:t>
      </w:r>
      <w:r>
        <w:rPr>
          <w:rFonts w:ascii="T3" w:hAnsi="T3"/>
          <w:color w:val="000000"/>
          <w:szCs w:val="24"/>
        </w:rPr>
        <w:t xml:space="preserve"> H&amp;E staining of lung</w:t>
      </w:r>
      <w:r>
        <w:rPr>
          <w:color w:val="000000"/>
          <w:szCs w:val="24"/>
        </w:rPr>
        <w:t xml:space="preserve"> tissues bearing SMMC7721 cells in different groups.</w:t>
      </w:r>
      <w:r>
        <w:rPr>
          <w:bCs/>
          <w:color w:val="000000"/>
          <w:szCs w:val="24"/>
        </w:rPr>
        <w:t xml:space="preserve"> Scale bar, </w:t>
      </w:r>
      <w:r>
        <w:rPr>
          <w:rFonts w:hint="eastAsia"/>
          <w:bCs/>
          <w:color w:val="000000"/>
          <w:szCs w:val="24"/>
        </w:rPr>
        <w:t>2</w:t>
      </w:r>
      <w:r>
        <w:rPr>
          <w:bCs/>
          <w:color w:val="000000"/>
          <w:szCs w:val="24"/>
        </w:rPr>
        <w:t>00 µm.</w:t>
      </w:r>
      <w:r>
        <w:rPr>
          <w:rFonts w:ascii="T3" w:hAnsi="T3"/>
          <w:color w:val="000000"/>
          <w:szCs w:val="24"/>
        </w:rPr>
        <w:t xml:space="preserve"> </w:t>
      </w:r>
      <w:r>
        <w:rPr>
          <w:rFonts w:ascii="T3" w:hAnsi="T3"/>
          <w:b/>
          <w:bCs/>
          <w:color w:val="000000"/>
          <w:szCs w:val="24"/>
        </w:rPr>
        <w:t>j</w:t>
      </w:r>
      <w:r>
        <w:rPr>
          <w:rFonts w:ascii="T3" w:hAnsi="T3"/>
          <w:color w:val="000000"/>
          <w:szCs w:val="24"/>
        </w:rPr>
        <w:t xml:space="preserve"> H&amp;E staining of lung tissues</w:t>
      </w:r>
      <w:r>
        <w:rPr>
          <w:color w:val="000000"/>
          <w:szCs w:val="24"/>
        </w:rPr>
        <w:t xml:space="preserve"> bearing Hep3B cells in different groups.</w:t>
      </w:r>
      <w:r>
        <w:rPr>
          <w:rFonts w:hint="eastAsia"/>
        </w:rPr>
        <w:t xml:space="preserve"> </w:t>
      </w:r>
      <w:r>
        <w:rPr>
          <w:bCs/>
          <w:color w:val="000000"/>
          <w:szCs w:val="24"/>
        </w:rPr>
        <w:t xml:space="preserve">Scale bar, </w:t>
      </w:r>
      <w:r>
        <w:rPr>
          <w:rFonts w:hint="eastAsia"/>
          <w:bCs/>
          <w:color w:val="000000"/>
          <w:szCs w:val="24"/>
        </w:rPr>
        <w:t>2</w:t>
      </w:r>
      <w:r>
        <w:rPr>
          <w:bCs/>
          <w:color w:val="000000"/>
          <w:szCs w:val="24"/>
        </w:rPr>
        <w:t xml:space="preserve">00 µm. </w:t>
      </w:r>
      <w:r>
        <w:rPr>
          <w:b/>
          <w:bCs/>
          <w:szCs w:val="24"/>
        </w:rPr>
        <w:t xml:space="preserve">k-l </w:t>
      </w:r>
      <w:r>
        <w:rPr>
          <w:color w:val="000000"/>
          <w:szCs w:val="24"/>
        </w:rPr>
        <w:t>Quantification of lung metastatic foci.</w:t>
      </w:r>
      <w:r w:rsidR="00B10403" w:rsidRPr="00B10403">
        <w:rPr>
          <w:color w:val="000000" w:themeColor="text1"/>
        </w:rPr>
        <w:t xml:space="preserve"> </w:t>
      </w:r>
      <w:r w:rsidR="00856E1E">
        <w:rPr>
          <w:color w:val="000000" w:themeColor="text1"/>
        </w:rPr>
        <w:t xml:space="preserve">Error bars represent the mean ± </w:t>
      </w:r>
      <w:r w:rsidR="00856E1E" w:rsidRPr="000914FF">
        <w:rPr>
          <w:bCs/>
          <w:color w:val="000000"/>
          <w:szCs w:val="24"/>
        </w:rPr>
        <w:t>SEM</w:t>
      </w:r>
      <w:r w:rsidR="00856E1E">
        <w:t xml:space="preserve"> </w:t>
      </w:r>
      <w:r w:rsidR="00856E1E">
        <w:rPr>
          <w:color w:val="000000" w:themeColor="text1"/>
        </w:rPr>
        <w:t>and the dots represent the value of each experiment;</w:t>
      </w:r>
      <w:r w:rsidR="00B10403">
        <w:rPr>
          <w:color w:val="000000" w:themeColor="text1"/>
        </w:rPr>
        <w:t xml:space="preserve"> **</w:t>
      </w:r>
      <w:r w:rsidR="00B10403">
        <w:rPr>
          <w:i/>
          <w:color w:val="000000" w:themeColor="text1"/>
        </w:rPr>
        <w:t>P</w:t>
      </w:r>
      <w:r w:rsidR="00B10403">
        <w:rPr>
          <w:color w:val="000000" w:themeColor="text1"/>
        </w:rPr>
        <w:t>&lt;0.01, ***</w:t>
      </w:r>
      <w:r w:rsidR="00B10403">
        <w:rPr>
          <w:i/>
          <w:color w:val="000000" w:themeColor="text1"/>
        </w:rPr>
        <w:t>P</w:t>
      </w:r>
      <w:r w:rsidR="00B10403">
        <w:rPr>
          <w:color w:val="000000" w:themeColor="text1"/>
        </w:rPr>
        <w:t>&lt;0.001.</w:t>
      </w:r>
      <w:r w:rsidR="00B10403">
        <w:t xml:space="preserve"> </w:t>
      </w:r>
    </w:p>
    <w:p w14:paraId="12CE8271" w14:textId="5F97D730" w:rsidR="0039557B" w:rsidRDefault="0039557B" w:rsidP="00D60E16">
      <w:pPr>
        <w:spacing w:line="480" w:lineRule="auto"/>
        <w:jc w:val="both"/>
        <w:rPr>
          <w:color w:val="000000"/>
          <w:szCs w:val="24"/>
        </w:rPr>
      </w:pPr>
    </w:p>
    <w:p w14:paraId="7C4DAAA2" w14:textId="77777777" w:rsidR="0039557B" w:rsidRDefault="0039557B">
      <w:pPr>
        <w:rPr>
          <w:color w:val="000000"/>
          <w:szCs w:val="24"/>
        </w:rPr>
      </w:pPr>
      <w:r>
        <w:rPr>
          <w:color w:val="000000"/>
          <w:szCs w:val="24"/>
        </w:rPr>
        <w:br w:type="page"/>
      </w:r>
    </w:p>
    <w:p w14:paraId="4A9815B7" w14:textId="3A4569A0" w:rsidR="0039557B" w:rsidRDefault="00574816" w:rsidP="0039557B">
      <w:pPr>
        <w:spacing w:line="480" w:lineRule="auto"/>
        <w:jc w:val="both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28E87D82" wp14:editId="52020467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5580000" cy="7416000"/>
            <wp:effectExtent l="0" t="0" r="1905" b="0"/>
            <wp:wrapSquare wrapText="bothSides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74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557B" w:rsidRPr="00C6506A">
        <w:rPr>
          <w:b/>
          <w:bCs/>
        </w:rPr>
        <w:t>FigureS</w:t>
      </w:r>
      <w:r w:rsidR="0039557B">
        <w:rPr>
          <w:b/>
          <w:bCs/>
        </w:rPr>
        <w:t>14</w:t>
      </w:r>
    </w:p>
    <w:p w14:paraId="5353AE22" w14:textId="277EA834" w:rsidR="00B10403" w:rsidRPr="00BB7C0D" w:rsidRDefault="0039557B" w:rsidP="00B10403">
      <w:pPr>
        <w:pStyle w:val="SMcaption"/>
        <w:spacing w:line="480" w:lineRule="auto"/>
        <w:jc w:val="both"/>
      </w:pPr>
      <w:r>
        <w:rPr>
          <w:b/>
          <w:bCs/>
          <w:szCs w:val="24"/>
        </w:rPr>
        <w:lastRenderedPageBreak/>
        <w:t>Figure S14.</w:t>
      </w:r>
      <w:r>
        <w:rPr>
          <w:rFonts w:eastAsia="Arial Unicode MS"/>
          <w:b/>
          <w:bCs/>
          <w:color w:val="231F20"/>
          <w:szCs w:val="24"/>
        </w:rPr>
        <w:t xml:space="preserve"> Levels of YTHDF1 and ATG2A and ATG14 are clinically relevant in HCC patients. a </w:t>
      </w:r>
      <w:r>
        <w:rPr>
          <w:rFonts w:eastAsia="Arial Unicode MS"/>
          <w:color w:val="231F20"/>
          <w:szCs w:val="24"/>
        </w:rPr>
        <w:t xml:space="preserve">Representative IHC images of YTHDF1, </w:t>
      </w:r>
      <w:r>
        <w:rPr>
          <w:bCs/>
          <w:color w:val="000000"/>
          <w:szCs w:val="24"/>
        </w:rPr>
        <w:t>ATG2A, and ATG14</w:t>
      </w:r>
      <w:r>
        <w:rPr>
          <w:rFonts w:eastAsia="Arial Unicode MS"/>
          <w:color w:val="231F20"/>
          <w:szCs w:val="24"/>
        </w:rPr>
        <w:t xml:space="preserve"> in HCC tissues. </w:t>
      </w:r>
      <w:r>
        <w:rPr>
          <w:bCs/>
          <w:color w:val="000000"/>
          <w:szCs w:val="24"/>
        </w:rPr>
        <w:t xml:space="preserve">Scale bar, 100 µm. </w:t>
      </w:r>
      <w:r>
        <w:rPr>
          <w:rFonts w:eastAsia="Arial Unicode MS"/>
          <w:b/>
          <w:bCs/>
          <w:color w:val="231F20"/>
          <w:szCs w:val="24"/>
        </w:rPr>
        <w:t>b</w:t>
      </w:r>
      <w:r>
        <w:rPr>
          <w:rFonts w:hint="eastAsia"/>
        </w:rPr>
        <w:t xml:space="preserve"> </w:t>
      </w:r>
      <w:r>
        <w:rPr>
          <w:rFonts w:eastAsia="Arial Unicode MS"/>
          <w:color w:val="231F20"/>
          <w:szCs w:val="24"/>
        </w:rPr>
        <w:t>Spearman’s correlation between YTHDF1 expression and ATG2A IHC scores (upper).</w:t>
      </w:r>
      <w:r>
        <w:rPr>
          <w:rFonts w:eastAsia="Arial Unicode MS"/>
          <w:b/>
          <w:bCs/>
          <w:color w:val="231F20"/>
          <w:szCs w:val="24"/>
        </w:rPr>
        <w:t xml:space="preserve"> </w:t>
      </w:r>
      <w:r>
        <w:rPr>
          <w:szCs w:val="24"/>
        </w:rPr>
        <w:t xml:space="preserve">Spearman’s </w:t>
      </w:r>
      <w:r>
        <w:rPr>
          <w:rFonts w:eastAsia="Arial Unicode MS"/>
          <w:color w:val="231F20"/>
          <w:szCs w:val="24"/>
        </w:rPr>
        <w:t>correlation between YTHDF1 expression and ATG14 IHC scores (lower).</w:t>
      </w:r>
      <w:r>
        <w:rPr>
          <w:bCs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>c-d</w:t>
      </w:r>
      <w:r>
        <w:rPr>
          <w:bCs/>
          <w:color w:val="000000"/>
          <w:szCs w:val="24"/>
        </w:rPr>
        <w:t xml:space="preserve"> Kaplan-Meier analysis showing the disease-free survival of HCC patients with diverse ATG2A </w:t>
      </w:r>
      <w:r>
        <w:rPr>
          <w:b/>
          <w:color w:val="000000"/>
          <w:szCs w:val="24"/>
        </w:rPr>
        <w:t>(c)</w:t>
      </w:r>
      <w:r>
        <w:rPr>
          <w:bCs/>
          <w:color w:val="000000"/>
          <w:szCs w:val="24"/>
        </w:rPr>
        <w:t xml:space="preserve"> or ATG14 </w:t>
      </w:r>
      <w:r>
        <w:rPr>
          <w:b/>
          <w:color w:val="000000"/>
          <w:szCs w:val="24"/>
        </w:rPr>
        <w:t xml:space="preserve">(d) </w:t>
      </w:r>
      <w:r>
        <w:rPr>
          <w:bCs/>
          <w:color w:val="000000"/>
          <w:szCs w:val="24"/>
        </w:rPr>
        <w:t>expression.</w:t>
      </w:r>
      <w:r>
        <w:rPr>
          <w:rFonts w:hint="eastAsia"/>
        </w:rPr>
        <w:t xml:space="preserve"> </w:t>
      </w:r>
      <w:r>
        <w:rPr>
          <w:b/>
          <w:bCs/>
          <w:szCs w:val="24"/>
        </w:rPr>
        <w:t>e</w:t>
      </w:r>
      <w:r>
        <w:rPr>
          <w:rFonts w:hint="eastAsia"/>
        </w:rPr>
        <w:t xml:space="preserve"> </w:t>
      </w:r>
      <w:r>
        <w:rPr>
          <w:bCs/>
          <w:color w:val="000000"/>
          <w:szCs w:val="24"/>
        </w:rPr>
        <w:t xml:space="preserve">Kaplan–Meier analysis of disease-free survival for HCC patients based on the number of upregulated molecular markers (YTHDF1, ATG2A, and ATG14). </w:t>
      </w:r>
      <w:r>
        <w:rPr>
          <w:b/>
          <w:bCs/>
          <w:szCs w:val="24"/>
        </w:rPr>
        <w:t>f-g</w:t>
      </w:r>
      <w:r>
        <w:rPr>
          <w:bCs/>
          <w:color w:val="000000"/>
          <w:szCs w:val="24"/>
        </w:rPr>
        <w:t xml:space="preserve"> Kaplan-Meier analysis demonstrating the overall survival of HCC patients with diverse ATG2A </w:t>
      </w:r>
      <w:r>
        <w:rPr>
          <w:b/>
          <w:color w:val="000000"/>
          <w:szCs w:val="24"/>
        </w:rPr>
        <w:t>(f)</w:t>
      </w:r>
      <w:r>
        <w:rPr>
          <w:bCs/>
          <w:color w:val="000000"/>
          <w:szCs w:val="24"/>
        </w:rPr>
        <w:t xml:space="preserve"> or ATG14</w:t>
      </w:r>
      <w:r>
        <w:rPr>
          <w:b/>
          <w:color w:val="000000"/>
          <w:szCs w:val="24"/>
        </w:rPr>
        <w:t xml:space="preserve"> (g) </w:t>
      </w:r>
      <w:r>
        <w:rPr>
          <w:bCs/>
          <w:color w:val="000000"/>
          <w:szCs w:val="24"/>
        </w:rPr>
        <w:t>expression.</w:t>
      </w:r>
      <w:r>
        <w:rPr>
          <w:b/>
          <w:color w:val="000000"/>
          <w:szCs w:val="24"/>
        </w:rPr>
        <w:t xml:space="preserve"> h</w:t>
      </w:r>
      <w:r>
        <w:rPr>
          <w:rFonts w:hint="eastAsia"/>
        </w:rPr>
        <w:t xml:space="preserve"> </w:t>
      </w:r>
      <w:r>
        <w:rPr>
          <w:bCs/>
          <w:color w:val="000000"/>
          <w:szCs w:val="24"/>
        </w:rPr>
        <w:t xml:space="preserve">Kaplan–Meier analysis of overall survival for HCC patients based on the number of upregulated molecular markers (YTHDF1, </w:t>
      </w:r>
      <w:bookmarkStart w:id="10" w:name="_Hlk44447998"/>
      <w:r>
        <w:rPr>
          <w:bCs/>
          <w:color w:val="000000"/>
          <w:szCs w:val="24"/>
        </w:rPr>
        <w:t>ATG2A, and ATG14</w:t>
      </w:r>
      <w:bookmarkEnd w:id="10"/>
      <w:r>
        <w:rPr>
          <w:bCs/>
          <w:color w:val="000000"/>
          <w:szCs w:val="24"/>
        </w:rPr>
        <w:t>).</w:t>
      </w:r>
      <w:r>
        <w:rPr>
          <w:rFonts w:hint="eastAsia"/>
        </w:rPr>
        <w:t xml:space="preserve"> </w:t>
      </w:r>
      <w:r>
        <w:rPr>
          <w:b/>
          <w:bCs/>
          <w:szCs w:val="24"/>
        </w:rPr>
        <w:t>i</w:t>
      </w:r>
      <w:r>
        <w:rPr>
          <w:bCs/>
          <w:color w:val="000000"/>
          <w:szCs w:val="24"/>
        </w:rPr>
        <w:t xml:space="preserve"> Proposed model underlying the roles of YTHDF1-mediated ATG2A or ATG14 translation and hypoxia-induced autophagy in HCC.</w:t>
      </w:r>
      <w:r w:rsidR="00B10403" w:rsidRPr="00B10403">
        <w:rPr>
          <w:color w:val="000000" w:themeColor="text1"/>
        </w:rPr>
        <w:t xml:space="preserve"> </w:t>
      </w:r>
    </w:p>
    <w:p w14:paraId="4E024E17" w14:textId="4C4C3048" w:rsidR="0039557B" w:rsidRDefault="0039557B" w:rsidP="0039557B">
      <w:pPr>
        <w:spacing w:line="480" w:lineRule="auto"/>
        <w:jc w:val="both"/>
        <w:rPr>
          <w:bCs/>
          <w:color w:val="000000"/>
          <w:szCs w:val="24"/>
        </w:rPr>
      </w:pPr>
    </w:p>
    <w:p w14:paraId="497AAC62" w14:textId="77777777" w:rsidR="0039557B" w:rsidRPr="005357B7" w:rsidRDefault="0039557B" w:rsidP="0039557B"/>
    <w:p w14:paraId="3DA715F6" w14:textId="77777777" w:rsidR="0039557B" w:rsidRPr="0039557B" w:rsidRDefault="0039557B" w:rsidP="0039557B"/>
    <w:sectPr w:rsidR="0039557B" w:rsidRPr="0039557B" w:rsidSect="00E853D5">
      <w:headerReference w:type="default" r:id="rId23"/>
      <w:footerReference w:type="default" r:id="rId24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44F27F" w14:textId="77777777" w:rsidR="00126941" w:rsidRDefault="00126941">
      <w:r>
        <w:separator/>
      </w:r>
    </w:p>
  </w:endnote>
  <w:endnote w:type="continuationSeparator" w:id="0">
    <w:p w14:paraId="64A32264" w14:textId="77777777" w:rsidR="00126941" w:rsidRDefault="00126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dvOTf1351f0c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3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8EA3E" w14:textId="32DFF1A6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BB3FE6" w14:textId="77777777" w:rsidR="00126941" w:rsidRDefault="00126941">
      <w:r>
        <w:separator/>
      </w:r>
    </w:p>
  </w:footnote>
  <w:footnote w:type="continuationSeparator" w:id="0">
    <w:p w14:paraId="265852AD" w14:textId="77777777" w:rsidR="00126941" w:rsidRDefault="00126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5450A"/>
    <w:rsid w:val="00065EBD"/>
    <w:rsid w:val="0008358A"/>
    <w:rsid w:val="00083B44"/>
    <w:rsid w:val="000850DC"/>
    <w:rsid w:val="00086309"/>
    <w:rsid w:val="000C2771"/>
    <w:rsid w:val="000C616B"/>
    <w:rsid w:val="000D46F4"/>
    <w:rsid w:val="000F0C05"/>
    <w:rsid w:val="000F0DCE"/>
    <w:rsid w:val="000F6BE3"/>
    <w:rsid w:val="00112C5B"/>
    <w:rsid w:val="00114193"/>
    <w:rsid w:val="00115A38"/>
    <w:rsid w:val="0011687B"/>
    <w:rsid w:val="00124F82"/>
    <w:rsid w:val="00126941"/>
    <w:rsid w:val="00155E6A"/>
    <w:rsid w:val="0016337A"/>
    <w:rsid w:val="00164269"/>
    <w:rsid w:val="001A1BDE"/>
    <w:rsid w:val="001A745F"/>
    <w:rsid w:val="001D0BB8"/>
    <w:rsid w:val="001F0876"/>
    <w:rsid w:val="001F167C"/>
    <w:rsid w:val="001F5E91"/>
    <w:rsid w:val="002077B9"/>
    <w:rsid w:val="00232D3A"/>
    <w:rsid w:val="00262D72"/>
    <w:rsid w:val="0029309C"/>
    <w:rsid w:val="00294FBB"/>
    <w:rsid w:val="002B3205"/>
    <w:rsid w:val="002C030F"/>
    <w:rsid w:val="003158CD"/>
    <w:rsid w:val="003317F1"/>
    <w:rsid w:val="00331D75"/>
    <w:rsid w:val="00355362"/>
    <w:rsid w:val="00363E44"/>
    <w:rsid w:val="0037025F"/>
    <w:rsid w:val="00376AD6"/>
    <w:rsid w:val="003906AA"/>
    <w:rsid w:val="0039557B"/>
    <w:rsid w:val="00395E86"/>
    <w:rsid w:val="003A2FD8"/>
    <w:rsid w:val="003B317A"/>
    <w:rsid w:val="003B40E6"/>
    <w:rsid w:val="003C6592"/>
    <w:rsid w:val="003D0F74"/>
    <w:rsid w:val="003D5D84"/>
    <w:rsid w:val="003E48ED"/>
    <w:rsid w:val="003E74FB"/>
    <w:rsid w:val="003F6E14"/>
    <w:rsid w:val="00405336"/>
    <w:rsid w:val="00413D6F"/>
    <w:rsid w:val="00442D72"/>
    <w:rsid w:val="004571D5"/>
    <w:rsid w:val="00461D81"/>
    <w:rsid w:val="0046356B"/>
    <w:rsid w:val="00477182"/>
    <w:rsid w:val="004779CB"/>
    <w:rsid w:val="004E42D8"/>
    <w:rsid w:val="004E7BA2"/>
    <w:rsid w:val="004F0815"/>
    <w:rsid w:val="004F7EDF"/>
    <w:rsid w:val="005001AC"/>
    <w:rsid w:val="00527D71"/>
    <w:rsid w:val="00531C9B"/>
    <w:rsid w:val="005520A8"/>
    <w:rsid w:val="005607DD"/>
    <w:rsid w:val="005665B4"/>
    <w:rsid w:val="00574816"/>
    <w:rsid w:val="005753A8"/>
    <w:rsid w:val="005A558C"/>
    <w:rsid w:val="005E28F8"/>
    <w:rsid w:val="005E5AB7"/>
    <w:rsid w:val="005E6513"/>
    <w:rsid w:val="0061787B"/>
    <w:rsid w:val="00651114"/>
    <w:rsid w:val="006513C8"/>
    <w:rsid w:val="00664560"/>
    <w:rsid w:val="00670299"/>
    <w:rsid w:val="00691985"/>
    <w:rsid w:val="006978DC"/>
    <w:rsid w:val="006A1B64"/>
    <w:rsid w:val="006A3061"/>
    <w:rsid w:val="006F2F3F"/>
    <w:rsid w:val="0070322E"/>
    <w:rsid w:val="007108F5"/>
    <w:rsid w:val="00713E5B"/>
    <w:rsid w:val="007402FC"/>
    <w:rsid w:val="007411A1"/>
    <w:rsid w:val="00793072"/>
    <w:rsid w:val="00807D35"/>
    <w:rsid w:val="008218C4"/>
    <w:rsid w:val="00821F38"/>
    <w:rsid w:val="00856E1E"/>
    <w:rsid w:val="00867A98"/>
    <w:rsid w:val="00870867"/>
    <w:rsid w:val="00875AE0"/>
    <w:rsid w:val="008815F8"/>
    <w:rsid w:val="00885C9B"/>
    <w:rsid w:val="008D5D2A"/>
    <w:rsid w:val="00914B63"/>
    <w:rsid w:val="009354F3"/>
    <w:rsid w:val="009447DC"/>
    <w:rsid w:val="00961BA5"/>
    <w:rsid w:val="009743A9"/>
    <w:rsid w:val="00974E06"/>
    <w:rsid w:val="009A5287"/>
    <w:rsid w:val="009B2AC5"/>
    <w:rsid w:val="009B7984"/>
    <w:rsid w:val="009C0EBA"/>
    <w:rsid w:val="009F4BED"/>
    <w:rsid w:val="009F7D93"/>
    <w:rsid w:val="00A14EA1"/>
    <w:rsid w:val="00A3403B"/>
    <w:rsid w:val="00A3565A"/>
    <w:rsid w:val="00A37E11"/>
    <w:rsid w:val="00A51A12"/>
    <w:rsid w:val="00A627D4"/>
    <w:rsid w:val="00A74DA2"/>
    <w:rsid w:val="00AB399E"/>
    <w:rsid w:val="00AC1457"/>
    <w:rsid w:val="00AC59D0"/>
    <w:rsid w:val="00AD16B1"/>
    <w:rsid w:val="00AD499C"/>
    <w:rsid w:val="00B10403"/>
    <w:rsid w:val="00B36869"/>
    <w:rsid w:val="00B43B31"/>
    <w:rsid w:val="00B47CFA"/>
    <w:rsid w:val="00B57F00"/>
    <w:rsid w:val="00B77B2A"/>
    <w:rsid w:val="00B82C22"/>
    <w:rsid w:val="00B93DBA"/>
    <w:rsid w:val="00B9440A"/>
    <w:rsid w:val="00BB2D2A"/>
    <w:rsid w:val="00BB7C0D"/>
    <w:rsid w:val="00BC3E04"/>
    <w:rsid w:val="00BD58CF"/>
    <w:rsid w:val="00BF0C92"/>
    <w:rsid w:val="00C03A87"/>
    <w:rsid w:val="00C04CC1"/>
    <w:rsid w:val="00C4096C"/>
    <w:rsid w:val="00C50C6D"/>
    <w:rsid w:val="00C5293C"/>
    <w:rsid w:val="00C600D9"/>
    <w:rsid w:val="00C6506A"/>
    <w:rsid w:val="00C70CB3"/>
    <w:rsid w:val="00C92B22"/>
    <w:rsid w:val="00CC1384"/>
    <w:rsid w:val="00CC743F"/>
    <w:rsid w:val="00CD3720"/>
    <w:rsid w:val="00CF1848"/>
    <w:rsid w:val="00CF5C2F"/>
    <w:rsid w:val="00D04BCF"/>
    <w:rsid w:val="00D143D9"/>
    <w:rsid w:val="00D24318"/>
    <w:rsid w:val="00D5511B"/>
    <w:rsid w:val="00D60E16"/>
    <w:rsid w:val="00D75B5C"/>
    <w:rsid w:val="00D766F1"/>
    <w:rsid w:val="00DA173D"/>
    <w:rsid w:val="00E257C8"/>
    <w:rsid w:val="00E265D3"/>
    <w:rsid w:val="00E41512"/>
    <w:rsid w:val="00E4519A"/>
    <w:rsid w:val="00E70B18"/>
    <w:rsid w:val="00E853D5"/>
    <w:rsid w:val="00E9773B"/>
    <w:rsid w:val="00EA6F42"/>
    <w:rsid w:val="00EC13A3"/>
    <w:rsid w:val="00EC7C85"/>
    <w:rsid w:val="00ED6958"/>
    <w:rsid w:val="00F125EE"/>
    <w:rsid w:val="00F12E98"/>
    <w:rsid w:val="00F22029"/>
    <w:rsid w:val="00F515FB"/>
    <w:rsid w:val="00F549DA"/>
    <w:rsid w:val="00F630EA"/>
    <w:rsid w:val="00F64AD2"/>
    <w:rsid w:val="00F7007E"/>
    <w:rsid w:val="00F73193"/>
    <w:rsid w:val="00F74F95"/>
    <w:rsid w:val="00F80705"/>
    <w:rsid w:val="00FA1481"/>
    <w:rsid w:val="00FB3848"/>
    <w:rsid w:val="00FD2518"/>
    <w:rsid w:val="00FF04E3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39557B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character" w:customStyle="1" w:styleId="fontstyle01">
    <w:name w:val="fontstyle01"/>
    <w:basedOn w:val="a2"/>
    <w:qFormat/>
    <w:rsid w:val="00232D3A"/>
    <w:rPr>
      <w:rFonts w:ascii="AdvOTf1351f0c" w:hAnsi="AdvOTf1351f0c" w:hint="default"/>
      <w:b w:val="0"/>
      <w:bCs w:val="0"/>
      <w:i w:val="0"/>
      <w:iCs w:val="0"/>
      <w:color w:val="231F20"/>
      <w:sz w:val="46"/>
      <w:szCs w:val="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liyong@njmu.edu.cn" TargetMode="Externa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tiff"/><Relationship Id="rId7" Type="http://schemas.openxmlformats.org/officeDocument/2006/relationships/hyperlink" Target="mailto:wangxh@njmu.edu.cn" TargetMode="Externa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tiff"/><Relationship Id="rId20" Type="http://schemas.openxmlformats.org/officeDocument/2006/relationships/image" Target="media/image12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tiff"/><Relationship Id="rId23" Type="http://schemas.openxmlformats.org/officeDocument/2006/relationships/header" Target="header1.xml"/><Relationship Id="rId10" Type="http://schemas.openxmlformats.org/officeDocument/2006/relationships/image" Target="media/image2.tiff"/><Relationship Id="rId19" Type="http://schemas.openxmlformats.org/officeDocument/2006/relationships/image" Target="media/image11.tiff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image" Target="media/image1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28</Pages>
  <Words>2443</Words>
  <Characters>13929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16340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李 清</cp:lastModifiedBy>
  <cp:revision>44</cp:revision>
  <cp:lastPrinted>2020-11-25T08:46:00Z</cp:lastPrinted>
  <dcterms:created xsi:type="dcterms:W3CDTF">2019-07-16T09:29:00Z</dcterms:created>
  <dcterms:modified xsi:type="dcterms:W3CDTF">2020-12-08T09:59:00Z</dcterms:modified>
</cp:coreProperties>
</file>