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315" w:rsidRPr="003B40E6" w:rsidRDefault="00FC3315" w:rsidP="00FC3315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 for</w:t>
      </w:r>
    </w:p>
    <w:p w:rsidR="00FC3315" w:rsidRPr="00CD2398" w:rsidRDefault="00FC3315" w:rsidP="00FC3315">
      <w:pPr>
        <w:spacing w:line="360" w:lineRule="auto"/>
        <w:ind w:left="1687" w:hangingChars="700" w:hanging="1687"/>
        <w:rPr>
          <w:rStyle w:val="fontstyle01"/>
          <w:rFonts w:hint="eastAsia"/>
          <w:b/>
          <w:sz w:val="24"/>
          <w:szCs w:val="24"/>
        </w:rPr>
      </w:pPr>
      <w:r w:rsidRPr="00FC3315">
        <w:rPr>
          <w:b/>
          <w:sz w:val="24"/>
          <w:szCs w:val="24"/>
        </w:rPr>
        <w:t>N</w:t>
      </w:r>
      <w:r w:rsidRPr="00FC3315">
        <w:rPr>
          <w:rStyle w:val="fontstyle01"/>
          <w:b/>
          <w:color w:val="auto"/>
          <w:sz w:val="24"/>
          <w:szCs w:val="24"/>
        </w:rPr>
        <w:t>anobody-based chimeric antigen receptor T cells designed by CRISPR/Cas9 technology for solid tumor immunotherapy</w:t>
      </w:r>
    </w:p>
    <w:p w:rsidR="00FC3315" w:rsidRPr="00CD2398" w:rsidRDefault="00FC3315" w:rsidP="00FC3315">
      <w:pPr>
        <w:spacing w:line="360" w:lineRule="auto"/>
        <w:jc w:val="left"/>
        <w:rPr>
          <w:szCs w:val="21"/>
        </w:rPr>
      </w:pPr>
      <w:r w:rsidRPr="00CD2398">
        <w:rPr>
          <w:rFonts w:hint="eastAsia"/>
          <w:szCs w:val="21"/>
        </w:rPr>
        <w:t>Fengzhen Mo</w:t>
      </w:r>
      <w:r w:rsidRPr="00CD2398">
        <w:rPr>
          <w:szCs w:val="21"/>
        </w:rPr>
        <w:t xml:space="preserve"> </w:t>
      </w:r>
      <w:r w:rsidRPr="00CD2398">
        <w:rPr>
          <w:szCs w:val="21"/>
          <w:vertAlign w:val="superscript"/>
        </w:rPr>
        <w:t>1, 2*</w:t>
      </w:r>
      <w:r w:rsidRPr="00CD2398">
        <w:rPr>
          <w:rFonts w:hint="eastAsia"/>
          <w:szCs w:val="21"/>
        </w:rPr>
        <w:t>,</w:t>
      </w:r>
      <w:r w:rsidRPr="00CD2398">
        <w:rPr>
          <w:szCs w:val="21"/>
        </w:rPr>
        <w:t xml:space="preserve"> S</w:t>
      </w:r>
      <w:r w:rsidRPr="00CD2398">
        <w:rPr>
          <w:rFonts w:hint="eastAsia"/>
          <w:szCs w:val="21"/>
        </w:rPr>
        <w:t>iliang Duan</w:t>
      </w:r>
      <w:r w:rsidRPr="00CD2398">
        <w:rPr>
          <w:szCs w:val="21"/>
        </w:rPr>
        <w:t xml:space="preserve"> </w:t>
      </w:r>
      <w:r w:rsidRPr="00CD2398">
        <w:rPr>
          <w:szCs w:val="21"/>
          <w:vertAlign w:val="superscript"/>
        </w:rPr>
        <w:t>1*</w:t>
      </w:r>
      <w:r w:rsidRPr="00CD2398">
        <w:rPr>
          <w:szCs w:val="21"/>
        </w:rPr>
        <w:t>,</w:t>
      </w:r>
      <w:r w:rsidRPr="00CD2398">
        <w:rPr>
          <w:rFonts w:hint="eastAsia"/>
          <w:sz w:val="22"/>
          <w:szCs w:val="24"/>
        </w:rPr>
        <w:t xml:space="preserve"> Xiaobing Jiang</w:t>
      </w:r>
      <w:r w:rsidRPr="00CD2398">
        <w:rPr>
          <w:sz w:val="22"/>
          <w:szCs w:val="24"/>
          <w:vertAlign w:val="superscript"/>
        </w:rPr>
        <w:t>3</w:t>
      </w:r>
      <w:r w:rsidRPr="00CD2398">
        <w:rPr>
          <w:szCs w:val="21"/>
          <w:vertAlign w:val="superscript"/>
        </w:rPr>
        <w:t>*</w:t>
      </w:r>
      <w:r w:rsidRPr="00CD2398">
        <w:rPr>
          <w:szCs w:val="21"/>
        </w:rPr>
        <w:t xml:space="preserve">, Xiaomei Yang </w:t>
      </w:r>
      <w:r w:rsidRPr="00CD2398">
        <w:rPr>
          <w:szCs w:val="21"/>
          <w:vertAlign w:val="superscript"/>
        </w:rPr>
        <w:t xml:space="preserve">1,4 </w:t>
      </w:r>
      <w:r w:rsidRPr="00CD2398">
        <w:rPr>
          <w:szCs w:val="21"/>
        </w:rPr>
        <w:t>,</w:t>
      </w:r>
      <w:r w:rsidRPr="00CD2398">
        <w:rPr>
          <w:rFonts w:hint="eastAsia"/>
          <w:szCs w:val="21"/>
        </w:rPr>
        <w:t xml:space="preserve"> </w:t>
      </w:r>
      <w:r w:rsidRPr="00CD2398">
        <w:rPr>
          <w:szCs w:val="21"/>
        </w:rPr>
        <w:t xml:space="preserve">Xiaoqiong Hou </w:t>
      </w:r>
      <w:r w:rsidRPr="00CD2398">
        <w:rPr>
          <w:szCs w:val="21"/>
          <w:vertAlign w:val="superscript"/>
        </w:rPr>
        <w:t>1,4</w:t>
      </w:r>
      <w:r w:rsidRPr="00CD2398">
        <w:rPr>
          <w:szCs w:val="21"/>
        </w:rPr>
        <w:t xml:space="preserve">, Wei Shi 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 xml:space="preserve">, Cueva Jumbo Juan Carlos 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 xml:space="preserve">, Aiqun Liu 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 xml:space="preserve">, </w:t>
      </w:r>
      <w:r w:rsidRPr="00CD2398">
        <w:rPr>
          <w:sz w:val="22"/>
          <w:szCs w:val="24"/>
        </w:rPr>
        <w:t>Shihua Yin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 xml:space="preserve">, Wu Wang 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 xml:space="preserve">, Hua Yao </w:t>
      </w:r>
      <w:r w:rsidRPr="00CD2398">
        <w:rPr>
          <w:szCs w:val="21"/>
          <w:vertAlign w:val="superscript"/>
        </w:rPr>
        <w:t>1,5</w:t>
      </w:r>
      <w:r w:rsidRPr="00CD2398">
        <w:rPr>
          <w:szCs w:val="21"/>
        </w:rPr>
        <w:t>, Zihang Yu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 xml:space="preserve">, Zhuoran Tang 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 xml:space="preserve">, Shenxia Xie </w:t>
      </w:r>
      <w:r w:rsidRPr="00CD2398">
        <w:rPr>
          <w:szCs w:val="21"/>
          <w:vertAlign w:val="superscript"/>
        </w:rPr>
        <w:t>1,2</w:t>
      </w:r>
      <w:r w:rsidRPr="00CD2398">
        <w:rPr>
          <w:szCs w:val="21"/>
        </w:rPr>
        <w:t>, Ziqiang Ding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>, Xinyue Zhao</w:t>
      </w:r>
      <w:r w:rsidRPr="00CD2398">
        <w:rPr>
          <w:szCs w:val="21"/>
          <w:vertAlign w:val="superscript"/>
        </w:rPr>
        <w:t>1</w:t>
      </w:r>
      <w:r w:rsidRPr="00CD2398">
        <w:rPr>
          <w:szCs w:val="21"/>
        </w:rPr>
        <w:t xml:space="preserve">, </w:t>
      </w:r>
      <w:r>
        <w:rPr>
          <w:sz w:val="22"/>
          <w:szCs w:val="24"/>
        </w:rPr>
        <w:t xml:space="preserve">Bruce D. Hammock </w:t>
      </w:r>
      <w:r>
        <w:rPr>
          <w:sz w:val="22"/>
          <w:szCs w:val="24"/>
          <w:vertAlign w:val="superscript"/>
        </w:rPr>
        <w:t>6</w:t>
      </w:r>
      <w:r w:rsidRPr="00CD2398">
        <w:rPr>
          <w:szCs w:val="21"/>
          <w:vertAlign w:val="superscript"/>
        </w:rPr>
        <w:t>#</w:t>
      </w:r>
      <w:r>
        <w:rPr>
          <w:rFonts w:hint="eastAsia"/>
          <w:sz w:val="22"/>
          <w:szCs w:val="24"/>
        </w:rPr>
        <w:t>,</w:t>
      </w:r>
      <w:r w:rsidRPr="00CD2398">
        <w:rPr>
          <w:szCs w:val="21"/>
        </w:rPr>
        <w:t xml:space="preserve">Xiaoling Lu </w:t>
      </w:r>
      <w:r w:rsidRPr="00CD2398">
        <w:rPr>
          <w:szCs w:val="21"/>
          <w:vertAlign w:val="superscript"/>
        </w:rPr>
        <w:t>1,5#</w:t>
      </w:r>
    </w:p>
    <w:p w:rsidR="00FC3315" w:rsidRPr="00CD2398" w:rsidRDefault="00FC3315" w:rsidP="00FC3315">
      <w:pPr>
        <w:spacing w:line="360" w:lineRule="auto"/>
        <w:ind w:left="105" w:hangingChars="50" w:hanging="105"/>
        <w:rPr>
          <w:szCs w:val="21"/>
        </w:rPr>
      </w:pPr>
      <w:r w:rsidRPr="00CD2398">
        <w:rPr>
          <w:szCs w:val="21"/>
          <w:vertAlign w:val="superscript"/>
        </w:rPr>
        <w:t xml:space="preserve">1 </w:t>
      </w:r>
      <w:r w:rsidRPr="00CD2398">
        <w:rPr>
          <w:szCs w:val="21"/>
        </w:rPr>
        <w:t>International Nanobody Research Center of Guangxi, Guangxi Medical University, Nanning, Guangxi, 530021, China</w:t>
      </w:r>
    </w:p>
    <w:p w:rsidR="00FC3315" w:rsidRPr="00CD2398" w:rsidRDefault="00FC3315" w:rsidP="00FC3315">
      <w:pPr>
        <w:spacing w:line="360" w:lineRule="auto"/>
        <w:rPr>
          <w:szCs w:val="21"/>
        </w:rPr>
      </w:pPr>
      <w:r w:rsidRPr="00CD2398">
        <w:rPr>
          <w:szCs w:val="21"/>
          <w:vertAlign w:val="superscript"/>
        </w:rPr>
        <w:t>2</w:t>
      </w:r>
      <w:r w:rsidRPr="00CD2398">
        <w:rPr>
          <w:szCs w:val="21"/>
        </w:rPr>
        <w:t xml:space="preserve"> Pharmaceutical College, Guangxi Medical University, Nanning, Guangxi, 530021, China</w:t>
      </w:r>
    </w:p>
    <w:p w:rsidR="00FC3315" w:rsidRPr="00CD2398" w:rsidRDefault="00FC3315" w:rsidP="00FC3315">
      <w:pPr>
        <w:spacing w:line="360" w:lineRule="auto"/>
        <w:ind w:left="105" w:hangingChars="50" w:hanging="105"/>
        <w:rPr>
          <w:szCs w:val="21"/>
        </w:rPr>
      </w:pPr>
      <w:r w:rsidRPr="00CD2398">
        <w:rPr>
          <w:szCs w:val="21"/>
          <w:vertAlign w:val="superscript"/>
        </w:rPr>
        <w:t xml:space="preserve">3 </w:t>
      </w:r>
      <w:r w:rsidRPr="00CD2398">
        <w:rPr>
          <w:szCs w:val="21"/>
        </w:rPr>
        <w:t>Department of Neurosurgery, Union Hospital, Tongji Medical College, Huazhong University of Science and Technology</w:t>
      </w:r>
      <w:r w:rsidRPr="00CD2398">
        <w:rPr>
          <w:rFonts w:hint="eastAsia"/>
          <w:szCs w:val="21"/>
        </w:rPr>
        <w:t xml:space="preserve">, </w:t>
      </w:r>
      <w:r w:rsidRPr="00CD2398">
        <w:rPr>
          <w:szCs w:val="21"/>
        </w:rPr>
        <w:t>Wuhan</w:t>
      </w:r>
      <w:r w:rsidRPr="00CD2398">
        <w:rPr>
          <w:rFonts w:hint="eastAsia"/>
          <w:szCs w:val="21"/>
        </w:rPr>
        <w:t>, Hubei,</w:t>
      </w:r>
      <w:r w:rsidRPr="00CD2398">
        <w:rPr>
          <w:szCs w:val="21"/>
        </w:rPr>
        <w:t xml:space="preserve"> 430022, China</w:t>
      </w:r>
    </w:p>
    <w:p w:rsidR="00FC3315" w:rsidRPr="00CD2398" w:rsidRDefault="00FC3315" w:rsidP="00FC3315">
      <w:pPr>
        <w:spacing w:line="360" w:lineRule="auto"/>
        <w:ind w:left="105" w:hangingChars="50" w:hanging="105"/>
        <w:rPr>
          <w:sz w:val="20"/>
          <w:szCs w:val="20"/>
        </w:rPr>
      </w:pPr>
      <w:r w:rsidRPr="00CD2398">
        <w:rPr>
          <w:szCs w:val="21"/>
          <w:vertAlign w:val="superscript"/>
        </w:rPr>
        <w:t xml:space="preserve">4 </w:t>
      </w:r>
      <w:r w:rsidRPr="00CD2398">
        <w:rPr>
          <w:szCs w:val="21"/>
        </w:rPr>
        <w:t>School of Preclinical Medicine, Guangxi Medical University, Nanning, Guangxi, 530021, China</w:t>
      </w:r>
    </w:p>
    <w:p w:rsidR="00FC3315" w:rsidRDefault="00FC3315" w:rsidP="00FC3315">
      <w:pPr>
        <w:spacing w:line="360" w:lineRule="auto"/>
        <w:ind w:left="105" w:hangingChars="50" w:hanging="105"/>
        <w:rPr>
          <w:kern w:val="0"/>
        </w:rPr>
      </w:pPr>
      <w:r w:rsidRPr="00CD2398">
        <w:rPr>
          <w:szCs w:val="21"/>
          <w:vertAlign w:val="superscript"/>
        </w:rPr>
        <w:t xml:space="preserve">5 </w:t>
      </w:r>
      <w:r w:rsidRPr="00CD2398">
        <w:rPr>
          <w:kern w:val="0"/>
        </w:rPr>
        <w:t>College of Stomatology, Guangxi Medical University, Nanning, Guangxi, 530021, China</w:t>
      </w:r>
    </w:p>
    <w:p w:rsidR="00383FE8" w:rsidRPr="00FC3315" w:rsidRDefault="00FC3315" w:rsidP="00FC3315">
      <w:pPr>
        <w:spacing w:line="360" w:lineRule="exact"/>
        <w:ind w:leftChars="50" w:left="305" w:hangingChars="100" w:hanging="200"/>
        <w:rPr>
          <w:b/>
          <w:sz w:val="24"/>
          <w:szCs w:val="24"/>
        </w:rPr>
      </w:pPr>
      <w:r>
        <w:rPr>
          <w:sz w:val="20"/>
          <w:szCs w:val="20"/>
          <w:vertAlign w:val="superscript"/>
        </w:rPr>
        <w:t>6</w:t>
      </w:r>
      <w:r>
        <w:rPr>
          <w:sz w:val="20"/>
          <w:szCs w:val="20"/>
        </w:rPr>
        <w:t xml:space="preserve"> Department of Entomology and Nematology and UCD Comprehensive Cancer Center, University of California Davis, Davis, </w:t>
      </w:r>
      <w:r w:rsidRPr="00F70FF5">
        <w:rPr>
          <w:sz w:val="20"/>
          <w:szCs w:val="20"/>
        </w:rPr>
        <w:t>CA 95616¬8584</w:t>
      </w:r>
      <w:r>
        <w:rPr>
          <w:rFonts w:hint="eastAsia"/>
          <w:sz w:val="20"/>
          <w:szCs w:val="20"/>
        </w:rPr>
        <w:t>，</w:t>
      </w:r>
      <w:r>
        <w:rPr>
          <w:rFonts w:hint="eastAsia"/>
          <w:sz w:val="20"/>
          <w:szCs w:val="20"/>
        </w:rPr>
        <w:t>USA</w:t>
      </w:r>
    </w:p>
    <w:p w:rsidR="00FC3315" w:rsidRDefault="00FC3315" w:rsidP="00FC3315">
      <w:pPr>
        <w:rPr>
          <w:szCs w:val="24"/>
        </w:rPr>
      </w:pPr>
      <w:r w:rsidRPr="00A2364D">
        <w:rPr>
          <w:szCs w:val="24"/>
        </w:rPr>
        <w:t>These authors contribute to the equal work.</w:t>
      </w:r>
    </w:p>
    <w:p w:rsidR="0090559E" w:rsidRDefault="00FC3315" w:rsidP="00FC3315">
      <w:pPr>
        <w:spacing w:line="360" w:lineRule="exact"/>
        <w:ind w:leftChars="50" w:left="315" w:hangingChars="100" w:hanging="210"/>
        <w:rPr>
          <w:b/>
          <w:sz w:val="24"/>
          <w:szCs w:val="24"/>
        </w:rPr>
      </w:pPr>
      <w:r w:rsidRPr="006F02D9">
        <w:rPr>
          <w:szCs w:val="24"/>
        </w:rPr>
        <w:t>Correspondence to:</w:t>
      </w:r>
      <w:r w:rsidRPr="00CD2398">
        <w:rPr>
          <w:szCs w:val="21"/>
        </w:rPr>
        <w:t xml:space="preserve"> </w:t>
      </w:r>
      <w:hyperlink r:id="rId7" w:history="1">
        <w:r w:rsidRPr="00CD2398">
          <w:t>luxiaoling@gxmu.edu.cn</w:t>
        </w:r>
      </w:hyperlink>
      <w:r w:rsidR="001D539A">
        <w:rPr>
          <w:rFonts w:hint="eastAsia"/>
        </w:rPr>
        <w:t>,</w:t>
      </w:r>
      <w:r w:rsidR="001D539A">
        <w:t xml:space="preserve"> </w:t>
      </w:r>
      <w:hyperlink r:id="rId8" w:history="1">
        <w:r w:rsidR="001D539A" w:rsidRPr="000D13D7">
          <w:rPr>
            <w:szCs w:val="21"/>
          </w:rPr>
          <w:t>bdhammock@ucdavis.edu</w:t>
        </w:r>
      </w:hyperlink>
    </w:p>
    <w:p w:rsidR="00FC3315" w:rsidRDefault="00FC3315" w:rsidP="00FC3315">
      <w:pPr>
        <w:spacing w:line="360" w:lineRule="exact"/>
        <w:rPr>
          <w:b/>
          <w:sz w:val="24"/>
          <w:szCs w:val="24"/>
        </w:rPr>
      </w:pPr>
    </w:p>
    <w:p w:rsidR="00FC3315" w:rsidRPr="00262D72" w:rsidRDefault="00FC3315" w:rsidP="00FC3315">
      <w:pPr>
        <w:rPr>
          <w:b/>
        </w:rPr>
      </w:pPr>
      <w:r>
        <w:rPr>
          <w:b/>
        </w:rPr>
        <w:t xml:space="preserve">This PDF file </w:t>
      </w:r>
      <w:r w:rsidRPr="00262D72">
        <w:rPr>
          <w:b/>
        </w:rPr>
        <w:t>includes:</w:t>
      </w:r>
    </w:p>
    <w:p w:rsidR="00FC3315" w:rsidRDefault="00FC3315" w:rsidP="00FC3315"/>
    <w:p w:rsidR="00FC3315" w:rsidRDefault="00FC3315" w:rsidP="00FC3315">
      <w:pPr>
        <w:spacing w:line="360" w:lineRule="exact"/>
        <w:ind w:leftChars="50" w:left="315" w:hangingChars="100" w:hanging="210"/>
        <w:rPr>
          <w:b/>
          <w:sz w:val="24"/>
          <w:szCs w:val="24"/>
        </w:rPr>
      </w:pPr>
      <w:r>
        <w:t xml:space="preserve">Table. S1 </w:t>
      </w:r>
    </w:p>
    <w:p w:rsidR="00FC3315" w:rsidRDefault="00FC3315" w:rsidP="00FC3315">
      <w:pPr>
        <w:ind w:firstLineChars="50" w:firstLine="105"/>
      </w:pPr>
      <w:r>
        <w:t>Figures. S1 to S5</w:t>
      </w: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FC3315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90559E" w:rsidRPr="00E727CB" w:rsidRDefault="0090559E" w:rsidP="0090559E">
      <w:pPr>
        <w:spacing w:line="360" w:lineRule="exact"/>
        <w:ind w:leftChars="50" w:left="316" w:hangingChars="100" w:hanging="211"/>
        <w:jc w:val="center"/>
        <w:rPr>
          <w:szCs w:val="21"/>
        </w:rPr>
      </w:pPr>
      <w:r w:rsidRPr="00E727CB">
        <w:rPr>
          <w:b/>
          <w:szCs w:val="21"/>
        </w:rPr>
        <w:lastRenderedPageBreak/>
        <w:t>Table S1</w:t>
      </w:r>
      <w:r w:rsidRPr="00E727CB">
        <w:rPr>
          <w:szCs w:val="21"/>
        </w:rPr>
        <w:t xml:space="preserve"> </w:t>
      </w:r>
      <w:r w:rsidRPr="00E727CB">
        <w:rPr>
          <w:b/>
          <w:szCs w:val="21"/>
        </w:rPr>
        <w:t>gRNA sequences used in study</w:t>
      </w:r>
    </w:p>
    <w:tbl>
      <w:tblPr>
        <w:tblW w:w="8222" w:type="dxa"/>
        <w:tblInd w:w="2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261"/>
        <w:gridCol w:w="3402"/>
      </w:tblGrid>
      <w:tr w:rsidR="0090559E" w:rsidRPr="00E727CB" w:rsidTr="002C7568">
        <w:trPr>
          <w:trHeight w:val="471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Name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ind w:firstLineChars="200" w:firstLine="360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Forward oligo 5’-3’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jc w:val="center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Reverse oligo 5’-3’</w:t>
            </w:r>
          </w:p>
        </w:tc>
      </w:tr>
      <w:tr w:rsidR="0090559E" w:rsidRPr="00E727CB" w:rsidTr="002C7568">
        <w:trPr>
          <w:trHeight w:val="406"/>
        </w:trPr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 xml:space="preserve">AAVS1 gRNA1 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CACCGTCCCCTCCACCCCACAGT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AAACACTGTGGGGTGGAGGGGAC</w:t>
            </w:r>
          </w:p>
        </w:tc>
      </w:tr>
      <w:tr w:rsidR="0090559E" w:rsidRPr="00E727CB" w:rsidTr="002C7568">
        <w:trPr>
          <w:trHeight w:val="422"/>
        </w:trPr>
        <w:tc>
          <w:tcPr>
            <w:tcW w:w="1559" w:type="dxa"/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AAVS1 gRNA2</w:t>
            </w:r>
          </w:p>
        </w:tc>
        <w:tc>
          <w:tcPr>
            <w:tcW w:w="3261" w:type="dxa"/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CACCGGGCCACTAGGGACAGGAT</w:t>
            </w:r>
          </w:p>
        </w:tc>
        <w:tc>
          <w:tcPr>
            <w:tcW w:w="3402" w:type="dxa"/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AAACATCCTGTCCCTAGTGGCCC</w:t>
            </w:r>
          </w:p>
        </w:tc>
      </w:tr>
      <w:tr w:rsidR="0090559E" w:rsidRPr="00E727CB" w:rsidTr="002C7568">
        <w:trPr>
          <w:trHeight w:val="452"/>
        </w:trPr>
        <w:tc>
          <w:tcPr>
            <w:tcW w:w="1559" w:type="dxa"/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AAVS1 gRNA3</w:t>
            </w:r>
          </w:p>
        </w:tc>
        <w:tc>
          <w:tcPr>
            <w:tcW w:w="3261" w:type="dxa"/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CACCGACAGAAAAGCCCCATCCTT</w:t>
            </w:r>
          </w:p>
        </w:tc>
        <w:tc>
          <w:tcPr>
            <w:tcW w:w="3402" w:type="dxa"/>
            <w:shd w:val="clear" w:color="auto" w:fill="auto"/>
          </w:tcPr>
          <w:p w:rsidR="0090559E" w:rsidRPr="00E727CB" w:rsidRDefault="0090559E" w:rsidP="002C7568">
            <w:pPr>
              <w:spacing w:line="360" w:lineRule="exact"/>
              <w:rPr>
                <w:sz w:val="18"/>
                <w:szCs w:val="18"/>
              </w:rPr>
            </w:pPr>
            <w:r w:rsidRPr="00E727CB">
              <w:rPr>
                <w:sz w:val="18"/>
                <w:szCs w:val="18"/>
              </w:rPr>
              <w:t>AAACAAGGATGGGGCTTTTCTGTC</w:t>
            </w:r>
          </w:p>
        </w:tc>
      </w:tr>
    </w:tbl>
    <w:p w:rsidR="0090559E" w:rsidRDefault="00932446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141610</wp:posOffset>
            </wp:positionH>
            <wp:positionV relativeFrom="paragraph">
              <wp:posOffset>414020</wp:posOffset>
            </wp:positionV>
            <wp:extent cx="5274000" cy="1468800"/>
            <wp:effectExtent l="0" t="0" r="317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(CD184)-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146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559E" w:rsidRPr="0090559E" w:rsidRDefault="0090559E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FC3315" w:rsidRDefault="00ED2585" w:rsidP="00932446">
      <w:pPr>
        <w:autoSpaceDE w:val="0"/>
        <w:autoSpaceDN w:val="0"/>
        <w:adjustRightInd w:val="0"/>
        <w:spacing w:line="360" w:lineRule="auto"/>
        <w:ind w:firstLineChars="50" w:firstLine="12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Figure S1. </w:t>
      </w:r>
    </w:p>
    <w:p w:rsidR="0090559E" w:rsidRPr="00ED2585" w:rsidRDefault="00932446" w:rsidP="00932446">
      <w:pPr>
        <w:autoSpaceDE w:val="0"/>
        <w:autoSpaceDN w:val="0"/>
        <w:adjustRightInd w:val="0"/>
        <w:spacing w:line="360" w:lineRule="auto"/>
        <w:ind w:firstLineChars="50" w:firstLine="120"/>
        <w:rPr>
          <w:rFonts w:ascii="TimesNewRomanPSMT" w:hAnsi="TimesNewRomanPSMT" w:cs="TimesNewRomanPSMT" w:hint="eastAsia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A</w:t>
      </w:r>
      <w:r w:rsidR="00ED2585">
        <w:rPr>
          <w:rFonts w:ascii="TimesNewRomanPSMT" w:hAnsi="TimesNewRomanPSMT" w:cs="TimesNewRomanPSMT"/>
          <w:kern w:val="0"/>
          <w:sz w:val="24"/>
          <w:szCs w:val="24"/>
        </w:rPr>
        <w:t>mino acid sequences of anti-CD105 VHH</w:t>
      </w:r>
      <w:r>
        <w:rPr>
          <w:rFonts w:ascii="TimesNewRomanPSMT" w:hAnsi="TimesNewRomanPSMT" w:cs="TimesNewRomanPSMT"/>
          <w:kern w:val="0"/>
          <w:sz w:val="24"/>
          <w:szCs w:val="24"/>
        </w:rPr>
        <w:t>S</w:t>
      </w:r>
      <w:r w:rsidR="00ED2585">
        <w:rPr>
          <w:rFonts w:ascii="TimesNewRomanPSMT" w:hAnsi="TimesNewRomanPSMT" w:cs="TimesNewRomanPSMT"/>
          <w:kern w:val="0"/>
          <w:sz w:val="24"/>
          <w:szCs w:val="24"/>
        </w:rPr>
        <w:t xml:space="preserve"> were</w:t>
      </w:r>
      <w:r>
        <w:rPr>
          <w:rFonts w:ascii="TimesNewRomanPSMT" w:hAnsi="TimesNewRomanPSMT" w:cs="TimesNewRomanPSMT" w:hint="eastAsia"/>
          <w:kern w:val="0"/>
          <w:sz w:val="24"/>
          <w:szCs w:val="24"/>
        </w:rPr>
        <w:t xml:space="preserve"> </w:t>
      </w:r>
      <w:r w:rsidR="00ED2585">
        <w:rPr>
          <w:rFonts w:ascii="TimesNewRomanPSMT" w:hAnsi="TimesNewRomanPSMT" w:cs="TimesNewRomanPSMT"/>
          <w:kern w:val="0"/>
          <w:sz w:val="24"/>
          <w:szCs w:val="24"/>
        </w:rPr>
        <w:t>identified after the VHH genes against CD105 were selected by phage display library.</w:t>
      </w:r>
      <w:r w:rsidR="007459A5">
        <w:rPr>
          <w:rFonts w:ascii="TimesNewRomanPSMT" w:hAnsi="TimesNewRomanPSMT" w:cs="TimesNewRomanPSMT"/>
          <w:kern w:val="0"/>
          <w:sz w:val="24"/>
          <w:szCs w:val="24"/>
        </w:rPr>
        <w:t xml:space="preserve"> </w:t>
      </w:r>
      <w:r w:rsidR="00ED2585" w:rsidRPr="00ED2585">
        <w:rPr>
          <w:rFonts w:ascii="TimesNewRomanPSMT" w:hAnsi="TimesNewRomanPSMT" w:cs="TimesNewRomanPSMT"/>
          <w:kern w:val="0"/>
          <w:sz w:val="24"/>
          <w:szCs w:val="24"/>
        </w:rPr>
        <w:t>Amino acid sequence alignment of specific Nb families as classified by CDR3.</w:t>
      </w:r>
      <w:r w:rsidR="00ED2585" w:rsidRPr="00ED2585">
        <w:rPr>
          <w:rFonts w:ascii="TimesNewRomanPSMT" w:hAnsi="TimesNewRomanPSMT" w:cs="TimesNewRomanPSMT" w:hint="eastAsia"/>
          <w:kern w:val="0"/>
          <w:sz w:val="24"/>
          <w:szCs w:val="24"/>
        </w:rPr>
        <w:t xml:space="preserve"> </w:t>
      </w:r>
      <w:r w:rsidR="00ED2585" w:rsidRPr="00ED2585">
        <w:rPr>
          <w:rFonts w:ascii="TimesNewRomanPSMT" w:hAnsi="TimesNewRomanPSMT" w:cs="TimesNewRomanPSMT"/>
          <w:kern w:val="0"/>
          <w:sz w:val="24"/>
          <w:szCs w:val="24"/>
        </w:rPr>
        <w:t>Amino acids positions of the framework region (FR) and of the three antigen-binding loops (CDR1, CDR2 and CDR3) are numbered according to</w:t>
      </w:r>
      <w:r w:rsidR="00ED2585" w:rsidRPr="00ED2585">
        <w:rPr>
          <w:rFonts w:ascii="TimesNewRomanPSMT" w:hAnsi="TimesNewRomanPSMT" w:cs="TimesNewRomanPSMT" w:hint="eastAsia"/>
          <w:kern w:val="0"/>
          <w:sz w:val="24"/>
          <w:szCs w:val="24"/>
        </w:rPr>
        <w:t xml:space="preserve"> </w:t>
      </w:r>
      <w:r w:rsidR="00ED2585" w:rsidRPr="00ED2585">
        <w:rPr>
          <w:rFonts w:ascii="TimesNewRomanPSMT" w:hAnsi="TimesNewRomanPSMT" w:cs="TimesNewRomanPSMT"/>
          <w:kern w:val="0"/>
          <w:sz w:val="24"/>
          <w:szCs w:val="24"/>
        </w:rPr>
        <w:t xml:space="preserve">the IMGT </w:t>
      </w:r>
      <w:r w:rsidR="007459A5">
        <w:rPr>
          <w:rFonts w:ascii="TimesNewRomanPSMT" w:hAnsi="TimesNewRomanPSMT" w:cs="TimesNewRomanPSMT"/>
          <w:kern w:val="0"/>
          <w:sz w:val="24"/>
          <w:szCs w:val="24"/>
        </w:rPr>
        <w:t>s</w:t>
      </w:r>
      <w:r w:rsidR="00ED2585" w:rsidRPr="00ED2585">
        <w:rPr>
          <w:rFonts w:ascii="TimesNewRomanPSMT" w:hAnsi="TimesNewRomanPSMT" w:cs="TimesNewRomanPSMT"/>
          <w:kern w:val="0"/>
          <w:sz w:val="24"/>
          <w:szCs w:val="24"/>
        </w:rPr>
        <w:t>cientific chart for the V-Domain and are indicated at bottom.</w:t>
      </w:r>
    </w:p>
    <w:p w:rsidR="0090559E" w:rsidRPr="007459A5" w:rsidRDefault="0090559E" w:rsidP="00ED2585">
      <w:pPr>
        <w:spacing w:line="360" w:lineRule="auto"/>
        <w:ind w:leftChars="50" w:left="105"/>
        <w:rPr>
          <w:b/>
          <w:sz w:val="24"/>
          <w:szCs w:val="24"/>
        </w:rPr>
      </w:pPr>
    </w:p>
    <w:p w:rsidR="0090559E" w:rsidRDefault="0090559E" w:rsidP="00ED2585">
      <w:pPr>
        <w:spacing w:line="360" w:lineRule="auto"/>
        <w:ind w:leftChars="50" w:left="105"/>
        <w:rPr>
          <w:b/>
          <w:sz w:val="24"/>
          <w:szCs w:val="24"/>
        </w:rPr>
      </w:pPr>
    </w:p>
    <w:p w:rsidR="0090559E" w:rsidRDefault="0090559E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90559E" w:rsidRDefault="0090559E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90559E" w:rsidRDefault="0090559E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90559E" w:rsidRDefault="0090559E" w:rsidP="00D30035">
      <w:pPr>
        <w:spacing w:line="360" w:lineRule="exact"/>
        <w:ind w:leftChars="50" w:left="346" w:hangingChars="100" w:hanging="241"/>
        <w:rPr>
          <w:b/>
          <w:sz w:val="24"/>
          <w:szCs w:val="24"/>
        </w:rPr>
      </w:pPr>
    </w:p>
    <w:p w:rsidR="00ED2585" w:rsidRDefault="00F55BF7" w:rsidP="00F37E07">
      <w:pPr>
        <w:spacing w:line="360" w:lineRule="auto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274310" cy="31324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315" w:rsidRDefault="00383FE8" w:rsidP="00F37E07">
      <w:pPr>
        <w:spacing w:line="360" w:lineRule="auto"/>
        <w:rPr>
          <w:b/>
          <w:sz w:val="24"/>
          <w:szCs w:val="24"/>
        </w:rPr>
      </w:pPr>
      <w:r w:rsidRPr="00424A68">
        <w:rPr>
          <w:b/>
          <w:noProof/>
          <w:sz w:val="24"/>
          <w:szCs w:val="24"/>
        </w:rPr>
        <w:t>Figure</w:t>
      </w:r>
      <w:r>
        <w:rPr>
          <w:b/>
          <w:noProof/>
          <w:sz w:val="24"/>
          <w:szCs w:val="24"/>
        </w:rPr>
        <w:t xml:space="preserve"> </w:t>
      </w:r>
      <w:r w:rsidR="00CB67FD">
        <w:rPr>
          <w:b/>
          <w:noProof/>
          <w:sz w:val="24"/>
          <w:szCs w:val="24"/>
        </w:rPr>
        <w:t>S</w:t>
      </w:r>
      <w:r w:rsidR="00ED2585">
        <w:rPr>
          <w:b/>
          <w:noProof/>
          <w:sz w:val="24"/>
          <w:szCs w:val="24"/>
        </w:rPr>
        <w:t>2</w:t>
      </w:r>
      <w:r w:rsidR="00F37E07" w:rsidRPr="00E727CB">
        <w:rPr>
          <w:b/>
          <w:sz w:val="24"/>
          <w:szCs w:val="24"/>
        </w:rPr>
        <w:t xml:space="preserve">. </w:t>
      </w:r>
    </w:p>
    <w:p w:rsidR="006301E8" w:rsidRPr="00940CE0" w:rsidRDefault="00F37E07" w:rsidP="00F37E07">
      <w:pPr>
        <w:spacing w:line="360" w:lineRule="auto"/>
        <w:rPr>
          <w:sz w:val="24"/>
          <w:szCs w:val="24"/>
        </w:rPr>
      </w:pPr>
      <w:r w:rsidRPr="00E727CB">
        <w:rPr>
          <w:b/>
          <w:sz w:val="24"/>
          <w:szCs w:val="24"/>
        </w:rPr>
        <w:t>Generation of anti-CD105 CAR-T cells.</w:t>
      </w:r>
      <w:r w:rsidRPr="00E727CB">
        <w:rPr>
          <w:sz w:val="24"/>
          <w:szCs w:val="24"/>
        </w:rPr>
        <w:t xml:space="preserve"> (</w:t>
      </w:r>
      <w:r w:rsidR="001621F1">
        <w:rPr>
          <w:sz w:val="24"/>
          <w:szCs w:val="24"/>
        </w:rPr>
        <w:t>a</w:t>
      </w:r>
      <w:r w:rsidRPr="00E727CB">
        <w:rPr>
          <w:sz w:val="24"/>
          <w:szCs w:val="24"/>
        </w:rPr>
        <w:t xml:space="preserve">) PCR-based amplification of fragments containing gRNA targets to produce a fragment size of approximately 500 bp. </w:t>
      </w:r>
      <w:r w:rsidR="004D5F4C" w:rsidRPr="004426EC">
        <w:rPr>
          <w:sz w:val="24"/>
          <w:szCs w:val="24"/>
        </w:rPr>
        <w:t>(</w:t>
      </w:r>
      <w:r w:rsidR="001621F1">
        <w:rPr>
          <w:sz w:val="24"/>
          <w:szCs w:val="24"/>
        </w:rPr>
        <w:t>b</w:t>
      </w:r>
      <w:r w:rsidR="004D5F4C" w:rsidRPr="004426EC">
        <w:rPr>
          <w:sz w:val="24"/>
          <w:szCs w:val="24"/>
        </w:rPr>
        <w:t>) T7E1</w:t>
      </w:r>
      <w:r w:rsidR="004D5F4C">
        <w:rPr>
          <w:sz w:val="24"/>
          <w:szCs w:val="24"/>
        </w:rPr>
        <w:t xml:space="preserve"> </w:t>
      </w:r>
      <w:r w:rsidR="004D5F4C" w:rsidRPr="004426EC">
        <w:rPr>
          <w:sz w:val="24"/>
          <w:szCs w:val="24"/>
        </w:rPr>
        <w:t>assay indicates that gRNA has a targeted knockout for the AAVS1 locus, Lanes 1-3</w:t>
      </w:r>
      <w:r w:rsidR="004D5F4C">
        <w:rPr>
          <w:sz w:val="24"/>
          <w:szCs w:val="24"/>
        </w:rPr>
        <w:t>,</w:t>
      </w:r>
      <w:r w:rsidR="004D5F4C" w:rsidRPr="004426EC">
        <w:rPr>
          <w:sz w:val="24"/>
          <w:szCs w:val="24"/>
        </w:rPr>
        <w:t xml:space="preserve"> </w:t>
      </w:r>
      <w:r w:rsidR="004D5F4C">
        <w:rPr>
          <w:sz w:val="24"/>
          <w:szCs w:val="24"/>
        </w:rPr>
        <w:t>t</w:t>
      </w:r>
      <w:r w:rsidR="004D5F4C" w:rsidRPr="00200B98">
        <w:rPr>
          <w:rFonts w:hint="eastAsia"/>
          <w:sz w:val="24"/>
          <w:szCs w:val="24"/>
        </w:rPr>
        <w:t xml:space="preserve">he </w:t>
      </w:r>
      <w:r w:rsidR="004D5F4C" w:rsidRPr="004426EC">
        <w:rPr>
          <w:sz w:val="24"/>
          <w:szCs w:val="24"/>
        </w:rPr>
        <w:t>T7E1</w:t>
      </w:r>
      <w:r w:rsidR="004D5F4C">
        <w:rPr>
          <w:sz w:val="24"/>
          <w:szCs w:val="24"/>
        </w:rPr>
        <w:t xml:space="preserve"> </w:t>
      </w:r>
      <w:r w:rsidR="004D5F4C" w:rsidRPr="00200B98">
        <w:rPr>
          <w:rFonts w:hint="eastAsia"/>
          <w:sz w:val="24"/>
          <w:szCs w:val="24"/>
        </w:rPr>
        <w:t>d</w:t>
      </w:r>
      <w:r w:rsidR="004D5F4C">
        <w:rPr>
          <w:rFonts w:hint="eastAsia"/>
          <w:sz w:val="24"/>
          <w:szCs w:val="24"/>
        </w:rPr>
        <w:t xml:space="preserve">igestion generated </w:t>
      </w:r>
      <w:r w:rsidR="004D5F4C" w:rsidRPr="00200B98">
        <w:rPr>
          <w:rFonts w:hint="eastAsia"/>
          <w:sz w:val="24"/>
          <w:szCs w:val="24"/>
        </w:rPr>
        <w:t>two anticipated fragments</w:t>
      </w:r>
      <w:r w:rsidR="004D5F4C" w:rsidRPr="004426EC">
        <w:rPr>
          <w:sz w:val="24"/>
          <w:szCs w:val="24"/>
        </w:rPr>
        <w:t>, but not in lanes 4-5</w:t>
      </w:r>
      <w:r w:rsidR="004D5F4C">
        <w:rPr>
          <w:sz w:val="24"/>
          <w:szCs w:val="24"/>
        </w:rPr>
        <w:t xml:space="preserve"> without </w:t>
      </w:r>
      <w:r w:rsidR="004D5F4C" w:rsidRPr="00652E47">
        <w:rPr>
          <w:sz w:val="24"/>
          <w:szCs w:val="24"/>
        </w:rPr>
        <w:t>pX330-sgRNAs vectors</w:t>
      </w:r>
      <w:r w:rsidR="004D5F4C">
        <w:rPr>
          <w:sz w:val="24"/>
          <w:szCs w:val="24"/>
        </w:rPr>
        <w:t xml:space="preserve"> transfection</w:t>
      </w:r>
      <w:r w:rsidR="004D5F4C" w:rsidRPr="004426EC">
        <w:rPr>
          <w:sz w:val="24"/>
          <w:szCs w:val="24"/>
        </w:rPr>
        <w:t>, and the lanes 6-10 without T7E1 as negative controls. (</w:t>
      </w:r>
      <w:r w:rsidR="001621F1">
        <w:rPr>
          <w:sz w:val="24"/>
          <w:szCs w:val="24"/>
        </w:rPr>
        <w:t>c</w:t>
      </w:r>
      <w:r w:rsidR="004D5F4C" w:rsidRPr="004426EC">
        <w:rPr>
          <w:sz w:val="24"/>
          <w:szCs w:val="24"/>
        </w:rPr>
        <w:t xml:space="preserve">) The </w:t>
      </w:r>
      <w:r w:rsidR="004D5F4C">
        <w:rPr>
          <w:kern w:val="0"/>
          <w:sz w:val="24"/>
          <w:szCs w:val="24"/>
        </w:rPr>
        <w:t>inserted h</w:t>
      </w:r>
      <w:r w:rsidR="004D5F4C" w:rsidRPr="00200B98">
        <w:rPr>
          <w:kern w:val="0"/>
          <w:sz w:val="24"/>
          <w:szCs w:val="24"/>
        </w:rPr>
        <w:t>omologous recombination</w:t>
      </w:r>
      <w:r w:rsidR="004D5F4C">
        <w:rPr>
          <w:kern w:val="0"/>
          <w:sz w:val="24"/>
          <w:szCs w:val="24"/>
        </w:rPr>
        <w:t xml:space="preserve"> genes (</w:t>
      </w:r>
      <w:r w:rsidR="004D5F4C" w:rsidRPr="001D79DD">
        <w:rPr>
          <w:kern w:val="0"/>
          <w:sz w:val="24"/>
          <w:szCs w:val="24"/>
        </w:rPr>
        <w:t>Mock, CD19 CAR</w:t>
      </w:r>
      <w:r w:rsidR="004D5F4C">
        <w:rPr>
          <w:kern w:val="0"/>
          <w:sz w:val="24"/>
          <w:szCs w:val="24"/>
        </w:rPr>
        <w:t xml:space="preserve"> </w:t>
      </w:r>
      <w:r w:rsidR="004D5F4C" w:rsidRPr="001D79DD">
        <w:rPr>
          <w:kern w:val="0"/>
          <w:sz w:val="24"/>
          <w:szCs w:val="24"/>
        </w:rPr>
        <w:t>or CD105</w:t>
      </w:r>
      <w:r w:rsidR="004D5F4C">
        <w:rPr>
          <w:kern w:val="0"/>
          <w:sz w:val="24"/>
          <w:szCs w:val="24"/>
        </w:rPr>
        <w:t xml:space="preserve"> </w:t>
      </w:r>
      <w:r w:rsidR="004D5F4C" w:rsidRPr="001D79DD">
        <w:rPr>
          <w:kern w:val="0"/>
          <w:sz w:val="24"/>
          <w:szCs w:val="24"/>
        </w:rPr>
        <w:t>CAR</w:t>
      </w:r>
      <w:r w:rsidR="004D5F4C">
        <w:rPr>
          <w:kern w:val="0"/>
          <w:sz w:val="24"/>
          <w:szCs w:val="24"/>
        </w:rPr>
        <w:t xml:space="preserve">) </w:t>
      </w:r>
      <w:r w:rsidR="004D5F4C" w:rsidRPr="004426EC">
        <w:rPr>
          <w:sz w:val="24"/>
          <w:szCs w:val="24"/>
        </w:rPr>
        <w:t xml:space="preserve">in T cells after electroporation was detected by PCR. </w:t>
      </w:r>
      <w:r w:rsidR="00600DF5" w:rsidRPr="004426EC">
        <w:rPr>
          <w:sz w:val="24"/>
          <w:szCs w:val="24"/>
        </w:rPr>
        <w:t xml:space="preserve"> Identification of the Mock ,CD19 CAR, CD105 CAR fragments are </w:t>
      </w:r>
      <w:r w:rsidR="00600DF5" w:rsidRPr="00BE2441">
        <w:rPr>
          <w:sz w:val="24"/>
          <w:szCs w:val="24"/>
        </w:rPr>
        <w:t>approximately</w:t>
      </w:r>
      <w:r w:rsidR="00600DF5">
        <w:rPr>
          <w:sz w:val="24"/>
          <w:szCs w:val="24"/>
        </w:rPr>
        <w:t xml:space="preserve"> </w:t>
      </w:r>
      <w:r w:rsidR="00600DF5" w:rsidRPr="004426EC">
        <w:rPr>
          <w:sz w:val="24"/>
          <w:szCs w:val="24"/>
        </w:rPr>
        <w:t>7</w:t>
      </w:r>
      <w:r w:rsidR="00600DF5">
        <w:rPr>
          <w:sz w:val="24"/>
          <w:szCs w:val="24"/>
        </w:rPr>
        <w:t>40</w:t>
      </w:r>
      <w:r w:rsidR="00600DF5" w:rsidRPr="004426EC">
        <w:rPr>
          <w:sz w:val="24"/>
          <w:szCs w:val="24"/>
        </w:rPr>
        <w:t xml:space="preserve"> bp, 14</w:t>
      </w:r>
      <w:r w:rsidR="00600DF5">
        <w:rPr>
          <w:sz w:val="24"/>
          <w:szCs w:val="24"/>
        </w:rPr>
        <w:t>60</w:t>
      </w:r>
      <w:r w:rsidR="00600DF5" w:rsidRPr="004426EC">
        <w:rPr>
          <w:sz w:val="24"/>
          <w:szCs w:val="24"/>
        </w:rPr>
        <w:t xml:space="preserve"> bp and 1</w:t>
      </w:r>
      <w:r w:rsidR="00600DF5">
        <w:rPr>
          <w:sz w:val="24"/>
          <w:szCs w:val="24"/>
        </w:rPr>
        <w:t>100</w:t>
      </w:r>
      <w:r w:rsidR="00600DF5" w:rsidRPr="004426EC">
        <w:rPr>
          <w:sz w:val="24"/>
          <w:szCs w:val="24"/>
        </w:rPr>
        <w:t xml:space="preserve"> bp, respectively. M: 2000 bp marker; </w:t>
      </w:r>
      <w:r w:rsidR="00600DF5">
        <w:rPr>
          <w:sz w:val="24"/>
          <w:szCs w:val="24"/>
        </w:rPr>
        <w:t>1</w:t>
      </w:r>
      <w:r w:rsidR="00600DF5" w:rsidRPr="004426EC">
        <w:rPr>
          <w:sz w:val="24"/>
          <w:szCs w:val="24"/>
        </w:rPr>
        <w:t>:</w:t>
      </w:r>
      <w:r w:rsidR="00600DF5">
        <w:rPr>
          <w:sz w:val="24"/>
          <w:szCs w:val="24"/>
        </w:rPr>
        <w:t xml:space="preserve"> Utd;</w:t>
      </w:r>
      <w:r w:rsidR="00C362F4">
        <w:rPr>
          <w:sz w:val="24"/>
          <w:szCs w:val="24"/>
        </w:rPr>
        <w:t xml:space="preserve"> </w:t>
      </w:r>
      <w:r w:rsidR="00600DF5">
        <w:rPr>
          <w:sz w:val="24"/>
          <w:szCs w:val="24"/>
        </w:rPr>
        <w:t>2</w:t>
      </w:r>
      <w:r w:rsidR="00600DF5" w:rsidRPr="004426EC">
        <w:rPr>
          <w:sz w:val="24"/>
          <w:szCs w:val="24"/>
        </w:rPr>
        <w:t xml:space="preserve">: Mock; </w:t>
      </w:r>
      <w:r w:rsidR="00600DF5">
        <w:rPr>
          <w:sz w:val="24"/>
          <w:szCs w:val="24"/>
        </w:rPr>
        <w:t>3</w:t>
      </w:r>
      <w:r w:rsidR="00600DF5" w:rsidRPr="004426EC">
        <w:rPr>
          <w:sz w:val="24"/>
          <w:szCs w:val="24"/>
        </w:rPr>
        <w:t xml:space="preserve">: CD19 CAR; </w:t>
      </w:r>
      <w:r w:rsidR="00600DF5">
        <w:rPr>
          <w:sz w:val="24"/>
          <w:szCs w:val="24"/>
        </w:rPr>
        <w:t>4</w:t>
      </w:r>
      <w:r w:rsidR="00600DF5" w:rsidRPr="004426EC">
        <w:rPr>
          <w:sz w:val="24"/>
          <w:szCs w:val="24"/>
        </w:rPr>
        <w:t xml:space="preserve">: CD105 CAR. </w:t>
      </w:r>
      <w:r w:rsidRPr="00E727CB">
        <w:rPr>
          <w:sz w:val="24"/>
          <w:szCs w:val="24"/>
        </w:rPr>
        <w:t xml:space="preserve"> (</w:t>
      </w:r>
      <w:r w:rsidR="001621F1">
        <w:rPr>
          <w:sz w:val="24"/>
          <w:szCs w:val="24"/>
        </w:rPr>
        <w:t>d</w:t>
      </w:r>
      <w:r w:rsidRPr="00E727CB">
        <w:rPr>
          <w:sz w:val="24"/>
          <w:szCs w:val="24"/>
        </w:rPr>
        <w:t>) CD8</w:t>
      </w:r>
      <w:r w:rsidRPr="00E727CB">
        <w:rPr>
          <w:sz w:val="24"/>
          <w:szCs w:val="24"/>
          <w:vertAlign w:val="superscript"/>
        </w:rPr>
        <w:t>+</w:t>
      </w:r>
      <w:r w:rsidRPr="00E727CB">
        <w:rPr>
          <w:sz w:val="24"/>
          <w:szCs w:val="24"/>
        </w:rPr>
        <w:t xml:space="preserve"> and CD4</w:t>
      </w:r>
      <w:r w:rsidRPr="00E727CB">
        <w:rPr>
          <w:sz w:val="24"/>
          <w:szCs w:val="24"/>
          <w:vertAlign w:val="superscript"/>
        </w:rPr>
        <w:t>+</w:t>
      </w:r>
      <w:r w:rsidRPr="00E727CB">
        <w:rPr>
          <w:sz w:val="24"/>
          <w:szCs w:val="24"/>
        </w:rPr>
        <w:t xml:space="preserve"> CAR T cell ratios were detected by flow cytometry. There is no significant difference in the percentages of CD8</w:t>
      </w:r>
      <w:r w:rsidRPr="00E727CB">
        <w:rPr>
          <w:sz w:val="24"/>
          <w:szCs w:val="24"/>
          <w:vertAlign w:val="superscript"/>
        </w:rPr>
        <w:t xml:space="preserve">+ </w:t>
      </w:r>
      <w:r w:rsidRPr="00E727CB">
        <w:rPr>
          <w:sz w:val="24"/>
          <w:szCs w:val="24"/>
        </w:rPr>
        <w:t>and CD4</w:t>
      </w:r>
      <w:r w:rsidRPr="00E727CB">
        <w:rPr>
          <w:sz w:val="24"/>
          <w:szCs w:val="24"/>
          <w:vertAlign w:val="superscript"/>
        </w:rPr>
        <w:t xml:space="preserve">+ </w:t>
      </w:r>
      <w:r w:rsidRPr="00E727CB">
        <w:rPr>
          <w:sz w:val="24"/>
          <w:szCs w:val="24"/>
        </w:rPr>
        <w:t xml:space="preserve">T </w:t>
      </w:r>
      <w:r w:rsidRPr="00E727CB">
        <w:rPr>
          <w:rFonts w:ascii="TimesNewRomanPSMT" w:hAnsi="TimesNewRomanPSMT"/>
          <w:sz w:val="24"/>
          <w:szCs w:val="24"/>
        </w:rPr>
        <w:t xml:space="preserve">cells </w:t>
      </w:r>
      <w:r w:rsidRPr="00E727CB">
        <w:rPr>
          <w:sz w:val="24"/>
          <w:szCs w:val="24"/>
        </w:rPr>
        <w:t>among CD105 CAR, CD19 CAR, Mock and Utd T cells.</w:t>
      </w:r>
    </w:p>
    <w:p w:rsidR="006301E8" w:rsidRDefault="006301E8" w:rsidP="00F37E07">
      <w:pPr>
        <w:spacing w:line="360" w:lineRule="auto"/>
        <w:rPr>
          <w:sz w:val="24"/>
          <w:szCs w:val="24"/>
        </w:rPr>
      </w:pPr>
    </w:p>
    <w:p w:rsidR="00CB67FD" w:rsidRDefault="00CB67FD" w:rsidP="00F37E07">
      <w:pPr>
        <w:spacing w:line="360" w:lineRule="auto"/>
        <w:rPr>
          <w:b/>
          <w:noProof/>
          <w:sz w:val="24"/>
          <w:szCs w:val="24"/>
        </w:rPr>
      </w:pPr>
    </w:p>
    <w:p w:rsidR="00ED2585" w:rsidRDefault="00ED2585" w:rsidP="00F37E07">
      <w:pPr>
        <w:spacing w:line="360" w:lineRule="auto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4736592" cy="3224784"/>
            <wp:effectExtent l="0" t="0" r="698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3-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6592" cy="322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315" w:rsidRDefault="00383FE8" w:rsidP="00F37E07">
      <w:pPr>
        <w:spacing w:line="360" w:lineRule="auto"/>
        <w:rPr>
          <w:b/>
          <w:sz w:val="24"/>
          <w:szCs w:val="24"/>
        </w:rPr>
      </w:pPr>
      <w:r w:rsidRPr="00424A68">
        <w:rPr>
          <w:b/>
          <w:noProof/>
          <w:sz w:val="24"/>
          <w:szCs w:val="24"/>
        </w:rPr>
        <w:t>Figure</w:t>
      </w:r>
      <w:r>
        <w:rPr>
          <w:b/>
          <w:noProof/>
          <w:sz w:val="24"/>
          <w:szCs w:val="24"/>
        </w:rPr>
        <w:t xml:space="preserve"> </w:t>
      </w:r>
      <w:r w:rsidR="00CB67FD">
        <w:rPr>
          <w:b/>
          <w:noProof/>
          <w:sz w:val="24"/>
          <w:szCs w:val="24"/>
        </w:rPr>
        <w:t>S</w:t>
      </w:r>
      <w:r w:rsidR="00ED2585">
        <w:rPr>
          <w:b/>
          <w:noProof/>
          <w:sz w:val="24"/>
          <w:szCs w:val="24"/>
        </w:rPr>
        <w:t>3</w:t>
      </w:r>
      <w:r>
        <w:rPr>
          <w:b/>
          <w:noProof/>
          <w:sz w:val="24"/>
          <w:szCs w:val="24"/>
        </w:rPr>
        <w:t>.</w:t>
      </w:r>
      <w:r w:rsidR="006301E8">
        <w:rPr>
          <w:b/>
          <w:sz w:val="24"/>
          <w:szCs w:val="24"/>
        </w:rPr>
        <w:t xml:space="preserve"> </w:t>
      </w:r>
    </w:p>
    <w:p w:rsidR="006301E8" w:rsidRDefault="006301E8" w:rsidP="00F37E07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Expression of CD105 on tumor cells and </w:t>
      </w:r>
      <w:r w:rsidRPr="006301E8">
        <w:rPr>
          <w:b/>
          <w:sz w:val="24"/>
          <w:szCs w:val="24"/>
        </w:rPr>
        <w:t>Human umbilical vein endothelial cells</w:t>
      </w:r>
      <w:r>
        <w:rPr>
          <w:rFonts w:hint="eastAsia"/>
          <w:sz w:val="24"/>
          <w:szCs w:val="24"/>
        </w:rPr>
        <w:t xml:space="preserve">. </w:t>
      </w:r>
      <w:r w:rsidRPr="00E727CB">
        <w:rPr>
          <w:sz w:val="24"/>
          <w:szCs w:val="24"/>
        </w:rPr>
        <w:t xml:space="preserve">Representative histograms of surface CD105 expression (red line) on various human HCC cells </w:t>
      </w:r>
      <w:r>
        <w:rPr>
          <w:sz w:val="24"/>
          <w:szCs w:val="24"/>
        </w:rPr>
        <w:t xml:space="preserve">and normal cells </w:t>
      </w:r>
      <w:r w:rsidRPr="00E727CB">
        <w:rPr>
          <w:sz w:val="24"/>
          <w:szCs w:val="24"/>
        </w:rPr>
        <w:t>detected by flow cytometry and isotype control (filled blue histograms).</w:t>
      </w:r>
      <w:r w:rsidRPr="006301E8">
        <w:rPr>
          <w:sz w:val="24"/>
        </w:rPr>
        <w:t xml:space="preserve"> </w:t>
      </w:r>
      <w:r w:rsidRPr="00E727CB">
        <w:rPr>
          <w:sz w:val="24"/>
        </w:rPr>
        <w:t>CD105 was highly expressed on the surface of Bel7404, HepG2, SM</w:t>
      </w:r>
      <w:r w:rsidR="00383FE8">
        <w:rPr>
          <w:sz w:val="24"/>
        </w:rPr>
        <w:t>M</w:t>
      </w:r>
      <w:r w:rsidRPr="00E727CB">
        <w:rPr>
          <w:sz w:val="24"/>
        </w:rPr>
        <w:t>C7721 and HUVEC cells, but little on MHCC97H cells</w:t>
      </w:r>
      <w:r>
        <w:rPr>
          <w:sz w:val="24"/>
        </w:rPr>
        <w:t xml:space="preserve"> and no expressed on 293T cells.</w:t>
      </w:r>
      <w:r w:rsidRPr="006301E8">
        <w:rPr>
          <w:sz w:val="24"/>
          <w:szCs w:val="24"/>
        </w:rPr>
        <w:t xml:space="preserve"> </w:t>
      </w:r>
      <w:r w:rsidRPr="00E727CB">
        <w:rPr>
          <w:sz w:val="24"/>
          <w:szCs w:val="24"/>
        </w:rPr>
        <w:t xml:space="preserve">Data are representative </w:t>
      </w:r>
      <w:r>
        <w:rPr>
          <w:sz w:val="24"/>
          <w:szCs w:val="24"/>
        </w:rPr>
        <w:t>s</w:t>
      </w:r>
      <w:r w:rsidRPr="006301E8">
        <w:rPr>
          <w:sz w:val="24"/>
          <w:szCs w:val="24"/>
        </w:rPr>
        <w:t>treaming diagram</w:t>
      </w:r>
      <w:r>
        <w:rPr>
          <w:sz w:val="24"/>
          <w:szCs w:val="24"/>
        </w:rPr>
        <w:t xml:space="preserve"> </w:t>
      </w:r>
      <w:r w:rsidRPr="00E727CB">
        <w:rPr>
          <w:sz w:val="24"/>
          <w:szCs w:val="24"/>
        </w:rPr>
        <w:t>from three separate experiments</w:t>
      </w:r>
      <w:r>
        <w:rPr>
          <w:sz w:val="24"/>
          <w:szCs w:val="24"/>
        </w:rPr>
        <w:t>.</w:t>
      </w:r>
    </w:p>
    <w:p w:rsidR="00F37E07" w:rsidRPr="00E727CB" w:rsidRDefault="003F2379" w:rsidP="00F37E07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4310" cy="389509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315" w:rsidRDefault="00383FE8" w:rsidP="00F37E07">
      <w:pPr>
        <w:spacing w:line="360" w:lineRule="auto"/>
        <w:rPr>
          <w:b/>
          <w:sz w:val="24"/>
          <w:szCs w:val="24"/>
        </w:rPr>
      </w:pPr>
      <w:r w:rsidRPr="00424A68">
        <w:rPr>
          <w:b/>
          <w:noProof/>
          <w:sz w:val="24"/>
          <w:szCs w:val="24"/>
        </w:rPr>
        <w:t>Figure</w:t>
      </w:r>
      <w:r>
        <w:rPr>
          <w:b/>
          <w:noProof/>
          <w:sz w:val="24"/>
          <w:szCs w:val="24"/>
        </w:rPr>
        <w:t xml:space="preserve"> </w:t>
      </w:r>
      <w:r w:rsidR="00CB67FD">
        <w:rPr>
          <w:b/>
          <w:noProof/>
          <w:sz w:val="24"/>
          <w:szCs w:val="24"/>
        </w:rPr>
        <w:t>S</w:t>
      </w:r>
      <w:r w:rsidR="00ED2585">
        <w:rPr>
          <w:b/>
          <w:noProof/>
          <w:sz w:val="24"/>
          <w:szCs w:val="24"/>
        </w:rPr>
        <w:t>4</w:t>
      </w:r>
      <w:r w:rsidR="00F37E07" w:rsidRPr="00E727CB">
        <w:rPr>
          <w:b/>
          <w:sz w:val="24"/>
          <w:szCs w:val="24"/>
        </w:rPr>
        <w:t xml:space="preserve">. </w:t>
      </w:r>
    </w:p>
    <w:p w:rsidR="00222EDD" w:rsidRDefault="00F37E07" w:rsidP="00F37E07">
      <w:pPr>
        <w:spacing w:line="360" w:lineRule="auto"/>
        <w:rPr>
          <w:noProof/>
          <w:sz w:val="24"/>
          <w:szCs w:val="24"/>
        </w:rPr>
      </w:pPr>
      <w:r w:rsidRPr="00E727CB">
        <w:rPr>
          <w:b/>
          <w:sz w:val="24"/>
          <w:szCs w:val="24"/>
        </w:rPr>
        <w:t xml:space="preserve">Treatment with anti-CD105 CAR T cells </w:t>
      </w:r>
      <w:r w:rsidR="00940CE0" w:rsidRPr="00E727CB">
        <w:rPr>
          <w:b/>
          <w:sz w:val="24"/>
          <w:szCs w:val="24"/>
        </w:rPr>
        <w:t>decreased the proliferation of tumor</w:t>
      </w:r>
      <w:r w:rsidR="00940CE0">
        <w:rPr>
          <w:b/>
          <w:sz w:val="24"/>
          <w:szCs w:val="24"/>
        </w:rPr>
        <w:t xml:space="preserve"> </w:t>
      </w:r>
      <w:r w:rsidR="00940CE0" w:rsidRPr="00E727CB">
        <w:rPr>
          <w:b/>
          <w:sz w:val="24"/>
          <w:szCs w:val="24"/>
        </w:rPr>
        <w:t xml:space="preserve">cells </w:t>
      </w:r>
      <w:r w:rsidR="00940CE0">
        <w:rPr>
          <w:b/>
          <w:sz w:val="24"/>
          <w:szCs w:val="24"/>
        </w:rPr>
        <w:t xml:space="preserve">and </w:t>
      </w:r>
      <w:r w:rsidRPr="00E727CB">
        <w:rPr>
          <w:b/>
          <w:sz w:val="24"/>
          <w:szCs w:val="24"/>
        </w:rPr>
        <w:t>enhanced the Bax expression in tumor tissues.</w:t>
      </w:r>
      <w:r w:rsidRPr="00E727CB">
        <w:rPr>
          <w:sz w:val="24"/>
          <w:szCs w:val="24"/>
        </w:rPr>
        <w:t xml:space="preserve"> </w:t>
      </w:r>
      <w:r w:rsidR="00940CE0" w:rsidRPr="00E727CB">
        <w:rPr>
          <w:sz w:val="24"/>
          <w:szCs w:val="24"/>
        </w:rPr>
        <w:t>(</w:t>
      </w:r>
      <w:r w:rsidR="001621F1">
        <w:rPr>
          <w:sz w:val="24"/>
          <w:szCs w:val="24"/>
        </w:rPr>
        <w:t>a</w:t>
      </w:r>
      <w:r w:rsidR="00940CE0" w:rsidRPr="00E727CB">
        <w:rPr>
          <w:sz w:val="24"/>
          <w:szCs w:val="24"/>
        </w:rPr>
        <w:t>)Immunohistochemistry analysis of tumor cell proliferation. The different groups of tumor sections were characterized by immunohistochemistry using anti-Ki67 antibodies</w:t>
      </w:r>
      <w:r w:rsidR="009C7F55" w:rsidRPr="00E727CB">
        <w:rPr>
          <w:sz w:val="24"/>
          <w:szCs w:val="24"/>
        </w:rPr>
        <w:t xml:space="preserve"> </w:t>
      </w:r>
      <w:r w:rsidR="009C7F55">
        <w:rPr>
          <w:sz w:val="24"/>
          <w:szCs w:val="24"/>
        </w:rPr>
        <w:t xml:space="preserve">for </w:t>
      </w:r>
      <w:r w:rsidR="009C7F55" w:rsidRPr="00E727CB">
        <w:rPr>
          <w:sz w:val="24"/>
          <w:szCs w:val="24"/>
        </w:rPr>
        <w:t>tumor cell proliferation</w:t>
      </w:r>
      <w:r w:rsidR="009C7F55">
        <w:rPr>
          <w:sz w:val="24"/>
          <w:szCs w:val="24"/>
        </w:rPr>
        <w:t xml:space="preserve"> and</w:t>
      </w:r>
      <w:r w:rsidR="009C7F55" w:rsidRPr="009C7F55">
        <w:rPr>
          <w:sz w:val="24"/>
          <w:szCs w:val="24"/>
        </w:rPr>
        <w:t xml:space="preserve"> </w:t>
      </w:r>
      <w:r w:rsidR="009C7F55" w:rsidRPr="00E727CB">
        <w:rPr>
          <w:sz w:val="24"/>
          <w:szCs w:val="24"/>
        </w:rPr>
        <w:t xml:space="preserve">using </w:t>
      </w:r>
      <w:r w:rsidR="009C7F55">
        <w:rPr>
          <w:sz w:val="24"/>
          <w:szCs w:val="24"/>
        </w:rPr>
        <w:t xml:space="preserve">anti-Bax antibody for </w:t>
      </w:r>
      <w:r w:rsidR="009C7F55" w:rsidRPr="00E727CB">
        <w:rPr>
          <w:sz w:val="24"/>
          <w:szCs w:val="24"/>
        </w:rPr>
        <w:t>Bax expression</w:t>
      </w:r>
      <w:r w:rsidR="00940CE0" w:rsidRPr="00E727CB">
        <w:rPr>
          <w:sz w:val="24"/>
          <w:szCs w:val="24"/>
        </w:rPr>
        <w:t>. (</w:t>
      </w:r>
      <w:r w:rsidR="001621F1">
        <w:rPr>
          <w:sz w:val="24"/>
          <w:szCs w:val="24"/>
        </w:rPr>
        <w:t>b</w:t>
      </w:r>
      <w:r w:rsidR="00940CE0" w:rsidRPr="00E727CB">
        <w:rPr>
          <w:sz w:val="24"/>
          <w:szCs w:val="24"/>
        </w:rPr>
        <w:t xml:space="preserve">)Quantitative analysis of </w:t>
      </w:r>
      <w:r w:rsidR="00940CE0" w:rsidRPr="00E727CB">
        <w:rPr>
          <w:rFonts w:hint="eastAsia"/>
          <w:sz w:val="24"/>
          <w:szCs w:val="24"/>
        </w:rPr>
        <w:t>Ki67</w:t>
      </w:r>
      <w:r w:rsidR="00940CE0" w:rsidRPr="00E727CB">
        <w:rPr>
          <w:rFonts w:hint="eastAsia"/>
          <w:sz w:val="24"/>
          <w:szCs w:val="24"/>
          <w:vertAlign w:val="superscript"/>
        </w:rPr>
        <w:t>+</w:t>
      </w:r>
      <w:r w:rsidR="00940CE0" w:rsidRPr="00E727CB">
        <w:rPr>
          <w:rFonts w:hint="eastAsia"/>
          <w:sz w:val="24"/>
          <w:szCs w:val="24"/>
        </w:rPr>
        <w:t xml:space="preserve"> proliferative tumor cells</w:t>
      </w:r>
      <w:r w:rsidR="00940CE0" w:rsidRPr="00E727CB">
        <w:rPr>
          <w:sz w:val="24"/>
          <w:szCs w:val="24"/>
        </w:rPr>
        <w:t xml:space="preserve">. </w:t>
      </w:r>
      <w:r w:rsidRPr="00E727CB">
        <w:rPr>
          <w:rFonts w:hint="eastAsia"/>
          <w:sz w:val="24"/>
          <w:szCs w:val="24"/>
        </w:rPr>
        <w:t>(</w:t>
      </w:r>
      <w:r w:rsidR="001621F1">
        <w:rPr>
          <w:sz w:val="24"/>
          <w:szCs w:val="24"/>
        </w:rPr>
        <w:t>c</w:t>
      </w:r>
      <w:r w:rsidRPr="00E727CB">
        <w:rPr>
          <w:rFonts w:hint="eastAsia"/>
          <w:sz w:val="24"/>
          <w:szCs w:val="24"/>
        </w:rPr>
        <w:t>) Quantitative analysis</w:t>
      </w:r>
      <w:r w:rsidRPr="00E727CB">
        <w:rPr>
          <w:sz w:val="24"/>
          <w:szCs w:val="24"/>
        </w:rPr>
        <w:t xml:space="preserve"> of the frequency of Bax</w:t>
      </w:r>
      <w:r w:rsidRPr="00E727CB">
        <w:rPr>
          <w:sz w:val="24"/>
          <w:szCs w:val="24"/>
          <w:vertAlign w:val="superscript"/>
        </w:rPr>
        <w:t>+</w:t>
      </w:r>
      <w:r w:rsidRPr="00E727CB">
        <w:rPr>
          <w:sz w:val="24"/>
          <w:szCs w:val="24"/>
        </w:rPr>
        <w:t xml:space="preserve"> cells. Data are representative images (magnification × 100) or </w:t>
      </w:r>
      <w:r w:rsidR="00940CE0" w:rsidRPr="00E727CB">
        <w:rPr>
          <w:sz w:val="24"/>
          <w:szCs w:val="24"/>
        </w:rPr>
        <w:t xml:space="preserve">expressed as the mean ± </w:t>
      </w:r>
      <w:r w:rsidR="00940CE0" w:rsidRPr="00E727CB">
        <w:rPr>
          <w:rFonts w:hint="eastAsia"/>
          <w:sz w:val="24"/>
          <w:szCs w:val="24"/>
        </w:rPr>
        <w:t xml:space="preserve">SD </w:t>
      </w:r>
      <w:r w:rsidR="00940CE0" w:rsidRPr="00E727CB">
        <w:rPr>
          <w:sz w:val="24"/>
          <w:szCs w:val="24"/>
        </w:rPr>
        <w:t xml:space="preserve">from </w:t>
      </w:r>
      <w:r w:rsidR="00940CE0">
        <w:rPr>
          <w:snapToGrid w:val="0"/>
          <w:color w:val="000000"/>
          <w:sz w:val="24"/>
          <w:szCs w:val="24"/>
        </w:rPr>
        <w:t>5 randomly selected fields</w:t>
      </w:r>
      <w:r w:rsidR="00940CE0" w:rsidRPr="00CE653B">
        <w:rPr>
          <w:snapToGrid w:val="0"/>
          <w:color w:val="000000"/>
          <w:sz w:val="24"/>
          <w:szCs w:val="24"/>
        </w:rPr>
        <w:t xml:space="preserve"> </w:t>
      </w:r>
      <w:r w:rsidR="00940CE0">
        <w:rPr>
          <w:snapToGrid w:val="0"/>
          <w:color w:val="000000"/>
          <w:sz w:val="24"/>
          <w:szCs w:val="24"/>
        </w:rPr>
        <w:t>of tumor thin sections</w:t>
      </w:r>
      <w:r w:rsidRPr="00E727CB">
        <w:rPr>
          <w:sz w:val="24"/>
          <w:szCs w:val="24"/>
        </w:rPr>
        <w:t>.</w:t>
      </w:r>
      <w:r w:rsidRPr="00E727CB">
        <w:rPr>
          <w:rFonts w:hint="eastAsia"/>
          <w:sz w:val="24"/>
          <w:szCs w:val="24"/>
        </w:rPr>
        <w:t xml:space="preserve"> </w:t>
      </w:r>
      <w:r w:rsidR="00F95F9D">
        <w:rPr>
          <w:sz w:val="24"/>
          <w:szCs w:val="24"/>
        </w:rPr>
        <w:t xml:space="preserve">The </w:t>
      </w:r>
      <w:r w:rsidR="00F95F9D" w:rsidRPr="00E727CB">
        <w:rPr>
          <w:sz w:val="24"/>
          <w:szCs w:val="24"/>
        </w:rPr>
        <w:t>Quantitative analysis</w:t>
      </w:r>
      <w:r w:rsidR="00F95F9D">
        <w:rPr>
          <w:sz w:val="24"/>
          <w:szCs w:val="24"/>
        </w:rPr>
        <w:t xml:space="preserve"> </w:t>
      </w:r>
      <w:r w:rsidR="00F95F9D" w:rsidRPr="00E727CB">
        <w:rPr>
          <w:sz w:val="24"/>
        </w:rPr>
        <w:t xml:space="preserve">was </w:t>
      </w:r>
      <w:r w:rsidR="00F95F9D">
        <w:rPr>
          <w:sz w:val="24"/>
        </w:rPr>
        <w:t>used</w:t>
      </w:r>
      <w:r w:rsidR="00F95F9D" w:rsidRPr="00E727CB">
        <w:rPr>
          <w:sz w:val="24"/>
        </w:rPr>
        <w:t xml:space="preserve"> by One-Way ANOVA </w:t>
      </w:r>
      <w:r w:rsidR="00F95F9D">
        <w:rPr>
          <w:sz w:val="24"/>
        </w:rPr>
        <w:t>with</w:t>
      </w:r>
      <w:r w:rsidR="00F95F9D" w:rsidRPr="00E727CB">
        <w:rPr>
          <w:sz w:val="24"/>
        </w:rPr>
        <w:t xml:space="preserve"> multiple comparisons test</w:t>
      </w:r>
      <w:r w:rsidR="00F95F9D">
        <w:rPr>
          <w:rFonts w:hint="eastAsia"/>
          <w:sz w:val="24"/>
          <w:szCs w:val="24"/>
        </w:rPr>
        <w:t>.</w:t>
      </w:r>
      <w:r w:rsidRPr="00E727CB">
        <w:rPr>
          <w:rFonts w:hint="eastAsia"/>
          <w:sz w:val="24"/>
          <w:szCs w:val="24"/>
        </w:rPr>
        <w:t xml:space="preserve"> </w:t>
      </w:r>
    </w:p>
    <w:p w:rsidR="005D18A1" w:rsidRPr="00E727CB" w:rsidRDefault="003F2379" w:rsidP="00F37E07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4310" cy="59531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315" w:rsidRDefault="00222EDD" w:rsidP="00F37E07">
      <w:pPr>
        <w:spacing w:line="360" w:lineRule="auto"/>
        <w:rPr>
          <w:b/>
          <w:noProof/>
          <w:sz w:val="24"/>
          <w:szCs w:val="24"/>
        </w:rPr>
      </w:pPr>
      <w:r w:rsidRPr="004426EC">
        <w:rPr>
          <w:b/>
          <w:noProof/>
          <w:sz w:val="24"/>
          <w:szCs w:val="24"/>
        </w:rPr>
        <w:t>Figure S</w:t>
      </w:r>
      <w:r>
        <w:rPr>
          <w:b/>
          <w:noProof/>
          <w:sz w:val="24"/>
          <w:szCs w:val="24"/>
        </w:rPr>
        <w:t>5</w:t>
      </w:r>
      <w:r w:rsidR="00FC3315">
        <w:rPr>
          <w:b/>
          <w:noProof/>
          <w:sz w:val="24"/>
          <w:szCs w:val="24"/>
        </w:rPr>
        <w:t>.</w:t>
      </w:r>
      <w:r>
        <w:rPr>
          <w:b/>
          <w:noProof/>
          <w:sz w:val="24"/>
          <w:szCs w:val="24"/>
        </w:rPr>
        <w:t xml:space="preserve"> </w:t>
      </w:r>
    </w:p>
    <w:p w:rsidR="00F37E07" w:rsidRPr="00E727CB" w:rsidRDefault="00222EDD" w:rsidP="00F37E07">
      <w:pPr>
        <w:spacing w:line="360" w:lineRule="auto"/>
        <w:rPr>
          <w:sz w:val="24"/>
          <w:szCs w:val="24"/>
        </w:rPr>
      </w:pPr>
      <w:r w:rsidRPr="004426EC">
        <w:rPr>
          <w:b/>
        </w:rPr>
        <w:t>AAVS1-CD105 CAR T cells outperform</w:t>
      </w:r>
      <w:r w:rsidRPr="004426EC">
        <w:rPr>
          <w:rFonts w:hint="eastAsia"/>
          <w:b/>
        </w:rPr>
        <w:t xml:space="preserve"> </w:t>
      </w:r>
      <w:r w:rsidRPr="004426EC">
        <w:rPr>
          <w:b/>
        </w:rPr>
        <w:t>conventional CAR T cells by preventing</w:t>
      </w:r>
      <w:r w:rsidRPr="004426EC">
        <w:rPr>
          <w:rFonts w:hint="eastAsia"/>
          <w:b/>
        </w:rPr>
        <w:t xml:space="preserve"> </w:t>
      </w:r>
      <w:r w:rsidRPr="004426EC">
        <w:rPr>
          <w:b/>
        </w:rPr>
        <w:t>exhaustion in vitro and in vivo.</w:t>
      </w:r>
      <w:r w:rsidRPr="004426EC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(</w:t>
      </w:r>
      <w:r w:rsidR="001621F1">
        <w:rPr>
          <w:kern w:val="0"/>
          <w:sz w:val="24"/>
          <w:szCs w:val="24"/>
        </w:rPr>
        <w:t>a</w:t>
      </w:r>
      <w:r>
        <w:rPr>
          <w:kern w:val="0"/>
          <w:sz w:val="24"/>
          <w:szCs w:val="24"/>
        </w:rPr>
        <w:t xml:space="preserve">) </w:t>
      </w:r>
      <w:r w:rsidR="00600DF5">
        <w:rPr>
          <w:kern w:val="0"/>
          <w:sz w:val="24"/>
          <w:szCs w:val="24"/>
        </w:rPr>
        <w:t>T</w:t>
      </w:r>
      <w:r w:rsidRPr="00744373">
        <w:rPr>
          <w:kern w:val="0"/>
          <w:sz w:val="24"/>
          <w:szCs w:val="24"/>
        </w:rPr>
        <w:t>he expression of exhaustion markers in LV-CD105 CAR T cells was higher than that in AAVS1-CD105 CAR T cells, indicating that LV- CD105 CAR T ce</w:t>
      </w:r>
      <w:r w:rsidRPr="0004156B">
        <w:rPr>
          <w:kern w:val="0"/>
          <w:sz w:val="24"/>
          <w:szCs w:val="24"/>
        </w:rPr>
        <w:t xml:space="preserve">lls had shown signs of depletion. </w:t>
      </w:r>
      <w:r w:rsidR="00DE403E" w:rsidRPr="0004156B">
        <w:rPr>
          <w:sz w:val="24"/>
          <w:szCs w:val="24"/>
        </w:rPr>
        <w:t>Data are present as the mean ± SD from three separate experiments</w:t>
      </w:r>
      <w:r w:rsidR="00DE403E">
        <w:rPr>
          <w:sz w:val="24"/>
          <w:szCs w:val="24"/>
        </w:rPr>
        <w:t>.</w:t>
      </w:r>
      <w:r w:rsidR="00DE403E" w:rsidRPr="0004156B">
        <w:rPr>
          <w:kern w:val="0"/>
          <w:sz w:val="24"/>
          <w:szCs w:val="24"/>
        </w:rPr>
        <w:t xml:space="preserve"> </w:t>
      </w:r>
      <w:r w:rsidRPr="0004156B">
        <w:rPr>
          <w:kern w:val="0"/>
          <w:sz w:val="24"/>
          <w:szCs w:val="24"/>
        </w:rPr>
        <w:t>(</w:t>
      </w:r>
      <w:r w:rsidR="001621F1">
        <w:rPr>
          <w:kern w:val="0"/>
          <w:sz w:val="24"/>
          <w:szCs w:val="24"/>
        </w:rPr>
        <w:t>b</w:t>
      </w:r>
      <w:r w:rsidRPr="0004156B">
        <w:rPr>
          <w:kern w:val="0"/>
          <w:sz w:val="24"/>
          <w:szCs w:val="24"/>
        </w:rPr>
        <w:t>)LV-CD105 CAR and AAVS1-CD105 CAR T cells differed markedly in their anti-tumour activity</w:t>
      </w:r>
      <w:r w:rsidR="00DE403E">
        <w:rPr>
          <w:kern w:val="0"/>
          <w:sz w:val="24"/>
          <w:szCs w:val="24"/>
        </w:rPr>
        <w:t>(n=5)</w:t>
      </w:r>
      <w:r w:rsidRPr="0004156B">
        <w:rPr>
          <w:sz w:val="24"/>
          <w:szCs w:val="24"/>
        </w:rPr>
        <w:t>.</w:t>
      </w:r>
      <w:r w:rsidR="00600DF5">
        <w:rPr>
          <w:sz w:val="24"/>
          <w:szCs w:val="24"/>
        </w:rPr>
        <w:t xml:space="preserve"> </w:t>
      </w:r>
      <w:r w:rsidRPr="0004156B">
        <w:rPr>
          <w:sz w:val="24"/>
          <w:szCs w:val="24"/>
        </w:rPr>
        <w:t>(</w:t>
      </w:r>
      <w:r w:rsidR="001621F1">
        <w:rPr>
          <w:sz w:val="24"/>
          <w:szCs w:val="24"/>
        </w:rPr>
        <w:t>c</w:t>
      </w:r>
      <w:r w:rsidRPr="0004156B">
        <w:rPr>
          <w:sz w:val="24"/>
          <w:szCs w:val="24"/>
        </w:rPr>
        <w:t>)</w:t>
      </w:r>
      <w:r w:rsidRPr="0004156B">
        <w:rPr>
          <w:sz w:val="24"/>
        </w:rPr>
        <w:t xml:space="preserve">Immunohistochemistry exhibited that the numbers of anti-CD3 stained T cells in the tumors from the mice receiving </w:t>
      </w:r>
      <w:r w:rsidRPr="0004156B">
        <w:rPr>
          <w:kern w:val="0"/>
          <w:sz w:val="24"/>
          <w:szCs w:val="24"/>
        </w:rPr>
        <w:t>AAVS1-</w:t>
      </w:r>
      <w:r w:rsidRPr="0004156B">
        <w:rPr>
          <w:sz w:val="24"/>
        </w:rPr>
        <w:t xml:space="preserve">CD105 CAR-T cells were significantly higher than those in </w:t>
      </w:r>
      <w:r w:rsidRPr="0004156B">
        <w:rPr>
          <w:kern w:val="0"/>
          <w:sz w:val="24"/>
          <w:szCs w:val="24"/>
        </w:rPr>
        <w:t xml:space="preserve">LV-CD105 CAR T cells </w:t>
      </w:r>
      <w:r w:rsidRPr="0004156B">
        <w:rPr>
          <w:kern w:val="0"/>
          <w:sz w:val="24"/>
          <w:szCs w:val="24"/>
        </w:rPr>
        <w:lastRenderedPageBreak/>
        <w:t>an</w:t>
      </w:r>
      <w:r>
        <w:rPr>
          <w:kern w:val="0"/>
          <w:sz w:val="24"/>
          <w:szCs w:val="24"/>
        </w:rPr>
        <w:t>d</w:t>
      </w:r>
      <w:r w:rsidRPr="0004156B">
        <w:rPr>
          <w:kern w:val="0"/>
          <w:sz w:val="24"/>
          <w:szCs w:val="24"/>
        </w:rPr>
        <w:t xml:space="preserve"> Utd</w:t>
      </w:r>
      <w:r w:rsidRPr="0004156B">
        <w:rPr>
          <w:sz w:val="24"/>
        </w:rPr>
        <w:t xml:space="preserve"> groups.</w:t>
      </w:r>
      <w:r w:rsidR="00DE403E" w:rsidRPr="00DE403E">
        <w:rPr>
          <w:sz w:val="24"/>
          <w:szCs w:val="24"/>
        </w:rPr>
        <w:t xml:space="preserve"> </w:t>
      </w:r>
      <w:r w:rsidR="00DE403E" w:rsidRPr="00E727CB">
        <w:rPr>
          <w:sz w:val="24"/>
          <w:szCs w:val="24"/>
        </w:rPr>
        <w:t xml:space="preserve">Data are representative images (magnification × 100) or expressed as the mean ± </w:t>
      </w:r>
      <w:r w:rsidR="00DE403E" w:rsidRPr="00E727CB">
        <w:rPr>
          <w:rFonts w:hint="eastAsia"/>
          <w:sz w:val="24"/>
          <w:szCs w:val="24"/>
        </w:rPr>
        <w:t xml:space="preserve">SD </w:t>
      </w:r>
      <w:r w:rsidR="00DE403E" w:rsidRPr="00E727CB">
        <w:rPr>
          <w:sz w:val="24"/>
          <w:szCs w:val="24"/>
        </w:rPr>
        <w:t xml:space="preserve">from </w:t>
      </w:r>
      <w:r w:rsidR="00DE403E">
        <w:rPr>
          <w:snapToGrid w:val="0"/>
          <w:color w:val="000000"/>
          <w:sz w:val="24"/>
          <w:szCs w:val="24"/>
        </w:rPr>
        <w:t>5 randomly selected fields</w:t>
      </w:r>
      <w:r w:rsidR="00DE403E" w:rsidRPr="00CE653B">
        <w:rPr>
          <w:snapToGrid w:val="0"/>
          <w:color w:val="000000"/>
          <w:sz w:val="24"/>
          <w:szCs w:val="24"/>
        </w:rPr>
        <w:t xml:space="preserve"> </w:t>
      </w:r>
      <w:r w:rsidR="00DE403E">
        <w:rPr>
          <w:snapToGrid w:val="0"/>
          <w:color w:val="000000"/>
          <w:sz w:val="24"/>
          <w:szCs w:val="24"/>
        </w:rPr>
        <w:t>of tumor thin sections</w:t>
      </w:r>
      <w:r w:rsidR="00DE403E">
        <w:rPr>
          <w:sz w:val="24"/>
          <w:szCs w:val="24"/>
        </w:rPr>
        <w:t>.</w:t>
      </w:r>
      <w:bookmarkStart w:id="0" w:name="_GoBack"/>
      <w:bookmarkEnd w:id="0"/>
      <w:r w:rsidRPr="0004156B">
        <w:rPr>
          <w:sz w:val="24"/>
          <w:szCs w:val="24"/>
        </w:rPr>
        <w:t xml:space="preserve"> The Quantitative analysis was used by One-Way ANOVA with multiple comparisons test. </w:t>
      </w:r>
    </w:p>
    <w:p w:rsidR="00F37E07" w:rsidRPr="00E727CB" w:rsidRDefault="00F37E07" w:rsidP="00F37E07">
      <w:pPr>
        <w:spacing w:line="360" w:lineRule="auto"/>
        <w:rPr>
          <w:sz w:val="24"/>
          <w:szCs w:val="24"/>
        </w:rPr>
      </w:pPr>
    </w:p>
    <w:p w:rsidR="00F37E07" w:rsidRPr="00E727CB" w:rsidRDefault="00F37E07" w:rsidP="00F37E07">
      <w:pPr>
        <w:spacing w:line="360" w:lineRule="auto"/>
        <w:rPr>
          <w:sz w:val="24"/>
          <w:szCs w:val="24"/>
        </w:rPr>
      </w:pPr>
    </w:p>
    <w:p w:rsidR="007828FF" w:rsidRDefault="007828FF"/>
    <w:sectPr w:rsidR="007828FF" w:rsidSect="00AC589B">
      <w:footerReference w:type="default" r:id="rId14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9C2" w:rsidRDefault="00E359C2" w:rsidP="00F37E07">
      <w:r>
        <w:separator/>
      </w:r>
    </w:p>
  </w:endnote>
  <w:endnote w:type="continuationSeparator" w:id="0">
    <w:p w:rsidR="00E359C2" w:rsidRDefault="00E359C2" w:rsidP="00F3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d0125be5.BI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58D" w:rsidRDefault="004E50A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D18A1" w:rsidRPr="005D18A1">
      <w:rPr>
        <w:noProof/>
        <w:lang w:val="zh-CN"/>
      </w:rPr>
      <w:t>7</w:t>
    </w:r>
    <w:r>
      <w:fldChar w:fldCharType="end"/>
    </w:r>
  </w:p>
  <w:p w:rsidR="006E758D" w:rsidRDefault="00E359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9C2" w:rsidRDefault="00E359C2" w:rsidP="00F37E07">
      <w:r>
        <w:separator/>
      </w:r>
    </w:p>
  </w:footnote>
  <w:footnote w:type="continuationSeparator" w:id="0">
    <w:p w:rsidR="00E359C2" w:rsidRDefault="00E359C2" w:rsidP="00F37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65"/>
    <w:rsid w:val="00004A08"/>
    <w:rsid w:val="001621F1"/>
    <w:rsid w:val="001C4430"/>
    <w:rsid w:val="001D539A"/>
    <w:rsid w:val="00211BE3"/>
    <w:rsid w:val="00222EDD"/>
    <w:rsid w:val="00383FE8"/>
    <w:rsid w:val="003937E1"/>
    <w:rsid w:val="003F2379"/>
    <w:rsid w:val="004D0D77"/>
    <w:rsid w:val="004D5F4C"/>
    <w:rsid w:val="004E50A1"/>
    <w:rsid w:val="00541501"/>
    <w:rsid w:val="005B40AE"/>
    <w:rsid w:val="005D18A1"/>
    <w:rsid w:val="00600DF5"/>
    <w:rsid w:val="006301E8"/>
    <w:rsid w:val="00674E79"/>
    <w:rsid w:val="00701E66"/>
    <w:rsid w:val="007459A5"/>
    <w:rsid w:val="007828FF"/>
    <w:rsid w:val="007B75EF"/>
    <w:rsid w:val="00872A87"/>
    <w:rsid w:val="008C33E5"/>
    <w:rsid w:val="008D69A0"/>
    <w:rsid w:val="0090559E"/>
    <w:rsid w:val="00932446"/>
    <w:rsid w:val="00940CE0"/>
    <w:rsid w:val="009665FE"/>
    <w:rsid w:val="00992DD2"/>
    <w:rsid w:val="009C7F55"/>
    <w:rsid w:val="00A53ECC"/>
    <w:rsid w:val="00A6509C"/>
    <w:rsid w:val="00B33962"/>
    <w:rsid w:val="00B83670"/>
    <w:rsid w:val="00BD0465"/>
    <w:rsid w:val="00C310AA"/>
    <w:rsid w:val="00C362F4"/>
    <w:rsid w:val="00C4104E"/>
    <w:rsid w:val="00C42FF6"/>
    <w:rsid w:val="00CB67FD"/>
    <w:rsid w:val="00D30035"/>
    <w:rsid w:val="00D86591"/>
    <w:rsid w:val="00DE403E"/>
    <w:rsid w:val="00E359C2"/>
    <w:rsid w:val="00ED2585"/>
    <w:rsid w:val="00EE01AA"/>
    <w:rsid w:val="00F11940"/>
    <w:rsid w:val="00F26156"/>
    <w:rsid w:val="00F37E07"/>
    <w:rsid w:val="00F55BF7"/>
    <w:rsid w:val="00F95F9D"/>
    <w:rsid w:val="00FA2C83"/>
    <w:rsid w:val="00FC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431E3"/>
  <w15:chartTrackingRefBased/>
  <w15:docId w15:val="{A85EFF5B-E5A4-400D-A246-25A9033F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37E0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7E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7E0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7E07"/>
    <w:rPr>
      <w:sz w:val="18"/>
      <w:szCs w:val="18"/>
    </w:rPr>
  </w:style>
  <w:style w:type="character" w:customStyle="1" w:styleId="Char1">
    <w:name w:val="页脚 Char1"/>
    <w:uiPriority w:val="99"/>
    <w:rsid w:val="00F37E07"/>
    <w:rPr>
      <w:kern w:val="2"/>
      <w:sz w:val="18"/>
      <w:szCs w:val="18"/>
      <w:lang w:val="x-none" w:eastAsia="x-none"/>
    </w:rPr>
  </w:style>
  <w:style w:type="character" w:customStyle="1" w:styleId="fontstyle01">
    <w:name w:val="fontstyle01"/>
    <w:rsid w:val="00FC3315"/>
    <w:rPr>
      <w:rFonts w:ascii="AdvOTd0125be5.BI" w:hAnsi="AdvOTd0125be5.BI" w:hint="default"/>
      <w:b w:val="0"/>
      <w:bCs w:val="0"/>
      <w:i w:val="0"/>
      <w:iCs w:val="0"/>
      <w:color w:val="10157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dhammock@ucdavis.edu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mailto:luxiaoling@gxmu.edu.cn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CBFC6-1D37-4C0C-BF79-CF986CABC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770</Words>
  <Characters>4392</Characters>
  <Application>Microsoft Office Word</Application>
  <DocSecurity>0</DocSecurity>
  <Lines>36</Lines>
  <Paragraphs>10</Paragraphs>
  <ScaleCrop>false</ScaleCrop>
  <Company>User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xbany</dc:creator>
  <cp:keywords/>
  <dc:description/>
  <cp:lastModifiedBy>莫妞妞</cp:lastModifiedBy>
  <cp:revision>56</cp:revision>
  <dcterms:created xsi:type="dcterms:W3CDTF">2019-05-23T14:05:00Z</dcterms:created>
  <dcterms:modified xsi:type="dcterms:W3CDTF">2020-12-24T02:44:00Z</dcterms:modified>
</cp:coreProperties>
</file>