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5318F9" w:rsidRDefault="00BB2D2A" w:rsidP="00FA1481">
      <w:pPr>
        <w:jc w:val="center"/>
        <w:rPr>
          <w:sz w:val="36"/>
          <w:szCs w:val="36"/>
        </w:rPr>
      </w:pPr>
      <w:r w:rsidRPr="005318F9">
        <w:rPr>
          <w:sz w:val="36"/>
          <w:szCs w:val="36"/>
        </w:rPr>
        <w:t>Supplementary Materials</w:t>
      </w:r>
      <w:r w:rsidR="009743A9" w:rsidRPr="005318F9">
        <w:rPr>
          <w:sz w:val="36"/>
          <w:szCs w:val="36"/>
        </w:rPr>
        <w:t xml:space="preserve"> for</w:t>
      </w:r>
    </w:p>
    <w:p w14:paraId="29411C5A" w14:textId="77777777" w:rsidR="005001AC" w:rsidRPr="005318F9" w:rsidRDefault="005001AC"/>
    <w:p w14:paraId="339B31F7" w14:textId="11BFCC1D" w:rsidR="00015F74" w:rsidRPr="005318F9" w:rsidRDefault="00EA7C1E" w:rsidP="003B40E6">
      <w:pPr>
        <w:jc w:val="center"/>
        <w:rPr>
          <w:sz w:val="28"/>
          <w:szCs w:val="28"/>
        </w:rPr>
      </w:pPr>
      <w:r w:rsidRPr="005318F9">
        <w:rPr>
          <w:sz w:val="28"/>
          <w:szCs w:val="28"/>
        </w:rPr>
        <w:t>Temporal and Spatial Cellular and Molecular Pathological Alterations with Single Cell Resolution in Adult Spinal Cord after Injury</w:t>
      </w:r>
    </w:p>
    <w:p w14:paraId="0648E06D" w14:textId="621E0CE4" w:rsidR="000F0DCE" w:rsidRPr="005318F9" w:rsidRDefault="00EA7C1E" w:rsidP="005001AC">
      <w:pPr>
        <w:jc w:val="center"/>
        <w:rPr>
          <w:szCs w:val="24"/>
        </w:rPr>
      </w:pPr>
      <w:r w:rsidRPr="005318F9">
        <w:rPr>
          <w:szCs w:val="24"/>
        </w:rPr>
        <w:t>Chen Li</w:t>
      </w:r>
      <w:r w:rsidRPr="005318F9">
        <w:rPr>
          <w:szCs w:val="24"/>
          <w:vertAlign w:val="superscript"/>
        </w:rPr>
        <w:t>1, 2, 3, 4 #</w:t>
      </w:r>
      <w:r w:rsidRPr="005318F9">
        <w:rPr>
          <w:szCs w:val="24"/>
        </w:rPr>
        <w:t>, Zhourui Wu</w:t>
      </w:r>
      <w:r w:rsidRPr="005318F9">
        <w:rPr>
          <w:szCs w:val="24"/>
          <w:vertAlign w:val="superscript"/>
        </w:rPr>
        <w:t>1, 2, 3, 4 #</w:t>
      </w:r>
      <w:r w:rsidRPr="005318F9">
        <w:rPr>
          <w:szCs w:val="24"/>
        </w:rPr>
        <w:t>, Liqiang Zhou</w:t>
      </w:r>
      <w:r w:rsidRPr="005318F9">
        <w:rPr>
          <w:szCs w:val="24"/>
          <w:vertAlign w:val="superscript"/>
        </w:rPr>
        <w:t>3, 4 #</w:t>
      </w:r>
      <w:r w:rsidRPr="005318F9">
        <w:rPr>
          <w:szCs w:val="24"/>
        </w:rPr>
        <w:t>, Jingliang Shao</w:t>
      </w:r>
      <w:r w:rsidRPr="005318F9">
        <w:rPr>
          <w:szCs w:val="24"/>
          <w:vertAlign w:val="superscript"/>
        </w:rPr>
        <w:t xml:space="preserve">3, 4 </w:t>
      </w:r>
      <w:r w:rsidRPr="005318F9">
        <w:rPr>
          <w:szCs w:val="24"/>
        </w:rPr>
        <w:t>, Xiao Hu</w:t>
      </w:r>
      <w:r w:rsidRPr="005318F9">
        <w:rPr>
          <w:szCs w:val="24"/>
          <w:vertAlign w:val="superscript"/>
        </w:rPr>
        <w:t>1, 2, 3, 4</w:t>
      </w:r>
      <w:r w:rsidRPr="005318F9">
        <w:rPr>
          <w:szCs w:val="24"/>
        </w:rPr>
        <w:t>, Wei Xu</w:t>
      </w:r>
      <w:r w:rsidRPr="005318F9">
        <w:rPr>
          <w:szCs w:val="24"/>
          <w:vertAlign w:val="superscript"/>
        </w:rPr>
        <w:t>1, 2, 3, 4</w:t>
      </w:r>
      <w:r w:rsidRPr="005318F9">
        <w:rPr>
          <w:szCs w:val="24"/>
        </w:rPr>
        <w:t>, Yilong Ren</w:t>
      </w:r>
      <w:r w:rsidRPr="005318F9">
        <w:rPr>
          <w:szCs w:val="24"/>
          <w:vertAlign w:val="superscript"/>
        </w:rPr>
        <w:t>1, 2, 3, 4</w:t>
      </w:r>
      <w:r w:rsidRPr="005318F9">
        <w:rPr>
          <w:szCs w:val="24"/>
        </w:rPr>
        <w:t>, Xingfei Zhu</w:t>
      </w:r>
      <w:r w:rsidRPr="005318F9">
        <w:rPr>
          <w:szCs w:val="24"/>
          <w:vertAlign w:val="superscript"/>
        </w:rPr>
        <w:t>2, 3, 4</w:t>
      </w:r>
      <w:r w:rsidRPr="005318F9">
        <w:rPr>
          <w:szCs w:val="24"/>
        </w:rPr>
        <w:t>, Weihong Ge</w:t>
      </w:r>
      <w:r w:rsidRPr="005318F9">
        <w:rPr>
          <w:szCs w:val="24"/>
          <w:vertAlign w:val="superscript"/>
        </w:rPr>
        <w:t>5</w:t>
      </w:r>
      <w:r w:rsidRPr="005318F9">
        <w:rPr>
          <w:szCs w:val="24"/>
        </w:rPr>
        <w:t>, Kunshan Zhang</w:t>
      </w:r>
      <w:r w:rsidRPr="005318F9">
        <w:rPr>
          <w:szCs w:val="24"/>
          <w:vertAlign w:val="superscript"/>
        </w:rPr>
        <w:t>3, 4</w:t>
      </w:r>
      <w:r w:rsidRPr="005318F9">
        <w:rPr>
          <w:szCs w:val="24"/>
        </w:rPr>
        <w:t>, Jiping Liu</w:t>
      </w:r>
      <w:r w:rsidRPr="005318F9">
        <w:rPr>
          <w:szCs w:val="24"/>
          <w:vertAlign w:val="superscript"/>
        </w:rPr>
        <w:t>3, 4</w:t>
      </w:r>
      <w:r w:rsidRPr="005318F9">
        <w:rPr>
          <w:szCs w:val="24"/>
        </w:rPr>
        <w:t>, Runzhi Huang</w:t>
      </w:r>
      <w:r w:rsidRPr="005318F9">
        <w:rPr>
          <w:szCs w:val="24"/>
          <w:vertAlign w:val="superscript"/>
        </w:rPr>
        <w:t>2, 3, 4</w:t>
      </w:r>
      <w:r w:rsidRPr="005318F9">
        <w:rPr>
          <w:szCs w:val="24"/>
        </w:rPr>
        <w:t>, Jing Yu</w:t>
      </w:r>
      <w:r w:rsidRPr="005318F9">
        <w:rPr>
          <w:szCs w:val="24"/>
          <w:vertAlign w:val="superscript"/>
        </w:rPr>
        <w:t>3, 4</w:t>
      </w:r>
      <w:r w:rsidRPr="005318F9">
        <w:rPr>
          <w:szCs w:val="24"/>
        </w:rPr>
        <w:t>, Dandan Luo</w:t>
      </w:r>
      <w:r w:rsidRPr="005318F9">
        <w:rPr>
          <w:szCs w:val="24"/>
          <w:vertAlign w:val="superscript"/>
        </w:rPr>
        <w:t>3, 4</w:t>
      </w:r>
      <w:r w:rsidRPr="005318F9">
        <w:rPr>
          <w:szCs w:val="24"/>
        </w:rPr>
        <w:t>, Xuejiao Yang</w:t>
      </w:r>
      <w:r w:rsidRPr="005318F9">
        <w:rPr>
          <w:szCs w:val="24"/>
          <w:vertAlign w:val="superscript"/>
        </w:rPr>
        <w:t xml:space="preserve">3, 4 </w:t>
      </w:r>
      <w:r w:rsidRPr="005318F9">
        <w:rPr>
          <w:szCs w:val="24"/>
        </w:rPr>
        <w:t>, Wenmin Zhu</w:t>
      </w:r>
      <w:r w:rsidRPr="005318F9">
        <w:rPr>
          <w:szCs w:val="24"/>
          <w:vertAlign w:val="superscript"/>
        </w:rPr>
        <w:t>3, 4</w:t>
      </w:r>
      <w:r w:rsidRPr="005318F9">
        <w:rPr>
          <w:szCs w:val="24"/>
        </w:rPr>
        <w:t>, Rongrong Zhu</w:t>
      </w:r>
      <w:r w:rsidRPr="005318F9">
        <w:rPr>
          <w:szCs w:val="24"/>
          <w:vertAlign w:val="superscript"/>
        </w:rPr>
        <w:t>2, 3, 4</w:t>
      </w:r>
      <w:r w:rsidRPr="005318F9">
        <w:rPr>
          <w:szCs w:val="24"/>
        </w:rPr>
        <w:t>, Changhong Zheng</w:t>
      </w:r>
      <w:r w:rsidRPr="005318F9">
        <w:rPr>
          <w:szCs w:val="24"/>
          <w:vertAlign w:val="superscript"/>
        </w:rPr>
        <w:t>3, 4</w:t>
      </w:r>
      <w:r w:rsidRPr="005318F9">
        <w:rPr>
          <w:szCs w:val="24"/>
        </w:rPr>
        <w:t>, Yi Eve Sun</w:t>
      </w:r>
      <w:r w:rsidRPr="005318F9">
        <w:rPr>
          <w:szCs w:val="24"/>
          <w:vertAlign w:val="superscript"/>
        </w:rPr>
        <w:t xml:space="preserve">2, 3, 4 </w:t>
      </w:r>
      <w:r w:rsidRPr="005318F9">
        <w:rPr>
          <w:szCs w:val="24"/>
        </w:rPr>
        <w:t>*, Liming Cheng</w:t>
      </w:r>
      <w:r w:rsidRPr="005318F9">
        <w:rPr>
          <w:szCs w:val="24"/>
          <w:vertAlign w:val="superscript"/>
        </w:rPr>
        <w:t>1, 2, 3, 4 *</w:t>
      </w:r>
    </w:p>
    <w:p w14:paraId="34D67477" w14:textId="6FB7F88F" w:rsidR="004779CB" w:rsidRPr="005318F9" w:rsidRDefault="00E4519A" w:rsidP="005001AC">
      <w:pPr>
        <w:jc w:val="center"/>
        <w:rPr>
          <w:szCs w:val="24"/>
        </w:rPr>
      </w:pPr>
      <w:r w:rsidRPr="005318F9">
        <w:rPr>
          <w:szCs w:val="24"/>
        </w:rPr>
        <w:t xml:space="preserve">Correspondence </w:t>
      </w:r>
      <w:r w:rsidR="004779CB" w:rsidRPr="005318F9">
        <w:rPr>
          <w:szCs w:val="24"/>
        </w:rPr>
        <w:t>to:</w:t>
      </w:r>
      <w:r w:rsidR="00BC3E04" w:rsidRPr="005318F9">
        <w:rPr>
          <w:szCs w:val="24"/>
        </w:rPr>
        <w:t xml:space="preserve"> </w:t>
      </w:r>
      <w:r w:rsidR="005A5E24" w:rsidRPr="005318F9">
        <w:t>l</w:t>
      </w:r>
      <w:r w:rsidR="00EA7C1E" w:rsidRPr="005318F9">
        <w:t>imingcheng@tongji.edu.cn; yi.eve.sun@gmail.com.</w:t>
      </w:r>
    </w:p>
    <w:p w14:paraId="223EBBEB" w14:textId="77777777" w:rsidR="002C030F" w:rsidRPr="005318F9" w:rsidRDefault="002C030F"/>
    <w:p w14:paraId="5BBBF32C" w14:textId="77777777" w:rsidR="00015F74" w:rsidRPr="005318F9" w:rsidRDefault="00015F74">
      <w:pPr>
        <w:rPr>
          <w:b/>
        </w:rPr>
      </w:pPr>
    </w:p>
    <w:p w14:paraId="546CBFCA" w14:textId="77777777" w:rsidR="002C030F" w:rsidRPr="005318F9" w:rsidRDefault="009743A9">
      <w:pPr>
        <w:rPr>
          <w:b/>
        </w:rPr>
      </w:pPr>
      <w:r w:rsidRPr="005318F9">
        <w:rPr>
          <w:b/>
        </w:rPr>
        <w:t xml:space="preserve">This PDF file </w:t>
      </w:r>
      <w:r w:rsidR="002C030F" w:rsidRPr="005318F9">
        <w:rPr>
          <w:b/>
        </w:rPr>
        <w:t>includes:</w:t>
      </w:r>
    </w:p>
    <w:p w14:paraId="6B069C4B" w14:textId="77777777" w:rsidR="002C030F" w:rsidRPr="005318F9" w:rsidRDefault="002C030F"/>
    <w:p w14:paraId="7FC81517" w14:textId="5568FC37" w:rsidR="002C030F" w:rsidRPr="005318F9" w:rsidRDefault="002C030F" w:rsidP="00262D72">
      <w:pPr>
        <w:ind w:left="720"/>
      </w:pPr>
      <w:r w:rsidRPr="005318F9">
        <w:t>Fig</w:t>
      </w:r>
      <w:r w:rsidR="00821F38" w:rsidRPr="005318F9">
        <w:rPr>
          <w:rFonts w:hint="eastAsia"/>
          <w:lang w:eastAsia="zh-CN"/>
        </w:rPr>
        <w:t>ure</w:t>
      </w:r>
      <w:r w:rsidR="00A3403B" w:rsidRPr="005318F9">
        <w:t xml:space="preserve">s. </w:t>
      </w:r>
      <w:r w:rsidRPr="005318F9">
        <w:t>S1</w:t>
      </w:r>
      <w:r w:rsidR="00A3403B" w:rsidRPr="005318F9">
        <w:t xml:space="preserve"> to </w:t>
      </w:r>
      <w:r w:rsidRPr="005318F9">
        <w:t>S</w:t>
      </w:r>
      <w:r w:rsidR="00881259" w:rsidRPr="005318F9">
        <w:t>11</w:t>
      </w:r>
    </w:p>
    <w:p w14:paraId="39DE064C" w14:textId="0AC02810" w:rsidR="002C030F" w:rsidRPr="005318F9" w:rsidRDefault="002C030F" w:rsidP="00262D72">
      <w:pPr>
        <w:ind w:left="720"/>
      </w:pPr>
      <w:r w:rsidRPr="005318F9">
        <w:t>Tables S1</w:t>
      </w:r>
    </w:p>
    <w:p w14:paraId="30EA357E" w14:textId="1E2A4C43" w:rsidR="00D766F1" w:rsidRPr="005318F9" w:rsidRDefault="00015F74" w:rsidP="00F46CE1">
      <w:pPr>
        <w:pStyle w:val="SMHeading"/>
      </w:pPr>
      <w:r w:rsidRPr="005318F9">
        <w:br w:type="page"/>
      </w:r>
      <w:bookmarkStart w:id="0" w:name="Tables"/>
      <w:bookmarkStart w:id="1" w:name="MaterialsMethods"/>
      <w:bookmarkEnd w:id="0"/>
      <w:bookmarkEnd w:id="1"/>
    </w:p>
    <w:p w14:paraId="1D7FCD05" w14:textId="57BC6A73" w:rsidR="002E64C3" w:rsidRPr="005318F9" w:rsidRDefault="002E64C3"/>
    <w:p w14:paraId="5199005C" w14:textId="7FC784F4" w:rsidR="009A5287" w:rsidRPr="005318F9" w:rsidRDefault="00E41B1F" w:rsidP="002E64C3">
      <w:pPr>
        <w:pStyle w:val="SMcaption"/>
        <w:jc w:val="center"/>
      </w:pPr>
      <w:r w:rsidRPr="005318F9">
        <w:rPr>
          <w:noProof/>
        </w:rPr>
        <w:drawing>
          <wp:inline distT="0" distB="0" distL="0" distR="0" wp14:anchorId="00E5CFC9" wp14:editId="71BAA45F">
            <wp:extent cx="5943600" cy="55937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593715"/>
                    </a:xfrm>
                    <a:prstGeom prst="rect">
                      <a:avLst/>
                    </a:prstGeom>
                  </pic:spPr>
                </pic:pic>
              </a:graphicData>
            </a:graphic>
          </wp:inline>
        </w:drawing>
      </w:r>
    </w:p>
    <w:p w14:paraId="6D50BBEF" w14:textId="60B58C7B" w:rsidR="00015F74" w:rsidRPr="005318F9" w:rsidRDefault="007411A1" w:rsidP="00F626EA">
      <w:pPr>
        <w:pStyle w:val="SMHeading"/>
        <w:jc w:val="both"/>
        <w:rPr>
          <w:lang w:eastAsia="zh-CN"/>
        </w:rPr>
      </w:pPr>
      <w:r w:rsidRPr="005318F9">
        <w:t>Fig</w:t>
      </w:r>
      <w:r w:rsidR="00821F38" w:rsidRPr="005318F9">
        <w:rPr>
          <w:rFonts w:hint="eastAsia"/>
          <w:lang w:eastAsia="zh-CN"/>
        </w:rPr>
        <w:t>ure</w:t>
      </w:r>
      <w:r w:rsidRPr="005318F9">
        <w:t>. S1.</w:t>
      </w:r>
      <w:r w:rsidR="002E64C3" w:rsidRPr="005318F9">
        <w:t xml:space="preserve"> Temporal changes revealed by histological analysis of mouse spinal cord post SCI.</w:t>
      </w:r>
    </w:p>
    <w:p w14:paraId="004DB614" w14:textId="25B52B6C" w:rsidR="00510FAB" w:rsidRPr="005318F9" w:rsidRDefault="00F40D2C" w:rsidP="00F626EA">
      <w:pPr>
        <w:pStyle w:val="SMcaption"/>
        <w:jc w:val="both"/>
        <w:rPr>
          <w:lang w:eastAsia="zh-CN"/>
        </w:rPr>
      </w:pPr>
      <w:r w:rsidRPr="005318F9">
        <w:rPr>
          <w:lang w:eastAsia="zh-CN"/>
        </w:rPr>
        <w:t>(</w:t>
      </w:r>
      <w:r w:rsidRPr="005318F9">
        <w:rPr>
          <w:b/>
          <w:lang w:eastAsia="zh-CN"/>
        </w:rPr>
        <w:t>a</w:t>
      </w:r>
      <w:r w:rsidRPr="005318F9">
        <w:rPr>
          <w:lang w:eastAsia="zh-CN"/>
        </w:rPr>
        <w:t xml:space="preserve">) </w:t>
      </w:r>
      <w:r w:rsidR="00EC066E" w:rsidRPr="005318F9">
        <w:rPr>
          <w:lang w:eastAsia="zh-CN"/>
        </w:rPr>
        <w:t>H&amp;E staining showing lesion core changes from 0</w:t>
      </w:r>
      <w:r w:rsidR="000B6862" w:rsidRPr="005318F9">
        <w:rPr>
          <w:lang w:eastAsia="zh-CN"/>
        </w:rPr>
        <w:t xml:space="preserve"> </w:t>
      </w:r>
      <w:r w:rsidR="00EC066E" w:rsidRPr="005318F9">
        <w:rPr>
          <w:lang w:eastAsia="zh-CN"/>
        </w:rPr>
        <w:t>d to 42</w:t>
      </w:r>
      <w:r w:rsidR="000B6862" w:rsidRPr="005318F9">
        <w:rPr>
          <w:lang w:eastAsia="zh-CN"/>
        </w:rPr>
        <w:t xml:space="preserve"> </w:t>
      </w:r>
      <w:r w:rsidR="00EC066E" w:rsidRPr="005318F9">
        <w:rPr>
          <w:lang w:eastAsia="zh-CN"/>
        </w:rPr>
        <w:t>d post SCI.</w:t>
      </w:r>
      <w:r w:rsidR="00510FAB" w:rsidRPr="005318F9">
        <w:rPr>
          <w:lang w:eastAsia="zh-CN"/>
        </w:rPr>
        <w:t xml:space="preserve"> (</w:t>
      </w:r>
      <w:r w:rsidR="00510FAB" w:rsidRPr="005318F9">
        <w:rPr>
          <w:b/>
          <w:lang w:eastAsia="zh-CN"/>
        </w:rPr>
        <w:t>b</w:t>
      </w:r>
      <w:r w:rsidR="00510FAB" w:rsidRPr="005318F9">
        <w:rPr>
          <w:lang w:eastAsia="zh-CN"/>
        </w:rPr>
        <w:t xml:space="preserve">) Immunofluorescent staining with neuronal markers </w:t>
      </w:r>
      <w:r w:rsidR="000B6862" w:rsidRPr="005318F9">
        <w:rPr>
          <w:lang w:eastAsia="zh-CN"/>
        </w:rPr>
        <w:t>MAP2</w:t>
      </w:r>
      <w:r w:rsidR="00510FAB" w:rsidRPr="005318F9">
        <w:rPr>
          <w:lang w:eastAsia="zh-CN"/>
        </w:rPr>
        <w:t>/NeuN from 0</w:t>
      </w:r>
      <w:r w:rsidR="000B6862" w:rsidRPr="005318F9">
        <w:rPr>
          <w:lang w:eastAsia="zh-CN"/>
        </w:rPr>
        <w:t xml:space="preserve"> </w:t>
      </w:r>
      <w:r w:rsidR="00510FAB" w:rsidRPr="005318F9">
        <w:rPr>
          <w:lang w:eastAsia="zh-CN"/>
        </w:rPr>
        <w:t>d to 42</w:t>
      </w:r>
      <w:r w:rsidR="000B6862" w:rsidRPr="005318F9">
        <w:rPr>
          <w:lang w:eastAsia="zh-CN"/>
        </w:rPr>
        <w:t xml:space="preserve"> </w:t>
      </w:r>
      <w:r w:rsidR="00510FAB" w:rsidRPr="005318F9">
        <w:rPr>
          <w:lang w:eastAsia="zh-CN"/>
        </w:rPr>
        <w:t>d after SCI. (</w:t>
      </w:r>
      <w:r w:rsidR="00510FAB" w:rsidRPr="005318F9">
        <w:rPr>
          <w:b/>
          <w:lang w:eastAsia="zh-CN"/>
        </w:rPr>
        <w:t>c</w:t>
      </w:r>
      <w:r w:rsidR="00510FAB" w:rsidRPr="005318F9">
        <w:rPr>
          <w:lang w:eastAsia="zh-CN"/>
        </w:rPr>
        <w:t>) Immunofluorescent staining with astrocyte marker GFAP and pan-leukocyte marker CD45 from 0</w:t>
      </w:r>
      <w:r w:rsidR="00D6640B" w:rsidRPr="005318F9">
        <w:rPr>
          <w:lang w:eastAsia="zh-CN"/>
        </w:rPr>
        <w:t xml:space="preserve"> </w:t>
      </w:r>
      <w:r w:rsidR="00510FAB" w:rsidRPr="005318F9">
        <w:rPr>
          <w:lang w:eastAsia="zh-CN"/>
        </w:rPr>
        <w:t>d to 42</w:t>
      </w:r>
      <w:r w:rsidR="000B6862" w:rsidRPr="005318F9">
        <w:rPr>
          <w:lang w:eastAsia="zh-CN"/>
        </w:rPr>
        <w:t xml:space="preserve"> </w:t>
      </w:r>
      <w:r w:rsidR="00510FAB" w:rsidRPr="005318F9">
        <w:rPr>
          <w:lang w:eastAsia="zh-CN"/>
        </w:rPr>
        <w:t>d after SCI. (</w:t>
      </w:r>
      <w:r w:rsidR="00510FAB" w:rsidRPr="005318F9">
        <w:rPr>
          <w:b/>
          <w:lang w:eastAsia="zh-CN"/>
        </w:rPr>
        <w:t>d</w:t>
      </w:r>
      <w:r w:rsidR="00510FAB" w:rsidRPr="005318F9">
        <w:rPr>
          <w:lang w:eastAsia="zh-CN"/>
        </w:rPr>
        <w:t xml:space="preserve">) Immunofluorescent staining with microglia markers </w:t>
      </w:r>
      <w:r w:rsidR="000B6862" w:rsidRPr="005318F9">
        <w:rPr>
          <w:lang w:eastAsia="zh-CN"/>
        </w:rPr>
        <w:t>IBA1/CD11b</w:t>
      </w:r>
      <w:r w:rsidR="00510FAB" w:rsidRPr="005318F9">
        <w:rPr>
          <w:lang w:eastAsia="zh-CN"/>
        </w:rPr>
        <w:t xml:space="preserve"> from 0</w:t>
      </w:r>
      <w:r w:rsidR="000B6862" w:rsidRPr="005318F9">
        <w:rPr>
          <w:lang w:eastAsia="zh-CN"/>
        </w:rPr>
        <w:t xml:space="preserve"> </w:t>
      </w:r>
      <w:r w:rsidR="00510FAB" w:rsidRPr="005318F9">
        <w:rPr>
          <w:lang w:eastAsia="zh-CN"/>
        </w:rPr>
        <w:t>d to 42</w:t>
      </w:r>
      <w:r w:rsidR="000B6862" w:rsidRPr="005318F9">
        <w:rPr>
          <w:lang w:eastAsia="zh-CN"/>
        </w:rPr>
        <w:t xml:space="preserve"> </w:t>
      </w:r>
      <w:r w:rsidR="00510FAB" w:rsidRPr="005318F9">
        <w:rPr>
          <w:lang w:eastAsia="zh-CN"/>
        </w:rPr>
        <w:t>d post SCI.</w:t>
      </w:r>
      <w:r w:rsidR="00510FAB" w:rsidRPr="005318F9">
        <w:rPr>
          <w:lang w:eastAsia="zh-CN"/>
        </w:rPr>
        <w:br w:type="page"/>
      </w:r>
    </w:p>
    <w:p w14:paraId="5637CAB2" w14:textId="0AC848B3" w:rsidR="009A5287" w:rsidRPr="005318F9" w:rsidRDefault="00F626EA" w:rsidP="00510FAB">
      <w:pPr>
        <w:pStyle w:val="SMcaption"/>
        <w:jc w:val="center"/>
      </w:pPr>
      <w:r w:rsidRPr="005318F9">
        <w:rPr>
          <w:rFonts w:hint="eastAsia"/>
          <w:noProof/>
        </w:rPr>
        <w:lastRenderedPageBreak/>
        <w:drawing>
          <wp:inline distT="0" distB="0" distL="0" distR="0" wp14:anchorId="4099AD3B" wp14:editId="4534FAEF">
            <wp:extent cx="5940000" cy="7337647"/>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000" cy="7337647"/>
                    </a:xfrm>
                    <a:prstGeom prst="rect">
                      <a:avLst/>
                    </a:prstGeom>
                  </pic:spPr>
                </pic:pic>
              </a:graphicData>
            </a:graphic>
          </wp:inline>
        </w:drawing>
      </w:r>
    </w:p>
    <w:p w14:paraId="3567FF95" w14:textId="4240B957" w:rsidR="00112C5B" w:rsidRPr="005318F9" w:rsidRDefault="00112C5B" w:rsidP="00F626EA">
      <w:pPr>
        <w:pStyle w:val="SMHeading"/>
        <w:jc w:val="both"/>
      </w:pPr>
      <w:r w:rsidRPr="005318F9">
        <w:t>Fig</w:t>
      </w:r>
      <w:r w:rsidR="00821F38" w:rsidRPr="005318F9">
        <w:rPr>
          <w:rFonts w:hint="eastAsia"/>
          <w:lang w:eastAsia="zh-CN"/>
        </w:rPr>
        <w:t>ure</w:t>
      </w:r>
      <w:r w:rsidRPr="005318F9">
        <w:t>. S2</w:t>
      </w:r>
      <w:r w:rsidR="008218C4" w:rsidRPr="005318F9">
        <w:t>.</w:t>
      </w:r>
      <w:r w:rsidR="00510FAB" w:rsidRPr="005318F9">
        <w:t xml:space="preserve"> The population-based and scRNA-seq data demonstrating consistent molecular changes after SCI.</w:t>
      </w:r>
    </w:p>
    <w:p w14:paraId="2507BD7C" w14:textId="3188E33B" w:rsidR="00F626EA" w:rsidRPr="005318F9" w:rsidRDefault="00510FAB" w:rsidP="00F626EA">
      <w:pPr>
        <w:pStyle w:val="SMcaption"/>
        <w:jc w:val="both"/>
      </w:pPr>
      <w:r w:rsidRPr="005318F9">
        <w:rPr>
          <w:lang w:eastAsia="zh-CN"/>
        </w:rPr>
        <w:t>(</w:t>
      </w:r>
      <w:r w:rsidRPr="005318F9">
        <w:rPr>
          <w:b/>
          <w:lang w:eastAsia="zh-CN"/>
        </w:rPr>
        <w:t>a</w:t>
      </w:r>
      <w:r w:rsidRPr="005318F9">
        <w:rPr>
          <w:lang w:eastAsia="zh-CN"/>
        </w:rPr>
        <w:t xml:space="preserve">) </w:t>
      </w:r>
      <w:r w:rsidRPr="005318F9">
        <w:t>UMAP visualization plot</w:t>
      </w:r>
      <w:r w:rsidR="00714F2B" w:rsidRPr="005318F9">
        <w:t>s</w:t>
      </w:r>
      <w:r w:rsidRPr="005318F9">
        <w:t xml:space="preserve"> </w:t>
      </w:r>
      <w:r w:rsidR="00714F2B" w:rsidRPr="005318F9">
        <w:t xml:space="preserve">show </w:t>
      </w:r>
      <w:r w:rsidRPr="005318F9">
        <w:t>scRNA-seq results between male and female uninjured spinal cord were very similar. (</w:t>
      </w:r>
      <w:r w:rsidRPr="005318F9">
        <w:rPr>
          <w:b/>
        </w:rPr>
        <w:t>b</w:t>
      </w:r>
      <w:r w:rsidRPr="005318F9">
        <w:t xml:space="preserve">) Heatmap of normalized mean expression for key signature genes for </w:t>
      </w:r>
      <w:r w:rsidRPr="005318F9">
        <w:lastRenderedPageBreak/>
        <w:t>each major cell type. (</w:t>
      </w:r>
      <w:r w:rsidRPr="005318F9">
        <w:rPr>
          <w:b/>
        </w:rPr>
        <w:t>c</w:t>
      </w:r>
      <w:r w:rsidRPr="005318F9">
        <w:t xml:space="preserve">) </w:t>
      </w:r>
      <w:r w:rsidR="00C23B72" w:rsidRPr="005318F9">
        <w:t xml:space="preserve">Line charts demonstrating temporal changes of gene </w:t>
      </w:r>
      <w:r w:rsidR="00C23B72" w:rsidRPr="005318F9">
        <w:rPr>
          <w:i/>
        </w:rPr>
        <w:t>Tnf</w:t>
      </w:r>
      <w:r w:rsidR="00C23B72" w:rsidRPr="005318F9">
        <w:t xml:space="preserve"> in bulk-RNA- and scRNA-seq data. Both demonstrated a 2nd wave of increased expression after 14 days post SCI. (</w:t>
      </w:r>
      <w:r w:rsidR="00C23B72" w:rsidRPr="005318F9">
        <w:rPr>
          <w:b/>
        </w:rPr>
        <w:t>d</w:t>
      </w:r>
      <w:r w:rsidR="00C23B72" w:rsidRPr="005318F9">
        <w:t xml:space="preserve">) Temporal changes of 7 modules identified by bulk-RNA-seq of spinal cord tissues after SCI, as presented by averaged expression of each module’s top 20 genes, and averaged expression of the same top 20 genes detected from the scRNA-seq data. Result </w:t>
      </w:r>
      <w:r w:rsidR="00714F2B" w:rsidRPr="005318F9">
        <w:t xml:space="preserve">demonstrates </w:t>
      </w:r>
      <w:r w:rsidR="00C23B72" w:rsidRPr="005318F9">
        <w:t xml:space="preserve">good consistency between bulk-RNA-seq and scRNA-seq results. GO terms of each module </w:t>
      </w:r>
      <w:r w:rsidR="00714F2B" w:rsidRPr="005318F9">
        <w:t xml:space="preserve">are </w:t>
      </w:r>
      <w:r w:rsidR="00C23B72" w:rsidRPr="005318F9">
        <w:t>also presented. Feature plots showing averaged expression patterns of each module’s top 20 genes  in each cell types based on scRNA-seq results. Hub genes of each module were also listed on line charts.</w:t>
      </w:r>
    </w:p>
    <w:p w14:paraId="5B77DA7E" w14:textId="77777777" w:rsidR="00F626EA" w:rsidRPr="005318F9" w:rsidRDefault="00F626EA">
      <w:r w:rsidRPr="005318F9">
        <w:br w:type="page"/>
      </w:r>
    </w:p>
    <w:p w14:paraId="73511AF0" w14:textId="6AF35FBD" w:rsidR="00F626EA" w:rsidRPr="005318F9" w:rsidRDefault="00F626EA" w:rsidP="00670299">
      <w:pPr>
        <w:pStyle w:val="SMcaption"/>
        <w:rPr>
          <w:lang w:eastAsia="zh-CN"/>
        </w:rPr>
      </w:pPr>
      <w:r w:rsidRPr="005318F9">
        <w:rPr>
          <w:noProof/>
          <w:lang w:eastAsia="zh-CN"/>
        </w:rPr>
        <w:lastRenderedPageBreak/>
        <w:drawing>
          <wp:inline distT="0" distB="0" distL="0" distR="0" wp14:anchorId="04096203" wp14:editId="6AD19F53">
            <wp:extent cx="5940000" cy="419527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000" cy="4195270"/>
                    </a:xfrm>
                    <a:prstGeom prst="rect">
                      <a:avLst/>
                    </a:prstGeom>
                  </pic:spPr>
                </pic:pic>
              </a:graphicData>
            </a:graphic>
          </wp:inline>
        </w:drawing>
      </w:r>
    </w:p>
    <w:p w14:paraId="6F49D981" w14:textId="2446FC4A" w:rsidR="00112C5B" w:rsidRPr="005318F9" w:rsidRDefault="00112C5B" w:rsidP="00F626EA">
      <w:pPr>
        <w:pStyle w:val="SMHeading"/>
        <w:jc w:val="both"/>
      </w:pPr>
      <w:r w:rsidRPr="005318F9">
        <w:t>Fig</w:t>
      </w:r>
      <w:r w:rsidR="00821F38" w:rsidRPr="005318F9">
        <w:rPr>
          <w:rFonts w:hint="eastAsia"/>
          <w:lang w:eastAsia="zh-CN"/>
        </w:rPr>
        <w:t>ure</w:t>
      </w:r>
      <w:r w:rsidRPr="005318F9">
        <w:t>. S</w:t>
      </w:r>
      <w:r w:rsidR="00355362" w:rsidRPr="005318F9">
        <w:t>3</w:t>
      </w:r>
      <w:r w:rsidR="008218C4" w:rsidRPr="005318F9">
        <w:t>.</w:t>
      </w:r>
      <w:r w:rsidR="00F626EA" w:rsidRPr="005318F9">
        <w:t xml:space="preserve"> Relationships between each cluster (subtype) within neuron/astrocyte/microglia-specific populations.</w:t>
      </w:r>
    </w:p>
    <w:p w14:paraId="0B35D29F" w14:textId="1004E50F" w:rsidR="009A5287" w:rsidRPr="005318F9" w:rsidRDefault="00F626EA" w:rsidP="00477182">
      <w:pPr>
        <w:pStyle w:val="SMcaption"/>
      </w:pPr>
      <w:r w:rsidRPr="005318F9">
        <w:t>(</w:t>
      </w:r>
      <w:r w:rsidRPr="005318F9">
        <w:rPr>
          <w:b/>
        </w:rPr>
        <w:t>a</w:t>
      </w:r>
      <w:r w:rsidRPr="005318F9">
        <w:t>) Violin plots showing expression of neuronal signature genes and microglial signature genes in each neuronal cluster (subtype). Cluster 7 cells expressed both neuronal and microglial signature genes and therefore might be doublets and were therefore omitted from subsequent analyses. (</w:t>
      </w:r>
      <w:r w:rsidRPr="005318F9">
        <w:rPr>
          <w:b/>
        </w:rPr>
        <w:t>b</w:t>
      </w:r>
      <w:r w:rsidRPr="005318F9">
        <w:t xml:space="preserve">) </w:t>
      </w:r>
      <w:r w:rsidR="0086243E" w:rsidRPr="005318F9">
        <w:t>Clustering heatmap based on Pearson’s correlation coefficient of transcriptomes between every pair of neuronal clusters (subtypes). (</w:t>
      </w:r>
      <w:r w:rsidR="0086243E" w:rsidRPr="005318F9">
        <w:rPr>
          <w:b/>
        </w:rPr>
        <w:t>c</w:t>
      </w:r>
      <w:r w:rsidR="0086243E" w:rsidRPr="005318F9">
        <w:t>) Clustering heatmap based on Pearson’s correlation coefficient of transcriptomes between every pair of astrocytic clusters (subtypes). (</w:t>
      </w:r>
      <w:r w:rsidR="0086243E" w:rsidRPr="005318F9">
        <w:rPr>
          <w:b/>
        </w:rPr>
        <w:t>d</w:t>
      </w:r>
      <w:r w:rsidR="0086243E" w:rsidRPr="005318F9">
        <w:t>) Clustering heatmap based on Pearson’s correlation coefficient of transcriptomes between every pair of microglial clusters (subtypes).</w:t>
      </w:r>
    </w:p>
    <w:p w14:paraId="3FF03D25" w14:textId="26D435AF" w:rsidR="0086243E" w:rsidRPr="005318F9" w:rsidRDefault="0086243E">
      <w:r w:rsidRPr="005318F9">
        <w:br w:type="page"/>
      </w:r>
    </w:p>
    <w:p w14:paraId="361C4E1F" w14:textId="1E4B7046" w:rsidR="008218C4" w:rsidRPr="005318F9" w:rsidRDefault="0041673D" w:rsidP="0041673D">
      <w:pPr>
        <w:pStyle w:val="SMcaption"/>
        <w:jc w:val="center"/>
      </w:pPr>
      <w:r w:rsidRPr="005318F9">
        <w:rPr>
          <w:noProof/>
        </w:rPr>
        <w:lastRenderedPageBreak/>
        <w:drawing>
          <wp:inline distT="0" distB="0" distL="0" distR="0" wp14:anchorId="4F1F0279" wp14:editId="342F9419">
            <wp:extent cx="5940000" cy="5606894"/>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F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000" cy="5606894"/>
                    </a:xfrm>
                    <a:prstGeom prst="rect">
                      <a:avLst/>
                    </a:prstGeom>
                  </pic:spPr>
                </pic:pic>
              </a:graphicData>
            </a:graphic>
          </wp:inline>
        </w:drawing>
      </w:r>
    </w:p>
    <w:p w14:paraId="5D4184F3" w14:textId="1EB91D7D" w:rsidR="0041673D" w:rsidRPr="005318F9" w:rsidRDefault="0041673D" w:rsidP="0041673D">
      <w:pPr>
        <w:pStyle w:val="SMHeading"/>
        <w:jc w:val="both"/>
      </w:pPr>
      <w:r w:rsidRPr="005318F9">
        <w:t>Fig</w:t>
      </w:r>
      <w:r w:rsidRPr="005318F9">
        <w:rPr>
          <w:rFonts w:hint="eastAsia"/>
          <w:lang w:eastAsia="zh-CN"/>
        </w:rPr>
        <w:t>ure</w:t>
      </w:r>
      <w:r w:rsidRPr="005318F9">
        <w:t>. S4. Expression pattern of typical motor neuron and ventral interneuron marker genes in neuronal population revealed by scRNA-seq.</w:t>
      </w:r>
    </w:p>
    <w:p w14:paraId="35965125" w14:textId="0E6338D4" w:rsidR="0041673D" w:rsidRPr="005318F9" w:rsidRDefault="0041673D" w:rsidP="0041673D">
      <w:pPr>
        <w:pStyle w:val="SMcaption"/>
      </w:pPr>
      <w:r w:rsidRPr="005318F9">
        <w:t>(</w:t>
      </w:r>
      <w:r w:rsidRPr="005318F9">
        <w:rPr>
          <w:b/>
        </w:rPr>
        <w:t>a</w:t>
      </w:r>
      <w:r w:rsidRPr="005318F9">
        <w:t>) UMAP visualization of typical motor neuron specific genes (</w:t>
      </w:r>
      <w:r w:rsidRPr="005318F9">
        <w:rPr>
          <w:i/>
        </w:rPr>
        <w:t>Chat</w:t>
      </w:r>
      <w:r w:rsidRPr="005318F9">
        <w:t xml:space="preserve">, </w:t>
      </w:r>
      <w:r w:rsidRPr="005318F9">
        <w:rPr>
          <w:i/>
        </w:rPr>
        <w:t>Isl1</w:t>
      </w:r>
      <w:r w:rsidRPr="005318F9">
        <w:t xml:space="preserve">, </w:t>
      </w:r>
      <w:r w:rsidRPr="005318F9">
        <w:rPr>
          <w:i/>
        </w:rPr>
        <w:t>Mnx1</w:t>
      </w:r>
      <w:r w:rsidRPr="005318F9">
        <w:t>(HB9)) in neuronal populations. Dashed curve highlights cluster 1. (</w:t>
      </w:r>
      <w:r w:rsidRPr="005318F9">
        <w:rPr>
          <w:b/>
        </w:rPr>
        <w:t>b</w:t>
      </w:r>
      <w:r w:rsidRPr="005318F9">
        <w:t>) Bar plots showing expression of motor neuron specific genes in 6 neuronal subpopulations. (</w:t>
      </w:r>
      <w:r w:rsidRPr="005318F9">
        <w:rPr>
          <w:b/>
        </w:rPr>
        <w:t>c</w:t>
      </w:r>
      <w:r w:rsidRPr="005318F9">
        <w:t>) Subtypes of mouse spinal cord ventral interneurons revealed in Arber (2012). (</w:t>
      </w:r>
      <w:r w:rsidRPr="005318F9">
        <w:rPr>
          <w:b/>
        </w:rPr>
        <w:t>d</w:t>
      </w:r>
      <w:r w:rsidRPr="005318F9">
        <w:t>) Subtypes of mouse spinal cord ventral interneurons revealed in Arber (2012).</w:t>
      </w:r>
    </w:p>
    <w:p w14:paraId="168EEDEB" w14:textId="0F87CB66" w:rsidR="0041673D" w:rsidRPr="005318F9" w:rsidRDefault="0041673D">
      <w:r w:rsidRPr="005318F9">
        <w:br w:type="page"/>
      </w:r>
    </w:p>
    <w:p w14:paraId="6792CC3D" w14:textId="6B821B28" w:rsidR="0041673D" w:rsidRPr="005318F9" w:rsidRDefault="00D6640B" w:rsidP="0041673D">
      <w:pPr>
        <w:pStyle w:val="SMcaption"/>
        <w:jc w:val="center"/>
      </w:pPr>
      <w:r w:rsidRPr="005318F9">
        <w:rPr>
          <w:noProof/>
        </w:rPr>
        <w:lastRenderedPageBreak/>
        <w:drawing>
          <wp:inline distT="0" distB="0" distL="0" distR="0" wp14:anchorId="2AF290BC" wp14:editId="71E1FD65">
            <wp:extent cx="5943600" cy="61087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F5.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6108700"/>
                    </a:xfrm>
                    <a:prstGeom prst="rect">
                      <a:avLst/>
                    </a:prstGeom>
                  </pic:spPr>
                </pic:pic>
              </a:graphicData>
            </a:graphic>
          </wp:inline>
        </w:drawing>
      </w:r>
    </w:p>
    <w:p w14:paraId="21ACD189" w14:textId="759C9231" w:rsidR="0041673D" w:rsidRPr="005318F9" w:rsidRDefault="0041673D" w:rsidP="0041673D">
      <w:pPr>
        <w:pStyle w:val="SMHeading"/>
        <w:jc w:val="both"/>
      </w:pPr>
      <w:r w:rsidRPr="005318F9">
        <w:t>Fig</w:t>
      </w:r>
      <w:r w:rsidRPr="005318F9">
        <w:rPr>
          <w:rFonts w:hint="eastAsia"/>
          <w:lang w:eastAsia="zh-CN"/>
        </w:rPr>
        <w:t>ure</w:t>
      </w:r>
      <w:r w:rsidRPr="005318F9">
        <w:t>. S5. Proliferations of astrocytes and microglia peaked at 3d post SCI.</w:t>
      </w:r>
    </w:p>
    <w:p w14:paraId="7DEF4730" w14:textId="57B8C16D" w:rsidR="0041673D" w:rsidRPr="005318F9" w:rsidRDefault="0041673D" w:rsidP="0041673D">
      <w:pPr>
        <w:pStyle w:val="SMcaption"/>
        <w:jc w:val="both"/>
      </w:pPr>
      <w:r w:rsidRPr="005318F9">
        <w:t>(</w:t>
      </w:r>
      <w:r w:rsidRPr="005318F9">
        <w:rPr>
          <w:b/>
        </w:rPr>
        <w:t>a</w:t>
      </w:r>
      <w:r w:rsidRPr="005318F9">
        <w:t xml:space="preserve">) Feature plots showing gene expression of cell proliferation marker </w:t>
      </w:r>
      <w:r w:rsidRPr="005318F9">
        <w:rPr>
          <w:i/>
        </w:rPr>
        <w:t>Mki67</w:t>
      </w:r>
      <w:r w:rsidRPr="005318F9">
        <w:t xml:space="preserve"> in UMAP template demonstrating subpopulations of astrocytes and microglia represented two major proliferating cell types in the spinal cord after SCI. (</w:t>
      </w:r>
      <w:r w:rsidRPr="005318F9">
        <w:rPr>
          <w:b/>
        </w:rPr>
        <w:t>b</w:t>
      </w:r>
      <w:r w:rsidRPr="005318F9">
        <w:t xml:space="preserve">) Schematic diagram of regions of interest used for immunofluorescence analyses in </w:t>
      </w:r>
      <w:r w:rsidRPr="005318F9">
        <w:rPr>
          <w:b/>
        </w:rPr>
        <w:t>c</w:t>
      </w:r>
      <w:r w:rsidRPr="005318F9">
        <w:t xml:space="preserve"> and statistical analyses in </w:t>
      </w:r>
      <w:r w:rsidRPr="005318F9">
        <w:rPr>
          <w:b/>
        </w:rPr>
        <w:t>d-e</w:t>
      </w:r>
      <w:r w:rsidRPr="005318F9">
        <w:t>. (</w:t>
      </w:r>
      <w:r w:rsidRPr="005318F9">
        <w:rPr>
          <w:b/>
        </w:rPr>
        <w:t>c</w:t>
      </w:r>
      <w:r w:rsidRPr="005318F9">
        <w:t xml:space="preserve">) Immunofluorescent staining of different regions (indicated in </w:t>
      </w:r>
      <w:r w:rsidRPr="005318F9">
        <w:rPr>
          <w:b/>
        </w:rPr>
        <w:t>b</w:t>
      </w:r>
      <w:r w:rsidRPr="005318F9">
        <w:t xml:space="preserve">) of spinal cord tissues with microglia marker </w:t>
      </w:r>
      <w:r w:rsidR="00E71EBB" w:rsidRPr="005318F9">
        <w:t>IBA1 (</w:t>
      </w:r>
      <w:r w:rsidR="00E71EBB" w:rsidRPr="005318F9">
        <w:rPr>
          <w:i/>
        </w:rPr>
        <w:t>Aif1</w:t>
      </w:r>
      <w:r w:rsidR="00E71EBB" w:rsidRPr="005318F9">
        <w:t>)</w:t>
      </w:r>
      <w:r w:rsidRPr="005318F9">
        <w:t xml:space="preserve">, astrocyte marker </w:t>
      </w:r>
      <w:r w:rsidR="00E71EBB" w:rsidRPr="005318F9">
        <w:t xml:space="preserve">GFAP </w:t>
      </w:r>
      <w:r w:rsidRPr="005318F9">
        <w:t xml:space="preserve">and cell proliferation marker </w:t>
      </w:r>
      <w:r w:rsidR="00E71EBB" w:rsidRPr="005318F9">
        <w:t xml:space="preserve">MKI67 </w:t>
      </w:r>
      <w:r w:rsidRPr="005318F9">
        <w:t>at 3</w:t>
      </w:r>
      <w:r w:rsidR="00E71EBB" w:rsidRPr="005318F9">
        <w:t xml:space="preserve"> </w:t>
      </w:r>
      <w:r w:rsidRPr="005318F9">
        <w:t>d post SCI. (</w:t>
      </w:r>
      <w:r w:rsidRPr="005318F9">
        <w:rPr>
          <w:b/>
        </w:rPr>
        <w:t>d-e</w:t>
      </w:r>
      <w:r w:rsidRPr="005318F9">
        <w:t>) The statistical graph showing the distribution of proliferating cells in spinal cord tissues encompassing the lesion core. Note that proliferating astrocytes were excluded from the lesion core, whereas proliferating microglia could be detected within the lesion core.</w:t>
      </w:r>
    </w:p>
    <w:p w14:paraId="1CB8144E" w14:textId="7DC3C1F1" w:rsidR="000A5CE5" w:rsidRPr="005318F9" w:rsidRDefault="000A5CE5">
      <w:r w:rsidRPr="005318F9">
        <w:lastRenderedPageBreak/>
        <w:br w:type="page"/>
      </w:r>
    </w:p>
    <w:p w14:paraId="1244B342" w14:textId="4CFF2062" w:rsidR="000A5CE5" w:rsidRPr="005318F9" w:rsidRDefault="00886EDB" w:rsidP="00886EDB">
      <w:pPr>
        <w:pStyle w:val="SMcaption"/>
        <w:jc w:val="center"/>
      </w:pPr>
      <w:r w:rsidRPr="005318F9">
        <w:rPr>
          <w:noProof/>
        </w:rPr>
        <w:lastRenderedPageBreak/>
        <w:drawing>
          <wp:inline distT="0" distB="0" distL="0" distR="0" wp14:anchorId="728A3D25" wp14:editId="3E7897B0">
            <wp:extent cx="5940000" cy="629407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F6.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000" cy="6294070"/>
                    </a:xfrm>
                    <a:prstGeom prst="rect">
                      <a:avLst/>
                    </a:prstGeom>
                  </pic:spPr>
                </pic:pic>
              </a:graphicData>
            </a:graphic>
          </wp:inline>
        </w:drawing>
      </w:r>
    </w:p>
    <w:p w14:paraId="3D2D6DAE" w14:textId="715AA924" w:rsidR="000A5CE5" w:rsidRPr="005318F9" w:rsidRDefault="000A5CE5" w:rsidP="000A5CE5">
      <w:pPr>
        <w:pStyle w:val="SMHeading"/>
        <w:jc w:val="both"/>
      </w:pPr>
      <w:r w:rsidRPr="005318F9">
        <w:t>Fig</w:t>
      </w:r>
      <w:r w:rsidRPr="005318F9">
        <w:rPr>
          <w:rFonts w:hint="eastAsia"/>
          <w:lang w:eastAsia="zh-CN"/>
        </w:rPr>
        <w:t>ure</w:t>
      </w:r>
      <w:r w:rsidRPr="005318F9">
        <w:t>. S</w:t>
      </w:r>
      <w:r w:rsidR="00D95B1D" w:rsidRPr="005318F9">
        <w:t>6</w:t>
      </w:r>
      <w:r w:rsidRPr="005318F9">
        <w:t xml:space="preserve">. </w:t>
      </w:r>
      <w:r w:rsidR="00D95B1D" w:rsidRPr="005318F9">
        <w:t>In depth analyses of microglial population detected by scRNA-seq</w:t>
      </w:r>
      <w:r w:rsidRPr="005318F9">
        <w:t>.</w:t>
      </w:r>
    </w:p>
    <w:p w14:paraId="12D580F5" w14:textId="22527911" w:rsidR="000A5CE5" w:rsidRPr="005318F9" w:rsidRDefault="000A5CE5" w:rsidP="000A5CE5">
      <w:pPr>
        <w:pStyle w:val="SMcaption"/>
        <w:jc w:val="both"/>
      </w:pPr>
      <w:r w:rsidRPr="005318F9">
        <w:t>(</w:t>
      </w:r>
      <w:r w:rsidRPr="005318F9">
        <w:rPr>
          <w:b/>
        </w:rPr>
        <w:t>a</w:t>
      </w:r>
      <w:r w:rsidRPr="005318F9">
        <w:t xml:space="preserve">) </w:t>
      </w:r>
      <w:r w:rsidR="00D95B1D" w:rsidRPr="005318F9">
        <w:t xml:space="preserve">Feature plots showing gene expression of </w:t>
      </w:r>
      <w:r w:rsidR="00D95B1D" w:rsidRPr="005318F9">
        <w:rPr>
          <w:i/>
        </w:rPr>
        <w:t>Mrc1</w:t>
      </w:r>
      <w:r w:rsidR="00D95B1D" w:rsidRPr="005318F9">
        <w:t xml:space="preserve"> and </w:t>
      </w:r>
      <w:r w:rsidR="00D95B1D" w:rsidRPr="005318F9">
        <w:rPr>
          <w:i/>
        </w:rPr>
        <w:t>Lyve1</w:t>
      </w:r>
      <w:r w:rsidR="00D95B1D" w:rsidRPr="005318F9">
        <w:t xml:space="preserve"> in different microglial clusters. </w:t>
      </w:r>
      <w:r w:rsidR="00D95B1D" w:rsidRPr="005318F9">
        <w:rPr>
          <w:i/>
        </w:rPr>
        <w:t>Mrc1</w:t>
      </w:r>
      <w:r w:rsidR="00D95B1D" w:rsidRPr="005318F9">
        <w:t xml:space="preserve"> and </w:t>
      </w:r>
      <w:r w:rsidR="00D95B1D" w:rsidRPr="005318F9">
        <w:rPr>
          <w:i/>
        </w:rPr>
        <w:t>Lyve1</w:t>
      </w:r>
      <w:r w:rsidR="00D95B1D" w:rsidRPr="005318F9">
        <w:t xml:space="preserve"> had been reported to be macrophage markers</w:t>
      </w:r>
      <w:r w:rsidRPr="005318F9">
        <w:t>. (</w:t>
      </w:r>
      <w:r w:rsidRPr="005318F9">
        <w:rPr>
          <w:b/>
        </w:rPr>
        <w:t>b</w:t>
      </w:r>
      <w:r w:rsidRPr="005318F9">
        <w:t xml:space="preserve">) </w:t>
      </w:r>
      <w:r w:rsidR="007F1E18" w:rsidRPr="005318F9">
        <w:t xml:space="preserve">Feature plots showing gene expression of M2 marker </w:t>
      </w:r>
      <w:r w:rsidR="007F1E18" w:rsidRPr="005318F9">
        <w:rPr>
          <w:i/>
        </w:rPr>
        <w:t>Cd163</w:t>
      </w:r>
      <w:r w:rsidR="007F1E18" w:rsidRPr="005318F9">
        <w:t xml:space="preserve"> in different microglial clusters (subtypes).</w:t>
      </w:r>
      <w:r w:rsidRPr="005318F9">
        <w:t xml:space="preserve"> (</w:t>
      </w:r>
      <w:r w:rsidRPr="005318F9">
        <w:rPr>
          <w:b/>
        </w:rPr>
        <w:t>c</w:t>
      </w:r>
      <w:r w:rsidRPr="005318F9">
        <w:t xml:space="preserve">) </w:t>
      </w:r>
      <w:r w:rsidR="007F1E18" w:rsidRPr="005318F9">
        <w:t xml:space="preserve">Feature plots showing gene expression of classic microglia gene </w:t>
      </w:r>
      <w:r w:rsidR="007F1E18" w:rsidRPr="005318F9">
        <w:rPr>
          <w:i/>
        </w:rPr>
        <w:t>Tmem119</w:t>
      </w:r>
      <w:r w:rsidR="007F1E18" w:rsidRPr="005318F9">
        <w:t xml:space="preserve"> and </w:t>
      </w:r>
      <w:r w:rsidR="007F1E18" w:rsidRPr="005318F9">
        <w:rPr>
          <w:i/>
        </w:rPr>
        <w:t>Sall1</w:t>
      </w:r>
      <w:r w:rsidR="007F1E18" w:rsidRPr="005318F9">
        <w:t xml:space="preserve"> in different microglial clusters. These two genes were considered classic microglia signature genes.</w:t>
      </w:r>
      <w:r w:rsidRPr="005318F9">
        <w:t xml:space="preserve"> (</w:t>
      </w:r>
      <w:r w:rsidRPr="005318F9">
        <w:rPr>
          <w:b/>
        </w:rPr>
        <w:t>d</w:t>
      </w:r>
      <w:r w:rsidRPr="005318F9">
        <w:t xml:space="preserve">) </w:t>
      </w:r>
      <w:r w:rsidR="00C96773" w:rsidRPr="005318F9">
        <w:t>Bar graph showing percentage of putative M1</w:t>
      </w:r>
      <w:r w:rsidR="00A50FDC" w:rsidRPr="005318F9">
        <w:t>/</w:t>
      </w:r>
      <w:r w:rsidR="006411E5" w:rsidRPr="005318F9">
        <w:t>M</w:t>
      </w:r>
      <w:r w:rsidR="00C96773" w:rsidRPr="005318F9">
        <w:t xml:space="preserve">2 cells (based on </w:t>
      </w:r>
      <w:r w:rsidR="00C96773" w:rsidRPr="005318F9">
        <w:rPr>
          <w:i/>
        </w:rPr>
        <w:t>Cd68</w:t>
      </w:r>
      <w:r w:rsidR="00C96773" w:rsidRPr="005318F9">
        <w:t xml:space="preserve"> and </w:t>
      </w:r>
      <w:r w:rsidR="00C96773" w:rsidRPr="005318F9">
        <w:rPr>
          <w:i/>
        </w:rPr>
        <w:t>Cd163</w:t>
      </w:r>
      <w:r w:rsidR="00C96773" w:rsidRPr="005318F9">
        <w:t xml:space="preserve"> expression) in microglial cluster 3 at different time points post SCI</w:t>
      </w:r>
      <w:r w:rsidRPr="005318F9">
        <w:t>.</w:t>
      </w:r>
      <w:r w:rsidR="0075133E" w:rsidRPr="005318F9">
        <w:t xml:space="preserve"> (</w:t>
      </w:r>
      <w:r w:rsidR="0075133E" w:rsidRPr="005318F9">
        <w:rPr>
          <w:b/>
        </w:rPr>
        <w:t>e</w:t>
      </w:r>
      <w:r w:rsidR="0075133E" w:rsidRPr="005318F9">
        <w:t>) Feature plots showing gene expression of each repopulating microglia signature genes in different adult spinal cord microglia clusters. (</w:t>
      </w:r>
      <w:r w:rsidR="0075133E" w:rsidRPr="005318F9">
        <w:rPr>
          <w:b/>
        </w:rPr>
        <w:t>f</w:t>
      </w:r>
      <w:r w:rsidR="0075133E" w:rsidRPr="005318F9">
        <w:t xml:space="preserve">) Feature plots showing gene </w:t>
      </w:r>
      <w:r w:rsidR="0075133E" w:rsidRPr="005318F9">
        <w:lastRenderedPageBreak/>
        <w:t>expression of each repopulation microglia signature genes in MG</w:t>
      </w:r>
      <w:r w:rsidR="00E71EBB" w:rsidRPr="005318F9">
        <w:t xml:space="preserve"> </w:t>
      </w:r>
      <w:r w:rsidR="0075133E" w:rsidRPr="005318F9">
        <w:t>0/1/3 (neonatal) and cluster 3/4/7 (adult) in combined scRNA-seq data set.</w:t>
      </w:r>
      <w:r w:rsidR="00A50FDC" w:rsidRPr="005318F9">
        <w:t xml:space="preserve"> (</w:t>
      </w:r>
      <w:r w:rsidR="00A50FDC" w:rsidRPr="005318F9">
        <w:rPr>
          <w:b/>
        </w:rPr>
        <w:t>g</w:t>
      </w:r>
      <w:r w:rsidR="00A50FDC" w:rsidRPr="005318F9">
        <w:t>) Feature plots showing averaged expression of MG 0/1/3-specific signature genes in neonatal microglia MG</w:t>
      </w:r>
      <w:r w:rsidR="00E71EBB" w:rsidRPr="005318F9">
        <w:t xml:space="preserve"> </w:t>
      </w:r>
      <w:r w:rsidR="00A50FDC" w:rsidRPr="005318F9">
        <w:t>0/1/3 and adult spinal cord microglia cluster 3/4/7 combined scRNA-seq data set.</w:t>
      </w:r>
    </w:p>
    <w:p w14:paraId="23C0FB31" w14:textId="4A1B9256" w:rsidR="000A5CE5" w:rsidRPr="005318F9" w:rsidRDefault="000A5CE5" w:rsidP="000A5CE5">
      <w:r w:rsidRPr="005318F9">
        <w:br w:type="page"/>
      </w:r>
    </w:p>
    <w:p w14:paraId="52C79AF5" w14:textId="046E5DCE" w:rsidR="00886EDB" w:rsidRPr="005318F9" w:rsidRDefault="003A5525" w:rsidP="003A5525">
      <w:pPr>
        <w:jc w:val="center"/>
      </w:pPr>
      <w:r w:rsidRPr="005318F9">
        <w:rPr>
          <w:noProof/>
        </w:rPr>
        <w:lastRenderedPageBreak/>
        <w:drawing>
          <wp:inline distT="0" distB="0" distL="0" distR="0" wp14:anchorId="19116821" wp14:editId="6A9497B7">
            <wp:extent cx="5940000" cy="2362024"/>
            <wp:effectExtent l="0" t="0" r="381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F7.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000" cy="2362024"/>
                    </a:xfrm>
                    <a:prstGeom prst="rect">
                      <a:avLst/>
                    </a:prstGeom>
                  </pic:spPr>
                </pic:pic>
              </a:graphicData>
            </a:graphic>
          </wp:inline>
        </w:drawing>
      </w:r>
    </w:p>
    <w:p w14:paraId="23A33E83" w14:textId="6665B6D6" w:rsidR="00886EDB" w:rsidRPr="005318F9" w:rsidRDefault="00886EDB" w:rsidP="00886EDB">
      <w:pPr>
        <w:pStyle w:val="SMHeading"/>
        <w:jc w:val="both"/>
      </w:pPr>
      <w:r w:rsidRPr="005318F9">
        <w:t>Fig</w:t>
      </w:r>
      <w:r w:rsidRPr="005318F9">
        <w:rPr>
          <w:rFonts w:hint="eastAsia"/>
          <w:lang w:eastAsia="zh-CN"/>
        </w:rPr>
        <w:t>ure</w:t>
      </w:r>
      <w:r w:rsidRPr="005318F9">
        <w:t>. S7. Time-course of the expression of neurotransmission-related genes and immediate early gene, Fos, in neuronal populations after SCI revealed by scRNA-seq.</w:t>
      </w:r>
    </w:p>
    <w:p w14:paraId="48A1F212" w14:textId="397C5BA5" w:rsidR="00886EDB" w:rsidRPr="005318F9" w:rsidRDefault="00886EDB" w:rsidP="00886EDB">
      <w:pPr>
        <w:pStyle w:val="SMcaption"/>
        <w:jc w:val="both"/>
      </w:pPr>
      <w:r w:rsidRPr="005318F9">
        <w:t>(</w:t>
      </w:r>
      <w:r w:rsidRPr="005318F9">
        <w:rPr>
          <w:b/>
        </w:rPr>
        <w:t>a</w:t>
      </w:r>
      <w:r w:rsidRPr="005318F9">
        <w:t>) Time-course of the expression of top32 hub genes within the turquoise module in neuronal populations. (</w:t>
      </w:r>
      <w:r w:rsidRPr="005318F9">
        <w:rPr>
          <w:b/>
        </w:rPr>
        <w:t>b</w:t>
      </w:r>
      <w:r w:rsidRPr="005318F9">
        <w:t xml:space="preserve">) </w:t>
      </w:r>
      <w:r w:rsidR="00322D2B" w:rsidRPr="005318F9">
        <w:t xml:space="preserve">Time-course of the expression of immediate early gene </w:t>
      </w:r>
      <w:r w:rsidR="00322D2B" w:rsidRPr="005318F9">
        <w:rPr>
          <w:i/>
        </w:rPr>
        <w:t>Fos</w:t>
      </w:r>
      <w:r w:rsidR="00322D2B" w:rsidRPr="005318F9">
        <w:t xml:space="preserve"> (c-Fos) in neuronal populations</w:t>
      </w:r>
      <w:r w:rsidRPr="005318F9">
        <w:t>.</w:t>
      </w:r>
    </w:p>
    <w:p w14:paraId="07D06526" w14:textId="77777777" w:rsidR="00886EDB" w:rsidRPr="005318F9" w:rsidRDefault="00886EDB" w:rsidP="00886EDB">
      <w:r w:rsidRPr="005318F9">
        <w:br w:type="page"/>
      </w:r>
    </w:p>
    <w:p w14:paraId="1C487AFF" w14:textId="1475F9E1" w:rsidR="00886EDB" w:rsidRPr="005318F9" w:rsidRDefault="00272CA8" w:rsidP="00272CA8">
      <w:pPr>
        <w:jc w:val="center"/>
      </w:pPr>
      <w:r w:rsidRPr="005318F9">
        <w:rPr>
          <w:noProof/>
        </w:rPr>
        <w:lastRenderedPageBreak/>
        <w:drawing>
          <wp:inline distT="0" distB="0" distL="0" distR="0" wp14:anchorId="0CFFE1A4" wp14:editId="3CAE6C43">
            <wp:extent cx="5940000" cy="421390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F8.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000" cy="4213905"/>
                    </a:xfrm>
                    <a:prstGeom prst="rect">
                      <a:avLst/>
                    </a:prstGeom>
                  </pic:spPr>
                </pic:pic>
              </a:graphicData>
            </a:graphic>
          </wp:inline>
        </w:drawing>
      </w:r>
    </w:p>
    <w:p w14:paraId="65A7DD4F" w14:textId="46434C4C" w:rsidR="00272CA8" w:rsidRPr="005318F9" w:rsidRDefault="00272CA8" w:rsidP="00272CA8">
      <w:pPr>
        <w:pStyle w:val="SMHeading"/>
        <w:jc w:val="both"/>
      </w:pPr>
      <w:r w:rsidRPr="005318F9">
        <w:t>Fig</w:t>
      </w:r>
      <w:r w:rsidRPr="005318F9">
        <w:rPr>
          <w:rFonts w:hint="eastAsia"/>
          <w:lang w:eastAsia="zh-CN"/>
        </w:rPr>
        <w:t>ure</w:t>
      </w:r>
      <w:r w:rsidRPr="005318F9">
        <w:t>. S8. Defining ependymal CD133+ neural stem cells (NSCs) in adult spinal cord scRNA-seq data.</w:t>
      </w:r>
    </w:p>
    <w:p w14:paraId="73E21722" w14:textId="41474A99" w:rsidR="00272CA8" w:rsidRPr="005318F9" w:rsidRDefault="00272CA8" w:rsidP="00272CA8">
      <w:pPr>
        <w:pStyle w:val="SMcaption"/>
        <w:jc w:val="both"/>
      </w:pPr>
      <w:r w:rsidRPr="005318F9">
        <w:t>(</w:t>
      </w:r>
      <w:r w:rsidRPr="005318F9">
        <w:rPr>
          <w:b/>
        </w:rPr>
        <w:t>a</w:t>
      </w:r>
      <w:r w:rsidRPr="005318F9">
        <w:t xml:space="preserve">) Feature plots showing gene expression of </w:t>
      </w:r>
      <w:r w:rsidRPr="005318F9">
        <w:rPr>
          <w:i/>
        </w:rPr>
        <w:t>Prom1</w:t>
      </w:r>
      <w:r w:rsidRPr="005318F9">
        <w:t xml:space="preserve"> (CD133) in all cell types. (</w:t>
      </w:r>
      <w:r w:rsidRPr="005318F9">
        <w:rPr>
          <w:b/>
        </w:rPr>
        <w:t>b</w:t>
      </w:r>
      <w:r w:rsidRPr="005318F9">
        <w:t xml:space="preserve">) UMAP visualization plot showing all </w:t>
      </w:r>
      <w:r w:rsidRPr="005318F9">
        <w:rPr>
          <w:i/>
        </w:rPr>
        <w:t>Prom1</w:t>
      </w:r>
      <w:r w:rsidRPr="005318F9">
        <w:t xml:space="preserve"> (CD133) positive cells could be divided into 8 subclusters. (</w:t>
      </w:r>
      <w:r w:rsidRPr="005318F9">
        <w:rPr>
          <w:b/>
        </w:rPr>
        <w:t>c</w:t>
      </w:r>
      <w:r w:rsidRPr="005318F9">
        <w:t xml:space="preserve">) Feature plots showing gene expression of the 4th ventricle NSCs signature genes in all </w:t>
      </w:r>
      <w:r w:rsidRPr="005318F9">
        <w:rPr>
          <w:i/>
        </w:rPr>
        <w:t>Prom1</w:t>
      </w:r>
      <w:r w:rsidRPr="005318F9">
        <w:t xml:space="preserve"> (CD133) expressing cells from adult spinal cord scRNA-seq data.</w:t>
      </w:r>
    </w:p>
    <w:p w14:paraId="38604A98" w14:textId="77777777" w:rsidR="00272CA8" w:rsidRPr="005318F9" w:rsidRDefault="00272CA8">
      <w:r w:rsidRPr="005318F9">
        <w:br w:type="page"/>
      </w:r>
    </w:p>
    <w:p w14:paraId="78C078AF" w14:textId="65E16A08" w:rsidR="00272CA8" w:rsidRPr="005318F9" w:rsidRDefault="00D6640B" w:rsidP="00D42100">
      <w:pPr>
        <w:pStyle w:val="SMcaption"/>
        <w:jc w:val="center"/>
      </w:pPr>
      <w:r w:rsidRPr="005318F9">
        <w:rPr>
          <w:noProof/>
        </w:rPr>
        <w:lastRenderedPageBreak/>
        <w:drawing>
          <wp:inline distT="0" distB="0" distL="0" distR="0" wp14:anchorId="5FC00342" wp14:editId="45AFDC59">
            <wp:extent cx="5943600" cy="12122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F9.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1212215"/>
                    </a:xfrm>
                    <a:prstGeom prst="rect">
                      <a:avLst/>
                    </a:prstGeom>
                  </pic:spPr>
                </pic:pic>
              </a:graphicData>
            </a:graphic>
          </wp:inline>
        </w:drawing>
      </w:r>
    </w:p>
    <w:p w14:paraId="75FB6038" w14:textId="13ADA347" w:rsidR="00D42100" w:rsidRPr="005318F9" w:rsidRDefault="00272CA8" w:rsidP="00272CA8">
      <w:pPr>
        <w:pStyle w:val="SMHeading"/>
        <w:jc w:val="both"/>
      </w:pPr>
      <w:r w:rsidRPr="005318F9">
        <w:t>Fig</w:t>
      </w:r>
      <w:r w:rsidRPr="005318F9">
        <w:rPr>
          <w:rFonts w:hint="eastAsia"/>
          <w:lang w:eastAsia="zh-CN"/>
        </w:rPr>
        <w:t>ure</w:t>
      </w:r>
      <w:r w:rsidRPr="005318F9">
        <w:t xml:space="preserve">. S9. Immunostaining of </w:t>
      </w:r>
      <w:r w:rsidR="00E71EBB" w:rsidRPr="005318F9">
        <w:t xml:space="preserve">FN1 </w:t>
      </w:r>
      <w:r w:rsidRPr="005318F9">
        <w:t>and CD45 in spinal cord 7 days after SCI (Dashed curve showing the boundaries of epicenter region).</w:t>
      </w:r>
    </w:p>
    <w:p w14:paraId="0EA7256B" w14:textId="2B7889CD" w:rsidR="00272CA8" w:rsidRPr="005318F9" w:rsidRDefault="00D42100" w:rsidP="007649D7">
      <w:r w:rsidRPr="005318F9">
        <w:br w:type="page"/>
      </w:r>
    </w:p>
    <w:p w14:paraId="4A4B35D2" w14:textId="722F458F" w:rsidR="003129CC" w:rsidRPr="005318F9" w:rsidRDefault="003129CC" w:rsidP="003129CC">
      <w:pPr>
        <w:jc w:val="center"/>
        <w:rPr>
          <w:b/>
          <w:bCs/>
          <w:kern w:val="32"/>
          <w:szCs w:val="24"/>
        </w:rPr>
      </w:pPr>
      <w:r w:rsidRPr="005318F9">
        <w:rPr>
          <w:b/>
          <w:bCs/>
          <w:noProof/>
          <w:kern w:val="32"/>
          <w:szCs w:val="24"/>
        </w:rPr>
        <w:lastRenderedPageBreak/>
        <w:drawing>
          <wp:inline distT="0" distB="0" distL="0" distR="0" wp14:anchorId="1A8C6587" wp14:editId="7A0CEF09">
            <wp:extent cx="5940000" cy="5415882"/>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F10.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000" cy="5415882"/>
                    </a:xfrm>
                    <a:prstGeom prst="rect">
                      <a:avLst/>
                    </a:prstGeom>
                  </pic:spPr>
                </pic:pic>
              </a:graphicData>
            </a:graphic>
          </wp:inline>
        </w:drawing>
      </w:r>
    </w:p>
    <w:p w14:paraId="599872CE" w14:textId="4A14014E" w:rsidR="00D42100" w:rsidRPr="005318F9" w:rsidRDefault="00D42100" w:rsidP="00D42100">
      <w:pPr>
        <w:pStyle w:val="SMHeading"/>
        <w:jc w:val="both"/>
      </w:pPr>
      <w:r w:rsidRPr="005318F9">
        <w:t>Fig</w:t>
      </w:r>
      <w:r w:rsidRPr="005318F9">
        <w:rPr>
          <w:rFonts w:hint="eastAsia"/>
          <w:lang w:eastAsia="zh-CN"/>
        </w:rPr>
        <w:t>ure</w:t>
      </w:r>
      <w:r w:rsidRPr="005318F9">
        <w:t>. S10. Microglial cells being the featured cells expressing key transcription factors in adult spinal cord after SCI.</w:t>
      </w:r>
    </w:p>
    <w:p w14:paraId="57BA9E27" w14:textId="075DA3A1" w:rsidR="00282C1A" w:rsidRPr="005318F9" w:rsidRDefault="007649D7" w:rsidP="007649D7">
      <w:pPr>
        <w:pStyle w:val="SMcaption"/>
        <w:jc w:val="both"/>
      </w:pPr>
      <w:r w:rsidRPr="005318F9">
        <w:t>(</w:t>
      </w:r>
      <w:r w:rsidRPr="005318F9">
        <w:rPr>
          <w:b/>
        </w:rPr>
        <w:t>a</w:t>
      </w:r>
      <w:r w:rsidRPr="005318F9">
        <w:t>) Transcription factor enrichment analyses of the bulk-sequencing data revealed most significant (key) transcription factors and their target genes expressed at each specific time post SCI. (</w:t>
      </w:r>
      <w:r w:rsidRPr="005318F9">
        <w:rPr>
          <w:b/>
        </w:rPr>
        <w:t>b</w:t>
      </w:r>
      <w:r w:rsidRPr="005318F9">
        <w:t>) Feature plots showing gene expression of major transcription factors in all cell types. Results indicate microglial cells being the major host cells harboring the expression of featured major transcription factors identified from bulk-RNA-seq.</w:t>
      </w:r>
      <w:r w:rsidR="0036461A" w:rsidRPr="005318F9">
        <w:t xml:space="preserve"> dpi, day</w:t>
      </w:r>
      <w:r w:rsidR="00142538" w:rsidRPr="005318F9">
        <w:t>s</w:t>
      </w:r>
      <w:r w:rsidR="0036461A" w:rsidRPr="005318F9">
        <w:t xml:space="preserve"> post injury.</w:t>
      </w:r>
    </w:p>
    <w:p w14:paraId="68FC7FBC" w14:textId="77777777" w:rsidR="00282C1A" w:rsidRPr="005318F9" w:rsidRDefault="00282C1A">
      <w:r w:rsidRPr="005318F9">
        <w:br w:type="page"/>
      </w:r>
    </w:p>
    <w:p w14:paraId="719B949F" w14:textId="6F9171D7" w:rsidR="007649D7" w:rsidRPr="005318F9" w:rsidRDefault="00282C1A" w:rsidP="00282C1A">
      <w:pPr>
        <w:pStyle w:val="SMcaption"/>
        <w:jc w:val="center"/>
      </w:pPr>
      <w:r w:rsidRPr="005318F9">
        <w:rPr>
          <w:noProof/>
        </w:rPr>
        <w:lastRenderedPageBreak/>
        <w:drawing>
          <wp:inline distT="0" distB="0" distL="0" distR="0" wp14:anchorId="39C92936" wp14:editId="3940B736">
            <wp:extent cx="5940000" cy="1805293"/>
            <wp:effectExtent l="0" t="0" r="381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F11.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000" cy="1805293"/>
                    </a:xfrm>
                    <a:prstGeom prst="rect">
                      <a:avLst/>
                    </a:prstGeom>
                  </pic:spPr>
                </pic:pic>
              </a:graphicData>
            </a:graphic>
          </wp:inline>
        </w:drawing>
      </w:r>
    </w:p>
    <w:p w14:paraId="79A24933" w14:textId="052E6CC6" w:rsidR="00282C1A" w:rsidRPr="005318F9" w:rsidRDefault="00282C1A" w:rsidP="00282C1A">
      <w:pPr>
        <w:pStyle w:val="SMHeading"/>
        <w:jc w:val="both"/>
      </w:pPr>
      <w:r w:rsidRPr="005318F9">
        <w:t>Fig</w:t>
      </w:r>
      <w:r w:rsidRPr="005318F9">
        <w:rPr>
          <w:rFonts w:hint="eastAsia"/>
          <w:lang w:eastAsia="zh-CN"/>
        </w:rPr>
        <w:t>ure</w:t>
      </w:r>
      <w:r w:rsidRPr="005318F9">
        <w:t>. S11. Lesion stabilization revealed by changes in GFAP span encompassing the epicenter with time after spinal cord injury.</w:t>
      </w:r>
    </w:p>
    <w:p w14:paraId="61DF28D4" w14:textId="0A092373" w:rsidR="00282C1A" w:rsidRPr="005318F9" w:rsidRDefault="00282C1A" w:rsidP="00282C1A">
      <w:pPr>
        <w:pStyle w:val="SMcaption"/>
        <w:jc w:val="both"/>
      </w:pPr>
      <w:r w:rsidRPr="005318F9">
        <w:t>(</w:t>
      </w:r>
      <w:r w:rsidRPr="005318F9">
        <w:rPr>
          <w:b/>
        </w:rPr>
        <w:t>a</w:t>
      </w:r>
      <w:r w:rsidRPr="005318F9">
        <w:t>) An example illustrating the GFAP span across spinal cord epicenter. (</w:t>
      </w:r>
      <w:r w:rsidRPr="005318F9">
        <w:rPr>
          <w:b/>
        </w:rPr>
        <w:t>b</w:t>
      </w:r>
      <w:r w:rsidRPr="005318F9">
        <w:t>) Line chart showing the widths of GFAP-span measured at different times after SCI.</w:t>
      </w:r>
    </w:p>
    <w:p w14:paraId="1BA19E77" w14:textId="77777777" w:rsidR="00282C1A" w:rsidRPr="005318F9" w:rsidRDefault="00282C1A">
      <w:r w:rsidRPr="005318F9">
        <w:br w:type="page"/>
      </w:r>
    </w:p>
    <w:p w14:paraId="16966F07" w14:textId="3104F5A7" w:rsidR="009A5287" w:rsidRPr="005318F9" w:rsidRDefault="00015F74" w:rsidP="00282C1A">
      <w:pPr>
        <w:pStyle w:val="SMHeading"/>
      </w:pPr>
      <w:r w:rsidRPr="005318F9">
        <w:lastRenderedPageBreak/>
        <w:t>Table S1.</w:t>
      </w:r>
      <w:r w:rsidR="00282C1A" w:rsidRPr="005318F9">
        <w:t xml:space="preserve"> Spinal cord injury phases and key pathological events described in previous and this study</w:t>
      </w:r>
      <w:r w:rsidR="00E4519A" w:rsidRPr="005318F9">
        <w:t>.</w:t>
      </w:r>
    </w:p>
    <w:tbl>
      <w:tblPr>
        <w:tblStyle w:val="TableGrid"/>
        <w:tblW w:w="9351" w:type="dxa"/>
        <w:tblBorders>
          <w:insideH w:val="none" w:sz="0" w:space="0" w:color="auto"/>
          <w:insideV w:val="none" w:sz="0" w:space="0" w:color="auto"/>
        </w:tblBorders>
        <w:tblLayout w:type="fixed"/>
        <w:tblLook w:val="04A0" w:firstRow="1" w:lastRow="0" w:firstColumn="1" w:lastColumn="0" w:noHBand="0" w:noVBand="1"/>
      </w:tblPr>
      <w:tblGrid>
        <w:gridCol w:w="1413"/>
        <w:gridCol w:w="1276"/>
        <w:gridCol w:w="1134"/>
        <w:gridCol w:w="2268"/>
        <w:gridCol w:w="1842"/>
        <w:gridCol w:w="1418"/>
      </w:tblGrid>
      <w:tr w:rsidR="00282C1A" w:rsidRPr="005318F9" w14:paraId="06DCACFE" w14:textId="77777777" w:rsidTr="007859F8">
        <w:tc>
          <w:tcPr>
            <w:tcW w:w="1413" w:type="dxa"/>
            <w:vMerge w:val="restart"/>
            <w:tcBorders>
              <w:top w:val="single" w:sz="4" w:space="0" w:color="auto"/>
            </w:tcBorders>
            <w:vAlign w:val="center"/>
          </w:tcPr>
          <w:p w14:paraId="53397811" w14:textId="77777777" w:rsidR="00282C1A" w:rsidRPr="005318F9" w:rsidRDefault="00282C1A" w:rsidP="007859F8">
            <w:pPr>
              <w:jc w:val="center"/>
              <w:rPr>
                <w:rFonts w:ascii="Arial" w:hAnsi="Arial"/>
                <w:b/>
                <w:sz w:val="20"/>
              </w:rPr>
            </w:pPr>
            <w:r w:rsidRPr="005318F9">
              <w:rPr>
                <w:rFonts w:ascii="Arial" w:hAnsi="Arial"/>
                <w:b/>
                <w:sz w:val="20"/>
              </w:rPr>
              <w:t>Data source and Key Events</w:t>
            </w:r>
          </w:p>
        </w:tc>
        <w:tc>
          <w:tcPr>
            <w:tcW w:w="7938" w:type="dxa"/>
            <w:gridSpan w:val="5"/>
            <w:tcBorders>
              <w:top w:val="single" w:sz="4" w:space="0" w:color="auto"/>
              <w:bottom w:val="single" w:sz="4" w:space="0" w:color="auto"/>
            </w:tcBorders>
            <w:vAlign w:val="center"/>
          </w:tcPr>
          <w:p w14:paraId="5EC00069" w14:textId="77777777" w:rsidR="00282C1A" w:rsidRPr="005318F9" w:rsidRDefault="00282C1A" w:rsidP="007859F8">
            <w:pPr>
              <w:jc w:val="center"/>
              <w:rPr>
                <w:rFonts w:ascii="Arial" w:hAnsi="Arial"/>
                <w:sz w:val="20"/>
              </w:rPr>
            </w:pPr>
            <w:r w:rsidRPr="005318F9">
              <w:rPr>
                <w:rFonts w:ascii="Arial" w:hAnsi="Arial"/>
                <w:sz w:val="20"/>
              </w:rPr>
              <w:t>Time Post SCI and Injury Phases</w:t>
            </w:r>
          </w:p>
        </w:tc>
      </w:tr>
      <w:tr w:rsidR="00282C1A" w:rsidRPr="005318F9" w14:paraId="5A1D9E78" w14:textId="77777777" w:rsidTr="007859F8">
        <w:tc>
          <w:tcPr>
            <w:tcW w:w="1413" w:type="dxa"/>
            <w:vMerge/>
            <w:tcBorders>
              <w:bottom w:val="single" w:sz="4" w:space="0" w:color="auto"/>
            </w:tcBorders>
          </w:tcPr>
          <w:p w14:paraId="5AE52E84" w14:textId="77777777" w:rsidR="00282C1A" w:rsidRPr="005318F9" w:rsidRDefault="00282C1A" w:rsidP="007859F8">
            <w:pPr>
              <w:jc w:val="center"/>
              <w:rPr>
                <w:rFonts w:ascii="Arial" w:hAnsi="Arial"/>
                <w:b/>
                <w:sz w:val="20"/>
              </w:rPr>
            </w:pPr>
          </w:p>
        </w:tc>
        <w:tc>
          <w:tcPr>
            <w:tcW w:w="1276" w:type="dxa"/>
            <w:tcBorders>
              <w:top w:val="single" w:sz="4" w:space="0" w:color="auto"/>
              <w:bottom w:val="single" w:sz="4" w:space="0" w:color="auto"/>
            </w:tcBorders>
            <w:vAlign w:val="center"/>
          </w:tcPr>
          <w:p w14:paraId="2536582B" w14:textId="282CF34F" w:rsidR="00282C1A" w:rsidRPr="005318F9" w:rsidRDefault="00282C1A" w:rsidP="007859F8">
            <w:pPr>
              <w:rPr>
                <w:rFonts w:ascii="Arial" w:hAnsi="Arial"/>
                <w:b/>
                <w:sz w:val="20"/>
              </w:rPr>
            </w:pPr>
            <w:r w:rsidRPr="005318F9">
              <w:rPr>
                <w:rFonts w:ascii="Arial" w:hAnsi="Arial"/>
                <w:b/>
                <w:sz w:val="20"/>
              </w:rPr>
              <w:t>0</w:t>
            </w:r>
            <w:r w:rsidR="00376EE3" w:rsidRPr="005318F9">
              <w:rPr>
                <w:rFonts w:ascii="Arial" w:hAnsi="Arial"/>
                <w:b/>
                <w:sz w:val="20"/>
              </w:rPr>
              <w:t xml:space="preserve"> </w:t>
            </w:r>
            <w:r w:rsidRPr="005318F9">
              <w:rPr>
                <w:rFonts w:ascii="Arial" w:hAnsi="Arial"/>
                <w:b/>
                <w:sz w:val="20"/>
              </w:rPr>
              <w:t>-</w:t>
            </w:r>
            <w:r w:rsidR="00376EE3" w:rsidRPr="005318F9">
              <w:rPr>
                <w:rFonts w:ascii="Arial" w:hAnsi="Arial"/>
                <w:b/>
                <w:sz w:val="20"/>
              </w:rPr>
              <w:t xml:space="preserve"> </w:t>
            </w:r>
            <w:r w:rsidRPr="005318F9">
              <w:rPr>
                <w:rFonts w:ascii="Arial" w:hAnsi="Arial"/>
                <w:b/>
                <w:sz w:val="20"/>
              </w:rPr>
              <w:t>2</w:t>
            </w:r>
            <w:r w:rsidR="003D55DB" w:rsidRPr="005318F9">
              <w:rPr>
                <w:rFonts w:ascii="Arial" w:hAnsi="Arial"/>
                <w:b/>
                <w:sz w:val="20"/>
              </w:rPr>
              <w:t xml:space="preserve"> </w:t>
            </w:r>
            <w:r w:rsidRPr="005318F9">
              <w:rPr>
                <w:rFonts w:ascii="Arial" w:hAnsi="Arial"/>
                <w:b/>
                <w:sz w:val="20"/>
              </w:rPr>
              <w:t>h</w:t>
            </w:r>
          </w:p>
        </w:tc>
        <w:tc>
          <w:tcPr>
            <w:tcW w:w="1134" w:type="dxa"/>
            <w:tcBorders>
              <w:top w:val="single" w:sz="4" w:space="0" w:color="auto"/>
              <w:bottom w:val="single" w:sz="4" w:space="0" w:color="auto"/>
            </w:tcBorders>
            <w:vAlign w:val="center"/>
          </w:tcPr>
          <w:p w14:paraId="30E137C6" w14:textId="668FAB44" w:rsidR="00282C1A" w:rsidRPr="005318F9" w:rsidRDefault="00282C1A" w:rsidP="007859F8">
            <w:pPr>
              <w:rPr>
                <w:rFonts w:ascii="Arial" w:hAnsi="Arial"/>
                <w:b/>
                <w:sz w:val="20"/>
              </w:rPr>
            </w:pPr>
            <w:r w:rsidRPr="005318F9">
              <w:rPr>
                <w:rFonts w:ascii="Arial" w:hAnsi="Arial"/>
                <w:b/>
                <w:sz w:val="20"/>
              </w:rPr>
              <w:t>2</w:t>
            </w:r>
            <w:r w:rsidR="003D55DB" w:rsidRPr="005318F9">
              <w:rPr>
                <w:rFonts w:ascii="Arial" w:hAnsi="Arial"/>
                <w:b/>
                <w:sz w:val="20"/>
              </w:rPr>
              <w:t xml:space="preserve"> </w:t>
            </w:r>
            <w:r w:rsidRPr="005318F9">
              <w:rPr>
                <w:rFonts w:ascii="Arial" w:hAnsi="Arial"/>
                <w:b/>
                <w:sz w:val="20"/>
              </w:rPr>
              <w:t>h</w:t>
            </w:r>
            <w:r w:rsidR="00376EE3" w:rsidRPr="005318F9">
              <w:rPr>
                <w:rFonts w:ascii="Arial" w:hAnsi="Arial"/>
                <w:b/>
                <w:sz w:val="20"/>
              </w:rPr>
              <w:t xml:space="preserve"> </w:t>
            </w:r>
            <w:r w:rsidRPr="005318F9">
              <w:rPr>
                <w:rFonts w:ascii="Arial" w:hAnsi="Arial"/>
                <w:b/>
                <w:sz w:val="20"/>
              </w:rPr>
              <w:t>-</w:t>
            </w:r>
            <w:r w:rsidR="00376EE3" w:rsidRPr="005318F9">
              <w:rPr>
                <w:rFonts w:ascii="Arial" w:hAnsi="Arial"/>
                <w:b/>
                <w:sz w:val="20"/>
              </w:rPr>
              <w:t xml:space="preserve"> </w:t>
            </w:r>
            <w:r w:rsidRPr="005318F9">
              <w:rPr>
                <w:rFonts w:ascii="Arial" w:hAnsi="Arial"/>
                <w:b/>
                <w:sz w:val="20"/>
              </w:rPr>
              <w:t>2</w:t>
            </w:r>
            <w:r w:rsidR="003D55DB" w:rsidRPr="005318F9">
              <w:rPr>
                <w:rFonts w:ascii="Arial" w:hAnsi="Arial"/>
                <w:b/>
                <w:sz w:val="20"/>
              </w:rPr>
              <w:t xml:space="preserve"> </w:t>
            </w:r>
            <w:r w:rsidRPr="005318F9">
              <w:rPr>
                <w:rFonts w:ascii="Arial" w:hAnsi="Arial"/>
                <w:b/>
                <w:sz w:val="20"/>
              </w:rPr>
              <w:t>d</w:t>
            </w:r>
          </w:p>
        </w:tc>
        <w:tc>
          <w:tcPr>
            <w:tcW w:w="2268" w:type="dxa"/>
            <w:tcBorders>
              <w:top w:val="single" w:sz="4" w:space="0" w:color="auto"/>
              <w:bottom w:val="single" w:sz="4" w:space="0" w:color="auto"/>
            </w:tcBorders>
            <w:vAlign w:val="center"/>
          </w:tcPr>
          <w:p w14:paraId="4B256BB7" w14:textId="699C69D2" w:rsidR="00282C1A" w:rsidRPr="005318F9" w:rsidRDefault="00282C1A" w:rsidP="007859F8">
            <w:pPr>
              <w:rPr>
                <w:rFonts w:ascii="Arial" w:hAnsi="Arial"/>
                <w:b/>
                <w:sz w:val="20"/>
              </w:rPr>
            </w:pPr>
            <w:r w:rsidRPr="005318F9">
              <w:rPr>
                <w:rFonts w:ascii="Arial" w:hAnsi="Arial"/>
                <w:b/>
                <w:sz w:val="20"/>
              </w:rPr>
              <w:t>2</w:t>
            </w:r>
            <w:r w:rsidR="00376EE3" w:rsidRPr="005318F9">
              <w:rPr>
                <w:rFonts w:ascii="Arial" w:hAnsi="Arial"/>
                <w:b/>
                <w:sz w:val="20"/>
              </w:rPr>
              <w:t xml:space="preserve"> </w:t>
            </w:r>
            <w:r w:rsidRPr="005318F9">
              <w:rPr>
                <w:rFonts w:ascii="Arial" w:hAnsi="Arial"/>
                <w:b/>
                <w:sz w:val="20"/>
              </w:rPr>
              <w:t>d</w:t>
            </w:r>
            <w:r w:rsidR="00376EE3" w:rsidRPr="005318F9">
              <w:rPr>
                <w:rFonts w:ascii="Arial" w:hAnsi="Arial"/>
                <w:b/>
                <w:sz w:val="20"/>
              </w:rPr>
              <w:t xml:space="preserve"> </w:t>
            </w:r>
            <w:r w:rsidRPr="005318F9">
              <w:rPr>
                <w:rFonts w:ascii="Arial" w:hAnsi="Arial"/>
                <w:b/>
                <w:sz w:val="20"/>
              </w:rPr>
              <w:t>-</w:t>
            </w:r>
            <w:r w:rsidR="00376EE3" w:rsidRPr="005318F9">
              <w:rPr>
                <w:rFonts w:ascii="Arial" w:hAnsi="Arial"/>
                <w:b/>
                <w:sz w:val="20"/>
              </w:rPr>
              <w:t xml:space="preserve"> </w:t>
            </w:r>
            <w:r w:rsidRPr="005318F9">
              <w:rPr>
                <w:rFonts w:ascii="Arial" w:hAnsi="Arial"/>
                <w:b/>
                <w:sz w:val="20"/>
              </w:rPr>
              <w:t>2</w:t>
            </w:r>
            <w:r w:rsidR="00376EE3" w:rsidRPr="005318F9">
              <w:rPr>
                <w:rFonts w:ascii="Arial" w:hAnsi="Arial"/>
                <w:b/>
                <w:sz w:val="20"/>
              </w:rPr>
              <w:t xml:space="preserve"> </w:t>
            </w:r>
            <w:r w:rsidRPr="005318F9">
              <w:rPr>
                <w:rFonts w:ascii="Arial" w:hAnsi="Arial"/>
                <w:b/>
                <w:sz w:val="20"/>
              </w:rPr>
              <w:t>w</w:t>
            </w:r>
          </w:p>
        </w:tc>
        <w:tc>
          <w:tcPr>
            <w:tcW w:w="1842" w:type="dxa"/>
            <w:tcBorders>
              <w:top w:val="single" w:sz="4" w:space="0" w:color="auto"/>
              <w:bottom w:val="single" w:sz="4" w:space="0" w:color="auto"/>
            </w:tcBorders>
            <w:vAlign w:val="center"/>
          </w:tcPr>
          <w:p w14:paraId="75A21B93" w14:textId="632CA3D1" w:rsidR="00282C1A" w:rsidRPr="005318F9" w:rsidRDefault="00282C1A" w:rsidP="007859F8">
            <w:pPr>
              <w:rPr>
                <w:rFonts w:ascii="Arial" w:hAnsi="Arial"/>
                <w:b/>
                <w:sz w:val="20"/>
              </w:rPr>
            </w:pPr>
            <w:r w:rsidRPr="005318F9">
              <w:rPr>
                <w:rFonts w:ascii="Arial" w:hAnsi="Arial"/>
                <w:b/>
                <w:sz w:val="20"/>
              </w:rPr>
              <w:t>2</w:t>
            </w:r>
            <w:r w:rsidR="00376EE3" w:rsidRPr="005318F9">
              <w:rPr>
                <w:rFonts w:ascii="Arial" w:hAnsi="Arial"/>
                <w:b/>
                <w:sz w:val="20"/>
              </w:rPr>
              <w:t xml:space="preserve"> </w:t>
            </w:r>
            <w:r w:rsidRPr="005318F9">
              <w:rPr>
                <w:rFonts w:ascii="Arial" w:hAnsi="Arial"/>
                <w:b/>
                <w:sz w:val="20"/>
              </w:rPr>
              <w:t>w</w:t>
            </w:r>
            <w:r w:rsidR="00376EE3" w:rsidRPr="005318F9">
              <w:rPr>
                <w:rFonts w:ascii="Arial" w:hAnsi="Arial"/>
                <w:b/>
                <w:sz w:val="20"/>
              </w:rPr>
              <w:t xml:space="preserve"> </w:t>
            </w:r>
            <w:r w:rsidRPr="005318F9">
              <w:rPr>
                <w:rFonts w:ascii="Arial" w:hAnsi="Arial"/>
                <w:b/>
                <w:sz w:val="20"/>
              </w:rPr>
              <w:t>-</w:t>
            </w:r>
            <w:r w:rsidR="00376EE3" w:rsidRPr="005318F9">
              <w:rPr>
                <w:rFonts w:ascii="Arial" w:hAnsi="Arial"/>
                <w:b/>
                <w:sz w:val="20"/>
              </w:rPr>
              <w:t xml:space="preserve"> </w:t>
            </w:r>
            <w:r w:rsidRPr="005318F9">
              <w:rPr>
                <w:rFonts w:ascii="Arial" w:hAnsi="Arial"/>
                <w:b/>
                <w:sz w:val="20"/>
              </w:rPr>
              <w:t>6</w:t>
            </w:r>
            <w:r w:rsidR="00376EE3" w:rsidRPr="005318F9">
              <w:rPr>
                <w:rFonts w:ascii="Arial" w:hAnsi="Arial"/>
                <w:b/>
                <w:sz w:val="20"/>
              </w:rPr>
              <w:t xml:space="preserve"> </w:t>
            </w:r>
            <w:r w:rsidRPr="005318F9">
              <w:rPr>
                <w:rFonts w:ascii="Arial" w:hAnsi="Arial"/>
                <w:b/>
                <w:sz w:val="20"/>
              </w:rPr>
              <w:t>M</w:t>
            </w:r>
          </w:p>
        </w:tc>
        <w:tc>
          <w:tcPr>
            <w:tcW w:w="1418" w:type="dxa"/>
            <w:tcBorders>
              <w:top w:val="single" w:sz="4" w:space="0" w:color="auto"/>
              <w:bottom w:val="single" w:sz="4" w:space="0" w:color="auto"/>
            </w:tcBorders>
            <w:vAlign w:val="center"/>
          </w:tcPr>
          <w:p w14:paraId="6708DD45" w14:textId="78D7BF8C" w:rsidR="00282C1A" w:rsidRPr="005318F9" w:rsidRDefault="00282C1A" w:rsidP="007859F8">
            <w:pPr>
              <w:rPr>
                <w:rFonts w:ascii="Arial" w:hAnsi="Arial"/>
                <w:b/>
                <w:sz w:val="20"/>
              </w:rPr>
            </w:pPr>
            <w:r w:rsidRPr="005318F9">
              <w:rPr>
                <w:rFonts w:ascii="Arial" w:hAnsi="Arial"/>
                <w:b/>
                <w:sz w:val="20"/>
              </w:rPr>
              <w:t>≥</w:t>
            </w:r>
            <w:r w:rsidR="00376EE3" w:rsidRPr="005318F9">
              <w:rPr>
                <w:rFonts w:ascii="Arial" w:hAnsi="Arial"/>
                <w:b/>
                <w:sz w:val="20"/>
              </w:rPr>
              <w:t xml:space="preserve"> </w:t>
            </w:r>
            <w:r w:rsidRPr="005318F9">
              <w:rPr>
                <w:rFonts w:ascii="Arial" w:hAnsi="Arial"/>
                <w:b/>
                <w:sz w:val="20"/>
              </w:rPr>
              <w:t>6</w:t>
            </w:r>
            <w:r w:rsidR="00376EE3" w:rsidRPr="005318F9">
              <w:rPr>
                <w:rFonts w:ascii="Arial" w:hAnsi="Arial"/>
                <w:b/>
                <w:sz w:val="20"/>
              </w:rPr>
              <w:t xml:space="preserve"> </w:t>
            </w:r>
            <w:r w:rsidRPr="005318F9">
              <w:rPr>
                <w:rFonts w:ascii="Arial" w:hAnsi="Arial"/>
                <w:b/>
                <w:sz w:val="20"/>
              </w:rPr>
              <w:t>M</w:t>
            </w:r>
          </w:p>
        </w:tc>
      </w:tr>
      <w:tr w:rsidR="00282C1A" w:rsidRPr="005318F9" w14:paraId="642E3CAB" w14:textId="77777777" w:rsidTr="007859F8">
        <w:tc>
          <w:tcPr>
            <w:tcW w:w="1413" w:type="dxa"/>
            <w:tcBorders>
              <w:top w:val="single" w:sz="4" w:space="0" w:color="auto"/>
              <w:bottom w:val="nil"/>
            </w:tcBorders>
            <w:vAlign w:val="center"/>
          </w:tcPr>
          <w:p w14:paraId="3D554BD8" w14:textId="77777777" w:rsidR="00282C1A" w:rsidRPr="005318F9" w:rsidRDefault="00282C1A" w:rsidP="007859F8">
            <w:pPr>
              <w:jc w:val="center"/>
              <w:rPr>
                <w:rFonts w:ascii="Arial" w:hAnsi="Arial"/>
                <w:b/>
                <w:sz w:val="20"/>
              </w:rPr>
            </w:pPr>
            <w:r w:rsidRPr="005318F9">
              <w:rPr>
                <w:rFonts w:ascii="Arial" w:hAnsi="Arial"/>
                <w:b/>
                <w:sz w:val="20"/>
              </w:rPr>
              <w:t>Rowland</w:t>
            </w:r>
          </w:p>
          <w:p w14:paraId="0C4B66AD" w14:textId="77777777" w:rsidR="00282C1A" w:rsidRPr="005318F9" w:rsidRDefault="00282C1A" w:rsidP="007859F8">
            <w:pPr>
              <w:jc w:val="center"/>
              <w:rPr>
                <w:rFonts w:ascii="Arial" w:hAnsi="Arial"/>
                <w:b/>
                <w:sz w:val="20"/>
              </w:rPr>
            </w:pPr>
            <w:r w:rsidRPr="005318F9">
              <w:rPr>
                <w:rFonts w:ascii="Arial" w:hAnsi="Arial"/>
                <w:b/>
                <w:i/>
                <w:sz w:val="20"/>
              </w:rPr>
              <w:t>et al.</w:t>
            </w:r>
            <w:r w:rsidRPr="005318F9">
              <w:rPr>
                <w:rFonts w:ascii="Arial" w:hAnsi="Arial"/>
                <w:b/>
                <w:sz w:val="20"/>
              </w:rPr>
              <w:t xml:space="preserve"> 2008</w:t>
            </w:r>
          </w:p>
        </w:tc>
        <w:tc>
          <w:tcPr>
            <w:tcW w:w="1276" w:type="dxa"/>
            <w:tcBorders>
              <w:top w:val="single" w:sz="4" w:space="0" w:color="auto"/>
              <w:bottom w:val="nil"/>
            </w:tcBorders>
            <w:vAlign w:val="center"/>
          </w:tcPr>
          <w:p w14:paraId="43AEC015" w14:textId="77777777" w:rsidR="00282C1A" w:rsidRPr="005318F9" w:rsidRDefault="00282C1A" w:rsidP="007859F8">
            <w:pPr>
              <w:rPr>
                <w:rFonts w:ascii="Arial" w:hAnsi="Arial"/>
                <w:sz w:val="20"/>
              </w:rPr>
            </w:pPr>
            <w:r w:rsidRPr="005318F9">
              <w:rPr>
                <w:rFonts w:ascii="Arial" w:hAnsi="Arial"/>
                <w:sz w:val="20"/>
              </w:rPr>
              <w:t>immediate</w:t>
            </w:r>
          </w:p>
        </w:tc>
        <w:tc>
          <w:tcPr>
            <w:tcW w:w="1134" w:type="dxa"/>
            <w:tcBorders>
              <w:top w:val="single" w:sz="4" w:space="0" w:color="auto"/>
              <w:bottom w:val="nil"/>
            </w:tcBorders>
            <w:vAlign w:val="center"/>
          </w:tcPr>
          <w:p w14:paraId="220BB92D" w14:textId="77777777" w:rsidR="00282C1A" w:rsidRPr="005318F9" w:rsidRDefault="00282C1A" w:rsidP="007859F8">
            <w:pPr>
              <w:rPr>
                <w:rFonts w:ascii="Arial" w:hAnsi="Arial"/>
                <w:sz w:val="20"/>
              </w:rPr>
            </w:pPr>
            <w:r w:rsidRPr="005318F9">
              <w:rPr>
                <w:rFonts w:ascii="Arial" w:hAnsi="Arial"/>
                <w:sz w:val="20"/>
              </w:rPr>
              <w:t>early acute</w:t>
            </w:r>
          </w:p>
        </w:tc>
        <w:tc>
          <w:tcPr>
            <w:tcW w:w="2268" w:type="dxa"/>
            <w:tcBorders>
              <w:top w:val="single" w:sz="4" w:space="0" w:color="auto"/>
              <w:bottom w:val="nil"/>
            </w:tcBorders>
            <w:vAlign w:val="center"/>
          </w:tcPr>
          <w:p w14:paraId="36CBBB21" w14:textId="77777777" w:rsidR="00282C1A" w:rsidRPr="005318F9" w:rsidRDefault="00282C1A" w:rsidP="007859F8">
            <w:pPr>
              <w:rPr>
                <w:rFonts w:ascii="Arial" w:hAnsi="Arial"/>
                <w:sz w:val="20"/>
              </w:rPr>
            </w:pPr>
            <w:r w:rsidRPr="005318F9">
              <w:rPr>
                <w:rFonts w:ascii="Arial" w:hAnsi="Arial"/>
                <w:sz w:val="20"/>
              </w:rPr>
              <w:t>subacute</w:t>
            </w:r>
          </w:p>
        </w:tc>
        <w:tc>
          <w:tcPr>
            <w:tcW w:w="1842" w:type="dxa"/>
            <w:tcBorders>
              <w:top w:val="single" w:sz="4" w:space="0" w:color="auto"/>
              <w:bottom w:val="nil"/>
            </w:tcBorders>
            <w:vAlign w:val="center"/>
          </w:tcPr>
          <w:p w14:paraId="40D6BB47" w14:textId="77777777" w:rsidR="00282C1A" w:rsidRPr="005318F9" w:rsidRDefault="00282C1A" w:rsidP="007859F8">
            <w:pPr>
              <w:rPr>
                <w:rFonts w:ascii="Arial" w:hAnsi="Arial"/>
                <w:sz w:val="20"/>
              </w:rPr>
            </w:pPr>
            <w:r w:rsidRPr="005318F9">
              <w:rPr>
                <w:rFonts w:ascii="Arial" w:hAnsi="Arial"/>
                <w:sz w:val="20"/>
              </w:rPr>
              <w:t>intermediate</w:t>
            </w:r>
          </w:p>
        </w:tc>
        <w:tc>
          <w:tcPr>
            <w:tcW w:w="1418" w:type="dxa"/>
            <w:tcBorders>
              <w:top w:val="single" w:sz="4" w:space="0" w:color="auto"/>
              <w:bottom w:val="nil"/>
            </w:tcBorders>
            <w:vAlign w:val="center"/>
          </w:tcPr>
          <w:p w14:paraId="08DB67EA" w14:textId="77777777" w:rsidR="00282C1A" w:rsidRPr="005318F9" w:rsidRDefault="00282C1A" w:rsidP="007859F8">
            <w:pPr>
              <w:rPr>
                <w:rFonts w:ascii="Arial" w:hAnsi="Arial"/>
                <w:sz w:val="20"/>
              </w:rPr>
            </w:pPr>
            <w:r w:rsidRPr="005318F9">
              <w:rPr>
                <w:rFonts w:ascii="Arial" w:hAnsi="Arial"/>
                <w:sz w:val="20"/>
              </w:rPr>
              <w:t>chronic</w:t>
            </w:r>
          </w:p>
        </w:tc>
      </w:tr>
      <w:tr w:rsidR="00282C1A" w:rsidRPr="005318F9" w14:paraId="2D213DD4" w14:textId="77777777" w:rsidTr="007859F8">
        <w:tc>
          <w:tcPr>
            <w:tcW w:w="1413" w:type="dxa"/>
            <w:tcBorders>
              <w:top w:val="nil"/>
              <w:bottom w:val="single" w:sz="4" w:space="0" w:color="auto"/>
            </w:tcBorders>
            <w:vAlign w:val="center"/>
          </w:tcPr>
          <w:p w14:paraId="5CDA62F5" w14:textId="77777777" w:rsidR="00282C1A" w:rsidRPr="005318F9" w:rsidRDefault="00282C1A" w:rsidP="007859F8">
            <w:pPr>
              <w:jc w:val="center"/>
              <w:rPr>
                <w:rFonts w:ascii="Arial" w:hAnsi="Arial"/>
                <w:b/>
                <w:sz w:val="20"/>
              </w:rPr>
            </w:pPr>
            <w:r w:rsidRPr="005318F9">
              <w:rPr>
                <w:rFonts w:ascii="Arial" w:hAnsi="Arial"/>
                <w:b/>
                <w:sz w:val="20"/>
              </w:rPr>
              <w:t>Alessandro</w:t>
            </w:r>
          </w:p>
          <w:p w14:paraId="41132DFD" w14:textId="77777777" w:rsidR="00282C1A" w:rsidRPr="005318F9" w:rsidRDefault="00282C1A" w:rsidP="007859F8">
            <w:pPr>
              <w:jc w:val="center"/>
              <w:rPr>
                <w:rFonts w:ascii="Arial" w:hAnsi="Arial"/>
                <w:b/>
                <w:sz w:val="20"/>
              </w:rPr>
            </w:pPr>
            <w:r w:rsidRPr="005318F9">
              <w:rPr>
                <w:rFonts w:ascii="Arial" w:hAnsi="Arial"/>
                <w:b/>
                <w:i/>
                <w:sz w:val="20"/>
              </w:rPr>
              <w:t>et al.</w:t>
            </w:r>
            <w:r w:rsidRPr="005318F9">
              <w:rPr>
                <w:rFonts w:ascii="Arial" w:hAnsi="Arial"/>
                <w:b/>
                <w:sz w:val="20"/>
              </w:rPr>
              <w:t xml:space="preserve"> 2015</w:t>
            </w:r>
          </w:p>
        </w:tc>
        <w:tc>
          <w:tcPr>
            <w:tcW w:w="1276" w:type="dxa"/>
            <w:tcBorders>
              <w:top w:val="nil"/>
              <w:bottom w:val="single" w:sz="4" w:space="0" w:color="auto"/>
            </w:tcBorders>
            <w:vAlign w:val="center"/>
          </w:tcPr>
          <w:p w14:paraId="17D82CB6" w14:textId="77777777" w:rsidR="00282C1A" w:rsidRPr="005318F9" w:rsidRDefault="00282C1A" w:rsidP="007859F8">
            <w:pPr>
              <w:rPr>
                <w:rFonts w:ascii="Arial" w:hAnsi="Arial"/>
                <w:sz w:val="20"/>
              </w:rPr>
            </w:pPr>
            <w:r w:rsidRPr="005318F9">
              <w:rPr>
                <w:rFonts w:ascii="Arial" w:hAnsi="Arial"/>
                <w:sz w:val="20"/>
              </w:rPr>
              <w:t>immediate</w:t>
            </w:r>
          </w:p>
        </w:tc>
        <w:tc>
          <w:tcPr>
            <w:tcW w:w="1134" w:type="dxa"/>
            <w:tcBorders>
              <w:top w:val="nil"/>
              <w:bottom w:val="single" w:sz="4" w:space="0" w:color="auto"/>
            </w:tcBorders>
            <w:vAlign w:val="center"/>
          </w:tcPr>
          <w:p w14:paraId="5B3807E0" w14:textId="77777777" w:rsidR="00282C1A" w:rsidRPr="005318F9" w:rsidRDefault="00282C1A" w:rsidP="007859F8">
            <w:pPr>
              <w:rPr>
                <w:rFonts w:ascii="Arial" w:hAnsi="Arial"/>
                <w:sz w:val="20"/>
              </w:rPr>
            </w:pPr>
            <w:r w:rsidRPr="005318F9">
              <w:rPr>
                <w:rFonts w:ascii="Arial" w:hAnsi="Arial"/>
                <w:sz w:val="20"/>
              </w:rPr>
              <w:t>acute</w:t>
            </w:r>
          </w:p>
        </w:tc>
        <w:tc>
          <w:tcPr>
            <w:tcW w:w="2268" w:type="dxa"/>
            <w:tcBorders>
              <w:top w:val="nil"/>
              <w:bottom w:val="single" w:sz="4" w:space="0" w:color="auto"/>
            </w:tcBorders>
            <w:vAlign w:val="center"/>
          </w:tcPr>
          <w:p w14:paraId="0F92FA57" w14:textId="77777777" w:rsidR="00282C1A" w:rsidRPr="005318F9" w:rsidRDefault="00282C1A" w:rsidP="007859F8">
            <w:pPr>
              <w:rPr>
                <w:rFonts w:ascii="Arial" w:hAnsi="Arial"/>
                <w:sz w:val="20"/>
              </w:rPr>
            </w:pPr>
            <w:r w:rsidRPr="005318F9">
              <w:rPr>
                <w:rFonts w:ascii="Arial" w:hAnsi="Arial"/>
                <w:sz w:val="20"/>
              </w:rPr>
              <w:t>acute</w:t>
            </w:r>
          </w:p>
        </w:tc>
        <w:tc>
          <w:tcPr>
            <w:tcW w:w="1842" w:type="dxa"/>
            <w:tcBorders>
              <w:top w:val="nil"/>
              <w:bottom w:val="single" w:sz="4" w:space="0" w:color="auto"/>
            </w:tcBorders>
            <w:vAlign w:val="center"/>
          </w:tcPr>
          <w:p w14:paraId="149A868B" w14:textId="77777777" w:rsidR="00282C1A" w:rsidRPr="005318F9" w:rsidRDefault="00282C1A" w:rsidP="007859F8">
            <w:pPr>
              <w:rPr>
                <w:rFonts w:ascii="Arial" w:hAnsi="Arial"/>
                <w:sz w:val="20"/>
              </w:rPr>
            </w:pPr>
            <w:r w:rsidRPr="005318F9">
              <w:rPr>
                <w:rFonts w:ascii="Arial" w:hAnsi="Arial"/>
                <w:sz w:val="20"/>
              </w:rPr>
              <w:t>intermediate</w:t>
            </w:r>
          </w:p>
        </w:tc>
        <w:tc>
          <w:tcPr>
            <w:tcW w:w="1418" w:type="dxa"/>
            <w:tcBorders>
              <w:top w:val="nil"/>
              <w:bottom w:val="single" w:sz="4" w:space="0" w:color="auto"/>
            </w:tcBorders>
            <w:vAlign w:val="center"/>
          </w:tcPr>
          <w:p w14:paraId="0728390C" w14:textId="77777777" w:rsidR="00282C1A" w:rsidRPr="005318F9" w:rsidRDefault="00282C1A" w:rsidP="007859F8">
            <w:pPr>
              <w:rPr>
                <w:rFonts w:ascii="Arial" w:hAnsi="Arial"/>
                <w:sz w:val="20"/>
              </w:rPr>
            </w:pPr>
            <w:r w:rsidRPr="005318F9">
              <w:rPr>
                <w:rFonts w:ascii="Arial" w:hAnsi="Arial"/>
                <w:sz w:val="20"/>
              </w:rPr>
              <w:t>chronic</w:t>
            </w:r>
          </w:p>
        </w:tc>
      </w:tr>
      <w:tr w:rsidR="00282C1A" w:rsidRPr="005318F9" w14:paraId="09EAFC27" w14:textId="77777777" w:rsidTr="007859F8">
        <w:tc>
          <w:tcPr>
            <w:tcW w:w="1413" w:type="dxa"/>
            <w:vMerge w:val="restart"/>
            <w:tcBorders>
              <w:top w:val="single" w:sz="4" w:space="0" w:color="auto"/>
            </w:tcBorders>
            <w:shd w:val="clear" w:color="auto" w:fill="DBE5F1" w:themeFill="accent1" w:themeFillTint="33"/>
            <w:vAlign w:val="center"/>
          </w:tcPr>
          <w:p w14:paraId="6F4DB7E4" w14:textId="77777777" w:rsidR="00282C1A" w:rsidRPr="005318F9" w:rsidRDefault="00282C1A" w:rsidP="007859F8">
            <w:pPr>
              <w:jc w:val="center"/>
              <w:rPr>
                <w:rFonts w:ascii="Arial" w:hAnsi="Arial"/>
                <w:b/>
                <w:sz w:val="20"/>
              </w:rPr>
            </w:pPr>
            <w:r w:rsidRPr="005318F9">
              <w:rPr>
                <w:rFonts w:ascii="Arial" w:hAnsi="Arial"/>
                <w:b/>
                <w:sz w:val="20"/>
              </w:rPr>
              <w:t>Our current Study</w:t>
            </w:r>
          </w:p>
        </w:tc>
        <w:tc>
          <w:tcPr>
            <w:tcW w:w="1276" w:type="dxa"/>
            <w:tcBorders>
              <w:top w:val="single" w:sz="4" w:space="0" w:color="auto"/>
              <w:bottom w:val="single" w:sz="4" w:space="0" w:color="auto"/>
            </w:tcBorders>
            <w:shd w:val="clear" w:color="auto" w:fill="DBE5F1" w:themeFill="accent1" w:themeFillTint="33"/>
            <w:vAlign w:val="center"/>
          </w:tcPr>
          <w:p w14:paraId="1394A9C8" w14:textId="223959D8" w:rsidR="00282C1A" w:rsidRPr="005318F9" w:rsidRDefault="00282C1A" w:rsidP="007859F8">
            <w:pPr>
              <w:rPr>
                <w:rFonts w:ascii="Arial" w:hAnsi="Arial"/>
                <w:b/>
                <w:sz w:val="20"/>
              </w:rPr>
            </w:pPr>
            <w:r w:rsidRPr="005318F9">
              <w:rPr>
                <w:rFonts w:ascii="Arial" w:hAnsi="Arial"/>
                <w:b/>
                <w:sz w:val="20"/>
              </w:rPr>
              <w:t>0</w:t>
            </w:r>
            <w:r w:rsidR="00376EE3" w:rsidRPr="005318F9">
              <w:rPr>
                <w:rFonts w:ascii="Arial" w:hAnsi="Arial"/>
                <w:b/>
                <w:sz w:val="20"/>
              </w:rPr>
              <w:t xml:space="preserve"> </w:t>
            </w:r>
            <w:r w:rsidRPr="005318F9">
              <w:rPr>
                <w:rFonts w:ascii="Arial" w:hAnsi="Arial"/>
                <w:b/>
                <w:sz w:val="20"/>
              </w:rPr>
              <w:t>-</w:t>
            </w:r>
            <w:r w:rsidR="00376EE3" w:rsidRPr="005318F9">
              <w:rPr>
                <w:rFonts w:ascii="Arial" w:hAnsi="Arial"/>
                <w:b/>
                <w:sz w:val="20"/>
              </w:rPr>
              <w:t xml:space="preserve"> </w:t>
            </w:r>
            <w:r w:rsidRPr="005318F9">
              <w:rPr>
                <w:rFonts w:ascii="Arial" w:hAnsi="Arial"/>
                <w:b/>
                <w:sz w:val="20"/>
              </w:rPr>
              <w:t>4</w:t>
            </w:r>
            <w:r w:rsidR="003D55DB" w:rsidRPr="005318F9">
              <w:rPr>
                <w:rFonts w:ascii="Arial" w:hAnsi="Arial"/>
                <w:b/>
                <w:sz w:val="20"/>
              </w:rPr>
              <w:t xml:space="preserve"> </w:t>
            </w:r>
            <w:r w:rsidRPr="005318F9">
              <w:rPr>
                <w:rFonts w:ascii="Arial" w:hAnsi="Arial"/>
                <w:b/>
                <w:sz w:val="20"/>
              </w:rPr>
              <w:t>h</w:t>
            </w:r>
          </w:p>
          <w:p w14:paraId="49420C30" w14:textId="77777777" w:rsidR="00282C1A" w:rsidRPr="005318F9" w:rsidRDefault="00282C1A" w:rsidP="007859F8">
            <w:pPr>
              <w:rPr>
                <w:rFonts w:ascii="Arial" w:hAnsi="Arial"/>
                <w:b/>
                <w:sz w:val="20"/>
              </w:rPr>
            </w:pPr>
            <w:r w:rsidRPr="005318F9">
              <w:rPr>
                <w:rFonts w:ascii="Arial" w:hAnsi="Arial"/>
                <w:b/>
                <w:sz w:val="20"/>
              </w:rPr>
              <w:t xml:space="preserve">(Phase </w:t>
            </w:r>
            <w:r w:rsidRPr="005318F9">
              <w:rPr>
                <w:rFonts w:ascii="Arial" w:hAnsi="Arial"/>
                <w:b/>
                <w:sz w:val="20"/>
              </w:rPr>
              <w:fldChar w:fldCharType="begin"/>
            </w:r>
            <w:r w:rsidRPr="005318F9">
              <w:rPr>
                <w:rFonts w:ascii="Arial" w:hAnsi="Arial"/>
                <w:b/>
                <w:sz w:val="20"/>
              </w:rPr>
              <w:instrText xml:space="preserve"> = 1 \* ROMAN </w:instrText>
            </w:r>
            <w:r w:rsidRPr="005318F9">
              <w:rPr>
                <w:rFonts w:ascii="Arial" w:hAnsi="Arial"/>
                <w:b/>
                <w:sz w:val="20"/>
              </w:rPr>
              <w:fldChar w:fldCharType="separate"/>
            </w:r>
            <w:r w:rsidRPr="005318F9">
              <w:rPr>
                <w:rFonts w:ascii="Arial" w:hAnsi="Arial"/>
                <w:b/>
                <w:sz w:val="20"/>
              </w:rPr>
              <w:t>I</w:t>
            </w:r>
            <w:r w:rsidRPr="005318F9">
              <w:rPr>
                <w:rFonts w:ascii="Arial" w:hAnsi="Arial"/>
                <w:b/>
                <w:sz w:val="20"/>
              </w:rPr>
              <w:fldChar w:fldCharType="end"/>
            </w:r>
            <w:r w:rsidRPr="005318F9">
              <w:rPr>
                <w:rFonts w:ascii="Arial" w:hAnsi="Arial"/>
                <w:b/>
                <w:sz w:val="20"/>
              </w:rPr>
              <w:t>)</w:t>
            </w:r>
          </w:p>
        </w:tc>
        <w:tc>
          <w:tcPr>
            <w:tcW w:w="1134" w:type="dxa"/>
            <w:tcBorders>
              <w:top w:val="single" w:sz="4" w:space="0" w:color="auto"/>
              <w:bottom w:val="single" w:sz="4" w:space="0" w:color="auto"/>
            </w:tcBorders>
            <w:shd w:val="clear" w:color="auto" w:fill="DBE5F1" w:themeFill="accent1" w:themeFillTint="33"/>
            <w:vAlign w:val="center"/>
          </w:tcPr>
          <w:p w14:paraId="05DA5F90" w14:textId="2528F675" w:rsidR="00282C1A" w:rsidRPr="005318F9" w:rsidRDefault="00282C1A" w:rsidP="007859F8">
            <w:pPr>
              <w:rPr>
                <w:rFonts w:ascii="Arial" w:hAnsi="Arial"/>
                <w:b/>
                <w:sz w:val="20"/>
              </w:rPr>
            </w:pPr>
            <w:r w:rsidRPr="005318F9">
              <w:rPr>
                <w:rFonts w:ascii="Arial" w:hAnsi="Arial"/>
                <w:b/>
                <w:sz w:val="20"/>
              </w:rPr>
              <w:t>4</w:t>
            </w:r>
            <w:r w:rsidR="00376EE3" w:rsidRPr="005318F9">
              <w:rPr>
                <w:rFonts w:ascii="Arial" w:hAnsi="Arial"/>
                <w:b/>
                <w:sz w:val="20"/>
              </w:rPr>
              <w:t xml:space="preserve"> </w:t>
            </w:r>
            <w:r w:rsidRPr="005318F9">
              <w:rPr>
                <w:rFonts w:ascii="Arial" w:hAnsi="Arial"/>
                <w:b/>
                <w:sz w:val="20"/>
              </w:rPr>
              <w:t>h</w:t>
            </w:r>
            <w:r w:rsidR="00376EE3" w:rsidRPr="005318F9">
              <w:rPr>
                <w:rFonts w:ascii="Arial" w:hAnsi="Arial"/>
                <w:b/>
                <w:sz w:val="20"/>
              </w:rPr>
              <w:t xml:space="preserve"> </w:t>
            </w:r>
            <w:r w:rsidRPr="005318F9">
              <w:rPr>
                <w:rFonts w:ascii="Arial" w:hAnsi="Arial"/>
                <w:b/>
                <w:sz w:val="20"/>
              </w:rPr>
              <w:t>-</w:t>
            </w:r>
            <w:r w:rsidR="00376EE3" w:rsidRPr="005318F9">
              <w:rPr>
                <w:rFonts w:ascii="Arial" w:hAnsi="Arial"/>
                <w:b/>
                <w:sz w:val="20"/>
              </w:rPr>
              <w:t xml:space="preserve"> </w:t>
            </w:r>
            <w:r w:rsidRPr="005318F9">
              <w:rPr>
                <w:rFonts w:ascii="Arial" w:hAnsi="Arial"/>
                <w:b/>
                <w:sz w:val="20"/>
              </w:rPr>
              <w:t>3</w:t>
            </w:r>
            <w:r w:rsidR="00376EE3" w:rsidRPr="005318F9">
              <w:rPr>
                <w:rFonts w:ascii="Arial" w:hAnsi="Arial"/>
                <w:b/>
                <w:sz w:val="20"/>
              </w:rPr>
              <w:t xml:space="preserve"> </w:t>
            </w:r>
            <w:r w:rsidRPr="005318F9">
              <w:rPr>
                <w:rFonts w:ascii="Arial" w:hAnsi="Arial"/>
                <w:b/>
                <w:sz w:val="20"/>
              </w:rPr>
              <w:t>d</w:t>
            </w:r>
          </w:p>
          <w:p w14:paraId="2590CDCA" w14:textId="77777777" w:rsidR="00282C1A" w:rsidRPr="005318F9" w:rsidRDefault="00282C1A" w:rsidP="007859F8">
            <w:pPr>
              <w:rPr>
                <w:rFonts w:ascii="Arial" w:hAnsi="Arial"/>
                <w:b/>
                <w:sz w:val="20"/>
              </w:rPr>
            </w:pPr>
            <w:r w:rsidRPr="005318F9">
              <w:rPr>
                <w:rFonts w:ascii="Arial" w:hAnsi="Arial"/>
                <w:b/>
                <w:sz w:val="20"/>
              </w:rPr>
              <w:t xml:space="preserve">(Phase </w:t>
            </w:r>
            <w:r w:rsidRPr="005318F9">
              <w:rPr>
                <w:rFonts w:ascii="Arial" w:hAnsi="Arial"/>
                <w:b/>
                <w:sz w:val="20"/>
              </w:rPr>
              <w:fldChar w:fldCharType="begin"/>
            </w:r>
            <w:r w:rsidRPr="005318F9">
              <w:rPr>
                <w:rFonts w:ascii="Arial" w:hAnsi="Arial"/>
                <w:b/>
                <w:sz w:val="20"/>
              </w:rPr>
              <w:instrText xml:space="preserve"> = 1 \* ROMAN </w:instrText>
            </w:r>
            <w:r w:rsidRPr="005318F9">
              <w:rPr>
                <w:rFonts w:ascii="Arial" w:hAnsi="Arial"/>
                <w:b/>
                <w:sz w:val="20"/>
              </w:rPr>
              <w:fldChar w:fldCharType="separate"/>
            </w:r>
            <w:r w:rsidRPr="005318F9">
              <w:rPr>
                <w:rFonts w:ascii="Arial" w:hAnsi="Arial"/>
                <w:b/>
                <w:sz w:val="20"/>
              </w:rPr>
              <w:t>I</w:t>
            </w:r>
            <w:r w:rsidRPr="005318F9">
              <w:rPr>
                <w:rFonts w:ascii="Arial" w:hAnsi="Arial"/>
                <w:b/>
                <w:sz w:val="20"/>
              </w:rPr>
              <w:fldChar w:fldCharType="end"/>
            </w:r>
            <w:r w:rsidRPr="005318F9">
              <w:rPr>
                <w:rFonts w:ascii="Arial" w:hAnsi="Arial"/>
                <w:b/>
                <w:sz w:val="20"/>
              </w:rPr>
              <w:t>)</w:t>
            </w:r>
          </w:p>
        </w:tc>
        <w:tc>
          <w:tcPr>
            <w:tcW w:w="2268" w:type="dxa"/>
            <w:tcBorders>
              <w:top w:val="single" w:sz="4" w:space="0" w:color="auto"/>
              <w:bottom w:val="single" w:sz="4" w:space="0" w:color="auto"/>
            </w:tcBorders>
            <w:shd w:val="clear" w:color="auto" w:fill="DBE5F1" w:themeFill="accent1" w:themeFillTint="33"/>
            <w:vAlign w:val="center"/>
          </w:tcPr>
          <w:p w14:paraId="3F3373E2" w14:textId="04A97DE3" w:rsidR="00282C1A" w:rsidRPr="005318F9" w:rsidRDefault="00282C1A" w:rsidP="007859F8">
            <w:pPr>
              <w:rPr>
                <w:rFonts w:ascii="Arial" w:hAnsi="Arial"/>
                <w:b/>
                <w:sz w:val="20"/>
              </w:rPr>
            </w:pPr>
            <w:r w:rsidRPr="005318F9">
              <w:rPr>
                <w:rFonts w:ascii="Arial" w:hAnsi="Arial"/>
                <w:b/>
                <w:sz w:val="20"/>
              </w:rPr>
              <w:t>3</w:t>
            </w:r>
            <w:r w:rsidR="00376EE3" w:rsidRPr="005318F9">
              <w:rPr>
                <w:rFonts w:ascii="Arial" w:hAnsi="Arial"/>
                <w:b/>
                <w:sz w:val="20"/>
              </w:rPr>
              <w:t xml:space="preserve"> </w:t>
            </w:r>
            <w:r w:rsidRPr="005318F9">
              <w:rPr>
                <w:rFonts w:ascii="Arial" w:hAnsi="Arial"/>
                <w:b/>
                <w:sz w:val="20"/>
              </w:rPr>
              <w:t>d</w:t>
            </w:r>
            <w:r w:rsidR="00376EE3" w:rsidRPr="005318F9">
              <w:rPr>
                <w:rFonts w:ascii="Arial" w:hAnsi="Arial"/>
                <w:b/>
                <w:sz w:val="20"/>
              </w:rPr>
              <w:t xml:space="preserve"> </w:t>
            </w:r>
            <w:r w:rsidRPr="005318F9">
              <w:rPr>
                <w:rFonts w:ascii="Arial" w:hAnsi="Arial"/>
                <w:b/>
                <w:sz w:val="20"/>
              </w:rPr>
              <w:t>-</w:t>
            </w:r>
            <w:r w:rsidR="00376EE3" w:rsidRPr="005318F9">
              <w:rPr>
                <w:rFonts w:ascii="Arial" w:hAnsi="Arial"/>
                <w:b/>
                <w:sz w:val="20"/>
              </w:rPr>
              <w:t xml:space="preserve"> </w:t>
            </w:r>
            <w:r w:rsidRPr="005318F9">
              <w:rPr>
                <w:rFonts w:ascii="Arial" w:hAnsi="Arial"/>
                <w:b/>
                <w:sz w:val="20"/>
              </w:rPr>
              <w:t>2</w:t>
            </w:r>
            <w:r w:rsidR="00376EE3" w:rsidRPr="005318F9">
              <w:rPr>
                <w:rFonts w:ascii="Arial" w:hAnsi="Arial"/>
                <w:b/>
                <w:sz w:val="20"/>
              </w:rPr>
              <w:t xml:space="preserve"> </w:t>
            </w:r>
            <w:r w:rsidRPr="005318F9">
              <w:rPr>
                <w:rFonts w:ascii="Arial" w:hAnsi="Arial"/>
                <w:b/>
                <w:sz w:val="20"/>
              </w:rPr>
              <w:t>w</w:t>
            </w:r>
          </w:p>
          <w:p w14:paraId="33F1731A" w14:textId="77777777" w:rsidR="00282C1A" w:rsidRPr="005318F9" w:rsidRDefault="00282C1A" w:rsidP="007859F8">
            <w:pPr>
              <w:rPr>
                <w:rFonts w:ascii="Arial" w:hAnsi="Arial"/>
                <w:b/>
                <w:sz w:val="20"/>
              </w:rPr>
            </w:pPr>
            <w:r w:rsidRPr="005318F9">
              <w:rPr>
                <w:rFonts w:ascii="Arial" w:hAnsi="Arial"/>
                <w:b/>
                <w:sz w:val="20"/>
              </w:rPr>
              <w:t xml:space="preserve">(Phase </w:t>
            </w:r>
            <w:r w:rsidRPr="005318F9">
              <w:rPr>
                <w:rFonts w:ascii="Arial" w:hAnsi="Arial"/>
                <w:b/>
                <w:sz w:val="20"/>
              </w:rPr>
              <w:fldChar w:fldCharType="begin"/>
            </w:r>
            <w:r w:rsidRPr="005318F9">
              <w:rPr>
                <w:rFonts w:ascii="Arial" w:hAnsi="Arial"/>
                <w:b/>
                <w:sz w:val="20"/>
              </w:rPr>
              <w:instrText xml:space="preserve"> = 2 \* ROMAN </w:instrText>
            </w:r>
            <w:r w:rsidRPr="005318F9">
              <w:rPr>
                <w:rFonts w:ascii="Arial" w:hAnsi="Arial"/>
                <w:b/>
                <w:sz w:val="20"/>
              </w:rPr>
              <w:fldChar w:fldCharType="separate"/>
            </w:r>
            <w:r w:rsidRPr="005318F9">
              <w:rPr>
                <w:rFonts w:ascii="Arial" w:hAnsi="Arial"/>
                <w:b/>
                <w:sz w:val="20"/>
              </w:rPr>
              <w:t>II</w:t>
            </w:r>
            <w:r w:rsidRPr="005318F9">
              <w:rPr>
                <w:rFonts w:ascii="Arial" w:hAnsi="Arial"/>
                <w:b/>
                <w:sz w:val="20"/>
              </w:rPr>
              <w:fldChar w:fldCharType="end"/>
            </w:r>
            <w:r w:rsidRPr="005318F9">
              <w:rPr>
                <w:rFonts w:ascii="Arial" w:hAnsi="Arial"/>
                <w:b/>
                <w:sz w:val="20"/>
              </w:rPr>
              <w:t>)</w:t>
            </w:r>
          </w:p>
        </w:tc>
        <w:tc>
          <w:tcPr>
            <w:tcW w:w="1842" w:type="dxa"/>
            <w:tcBorders>
              <w:top w:val="single" w:sz="4" w:space="0" w:color="auto"/>
              <w:bottom w:val="single" w:sz="4" w:space="0" w:color="auto"/>
            </w:tcBorders>
            <w:shd w:val="clear" w:color="auto" w:fill="DBE5F1" w:themeFill="accent1" w:themeFillTint="33"/>
            <w:vAlign w:val="center"/>
          </w:tcPr>
          <w:p w14:paraId="50D989A8" w14:textId="2E5AF9E2" w:rsidR="00282C1A" w:rsidRPr="005318F9" w:rsidRDefault="00282C1A" w:rsidP="007859F8">
            <w:pPr>
              <w:rPr>
                <w:rFonts w:ascii="Arial" w:hAnsi="Arial"/>
                <w:b/>
                <w:sz w:val="20"/>
              </w:rPr>
            </w:pPr>
            <w:r w:rsidRPr="005318F9">
              <w:rPr>
                <w:rFonts w:ascii="Arial" w:hAnsi="Arial"/>
                <w:b/>
                <w:sz w:val="20"/>
              </w:rPr>
              <w:t>2</w:t>
            </w:r>
            <w:r w:rsidR="00376EE3" w:rsidRPr="005318F9">
              <w:rPr>
                <w:rFonts w:ascii="Arial" w:hAnsi="Arial"/>
                <w:b/>
                <w:sz w:val="20"/>
              </w:rPr>
              <w:t xml:space="preserve"> </w:t>
            </w:r>
            <w:r w:rsidRPr="005318F9">
              <w:rPr>
                <w:rFonts w:ascii="Arial" w:hAnsi="Arial"/>
                <w:b/>
                <w:sz w:val="20"/>
              </w:rPr>
              <w:t>-</w:t>
            </w:r>
            <w:r w:rsidR="00376EE3" w:rsidRPr="005318F9">
              <w:rPr>
                <w:rFonts w:ascii="Arial" w:hAnsi="Arial"/>
                <w:b/>
                <w:sz w:val="20"/>
              </w:rPr>
              <w:t xml:space="preserve"> </w:t>
            </w:r>
            <w:r w:rsidRPr="005318F9">
              <w:rPr>
                <w:rFonts w:ascii="Arial" w:hAnsi="Arial"/>
                <w:b/>
                <w:sz w:val="20"/>
              </w:rPr>
              <w:t>7</w:t>
            </w:r>
            <w:r w:rsidR="00376EE3" w:rsidRPr="005318F9">
              <w:rPr>
                <w:rFonts w:ascii="Arial" w:hAnsi="Arial"/>
                <w:b/>
                <w:sz w:val="20"/>
              </w:rPr>
              <w:t xml:space="preserve"> </w:t>
            </w:r>
            <w:r w:rsidRPr="005318F9">
              <w:rPr>
                <w:rFonts w:ascii="Arial" w:hAnsi="Arial"/>
                <w:b/>
                <w:sz w:val="20"/>
              </w:rPr>
              <w:t>w</w:t>
            </w:r>
          </w:p>
          <w:p w14:paraId="4482CA5F" w14:textId="77777777" w:rsidR="00282C1A" w:rsidRPr="005318F9" w:rsidRDefault="00282C1A" w:rsidP="007859F8">
            <w:pPr>
              <w:rPr>
                <w:rFonts w:ascii="Arial" w:hAnsi="Arial"/>
                <w:b/>
                <w:sz w:val="20"/>
              </w:rPr>
            </w:pPr>
            <w:r w:rsidRPr="005318F9">
              <w:rPr>
                <w:rFonts w:ascii="Arial" w:hAnsi="Arial"/>
                <w:b/>
                <w:sz w:val="20"/>
              </w:rPr>
              <w:t xml:space="preserve">(Phase </w:t>
            </w:r>
            <w:r w:rsidRPr="005318F9">
              <w:rPr>
                <w:rFonts w:ascii="Arial" w:hAnsi="Arial"/>
                <w:b/>
                <w:sz w:val="20"/>
              </w:rPr>
              <w:fldChar w:fldCharType="begin"/>
            </w:r>
            <w:r w:rsidRPr="005318F9">
              <w:rPr>
                <w:rFonts w:ascii="Arial" w:hAnsi="Arial"/>
                <w:b/>
                <w:sz w:val="20"/>
              </w:rPr>
              <w:instrText xml:space="preserve"> = 3 \* ROMAN </w:instrText>
            </w:r>
            <w:r w:rsidRPr="005318F9">
              <w:rPr>
                <w:rFonts w:ascii="Arial" w:hAnsi="Arial"/>
                <w:b/>
                <w:sz w:val="20"/>
              </w:rPr>
              <w:fldChar w:fldCharType="separate"/>
            </w:r>
            <w:r w:rsidRPr="005318F9">
              <w:rPr>
                <w:rFonts w:ascii="Arial" w:hAnsi="Arial"/>
                <w:b/>
                <w:sz w:val="20"/>
              </w:rPr>
              <w:t>III</w:t>
            </w:r>
            <w:r w:rsidRPr="005318F9">
              <w:rPr>
                <w:rFonts w:ascii="Arial" w:hAnsi="Arial"/>
                <w:b/>
                <w:sz w:val="20"/>
              </w:rPr>
              <w:fldChar w:fldCharType="end"/>
            </w:r>
            <w:r w:rsidRPr="005318F9">
              <w:rPr>
                <w:rFonts w:ascii="Arial" w:hAnsi="Arial"/>
                <w:b/>
                <w:sz w:val="20"/>
              </w:rPr>
              <w:t>)</w:t>
            </w:r>
          </w:p>
        </w:tc>
        <w:tc>
          <w:tcPr>
            <w:tcW w:w="1418" w:type="dxa"/>
            <w:tcBorders>
              <w:top w:val="single" w:sz="4" w:space="0" w:color="auto"/>
              <w:bottom w:val="single" w:sz="4" w:space="0" w:color="auto"/>
            </w:tcBorders>
            <w:shd w:val="clear" w:color="auto" w:fill="DBE5F1" w:themeFill="accent1" w:themeFillTint="33"/>
            <w:vAlign w:val="center"/>
          </w:tcPr>
          <w:p w14:paraId="689A7E45" w14:textId="77777777" w:rsidR="00282C1A" w:rsidRPr="005318F9" w:rsidRDefault="00282C1A" w:rsidP="007859F8">
            <w:pPr>
              <w:rPr>
                <w:rFonts w:ascii="Arial" w:hAnsi="Arial"/>
                <w:sz w:val="20"/>
              </w:rPr>
            </w:pPr>
          </w:p>
        </w:tc>
      </w:tr>
      <w:tr w:rsidR="00282C1A" w:rsidRPr="005318F9" w14:paraId="5951130C" w14:textId="77777777" w:rsidTr="007859F8">
        <w:trPr>
          <w:trHeight w:val="508"/>
        </w:trPr>
        <w:tc>
          <w:tcPr>
            <w:tcW w:w="1413" w:type="dxa"/>
            <w:vMerge/>
            <w:tcBorders>
              <w:bottom w:val="single" w:sz="4" w:space="0" w:color="auto"/>
            </w:tcBorders>
            <w:shd w:val="clear" w:color="auto" w:fill="DBE5F1" w:themeFill="accent1" w:themeFillTint="33"/>
          </w:tcPr>
          <w:p w14:paraId="16D82AE7" w14:textId="77777777" w:rsidR="00282C1A" w:rsidRPr="005318F9" w:rsidRDefault="00282C1A" w:rsidP="007859F8">
            <w:pPr>
              <w:jc w:val="center"/>
              <w:rPr>
                <w:rFonts w:ascii="Arial" w:hAnsi="Arial"/>
                <w:b/>
                <w:sz w:val="20"/>
              </w:rPr>
            </w:pPr>
          </w:p>
        </w:tc>
        <w:tc>
          <w:tcPr>
            <w:tcW w:w="1276" w:type="dxa"/>
            <w:tcBorders>
              <w:top w:val="single" w:sz="4" w:space="0" w:color="auto"/>
              <w:bottom w:val="single" w:sz="4" w:space="0" w:color="auto"/>
            </w:tcBorders>
            <w:shd w:val="clear" w:color="auto" w:fill="DBE5F1" w:themeFill="accent1" w:themeFillTint="33"/>
            <w:vAlign w:val="center"/>
          </w:tcPr>
          <w:p w14:paraId="7DF2A55F" w14:textId="77777777" w:rsidR="00282C1A" w:rsidRPr="005318F9" w:rsidRDefault="00282C1A" w:rsidP="007859F8">
            <w:pPr>
              <w:rPr>
                <w:rFonts w:ascii="Arial" w:hAnsi="Arial"/>
                <w:sz w:val="20"/>
              </w:rPr>
            </w:pPr>
            <w:r w:rsidRPr="005318F9">
              <w:rPr>
                <w:rFonts w:ascii="Arial" w:hAnsi="Arial"/>
                <w:sz w:val="20"/>
              </w:rPr>
              <w:t>immediate</w:t>
            </w:r>
          </w:p>
        </w:tc>
        <w:tc>
          <w:tcPr>
            <w:tcW w:w="1134" w:type="dxa"/>
            <w:tcBorders>
              <w:top w:val="single" w:sz="4" w:space="0" w:color="auto"/>
              <w:bottom w:val="single" w:sz="4" w:space="0" w:color="auto"/>
            </w:tcBorders>
            <w:shd w:val="clear" w:color="auto" w:fill="DBE5F1" w:themeFill="accent1" w:themeFillTint="33"/>
            <w:vAlign w:val="center"/>
          </w:tcPr>
          <w:p w14:paraId="60BF3C53" w14:textId="77777777" w:rsidR="00282C1A" w:rsidRPr="005318F9" w:rsidRDefault="00282C1A" w:rsidP="007859F8">
            <w:pPr>
              <w:rPr>
                <w:rFonts w:ascii="Arial" w:hAnsi="Arial"/>
                <w:sz w:val="20"/>
              </w:rPr>
            </w:pPr>
            <w:r w:rsidRPr="005318F9">
              <w:rPr>
                <w:rFonts w:ascii="Arial" w:hAnsi="Arial"/>
                <w:sz w:val="20"/>
              </w:rPr>
              <w:t>early acute</w:t>
            </w:r>
          </w:p>
        </w:tc>
        <w:tc>
          <w:tcPr>
            <w:tcW w:w="2268" w:type="dxa"/>
            <w:tcBorders>
              <w:top w:val="single" w:sz="4" w:space="0" w:color="auto"/>
              <w:bottom w:val="single" w:sz="4" w:space="0" w:color="auto"/>
            </w:tcBorders>
            <w:shd w:val="clear" w:color="auto" w:fill="DBE5F1" w:themeFill="accent1" w:themeFillTint="33"/>
            <w:vAlign w:val="center"/>
          </w:tcPr>
          <w:p w14:paraId="237A1E16" w14:textId="77777777" w:rsidR="00282C1A" w:rsidRPr="005318F9" w:rsidRDefault="00282C1A" w:rsidP="007859F8">
            <w:pPr>
              <w:rPr>
                <w:rFonts w:ascii="Arial" w:hAnsi="Arial"/>
                <w:sz w:val="20"/>
              </w:rPr>
            </w:pPr>
            <w:r w:rsidRPr="005318F9">
              <w:rPr>
                <w:rFonts w:ascii="Arial" w:hAnsi="Arial"/>
                <w:sz w:val="20"/>
              </w:rPr>
              <w:t>a) late acute</w:t>
            </w:r>
          </w:p>
          <w:p w14:paraId="1EE0F4FB" w14:textId="77777777" w:rsidR="00282C1A" w:rsidRPr="005318F9" w:rsidRDefault="00282C1A" w:rsidP="007859F8">
            <w:pPr>
              <w:rPr>
                <w:rFonts w:ascii="Arial" w:hAnsi="Arial"/>
                <w:sz w:val="20"/>
              </w:rPr>
            </w:pPr>
            <w:r w:rsidRPr="005318F9">
              <w:rPr>
                <w:rFonts w:ascii="Arial" w:hAnsi="Arial"/>
                <w:sz w:val="20"/>
              </w:rPr>
              <w:t>b) early subacute</w:t>
            </w:r>
          </w:p>
        </w:tc>
        <w:tc>
          <w:tcPr>
            <w:tcW w:w="1842" w:type="dxa"/>
            <w:tcBorders>
              <w:top w:val="single" w:sz="4" w:space="0" w:color="auto"/>
              <w:bottom w:val="single" w:sz="4" w:space="0" w:color="auto"/>
            </w:tcBorders>
            <w:shd w:val="clear" w:color="auto" w:fill="DBE5F1" w:themeFill="accent1" w:themeFillTint="33"/>
            <w:vAlign w:val="center"/>
          </w:tcPr>
          <w:p w14:paraId="3723037F" w14:textId="77777777" w:rsidR="00282C1A" w:rsidRPr="005318F9" w:rsidRDefault="00282C1A" w:rsidP="007859F8">
            <w:pPr>
              <w:rPr>
                <w:rFonts w:ascii="Arial" w:hAnsi="Arial"/>
                <w:sz w:val="20"/>
              </w:rPr>
            </w:pPr>
            <w:r w:rsidRPr="005318F9">
              <w:rPr>
                <w:rFonts w:ascii="Arial" w:hAnsi="Arial"/>
                <w:sz w:val="20"/>
              </w:rPr>
              <w:t>a) late subacute</w:t>
            </w:r>
          </w:p>
          <w:p w14:paraId="5549EF75" w14:textId="77777777" w:rsidR="00282C1A" w:rsidRPr="005318F9" w:rsidRDefault="00282C1A" w:rsidP="007859F8">
            <w:pPr>
              <w:rPr>
                <w:rFonts w:ascii="Arial" w:hAnsi="Arial"/>
                <w:sz w:val="20"/>
              </w:rPr>
            </w:pPr>
            <w:r w:rsidRPr="005318F9">
              <w:rPr>
                <w:rFonts w:ascii="Arial" w:hAnsi="Arial"/>
                <w:sz w:val="20"/>
              </w:rPr>
              <w:t>b) intermediate</w:t>
            </w:r>
          </w:p>
        </w:tc>
        <w:tc>
          <w:tcPr>
            <w:tcW w:w="1418" w:type="dxa"/>
            <w:tcBorders>
              <w:top w:val="single" w:sz="4" w:space="0" w:color="auto"/>
              <w:bottom w:val="single" w:sz="4" w:space="0" w:color="auto"/>
            </w:tcBorders>
            <w:shd w:val="clear" w:color="auto" w:fill="DBE5F1" w:themeFill="accent1" w:themeFillTint="33"/>
            <w:vAlign w:val="center"/>
          </w:tcPr>
          <w:p w14:paraId="107450EB" w14:textId="77777777" w:rsidR="00282C1A" w:rsidRPr="005318F9" w:rsidRDefault="00282C1A" w:rsidP="007859F8">
            <w:pPr>
              <w:rPr>
                <w:rFonts w:ascii="Arial" w:hAnsi="Arial"/>
                <w:sz w:val="20"/>
              </w:rPr>
            </w:pPr>
          </w:p>
        </w:tc>
      </w:tr>
      <w:tr w:rsidR="00282C1A" w:rsidRPr="00A63DF4" w14:paraId="42CE28B6" w14:textId="77777777" w:rsidTr="007859F8">
        <w:tc>
          <w:tcPr>
            <w:tcW w:w="1413" w:type="dxa"/>
            <w:tcBorders>
              <w:top w:val="single" w:sz="4" w:space="0" w:color="auto"/>
            </w:tcBorders>
            <w:vAlign w:val="center"/>
          </w:tcPr>
          <w:p w14:paraId="16549EBC" w14:textId="77777777" w:rsidR="00282C1A" w:rsidRPr="005318F9" w:rsidRDefault="00282C1A" w:rsidP="007859F8">
            <w:pPr>
              <w:jc w:val="center"/>
              <w:rPr>
                <w:rFonts w:ascii="Arial" w:hAnsi="Arial"/>
                <w:b/>
                <w:sz w:val="20"/>
              </w:rPr>
            </w:pPr>
            <w:r w:rsidRPr="005318F9">
              <w:rPr>
                <w:rFonts w:ascii="Arial" w:hAnsi="Arial"/>
                <w:b/>
                <w:sz w:val="20"/>
              </w:rPr>
              <w:t>Key Events</w:t>
            </w:r>
          </w:p>
        </w:tc>
        <w:tc>
          <w:tcPr>
            <w:tcW w:w="1276" w:type="dxa"/>
            <w:tcBorders>
              <w:top w:val="single" w:sz="4" w:space="0" w:color="auto"/>
            </w:tcBorders>
            <w:vAlign w:val="center"/>
          </w:tcPr>
          <w:p w14:paraId="475A50F0" w14:textId="77777777" w:rsidR="00282C1A" w:rsidRPr="005318F9" w:rsidRDefault="00282C1A" w:rsidP="007859F8">
            <w:pPr>
              <w:rPr>
                <w:rFonts w:ascii="Arial" w:hAnsi="Arial"/>
                <w:sz w:val="20"/>
              </w:rPr>
            </w:pPr>
          </w:p>
        </w:tc>
        <w:tc>
          <w:tcPr>
            <w:tcW w:w="1134" w:type="dxa"/>
            <w:tcBorders>
              <w:top w:val="single" w:sz="4" w:space="0" w:color="auto"/>
            </w:tcBorders>
            <w:vAlign w:val="center"/>
          </w:tcPr>
          <w:p w14:paraId="6EDFDB54" w14:textId="77777777" w:rsidR="00282C1A" w:rsidRPr="005318F9" w:rsidRDefault="00282C1A" w:rsidP="007859F8">
            <w:pPr>
              <w:rPr>
                <w:rFonts w:ascii="Arial" w:hAnsi="Arial"/>
                <w:sz w:val="20"/>
              </w:rPr>
            </w:pPr>
            <w:r w:rsidRPr="005318F9">
              <w:rPr>
                <w:rFonts w:ascii="Arial" w:hAnsi="Arial"/>
                <w:sz w:val="20"/>
              </w:rPr>
              <w:t>spinal shock</w:t>
            </w:r>
          </w:p>
        </w:tc>
        <w:tc>
          <w:tcPr>
            <w:tcW w:w="2268" w:type="dxa"/>
            <w:tcBorders>
              <w:top w:val="single" w:sz="4" w:space="0" w:color="auto"/>
            </w:tcBorders>
            <w:vAlign w:val="center"/>
          </w:tcPr>
          <w:p w14:paraId="1CEE250C" w14:textId="77777777" w:rsidR="00282C1A" w:rsidRPr="005318F9" w:rsidRDefault="00282C1A" w:rsidP="007859F8">
            <w:pPr>
              <w:rPr>
                <w:rFonts w:ascii="Arial" w:hAnsi="Arial"/>
                <w:sz w:val="20"/>
              </w:rPr>
            </w:pPr>
            <w:r w:rsidRPr="005318F9">
              <w:rPr>
                <w:rFonts w:ascii="Arial" w:hAnsi="Arial"/>
                <w:sz w:val="20"/>
              </w:rPr>
              <w:t>a) initiation of astroglial scar</w:t>
            </w:r>
          </w:p>
          <w:p w14:paraId="770FF6D4" w14:textId="77777777" w:rsidR="00282C1A" w:rsidRPr="005318F9" w:rsidRDefault="00282C1A" w:rsidP="007859F8">
            <w:pPr>
              <w:rPr>
                <w:rFonts w:ascii="Arial" w:hAnsi="Arial"/>
                <w:sz w:val="20"/>
              </w:rPr>
            </w:pPr>
            <w:r w:rsidRPr="005318F9">
              <w:rPr>
                <w:rFonts w:ascii="Arial" w:hAnsi="Arial"/>
                <w:sz w:val="20"/>
              </w:rPr>
              <w:t>b) BBB repair</w:t>
            </w:r>
          </w:p>
          <w:p w14:paraId="3A7D0912" w14:textId="77777777" w:rsidR="00282C1A" w:rsidRPr="005318F9" w:rsidRDefault="00282C1A" w:rsidP="007859F8">
            <w:pPr>
              <w:rPr>
                <w:rFonts w:ascii="Arial" w:hAnsi="Arial"/>
                <w:sz w:val="20"/>
              </w:rPr>
            </w:pPr>
            <w:r w:rsidRPr="005318F9">
              <w:rPr>
                <w:rFonts w:ascii="Arial" w:hAnsi="Arial"/>
                <w:sz w:val="20"/>
              </w:rPr>
              <w:t>c) Resolution of edema</w:t>
            </w:r>
          </w:p>
        </w:tc>
        <w:tc>
          <w:tcPr>
            <w:tcW w:w="1842" w:type="dxa"/>
            <w:tcBorders>
              <w:top w:val="single" w:sz="4" w:space="0" w:color="auto"/>
            </w:tcBorders>
            <w:vAlign w:val="center"/>
          </w:tcPr>
          <w:p w14:paraId="69D1BA4C" w14:textId="3CFB34BD" w:rsidR="00282C1A" w:rsidRPr="00A63DF4" w:rsidRDefault="00282C1A" w:rsidP="007859F8">
            <w:pPr>
              <w:rPr>
                <w:rFonts w:ascii="Arial" w:hAnsi="Arial"/>
                <w:sz w:val="20"/>
              </w:rPr>
            </w:pPr>
            <w:r w:rsidRPr="005318F9">
              <w:rPr>
                <w:rFonts w:ascii="Arial" w:hAnsi="Arial"/>
                <w:sz w:val="20"/>
              </w:rPr>
              <w:t>lesion stabilization (</w:t>
            </w:r>
            <w:r w:rsidRPr="005318F9">
              <w:rPr>
                <w:rFonts w:ascii="Arial" w:hAnsi="Arial"/>
                <w:b/>
                <w:sz w:val="20"/>
              </w:rPr>
              <w:t>Figure S11</w:t>
            </w:r>
            <w:r w:rsidRPr="005318F9">
              <w:rPr>
                <w:rFonts w:ascii="Arial" w:hAnsi="Arial"/>
                <w:sz w:val="20"/>
              </w:rPr>
              <w:t>)</w:t>
            </w:r>
            <w:bookmarkStart w:id="2" w:name="_GoBack"/>
            <w:bookmarkEnd w:id="2"/>
          </w:p>
        </w:tc>
        <w:tc>
          <w:tcPr>
            <w:tcW w:w="1418" w:type="dxa"/>
            <w:tcBorders>
              <w:top w:val="single" w:sz="4" w:space="0" w:color="auto"/>
            </w:tcBorders>
          </w:tcPr>
          <w:p w14:paraId="2DE4EFBE" w14:textId="77777777" w:rsidR="00282C1A" w:rsidRPr="00A63DF4" w:rsidRDefault="00282C1A" w:rsidP="007859F8">
            <w:pPr>
              <w:rPr>
                <w:rFonts w:ascii="Arial" w:hAnsi="Arial"/>
                <w:sz w:val="20"/>
              </w:rPr>
            </w:pPr>
          </w:p>
        </w:tc>
      </w:tr>
    </w:tbl>
    <w:p w14:paraId="1734D1A3" w14:textId="045F3323" w:rsidR="009A5287" w:rsidRDefault="009A5287" w:rsidP="004A2C89">
      <w:pPr>
        <w:pStyle w:val="SMcaption"/>
      </w:pPr>
    </w:p>
    <w:sectPr w:rsidR="009A5287" w:rsidSect="00E853D5">
      <w:headerReference w:type="default" r:id="rId19"/>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FA753" w14:textId="77777777" w:rsidR="005D6849" w:rsidRDefault="005D6849">
      <w:r>
        <w:separator/>
      </w:r>
    </w:p>
  </w:endnote>
  <w:endnote w:type="continuationSeparator" w:id="0">
    <w:p w14:paraId="32A3DD06" w14:textId="77777777" w:rsidR="005D6849" w:rsidRDefault="005D6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73BE8" w14:textId="77777777" w:rsidR="005D6849" w:rsidRDefault="005D6849">
      <w:r>
        <w:separator/>
      </w:r>
    </w:p>
  </w:footnote>
  <w:footnote w:type="continuationSeparator" w:id="0">
    <w:p w14:paraId="1B2B4BD0" w14:textId="77777777" w:rsidR="005D6849" w:rsidRDefault="005D6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05693A"/>
    <w:multiLevelType w:val="hybridMultilevel"/>
    <w:tmpl w:val="6D90AA06"/>
    <w:lvl w:ilvl="0" w:tplc="7D8039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83B44"/>
    <w:rsid w:val="000850DC"/>
    <w:rsid w:val="000A5CE5"/>
    <w:rsid w:val="000A6E52"/>
    <w:rsid w:val="000B6862"/>
    <w:rsid w:val="000C2771"/>
    <w:rsid w:val="000D46F4"/>
    <w:rsid w:val="000D7F18"/>
    <w:rsid w:val="000F0DCE"/>
    <w:rsid w:val="000F6BE3"/>
    <w:rsid w:val="00112C5B"/>
    <w:rsid w:val="00114193"/>
    <w:rsid w:val="00115A38"/>
    <w:rsid w:val="0011687B"/>
    <w:rsid w:val="00124F82"/>
    <w:rsid w:val="0012740E"/>
    <w:rsid w:val="00142538"/>
    <w:rsid w:val="0016337A"/>
    <w:rsid w:val="00164195"/>
    <w:rsid w:val="00164269"/>
    <w:rsid w:val="001707C1"/>
    <w:rsid w:val="00175DC6"/>
    <w:rsid w:val="001A1BDE"/>
    <w:rsid w:val="001C09F7"/>
    <w:rsid w:val="001F0876"/>
    <w:rsid w:val="001F167C"/>
    <w:rsid w:val="001F5E91"/>
    <w:rsid w:val="002077B9"/>
    <w:rsid w:val="00223534"/>
    <w:rsid w:val="00262D72"/>
    <w:rsid w:val="00272CA8"/>
    <w:rsid w:val="00282C1A"/>
    <w:rsid w:val="00294FBB"/>
    <w:rsid w:val="002B3205"/>
    <w:rsid w:val="002C030F"/>
    <w:rsid w:val="002E64C3"/>
    <w:rsid w:val="003129CC"/>
    <w:rsid w:val="00322D2B"/>
    <w:rsid w:val="00331D75"/>
    <w:rsid w:val="00355362"/>
    <w:rsid w:val="00363E44"/>
    <w:rsid w:val="0036461A"/>
    <w:rsid w:val="00376EE3"/>
    <w:rsid w:val="00395E86"/>
    <w:rsid w:val="003A2FD8"/>
    <w:rsid w:val="003A5525"/>
    <w:rsid w:val="003B40E6"/>
    <w:rsid w:val="003D55DB"/>
    <w:rsid w:val="003E74FB"/>
    <w:rsid w:val="003F6E14"/>
    <w:rsid w:val="00405336"/>
    <w:rsid w:val="0041673D"/>
    <w:rsid w:val="0044405F"/>
    <w:rsid w:val="004571D5"/>
    <w:rsid w:val="00461D81"/>
    <w:rsid w:val="0046356B"/>
    <w:rsid w:val="00477182"/>
    <w:rsid w:val="004779CB"/>
    <w:rsid w:val="004A2C89"/>
    <w:rsid w:val="004D103F"/>
    <w:rsid w:val="004E42D8"/>
    <w:rsid w:val="004E7BA2"/>
    <w:rsid w:val="004F7EDF"/>
    <w:rsid w:val="005001AC"/>
    <w:rsid w:val="00510FAB"/>
    <w:rsid w:val="00527D71"/>
    <w:rsid w:val="005318F9"/>
    <w:rsid w:val="00535432"/>
    <w:rsid w:val="00536477"/>
    <w:rsid w:val="005520A8"/>
    <w:rsid w:val="005607DD"/>
    <w:rsid w:val="005A558C"/>
    <w:rsid w:val="005A5E24"/>
    <w:rsid w:val="005D2E00"/>
    <w:rsid w:val="005D6849"/>
    <w:rsid w:val="005E28F8"/>
    <w:rsid w:val="005E6513"/>
    <w:rsid w:val="006411E5"/>
    <w:rsid w:val="00651114"/>
    <w:rsid w:val="00664560"/>
    <w:rsid w:val="00670299"/>
    <w:rsid w:val="00691985"/>
    <w:rsid w:val="006A1B64"/>
    <w:rsid w:val="006E01B0"/>
    <w:rsid w:val="007108F5"/>
    <w:rsid w:val="00713E5B"/>
    <w:rsid w:val="00714F2B"/>
    <w:rsid w:val="007402FC"/>
    <w:rsid w:val="007411A1"/>
    <w:rsid w:val="0075133E"/>
    <w:rsid w:val="007649D7"/>
    <w:rsid w:val="00793072"/>
    <w:rsid w:val="007F10F7"/>
    <w:rsid w:val="007F1E18"/>
    <w:rsid w:val="00807D35"/>
    <w:rsid w:val="008218C4"/>
    <w:rsid w:val="00821F38"/>
    <w:rsid w:val="0086243E"/>
    <w:rsid w:val="00867A98"/>
    <w:rsid w:val="00870867"/>
    <w:rsid w:val="00881259"/>
    <w:rsid w:val="00885C9B"/>
    <w:rsid w:val="00886EDB"/>
    <w:rsid w:val="008D5D2A"/>
    <w:rsid w:val="00914B63"/>
    <w:rsid w:val="009354F3"/>
    <w:rsid w:val="009447DC"/>
    <w:rsid w:val="00961BA5"/>
    <w:rsid w:val="009743A9"/>
    <w:rsid w:val="009A5287"/>
    <w:rsid w:val="009B2AC5"/>
    <w:rsid w:val="009B7984"/>
    <w:rsid w:val="009F4BED"/>
    <w:rsid w:val="009F7D93"/>
    <w:rsid w:val="00A3403B"/>
    <w:rsid w:val="00A50FDC"/>
    <w:rsid w:val="00A51A12"/>
    <w:rsid w:val="00A627D4"/>
    <w:rsid w:val="00A74DA2"/>
    <w:rsid w:val="00A95C44"/>
    <w:rsid w:val="00AB399E"/>
    <w:rsid w:val="00AC59D0"/>
    <w:rsid w:val="00AD16B1"/>
    <w:rsid w:val="00AD499C"/>
    <w:rsid w:val="00B36869"/>
    <w:rsid w:val="00B43B31"/>
    <w:rsid w:val="00B47CFA"/>
    <w:rsid w:val="00B57F00"/>
    <w:rsid w:val="00B77B2A"/>
    <w:rsid w:val="00B82C22"/>
    <w:rsid w:val="00B93DBA"/>
    <w:rsid w:val="00B9440A"/>
    <w:rsid w:val="00BB2D2A"/>
    <w:rsid w:val="00BC3E04"/>
    <w:rsid w:val="00BD58CF"/>
    <w:rsid w:val="00BF0C92"/>
    <w:rsid w:val="00BF4E17"/>
    <w:rsid w:val="00C04CC1"/>
    <w:rsid w:val="00C23B72"/>
    <w:rsid w:val="00C4096C"/>
    <w:rsid w:val="00C50C6D"/>
    <w:rsid w:val="00C600D9"/>
    <w:rsid w:val="00C6214B"/>
    <w:rsid w:val="00C92B22"/>
    <w:rsid w:val="00C96773"/>
    <w:rsid w:val="00CC1384"/>
    <w:rsid w:val="00CC743F"/>
    <w:rsid w:val="00CD3720"/>
    <w:rsid w:val="00CF1848"/>
    <w:rsid w:val="00CF5C2F"/>
    <w:rsid w:val="00D04BCF"/>
    <w:rsid w:val="00D143D9"/>
    <w:rsid w:val="00D42100"/>
    <w:rsid w:val="00D5511B"/>
    <w:rsid w:val="00D6640B"/>
    <w:rsid w:val="00D766F1"/>
    <w:rsid w:val="00D95B1D"/>
    <w:rsid w:val="00DE2A2B"/>
    <w:rsid w:val="00E257C8"/>
    <w:rsid w:val="00E41512"/>
    <w:rsid w:val="00E41B1F"/>
    <w:rsid w:val="00E4519A"/>
    <w:rsid w:val="00E545A1"/>
    <w:rsid w:val="00E71EBB"/>
    <w:rsid w:val="00E853D5"/>
    <w:rsid w:val="00E9773B"/>
    <w:rsid w:val="00EA6F42"/>
    <w:rsid w:val="00EA7C1E"/>
    <w:rsid w:val="00EC066E"/>
    <w:rsid w:val="00EC13A3"/>
    <w:rsid w:val="00EC7C85"/>
    <w:rsid w:val="00F125EE"/>
    <w:rsid w:val="00F12E98"/>
    <w:rsid w:val="00F22029"/>
    <w:rsid w:val="00F40D2C"/>
    <w:rsid w:val="00F46CE1"/>
    <w:rsid w:val="00F515FB"/>
    <w:rsid w:val="00F626EA"/>
    <w:rsid w:val="00F630EA"/>
    <w:rsid w:val="00F7007E"/>
    <w:rsid w:val="00F73193"/>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table" w:styleId="TableGrid">
    <w:name w:val="Table Grid"/>
    <w:basedOn w:val="TableNormal"/>
    <w:uiPriority w:val="39"/>
    <w:rsid w:val="00282C1A"/>
    <w:rPr>
      <w:rFonts w:asciiTheme="minorHAnsi" w:hAnsiTheme="minorHAnsi" w:cstheme="minorBidi"/>
      <w:kern w:val="2"/>
      <w:sz w:val="21"/>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47818-3E1A-470A-8B37-F76189D08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1225</Words>
  <Characters>6986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8195</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Jason Zhou</cp:lastModifiedBy>
  <cp:revision>3</cp:revision>
  <cp:lastPrinted>2018-01-11T19:53:00Z</cp:lastPrinted>
  <dcterms:created xsi:type="dcterms:W3CDTF">2022-01-26T10:02:00Z</dcterms:created>
  <dcterms:modified xsi:type="dcterms:W3CDTF">2022-01-26T10:04:00Z</dcterms:modified>
</cp:coreProperties>
</file>