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E7B01" w14:textId="77777777" w:rsidR="00F617D1" w:rsidRDefault="00F617D1" w:rsidP="00F617D1">
      <w:pPr>
        <w:spacing w:line="480" w:lineRule="auto"/>
        <w:rPr>
          <w:rFonts w:eastAsia="PMingLiU"/>
          <w:b/>
          <w:lang w:eastAsia="zh-TW"/>
        </w:rPr>
      </w:pPr>
      <w:bookmarkStart w:id="0" w:name="_Hlk101106583"/>
      <w:r>
        <w:rPr>
          <w:rFonts w:eastAsia="PMingLiU"/>
          <w:b/>
          <w:lang w:eastAsia="zh-TW"/>
        </w:rPr>
        <w:t>Glutamate and GABA</w:t>
      </w:r>
      <w:r>
        <w:rPr>
          <w:rFonts w:eastAsia="PMingLiU"/>
          <w:b/>
          <w:vertAlign w:val="subscript"/>
          <w:lang w:eastAsia="zh-TW"/>
        </w:rPr>
        <w:t>A</w:t>
      </w:r>
      <w:r>
        <w:rPr>
          <w:rFonts w:eastAsia="PMingLiU"/>
          <w:b/>
          <w:lang w:eastAsia="zh-TW"/>
        </w:rPr>
        <w:t xml:space="preserve">R crosstalk </w:t>
      </w:r>
      <w:proofErr w:type="gramStart"/>
      <w:r>
        <w:rPr>
          <w:rFonts w:eastAsia="PMingLiU"/>
          <w:b/>
          <w:lang w:eastAsia="zh-TW"/>
        </w:rPr>
        <w:t>mediates</w:t>
      </w:r>
      <w:proofErr w:type="gramEnd"/>
      <w:r>
        <w:rPr>
          <w:rFonts w:eastAsia="PMingLiU"/>
          <w:b/>
          <w:lang w:eastAsia="zh-TW"/>
        </w:rPr>
        <w:t xml:space="preserve"> homeostatic regulation of neuronal excitation in the mammalian brain</w:t>
      </w:r>
    </w:p>
    <w:bookmarkEnd w:id="0"/>
    <w:p w14:paraId="03E1BBCB" w14:textId="77777777" w:rsidR="00F617D1" w:rsidRDefault="00F617D1" w:rsidP="00F617D1">
      <w:pPr>
        <w:spacing w:line="480" w:lineRule="auto"/>
        <w:rPr>
          <w:rFonts w:eastAsia="PMingLiU"/>
          <w:b/>
          <w:lang w:eastAsia="zh-TW"/>
        </w:rPr>
      </w:pPr>
    </w:p>
    <w:p w14:paraId="05EE19D7" w14:textId="4224E0F3" w:rsidR="00F617D1" w:rsidRDefault="00F617D1" w:rsidP="00F617D1">
      <w:pPr>
        <w:spacing w:line="480" w:lineRule="auto"/>
        <w:rPr>
          <w:rFonts w:eastAsia="PMingLiU"/>
          <w:vertAlign w:val="superscript"/>
          <w:lang w:val="en-CA" w:eastAsia="zh-TW"/>
        </w:rPr>
      </w:pPr>
      <w:proofErr w:type="spellStart"/>
      <w:r>
        <w:rPr>
          <w:rFonts w:eastAsia="PMingLiU"/>
          <w:lang w:val="en-CA" w:eastAsia="zh-TW"/>
        </w:rPr>
        <w:t>Ya</w:t>
      </w:r>
      <w:proofErr w:type="spellEnd"/>
      <w:r>
        <w:rPr>
          <w:rFonts w:eastAsia="PMingLiU"/>
          <w:lang w:val="en-CA" w:eastAsia="zh-TW"/>
        </w:rPr>
        <w:t xml:space="preserve"> Wen</w:t>
      </w:r>
      <w:r>
        <w:rPr>
          <w:rFonts w:eastAsia="PMingLiU"/>
          <w:vertAlign w:val="superscript"/>
          <w:lang w:val="en-CA" w:eastAsia="zh-TW"/>
        </w:rPr>
        <w:t>1*</w:t>
      </w:r>
      <w:r>
        <w:rPr>
          <w:rFonts w:eastAsia="PMingLiU"/>
          <w:lang w:val="en-CA" w:eastAsia="zh-TW"/>
        </w:rPr>
        <w:t xml:space="preserve">, </w:t>
      </w:r>
      <w:proofErr w:type="spellStart"/>
      <w:r>
        <w:rPr>
          <w:rFonts w:eastAsia="PMingLiU"/>
          <w:lang w:val="en-CA" w:eastAsia="zh-TW"/>
        </w:rPr>
        <w:t>Zhifang</w:t>
      </w:r>
      <w:proofErr w:type="spellEnd"/>
      <w:r>
        <w:rPr>
          <w:rFonts w:eastAsia="PMingLiU"/>
          <w:lang w:val="en-CA" w:eastAsia="zh-TW"/>
        </w:rPr>
        <w:t xml:space="preserve"> Dong</w:t>
      </w:r>
      <w:r>
        <w:rPr>
          <w:rFonts w:eastAsia="PMingLiU"/>
          <w:vertAlign w:val="superscript"/>
          <w:lang w:val="en-CA" w:eastAsia="zh-TW"/>
        </w:rPr>
        <w:t>2*</w:t>
      </w:r>
      <w:r>
        <w:rPr>
          <w:rFonts w:eastAsia="PMingLiU"/>
          <w:lang w:val="en-CA" w:eastAsia="zh-TW"/>
        </w:rPr>
        <w:t xml:space="preserve">, </w:t>
      </w:r>
      <w:r>
        <w:rPr>
          <w:rFonts w:eastAsia="PMingLiU"/>
          <w:bdr w:val="single" w:sz="4" w:space="0" w:color="auto"/>
          <w:lang w:val="en-CA" w:eastAsia="zh-TW"/>
        </w:rPr>
        <w:t>Jun Liu</w:t>
      </w:r>
      <w:r w:rsidRPr="00800F71">
        <w:rPr>
          <w:vertAlign w:val="superscript"/>
          <w:lang w:val="en-CA"/>
        </w:rPr>
        <w:t>1</w:t>
      </w:r>
      <w:r>
        <w:rPr>
          <w:rFonts w:eastAsia="PMingLiU"/>
          <w:lang w:val="en-CA" w:eastAsia="zh-TW"/>
        </w:rPr>
        <w:t>, Peter Axerio-Cilies</w:t>
      </w:r>
      <w:r>
        <w:rPr>
          <w:rFonts w:eastAsia="PMingLiU"/>
          <w:vertAlign w:val="superscript"/>
          <w:lang w:val="en-CA" w:eastAsia="zh-TW"/>
        </w:rPr>
        <w:t>1</w:t>
      </w:r>
      <w:r>
        <w:rPr>
          <w:rFonts w:eastAsia="PMingLiU"/>
          <w:lang w:val="en-CA" w:eastAsia="zh-TW"/>
        </w:rPr>
        <w:t xml:space="preserve">, </w:t>
      </w:r>
      <w:proofErr w:type="spellStart"/>
      <w:r>
        <w:rPr>
          <w:rFonts w:eastAsia="PMingLiU"/>
          <w:lang w:val="en-CA" w:eastAsia="zh-TW"/>
        </w:rPr>
        <w:t>Yehong</w:t>
      </w:r>
      <w:proofErr w:type="spellEnd"/>
      <w:r>
        <w:rPr>
          <w:rFonts w:eastAsia="PMingLiU"/>
          <w:lang w:val="en-CA" w:eastAsia="zh-TW"/>
        </w:rPr>
        <w:t xml:space="preserve"> Du</w:t>
      </w:r>
      <w:r>
        <w:rPr>
          <w:rFonts w:eastAsia="PMingLiU"/>
          <w:vertAlign w:val="superscript"/>
          <w:lang w:val="en-CA" w:eastAsia="zh-TW"/>
        </w:rPr>
        <w:t>2</w:t>
      </w:r>
      <w:r>
        <w:rPr>
          <w:rFonts w:eastAsia="PMingLiU"/>
          <w:lang w:val="en-CA" w:eastAsia="zh-TW"/>
        </w:rPr>
        <w:t xml:space="preserve">, </w:t>
      </w:r>
      <w:proofErr w:type="spellStart"/>
      <w:r>
        <w:rPr>
          <w:rFonts w:eastAsia="PMingLiU"/>
          <w:lang w:val="en-CA" w:eastAsia="zh-TW"/>
        </w:rPr>
        <w:t>Junjie</w:t>
      </w:r>
      <w:proofErr w:type="spellEnd"/>
      <w:r>
        <w:rPr>
          <w:rFonts w:eastAsia="PMingLiU"/>
          <w:lang w:val="en-CA" w:eastAsia="zh-TW"/>
        </w:rPr>
        <w:t xml:space="preserve"> Li</w:t>
      </w:r>
      <w:r w:rsidRPr="001F4452">
        <w:rPr>
          <w:rFonts w:eastAsia="PMingLiU"/>
          <w:vertAlign w:val="superscript"/>
          <w:lang w:val="en-CA" w:eastAsia="zh-TW"/>
        </w:rPr>
        <w:t>2</w:t>
      </w:r>
      <w:r>
        <w:rPr>
          <w:rFonts w:eastAsia="PMingLiU"/>
          <w:lang w:val="en-CA" w:eastAsia="zh-TW"/>
        </w:rPr>
        <w:t>, Long Chen</w:t>
      </w:r>
      <w:r>
        <w:rPr>
          <w:rFonts w:eastAsia="PMingLiU"/>
          <w:vertAlign w:val="superscript"/>
          <w:lang w:val="en-CA" w:eastAsia="zh-TW"/>
        </w:rPr>
        <w:t>2</w:t>
      </w:r>
      <w:r>
        <w:rPr>
          <w:rFonts w:eastAsia="PMingLiU"/>
          <w:lang w:val="en-CA" w:eastAsia="zh-TW"/>
        </w:rPr>
        <w:t>, Lu Zhang</w:t>
      </w:r>
      <w:r>
        <w:rPr>
          <w:rFonts w:eastAsia="PMingLiU"/>
          <w:vertAlign w:val="superscript"/>
          <w:lang w:val="en-CA" w:eastAsia="zh-TW"/>
        </w:rPr>
        <w:t>2</w:t>
      </w:r>
      <w:r>
        <w:rPr>
          <w:rFonts w:eastAsia="PMingLiU"/>
          <w:lang w:val="en-CA" w:eastAsia="zh-TW"/>
        </w:rPr>
        <w:t xml:space="preserve">, </w:t>
      </w:r>
      <w:proofErr w:type="spellStart"/>
      <w:r>
        <w:rPr>
          <w:rFonts w:eastAsia="PMingLiU"/>
          <w:lang w:val="en-CA" w:eastAsia="zh-TW"/>
        </w:rPr>
        <w:t>Lidong</w:t>
      </w:r>
      <w:proofErr w:type="spellEnd"/>
      <w:r>
        <w:rPr>
          <w:rFonts w:eastAsia="PMingLiU"/>
          <w:lang w:val="en-CA" w:eastAsia="zh-TW"/>
        </w:rPr>
        <w:t xml:space="preserve"> Liu</w:t>
      </w:r>
      <w:r>
        <w:rPr>
          <w:rFonts w:eastAsia="PMingLiU"/>
          <w:vertAlign w:val="superscript"/>
          <w:lang w:val="en-CA" w:eastAsia="zh-TW"/>
        </w:rPr>
        <w:t>1</w:t>
      </w:r>
      <w:r>
        <w:rPr>
          <w:rFonts w:eastAsia="PMingLiU"/>
          <w:lang w:val="en-CA" w:eastAsia="zh-TW"/>
        </w:rPr>
        <w:t xml:space="preserve">, </w:t>
      </w:r>
      <w:proofErr w:type="spellStart"/>
      <w:r>
        <w:rPr>
          <w:rFonts w:eastAsia="PMingLiU"/>
          <w:lang w:val="en-CA" w:eastAsia="zh-TW"/>
        </w:rPr>
        <w:t>Jie</w:t>
      </w:r>
      <w:proofErr w:type="spellEnd"/>
      <w:r>
        <w:rPr>
          <w:rFonts w:eastAsia="PMingLiU"/>
          <w:lang w:val="en-CA" w:eastAsia="zh-TW"/>
        </w:rPr>
        <w:t xml:space="preserve"> Lu</w:t>
      </w:r>
      <w:r>
        <w:rPr>
          <w:rFonts w:eastAsia="PMingLiU"/>
          <w:vertAlign w:val="superscript"/>
          <w:lang w:val="en-CA" w:eastAsia="zh-TW"/>
        </w:rPr>
        <w:t>1</w:t>
      </w:r>
      <w:r>
        <w:rPr>
          <w:rFonts w:eastAsia="PMingLiU"/>
          <w:lang w:val="en-CA" w:eastAsia="zh-TW"/>
        </w:rPr>
        <w:t xml:space="preserve">, </w:t>
      </w:r>
      <w:proofErr w:type="spellStart"/>
      <w:r>
        <w:rPr>
          <w:rFonts w:eastAsia="PMingLiU"/>
          <w:lang w:val="en-CA" w:eastAsia="zh-TW"/>
        </w:rPr>
        <w:t>Chih</w:t>
      </w:r>
      <w:proofErr w:type="spellEnd"/>
      <w:r>
        <w:rPr>
          <w:rFonts w:eastAsia="PMingLiU"/>
          <w:lang w:val="en-CA" w:eastAsia="zh-TW"/>
        </w:rPr>
        <w:t>-Hao Lu</w:t>
      </w:r>
      <w:r>
        <w:rPr>
          <w:rFonts w:eastAsia="PMingLiU"/>
          <w:vertAlign w:val="superscript"/>
          <w:lang w:val="en-CA" w:eastAsia="zh-TW"/>
        </w:rPr>
        <w:t>3</w:t>
      </w:r>
      <w:r>
        <w:rPr>
          <w:rFonts w:eastAsia="PMingLiU"/>
          <w:lang w:val="en-CA" w:eastAsia="zh-TW"/>
        </w:rPr>
        <w:t xml:space="preserve">, Yu-Jen </w:t>
      </w:r>
      <w:r w:rsidRPr="00691C15">
        <w:rPr>
          <w:rFonts w:eastAsia="PMingLiU"/>
          <w:lang w:val="en-CA" w:eastAsia="zh-TW"/>
        </w:rPr>
        <w:t>Chang</w:t>
      </w:r>
      <w:r w:rsidRPr="00691C15">
        <w:rPr>
          <w:rFonts w:eastAsia="PMingLiU"/>
          <w:vertAlign w:val="superscript"/>
          <w:lang w:val="en-CA" w:eastAsia="zh-TW"/>
        </w:rPr>
        <w:t>3</w:t>
      </w:r>
      <w:r w:rsidRPr="00691C15">
        <w:rPr>
          <w:lang w:eastAsia="zh-TW"/>
        </w:rPr>
        <w:t xml:space="preserve">, </w:t>
      </w:r>
      <w:r>
        <w:rPr>
          <w:lang w:eastAsia="zh-TW"/>
        </w:rPr>
        <w:t>I-Hsien Teng</w:t>
      </w:r>
      <w:r w:rsidRPr="00A87A73">
        <w:rPr>
          <w:rFonts w:hint="eastAsia"/>
          <w:vertAlign w:val="superscript"/>
        </w:rPr>
        <w:t>4</w:t>
      </w:r>
      <w:r w:rsidR="00D15E5F">
        <w:rPr>
          <w:vertAlign w:val="superscript"/>
        </w:rPr>
        <w:t>,5</w:t>
      </w:r>
      <w:r>
        <w:rPr>
          <w:lang w:eastAsia="zh-TW"/>
        </w:rPr>
        <w:t>, Yi-Ru Chen</w:t>
      </w:r>
      <w:r w:rsidRPr="00A87A73">
        <w:rPr>
          <w:rFonts w:hint="eastAsia"/>
          <w:vertAlign w:val="superscript"/>
        </w:rPr>
        <w:t>4</w:t>
      </w:r>
      <w:r w:rsidR="00D15E5F">
        <w:rPr>
          <w:vertAlign w:val="superscript"/>
        </w:rPr>
        <w:t>,5</w:t>
      </w:r>
      <w:r>
        <w:rPr>
          <w:lang w:eastAsia="zh-TW"/>
        </w:rPr>
        <w:t xml:space="preserve">, </w:t>
      </w:r>
      <w:r w:rsidRPr="00691C15">
        <w:rPr>
          <w:bCs/>
        </w:rPr>
        <w:t>Ning</w:t>
      </w:r>
      <w:r>
        <w:rPr>
          <w:bCs/>
        </w:rPr>
        <w:t xml:space="preserve"> Zhou</w:t>
      </w:r>
      <w:r w:rsidR="00D15E5F">
        <w:rPr>
          <w:vertAlign w:val="superscript"/>
        </w:rPr>
        <w:t>6</w:t>
      </w:r>
      <w:r w:rsidRPr="00691C15">
        <w:rPr>
          <w:lang w:eastAsia="zh-TW"/>
        </w:rPr>
        <w:t>,</w:t>
      </w:r>
      <w:r w:rsidRPr="00691C15">
        <w:rPr>
          <w:rFonts w:eastAsia="PMingLiU"/>
          <w:lang w:val="en-CA" w:eastAsia="zh-TW"/>
        </w:rPr>
        <w:t xml:space="preserve"> </w:t>
      </w:r>
      <w:r>
        <w:rPr>
          <w:rFonts w:eastAsia="PMingLiU"/>
          <w:lang w:val="en-CA" w:eastAsia="zh-TW"/>
        </w:rPr>
        <w:t xml:space="preserve">Dong </w:t>
      </w:r>
      <w:proofErr w:type="spellStart"/>
      <w:r>
        <w:rPr>
          <w:rFonts w:eastAsia="PMingLiU"/>
          <w:lang w:val="en-CA" w:eastAsia="zh-TW"/>
        </w:rPr>
        <w:t>Chuan</w:t>
      </w:r>
      <w:proofErr w:type="spellEnd"/>
      <w:r>
        <w:rPr>
          <w:rFonts w:eastAsia="PMingLiU"/>
          <w:lang w:val="en-CA" w:eastAsia="zh-TW"/>
        </w:rPr>
        <w:t xml:space="preserve"> Wu</w:t>
      </w:r>
      <w:r w:rsidRPr="00A87A73">
        <w:rPr>
          <w:rFonts w:eastAsia="PMingLiU" w:hint="eastAsia"/>
          <w:vertAlign w:val="superscript"/>
          <w:lang w:val="en-CA" w:eastAsia="zh-TW"/>
        </w:rPr>
        <w:t>4</w:t>
      </w:r>
      <w:r>
        <w:rPr>
          <w:rFonts w:eastAsia="PMingLiU"/>
          <w:vertAlign w:val="superscript"/>
          <w:lang w:val="en-CA" w:eastAsia="zh-TW"/>
        </w:rPr>
        <w:t>,</w:t>
      </w:r>
      <w:r w:rsidR="00D15E5F">
        <w:rPr>
          <w:rFonts w:eastAsia="PMingLiU"/>
          <w:vertAlign w:val="superscript"/>
          <w:lang w:val="en-CA" w:eastAsia="zh-TW"/>
        </w:rPr>
        <w:t>5,7</w:t>
      </w:r>
      <w:r>
        <w:rPr>
          <w:rFonts w:eastAsia="PMingLiU"/>
          <w:vertAlign w:val="superscript"/>
          <w:lang w:val="en-CA" w:eastAsia="zh-TW"/>
        </w:rPr>
        <w:t>#</w:t>
      </w:r>
      <w:r>
        <w:rPr>
          <w:rFonts w:eastAsia="PMingLiU"/>
          <w:lang w:val="en-CA" w:eastAsia="zh-TW"/>
        </w:rPr>
        <w:t xml:space="preserve"> and Yu Tian Wang</w:t>
      </w:r>
      <w:r>
        <w:rPr>
          <w:rFonts w:eastAsia="PMingLiU"/>
          <w:vertAlign w:val="superscript"/>
          <w:lang w:val="en-CA" w:eastAsia="zh-TW"/>
        </w:rPr>
        <w:t>1#</w:t>
      </w:r>
    </w:p>
    <w:p w14:paraId="1A61FE56" w14:textId="0371F887" w:rsidR="00F617D1" w:rsidRDefault="00F617D1" w:rsidP="00F617D1">
      <w:pPr>
        <w:spacing w:line="480" w:lineRule="auto"/>
        <w:rPr>
          <w:rFonts w:eastAsia="PMingLiU"/>
          <w:lang w:val="en-CA" w:eastAsia="zh-TW"/>
        </w:rPr>
      </w:pPr>
      <w:bookmarkStart w:id="1" w:name="implicit0"/>
      <w:bookmarkEnd w:id="1"/>
      <w:r>
        <w:rPr>
          <w:rFonts w:eastAsia="PMingLiU"/>
          <w:vertAlign w:val="superscript"/>
          <w:lang w:val="en-CA" w:eastAsia="zh-TW"/>
        </w:rPr>
        <w:t>1</w:t>
      </w:r>
      <w:r w:rsidRPr="00A837E6">
        <w:rPr>
          <w:rFonts w:eastAsia="PMingLiU"/>
          <w:lang w:val="en-CA" w:eastAsia="zh-TW"/>
        </w:rPr>
        <w:t xml:space="preserve">DM Centre for Brain Health </w:t>
      </w:r>
      <w:r>
        <w:rPr>
          <w:rFonts w:eastAsia="PMingLiU"/>
          <w:lang w:val="en-CA" w:eastAsia="zh-TW"/>
        </w:rPr>
        <w:t xml:space="preserve">and Department of Medicine, Vancouver Coastal Health Research Institute, University of British Columbia, Vancouver, British Columbia V6T 2B5, Canada; </w:t>
      </w:r>
      <w:r>
        <w:rPr>
          <w:rFonts w:eastAsia="PMingLiU"/>
          <w:vertAlign w:val="superscript"/>
          <w:lang w:eastAsia="zh-TW"/>
        </w:rPr>
        <w:t>2</w:t>
      </w:r>
      <w:r>
        <w:t>Pediatric Research Institute, Ministry of Education Key Laboratory of Child Development and Disorders, National Clinical Research Center for Child Health and Disorders, China International Science and Technology Cooperation Base of Child Development and Critical Disorders, Chongqing Key Laboratory of Translational Medical Research in Cognitive Development and Learning and Memory Disorders, Children’s Hospital of Chongqing Medical University, Chongqing 400014, P. R. China</w:t>
      </w:r>
      <w:r>
        <w:rPr>
          <w:rFonts w:eastAsia="PMingLiU"/>
          <w:lang w:eastAsia="zh-TW"/>
        </w:rPr>
        <w:t xml:space="preserve">; </w:t>
      </w:r>
      <w:r>
        <w:rPr>
          <w:rFonts w:eastAsia="PMingLiU"/>
          <w:vertAlign w:val="superscript"/>
          <w:lang w:eastAsia="zh-TW"/>
        </w:rPr>
        <w:t>3</w:t>
      </w:r>
      <w:r>
        <w:rPr>
          <w:rFonts w:eastAsia="PMingLiU"/>
          <w:lang w:eastAsia="zh-TW"/>
        </w:rPr>
        <w:t xml:space="preserve">The Ph.D. Program of Biotechnology and Biomedical industry, College of Medicine, China Medical University, Taichung, Republic of China; </w:t>
      </w:r>
      <w:r w:rsidRPr="00A87A73">
        <w:rPr>
          <w:vertAlign w:val="superscript"/>
        </w:rPr>
        <w:t>4</w:t>
      </w:r>
      <w:r>
        <w:rPr>
          <w:rFonts w:eastAsia="PMingLiU"/>
          <w:lang w:eastAsia="zh-TW"/>
        </w:rPr>
        <w:t>Translational Medicine Research Center, China Medical University Hospital</w:t>
      </w:r>
      <w:r>
        <w:rPr>
          <w:rFonts w:eastAsia="PMingLiU"/>
          <w:lang w:val="en-CA" w:eastAsia="zh-TW"/>
        </w:rPr>
        <w:t xml:space="preserve">, Taichung, </w:t>
      </w:r>
      <w:r>
        <w:rPr>
          <w:rFonts w:eastAsia="PMingLiU"/>
          <w:lang w:eastAsia="zh-TW"/>
        </w:rPr>
        <w:t>Republic of China,</w:t>
      </w:r>
      <w:r>
        <w:rPr>
          <w:rFonts w:eastAsia="PMingLiU"/>
          <w:lang w:val="en-CA" w:eastAsia="zh-TW"/>
        </w:rPr>
        <w:t xml:space="preserve"> </w:t>
      </w:r>
      <w:r w:rsidRPr="00085C06">
        <w:t xml:space="preserve"> </w:t>
      </w:r>
      <w:r w:rsidR="00D15E5F">
        <w:rPr>
          <w:rFonts w:eastAsia="PMingLiU"/>
          <w:vertAlign w:val="superscript"/>
          <w:lang w:val="en-CA" w:eastAsia="zh-TW"/>
        </w:rPr>
        <w:t>5</w:t>
      </w:r>
      <w:r w:rsidR="00D15E5F">
        <w:rPr>
          <w:rFonts w:eastAsia="PMingLiU"/>
          <w:lang w:val="en-CA" w:eastAsia="zh-TW"/>
        </w:rPr>
        <w:t xml:space="preserve">Graduate Institute of Biomedical Sciences, China Medical University, Taichung, </w:t>
      </w:r>
      <w:r w:rsidR="00D15E5F">
        <w:rPr>
          <w:rFonts w:eastAsia="PMingLiU"/>
          <w:lang w:eastAsia="zh-TW"/>
        </w:rPr>
        <w:t>Republic of China</w:t>
      </w:r>
      <w:r w:rsidR="00D15E5F">
        <w:rPr>
          <w:rFonts w:eastAsia="PMingLiU"/>
          <w:lang w:val="en-CA" w:eastAsia="zh-TW"/>
        </w:rPr>
        <w:t xml:space="preserve">, </w:t>
      </w:r>
      <w:r w:rsidR="00D15E5F">
        <w:rPr>
          <w:vertAlign w:val="superscript"/>
        </w:rPr>
        <w:t>6</w:t>
      </w:r>
      <w:r w:rsidRPr="00983A16">
        <w:t xml:space="preserve">iHuman Institute, </w:t>
      </w:r>
      <w:proofErr w:type="spellStart"/>
      <w:r w:rsidRPr="00983A16">
        <w:t>ShanghaiTech</w:t>
      </w:r>
      <w:proofErr w:type="spellEnd"/>
      <w:r w:rsidRPr="00983A16">
        <w:t xml:space="preserve"> University, Shanghai, </w:t>
      </w:r>
      <w:r>
        <w:t xml:space="preserve">P.R. </w:t>
      </w:r>
      <w:r w:rsidRPr="00983A16">
        <w:t>China</w:t>
      </w:r>
      <w:r>
        <w:t>,</w:t>
      </w:r>
      <w:r>
        <w:rPr>
          <w:rFonts w:eastAsia="PMingLiU"/>
          <w:lang w:eastAsia="zh-TW"/>
        </w:rPr>
        <w:t xml:space="preserve"> </w:t>
      </w:r>
      <w:r w:rsidR="00D15E5F">
        <w:rPr>
          <w:vertAlign w:val="superscript"/>
        </w:rPr>
        <w:t>7</w:t>
      </w:r>
      <w:r>
        <w:rPr>
          <w:rFonts w:eastAsia="PMingLiU"/>
          <w:lang w:eastAsia="zh-TW"/>
        </w:rPr>
        <w:t>Neuroscience and Brain Disease Center, China Medical University</w:t>
      </w:r>
      <w:r>
        <w:rPr>
          <w:rFonts w:eastAsia="PMingLiU"/>
          <w:lang w:val="en-CA" w:eastAsia="zh-TW"/>
        </w:rPr>
        <w:t xml:space="preserve">, Taichung, </w:t>
      </w:r>
      <w:r>
        <w:rPr>
          <w:rFonts w:eastAsia="PMingLiU"/>
          <w:lang w:eastAsia="zh-TW"/>
        </w:rPr>
        <w:t>Republic of China</w:t>
      </w:r>
      <w:r w:rsidR="00D15E5F">
        <w:rPr>
          <w:rFonts w:eastAsia="PMingLiU"/>
          <w:lang w:eastAsia="zh-TW"/>
        </w:rPr>
        <w:t>.</w:t>
      </w:r>
      <w:r w:rsidRPr="00085C06">
        <w:t xml:space="preserve"> </w:t>
      </w:r>
    </w:p>
    <w:p w14:paraId="4ECFDBD7" w14:textId="77777777" w:rsidR="00562B2F" w:rsidRDefault="00562B2F" w:rsidP="00562B2F">
      <w:pPr>
        <w:spacing w:line="480" w:lineRule="auto"/>
        <w:rPr>
          <w:rFonts w:eastAsia="PMingLiU"/>
          <w:lang w:val="en-CA" w:eastAsia="zh-TW"/>
        </w:rPr>
      </w:pPr>
      <w:r>
        <w:rPr>
          <w:rFonts w:eastAsia="PMingLiU"/>
          <w:lang w:val="en-CA" w:eastAsia="zh-TW"/>
        </w:rPr>
        <w:t>*These authors contributed equally to this work</w:t>
      </w:r>
    </w:p>
    <w:p w14:paraId="63D8913E" w14:textId="16A000AA" w:rsidR="002C030F" w:rsidRDefault="0046356B" w:rsidP="005001AC">
      <w:pPr>
        <w:jc w:val="center"/>
        <w:rPr>
          <w:szCs w:val="24"/>
        </w:rPr>
      </w:pPr>
      <w:r>
        <w:rPr>
          <w:szCs w:val="24"/>
        </w:rPr>
        <w:t>.</w:t>
      </w:r>
    </w:p>
    <w:p w14:paraId="0648E06D" w14:textId="77777777" w:rsidR="000F0DCE" w:rsidRDefault="000F0DCE" w:rsidP="005001AC">
      <w:pPr>
        <w:jc w:val="center"/>
        <w:rPr>
          <w:szCs w:val="24"/>
        </w:rPr>
      </w:pPr>
    </w:p>
    <w:p w14:paraId="656E3BCB" w14:textId="77777777" w:rsidR="00562B2F" w:rsidRDefault="00562B2F" w:rsidP="00562B2F">
      <w:pPr>
        <w:spacing w:line="480" w:lineRule="auto"/>
        <w:rPr>
          <w:rStyle w:val="Hyperlink"/>
          <w:rFonts w:eastAsia="PMingLiU"/>
          <w:lang w:val="en-CA" w:eastAsia="zh-TW"/>
        </w:rPr>
      </w:pPr>
      <w:r>
        <w:rPr>
          <w:rFonts w:eastAsia="PMingLiU"/>
          <w:vertAlign w:val="superscript"/>
          <w:lang w:val="en-CA" w:eastAsia="zh-TW"/>
        </w:rPr>
        <w:t>#</w:t>
      </w:r>
      <w:r>
        <w:rPr>
          <w:rFonts w:eastAsia="PMingLiU"/>
          <w:lang w:val="en-CA" w:eastAsia="zh-TW"/>
        </w:rPr>
        <w:t xml:space="preserve">Correspondence should be addressed to either DCW at </w:t>
      </w:r>
      <w:hyperlink r:id="rId7" w:history="1">
        <w:r>
          <w:rPr>
            <w:rStyle w:val="Hyperlink"/>
            <w:rFonts w:eastAsia="PMingLiU"/>
            <w:lang w:val="en-CA" w:eastAsia="zh-TW"/>
          </w:rPr>
          <w:t>dongchuanwu@mail.cmu.edu.tw</w:t>
        </w:r>
      </w:hyperlink>
      <w:r>
        <w:rPr>
          <w:rFonts w:eastAsia="PMingLiU"/>
          <w:lang w:val="en-CA" w:eastAsia="zh-TW"/>
        </w:rPr>
        <w:t xml:space="preserve"> or YTW at </w:t>
      </w:r>
      <w:hyperlink r:id="rId8" w:history="1">
        <w:r>
          <w:rPr>
            <w:rStyle w:val="Hyperlink"/>
            <w:rFonts w:eastAsia="PMingLiU"/>
            <w:lang w:val="en-CA" w:eastAsia="zh-TW"/>
          </w:rPr>
          <w:t>ytwang@brain.ubc.ca</w:t>
        </w:r>
      </w:hyperlink>
    </w:p>
    <w:p w14:paraId="223EBBEB" w14:textId="77777777" w:rsidR="002C030F" w:rsidRPr="00562B2F" w:rsidRDefault="002C030F">
      <w:pPr>
        <w:rPr>
          <w:lang w:val="en-CA"/>
        </w:rPr>
      </w:pPr>
    </w:p>
    <w:p w14:paraId="5BBBF32C" w14:textId="77777777" w:rsidR="00015F74" w:rsidRDefault="00015F74">
      <w:pPr>
        <w:rPr>
          <w:b/>
        </w:rPr>
      </w:pPr>
    </w:p>
    <w:p w14:paraId="546CBFCA" w14:textId="77777777" w:rsidR="002C030F" w:rsidRPr="00262D72" w:rsidRDefault="009743A9">
      <w:pPr>
        <w:rPr>
          <w:b/>
        </w:rPr>
      </w:pPr>
      <w:r>
        <w:rPr>
          <w:b/>
        </w:rPr>
        <w:t xml:space="preserve">This PDF file </w:t>
      </w:r>
      <w:r w:rsidR="002C030F" w:rsidRPr="00262D72">
        <w:rPr>
          <w:b/>
        </w:rPr>
        <w:t>includes:</w:t>
      </w:r>
    </w:p>
    <w:p w14:paraId="6B069C4B" w14:textId="77777777" w:rsidR="002C030F" w:rsidRDefault="002C030F"/>
    <w:p w14:paraId="7FC81517" w14:textId="3443A5EC" w:rsidR="002C030F" w:rsidRDefault="002C030F" w:rsidP="00262D72">
      <w:pPr>
        <w:ind w:left="720"/>
      </w:pPr>
      <w:r>
        <w:t>Fig</w:t>
      </w:r>
      <w:r w:rsidR="00821F38">
        <w:rPr>
          <w:rFonts w:hint="eastAsia"/>
          <w:lang w:eastAsia="zh-CN"/>
        </w:rPr>
        <w:t>ure</w:t>
      </w:r>
      <w:r w:rsidR="00A3403B">
        <w:t xml:space="preserve">s. </w:t>
      </w:r>
      <w:r>
        <w:t>S1</w:t>
      </w:r>
      <w:r w:rsidR="00A3403B">
        <w:t xml:space="preserve"> to </w:t>
      </w:r>
      <w:r>
        <w:t>S</w:t>
      </w:r>
      <w:r w:rsidR="00223A35">
        <w:t>8</w:t>
      </w:r>
    </w:p>
    <w:p w14:paraId="68691C5A" w14:textId="6691AA97" w:rsidR="002B7892" w:rsidRDefault="002B7892">
      <w:r>
        <w:br w:type="page"/>
      </w:r>
    </w:p>
    <w:p w14:paraId="7D4A4109" w14:textId="6BEDD22B" w:rsidR="00065EBD" w:rsidRDefault="009F063E" w:rsidP="00262D72">
      <w:pPr>
        <w:ind w:left="720"/>
      </w:pPr>
      <w:r w:rsidRPr="009F063E">
        <w:lastRenderedPageBreak/>
        <w:drawing>
          <wp:inline distT="0" distB="0" distL="0" distR="0" wp14:anchorId="1DA4A2A6" wp14:editId="17752F2F">
            <wp:extent cx="5943600" cy="36537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653790"/>
                    </a:xfrm>
                    <a:prstGeom prst="rect">
                      <a:avLst/>
                    </a:prstGeom>
                  </pic:spPr>
                </pic:pic>
              </a:graphicData>
            </a:graphic>
          </wp:inline>
        </w:drawing>
      </w:r>
    </w:p>
    <w:p w14:paraId="23718CE0" w14:textId="68843E53" w:rsidR="00015F74" w:rsidRDefault="00015F74" w:rsidP="00262D72">
      <w:pPr>
        <w:ind w:left="720"/>
      </w:pPr>
    </w:p>
    <w:p w14:paraId="6A5A6B54" w14:textId="147475FF" w:rsidR="00355362" w:rsidRDefault="00355362" w:rsidP="00223A35">
      <w:pPr>
        <w:pStyle w:val="SMHeading"/>
      </w:pPr>
      <w:bookmarkStart w:id="2" w:name="Tables"/>
      <w:bookmarkStart w:id="3" w:name="MaterialsMethods"/>
      <w:bookmarkStart w:id="4" w:name="Figures"/>
      <w:bookmarkEnd w:id="2"/>
      <w:bookmarkEnd w:id="3"/>
      <w:bookmarkEnd w:id="4"/>
    </w:p>
    <w:p w14:paraId="4D46A919" w14:textId="27BA53CD" w:rsidR="00015F74" w:rsidRDefault="00223A35" w:rsidP="00B9440A">
      <w:pPr>
        <w:pStyle w:val="SMcaption"/>
      </w:pPr>
      <w:r w:rsidRPr="000353DA">
        <w:rPr>
          <w:b/>
        </w:rPr>
        <w:t>Fig</w:t>
      </w:r>
      <w:r w:rsidR="002B7892">
        <w:rPr>
          <w:b/>
        </w:rPr>
        <w:t>ure</w:t>
      </w:r>
      <w:r>
        <w:rPr>
          <w:b/>
        </w:rPr>
        <w:t>.</w:t>
      </w:r>
      <w:r w:rsidRPr="000353DA">
        <w:rPr>
          <w:b/>
        </w:rPr>
        <w:t xml:space="preserve"> </w:t>
      </w:r>
      <w:r>
        <w:rPr>
          <w:b/>
        </w:rPr>
        <w:t>S1</w:t>
      </w:r>
      <w:r>
        <w:rPr>
          <w:rFonts w:hint="eastAsia"/>
        </w:rPr>
        <w:t>.</w:t>
      </w:r>
      <w:r>
        <w:rPr>
          <w:lang w:eastAsia="zh-TW"/>
        </w:rPr>
        <w:t xml:space="preserve"> AP5 potentiates GABA</w:t>
      </w:r>
      <w:r>
        <w:rPr>
          <w:vertAlign w:val="subscript"/>
          <w:lang w:eastAsia="zh-TW"/>
        </w:rPr>
        <w:t>A</w:t>
      </w:r>
      <w:r>
        <w:rPr>
          <w:lang w:eastAsia="zh-TW"/>
        </w:rPr>
        <w:t>R mediated currents via a NMDAR-independent mechanism in cultured hippocampal neurons. (</w:t>
      </w:r>
      <w:r w:rsidR="00062278" w:rsidRPr="009F063E">
        <w:rPr>
          <w:b/>
          <w:lang w:eastAsia="zh-TW"/>
        </w:rPr>
        <w:t>a</w:t>
      </w:r>
      <w:r>
        <w:rPr>
          <w:lang w:eastAsia="zh-TW"/>
        </w:rPr>
        <w:t xml:space="preserve">) AP5-induced potentiation did not require the opening of NMDAR-gated channels. Representative currents traces were taken under indicated recording conditions.  Blockade of NMDA channels was produced by co-application of NMDA (50 </w:t>
      </w:r>
      <w:proofErr w:type="spellStart"/>
      <w:r>
        <w:rPr>
          <w:lang w:eastAsia="zh-TW"/>
        </w:rPr>
        <w:t>μM</w:t>
      </w:r>
      <w:proofErr w:type="spellEnd"/>
      <w:r>
        <w:rPr>
          <w:lang w:eastAsia="zh-TW"/>
        </w:rPr>
        <w:t xml:space="preserve">) and MK-801 (10 </w:t>
      </w:r>
      <w:proofErr w:type="spellStart"/>
      <w:r>
        <w:rPr>
          <w:lang w:eastAsia="zh-TW"/>
        </w:rPr>
        <w:t>μM</w:t>
      </w:r>
      <w:proofErr w:type="spellEnd"/>
      <w:r>
        <w:rPr>
          <w:lang w:eastAsia="zh-TW"/>
        </w:rPr>
        <w:t xml:space="preserve">) (MK801+NMDA) and evidenced by the in ability to produce a detectable current by a subsequent application of NMDA (50 </w:t>
      </w:r>
      <w:proofErr w:type="spellStart"/>
      <w:r>
        <w:rPr>
          <w:lang w:eastAsia="zh-TW"/>
        </w:rPr>
        <w:t>μM</w:t>
      </w:r>
      <w:proofErr w:type="spellEnd"/>
      <w:r>
        <w:rPr>
          <w:lang w:eastAsia="zh-TW"/>
        </w:rPr>
        <w:t xml:space="preserve">; NMDA). Following NMDAR blockade, GABA (10 </w:t>
      </w:r>
      <w:proofErr w:type="spellStart"/>
      <w:r>
        <w:rPr>
          <w:lang w:eastAsia="zh-TW"/>
        </w:rPr>
        <w:t>μ</w:t>
      </w:r>
      <w:r>
        <w:rPr>
          <w:rFonts w:hint="eastAsia"/>
          <w:lang w:eastAsia="zh-TW"/>
        </w:rPr>
        <w:t>M</w:t>
      </w:r>
      <w:proofErr w:type="spellEnd"/>
      <w:r>
        <w:rPr>
          <w:lang w:eastAsia="zh-TW"/>
        </w:rPr>
        <w:t>) currents induced in the presence of 200μ</w:t>
      </w:r>
      <w:r>
        <w:rPr>
          <w:rFonts w:hint="eastAsia"/>
          <w:lang w:eastAsia="zh-TW"/>
        </w:rPr>
        <w:t>M</w:t>
      </w:r>
      <w:r>
        <w:rPr>
          <w:lang w:eastAsia="zh-TW"/>
        </w:rPr>
        <w:t xml:space="preserve"> AP5 (+AP5) were much bigger than that in the absence of AP5 (GABA), and completely blocked by the addition of 10 </w:t>
      </w:r>
      <w:proofErr w:type="spellStart"/>
      <w:r>
        <w:rPr>
          <w:lang w:eastAsia="zh-TW"/>
        </w:rPr>
        <w:t>μ</w:t>
      </w:r>
      <w:r>
        <w:rPr>
          <w:rFonts w:hint="eastAsia"/>
          <w:lang w:eastAsia="zh-TW"/>
        </w:rPr>
        <w:t>M</w:t>
      </w:r>
      <w:proofErr w:type="spellEnd"/>
      <w:r>
        <w:rPr>
          <w:lang w:eastAsia="zh-TW"/>
        </w:rPr>
        <w:t xml:space="preserve"> bicuculline (+AP5+Bicuculline).  (</w:t>
      </w:r>
      <w:r w:rsidR="00062278" w:rsidRPr="009F063E">
        <w:rPr>
          <w:b/>
          <w:lang w:eastAsia="zh-TW"/>
        </w:rPr>
        <w:t>b</w:t>
      </w:r>
      <w:r>
        <w:rPr>
          <w:lang w:eastAsia="zh-TW"/>
        </w:rPr>
        <w:t xml:space="preserve">) AP5 potentiation of GABA currents is not associated with alteration of the reversal potential. Left, representative current traces induced by pressure-ejection of GABA (10 </w:t>
      </w:r>
      <w:proofErr w:type="spellStart"/>
      <w:r>
        <w:rPr>
          <w:lang w:eastAsia="zh-TW"/>
        </w:rPr>
        <w:t>μ</w:t>
      </w:r>
      <w:r>
        <w:rPr>
          <w:rFonts w:hint="eastAsia"/>
          <w:lang w:eastAsia="zh-TW"/>
        </w:rPr>
        <w:t>M</w:t>
      </w:r>
      <w:proofErr w:type="spellEnd"/>
      <w:r>
        <w:rPr>
          <w:lang w:eastAsia="zh-TW"/>
        </w:rPr>
        <w:t>) from a pipette</w:t>
      </w:r>
      <w:r>
        <w:rPr>
          <w:b/>
          <w:lang w:eastAsia="zh-TW"/>
        </w:rPr>
        <w:t xml:space="preserve"> </w:t>
      </w:r>
      <w:r>
        <w:rPr>
          <w:lang w:eastAsia="zh-TW"/>
        </w:rPr>
        <w:t>at various holding potentials in the absence (Control) and presence of 200 µM AP5 (AP5). Right, current-voltage (</w:t>
      </w:r>
      <w:r>
        <w:rPr>
          <w:i/>
          <w:iCs/>
          <w:lang w:eastAsia="zh-TW"/>
        </w:rPr>
        <w:t>I-V</w:t>
      </w:r>
      <w:r>
        <w:rPr>
          <w:lang w:eastAsia="zh-TW"/>
        </w:rPr>
        <w:t>) relationship curves constructed from the currents shown on the Left showing that AP5 potentiation was not associated with an alteration of the reverse potential.</w:t>
      </w:r>
    </w:p>
    <w:p w14:paraId="2AD205DD" w14:textId="77777777" w:rsidR="009A5287" w:rsidRDefault="009A5287" w:rsidP="00B9440A">
      <w:pPr>
        <w:pStyle w:val="SMcaption"/>
      </w:pPr>
    </w:p>
    <w:p w14:paraId="2F208AEF" w14:textId="77777777" w:rsidR="002B7892" w:rsidRDefault="002B7892">
      <w:r>
        <w:br w:type="page"/>
      </w:r>
    </w:p>
    <w:p w14:paraId="1F86F0A8" w14:textId="275DA5BC" w:rsidR="00581456" w:rsidRDefault="00B94BF1" w:rsidP="00B9440A">
      <w:pPr>
        <w:pStyle w:val="SMHeading"/>
      </w:pPr>
      <w:r w:rsidRPr="00B94BF1">
        <w:lastRenderedPageBreak/>
        <w:drawing>
          <wp:inline distT="0" distB="0" distL="0" distR="0" wp14:anchorId="4EABDC50" wp14:editId="041AF953">
            <wp:extent cx="5943600" cy="21672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167255"/>
                    </a:xfrm>
                    <a:prstGeom prst="rect">
                      <a:avLst/>
                    </a:prstGeom>
                  </pic:spPr>
                </pic:pic>
              </a:graphicData>
            </a:graphic>
          </wp:inline>
        </w:drawing>
      </w:r>
    </w:p>
    <w:p w14:paraId="3567FF95" w14:textId="22A319AF" w:rsidR="00112C5B" w:rsidRPr="00355362" w:rsidRDefault="00112C5B" w:rsidP="00B9440A">
      <w:pPr>
        <w:pStyle w:val="SMHeading"/>
      </w:pPr>
      <w:r w:rsidRPr="00355362">
        <w:t>Fig</w:t>
      </w:r>
      <w:r w:rsidR="00821F38">
        <w:rPr>
          <w:rFonts w:hint="eastAsia"/>
          <w:lang w:eastAsia="zh-CN"/>
        </w:rPr>
        <w:t>ure</w:t>
      </w:r>
      <w:r w:rsidRPr="00355362">
        <w:t>. S2</w:t>
      </w:r>
      <w:r w:rsidR="008218C4">
        <w:t>.</w:t>
      </w:r>
      <w:r w:rsidR="00581456">
        <w:t xml:space="preserve"> </w:t>
      </w:r>
    </w:p>
    <w:p w14:paraId="2507BD7C" w14:textId="4FB80432" w:rsidR="00670299" w:rsidRDefault="00581456" w:rsidP="00670299">
      <w:pPr>
        <w:pStyle w:val="SMcaption"/>
        <w:rPr>
          <w:lang w:eastAsia="zh-TW"/>
        </w:rPr>
      </w:pPr>
      <w:r>
        <w:t xml:space="preserve">Simulated molecular dockings of glutamate onto the </w:t>
      </w:r>
      <w:r>
        <w:rPr>
          <w:lang w:eastAsia="zh-TW"/>
        </w:rPr>
        <w:t>α+/β- interface of the modeled GABA</w:t>
      </w:r>
      <w:r>
        <w:rPr>
          <w:vertAlign w:val="subscript"/>
          <w:lang w:eastAsia="zh-TW"/>
        </w:rPr>
        <w:t>A</w:t>
      </w:r>
      <w:r>
        <w:rPr>
          <w:lang w:eastAsia="zh-TW"/>
        </w:rPr>
        <w:t>R. (</w:t>
      </w:r>
      <w:r w:rsidR="00273E17" w:rsidRPr="009F063E">
        <w:rPr>
          <w:b/>
          <w:lang w:eastAsia="zh-TW"/>
        </w:rPr>
        <w:t>a</w:t>
      </w:r>
      <w:r>
        <w:rPr>
          <w:lang w:eastAsia="zh-TW"/>
        </w:rPr>
        <w:t>) Side perspective of the α+/β- interface predicts 5 putative glutamate (Glu) binding pockets (P1-P5).  (</w:t>
      </w:r>
      <w:r w:rsidR="00273E17" w:rsidRPr="009F063E">
        <w:rPr>
          <w:b/>
          <w:lang w:eastAsia="zh-TW"/>
        </w:rPr>
        <w:t>b</w:t>
      </w:r>
      <w:r>
        <w:rPr>
          <w:lang w:eastAsia="zh-TW"/>
        </w:rPr>
        <w:t>) Receptor modeling diagram enlarged from (</w:t>
      </w:r>
      <w:r w:rsidR="00273E17" w:rsidRPr="009F063E">
        <w:rPr>
          <w:b/>
          <w:lang w:eastAsia="zh-TW"/>
        </w:rPr>
        <w:t>a</w:t>
      </w:r>
      <w:r>
        <w:rPr>
          <w:lang w:eastAsia="zh-TW"/>
        </w:rPr>
        <w:t xml:space="preserve">) further emphasizing on the two putative glutamate binding pockets (indicated in blue in </w:t>
      </w:r>
      <w:r w:rsidR="00273E17" w:rsidRPr="009F063E">
        <w:rPr>
          <w:b/>
          <w:lang w:eastAsia="zh-TW"/>
        </w:rPr>
        <w:t>a</w:t>
      </w:r>
      <w:r>
        <w:rPr>
          <w:lang w:eastAsia="zh-TW"/>
        </w:rPr>
        <w:t>), one just behind the loop C (P2) and the other below the loop C (P2), that can accommodate both Glu and bigger glutamate-like molecule TBOA (Glu/TBOA).  (</w:t>
      </w:r>
      <w:r w:rsidR="00273E17" w:rsidRPr="009F063E">
        <w:rPr>
          <w:b/>
          <w:lang w:eastAsia="zh-TW"/>
        </w:rPr>
        <w:t>c</w:t>
      </w:r>
      <w:r>
        <w:rPr>
          <w:lang w:eastAsia="zh-TW"/>
        </w:rPr>
        <w:t>) Receptor structure modeling further enlarged from (</w:t>
      </w:r>
      <w:r w:rsidR="00273E17" w:rsidRPr="009F063E">
        <w:rPr>
          <w:b/>
          <w:lang w:eastAsia="zh-TW"/>
        </w:rPr>
        <w:t>b</w:t>
      </w:r>
      <w:r>
        <w:rPr>
          <w:lang w:eastAsia="zh-TW"/>
        </w:rPr>
        <w:t>) illustrate the docked glutamate molecule and its interactions with critical residues in the identified glutamate-binding pocket at the α+/β- interface.</w:t>
      </w:r>
    </w:p>
    <w:p w14:paraId="67B9D186" w14:textId="5EA8009B" w:rsidR="00581456" w:rsidRDefault="00581456">
      <w:r>
        <w:br w:type="page"/>
      </w:r>
    </w:p>
    <w:p w14:paraId="6E2C2EF8" w14:textId="2D9F2355" w:rsidR="00581456" w:rsidRDefault="00930ADB" w:rsidP="00670299">
      <w:pPr>
        <w:pStyle w:val="SMcaption"/>
      </w:pPr>
      <w:r w:rsidRPr="00930ADB">
        <w:lastRenderedPageBreak/>
        <w:drawing>
          <wp:inline distT="0" distB="0" distL="0" distR="0" wp14:anchorId="4D1B3F2E" wp14:editId="5D009454">
            <wp:extent cx="5943600" cy="22123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212340"/>
                    </a:xfrm>
                    <a:prstGeom prst="rect">
                      <a:avLst/>
                    </a:prstGeom>
                  </pic:spPr>
                </pic:pic>
              </a:graphicData>
            </a:graphic>
          </wp:inline>
        </w:drawing>
      </w:r>
    </w:p>
    <w:p w14:paraId="7F2A0CB1" w14:textId="399D9CA9" w:rsidR="00477182" w:rsidRPr="00581456" w:rsidRDefault="00112C5B" w:rsidP="00581456">
      <w:pPr>
        <w:pStyle w:val="SMHeading"/>
        <w:rPr>
          <w:b w:val="0"/>
        </w:rPr>
      </w:pPr>
      <w:r w:rsidRPr="00355362">
        <w:t>Fig</w:t>
      </w:r>
      <w:r w:rsidR="00821F38">
        <w:rPr>
          <w:rFonts w:hint="eastAsia"/>
          <w:lang w:eastAsia="zh-CN"/>
        </w:rPr>
        <w:t>ure</w:t>
      </w:r>
      <w:r w:rsidRPr="00355362">
        <w:t>. S</w:t>
      </w:r>
      <w:r w:rsidR="00355362">
        <w:t>3</w:t>
      </w:r>
      <w:r w:rsidR="008218C4">
        <w:t>.</w:t>
      </w:r>
      <w:r w:rsidR="00581456">
        <w:t xml:space="preserve"> </w:t>
      </w:r>
      <w:r w:rsidR="00581456" w:rsidRPr="00581456">
        <w:rPr>
          <w:b w:val="0"/>
        </w:rPr>
        <w:t xml:space="preserve">Molecular dockings of glutamate onto the </w:t>
      </w:r>
      <w:r w:rsidR="00581456" w:rsidRPr="00581456">
        <w:rPr>
          <w:b w:val="0"/>
          <w:lang w:eastAsia="zh-TW"/>
        </w:rPr>
        <w:t>α</w:t>
      </w:r>
      <w:r w:rsidR="00581456" w:rsidRPr="00581456">
        <w:rPr>
          <w:b w:val="0"/>
          <w:vertAlign w:val="superscript"/>
          <w:lang w:eastAsia="zh-TW"/>
        </w:rPr>
        <w:t>+</w:t>
      </w:r>
      <w:r w:rsidR="00581456" w:rsidRPr="00581456">
        <w:rPr>
          <w:b w:val="0"/>
          <w:lang w:eastAsia="zh-TW"/>
        </w:rPr>
        <w:t>/β</w:t>
      </w:r>
      <w:r w:rsidR="00581456" w:rsidRPr="00581456">
        <w:rPr>
          <w:b w:val="0"/>
          <w:vertAlign w:val="superscript"/>
          <w:lang w:eastAsia="zh-TW"/>
        </w:rPr>
        <w:t>-</w:t>
      </w:r>
      <w:r w:rsidR="00581456" w:rsidRPr="00581456">
        <w:rPr>
          <w:b w:val="0"/>
          <w:lang w:eastAsia="zh-TW"/>
        </w:rPr>
        <w:t xml:space="preserve"> interface of the α1β3γ2 GABA</w:t>
      </w:r>
      <w:r w:rsidR="00581456" w:rsidRPr="00581456">
        <w:rPr>
          <w:b w:val="0"/>
          <w:vertAlign w:val="subscript"/>
          <w:lang w:eastAsia="zh-TW"/>
        </w:rPr>
        <w:t>A</w:t>
      </w:r>
      <w:r w:rsidR="00581456" w:rsidRPr="00581456">
        <w:rPr>
          <w:b w:val="0"/>
          <w:lang w:eastAsia="zh-TW"/>
        </w:rPr>
        <w:t>R (6HUO). (</w:t>
      </w:r>
      <w:r w:rsidR="0053437B" w:rsidRPr="009F063E">
        <w:rPr>
          <w:lang w:eastAsia="zh-TW"/>
        </w:rPr>
        <w:t>a</w:t>
      </w:r>
      <w:r w:rsidR="00581456" w:rsidRPr="00581456">
        <w:rPr>
          <w:b w:val="0"/>
          <w:lang w:eastAsia="zh-TW"/>
        </w:rPr>
        <w:t>) Side perspective of the α</w:t>
      </w:r>
      <w:r w:rsidR="00581456" w:rsidRPr="00581456">
        <w:rPr>
          <w:b w:val="0"/>
          <w:vertAlign w:val="superscript"/>
          <w:lang w:eastAsia="zh-TW"/>
        </w:rPr>
        <w:t>+</w:t>
      </w:r>
      <w:r w:rsidR="00581456" w:rsidRPr="00581456">
        <w:rPr>
          <w:b w:val="0"/>
          <w:lang w:eastAsia="zh-TW"/>
        </w:rPr>
        <w:t>/β</w:t>
      </w:r>
      <w:r w:rsidR="00581456" w:rsidRPr="00581456">
        <w:rPr>
          <w:b w:val="0"/>
          <w:vertAlign w:val="superscript"/>
          <w:lang w:eastAsia="zh-TW"/>
        </w:rPr>
        <w:t xml:space="preserve">- </w:t>
      </w:r>
      <w:r w:rsidR="00581456" w:rsidRPr="00581456">
        <w:rPr>
          <w:b w:val="0"/>
          <w:lang w:eastAsia="zh-TW"/>
        </w:rPr>
        <w:t>interface of P2 that can accommodate both Glu and glutamate-like molecule TBOA (Glu/TBOA). (</w:t>
      </w:r>
      <w:r w:rsidR="0053437B" w:rsidRPr="009F063E">
        <w:rPr>
          <w:lang w:eastAsia="zh-TW"/>
        </w:rPr>
        <w:t>b</w:t>
      </w:r>
      <w:r w:rsidR="00581456" w:rsidRPr="00581456">
        <w:rPr>
          <w:b w:val="0"/>
          <w:lang w:eastAsia="zh-TW"/>
        </w:rPr>
        <w:t>) and (</w:t>
      </w:r>
      <w:r w:rsidR="0053437B" w:rsidRPr="009F063E">
        <w:rPr>
          <w:lang w:eastAsia="zh-TW"/>
        </w:rPr>
        <w:t>c</w:t>
      </w:r>
      <w:r w:rsidR="00581456" w:rsidRPr="00581456">
        <w:rPr>
          <w:b w:val="0"/>
          <w:lang w:eastAsia="zh-TW"/>
        </w:rPr>
        <w:t>) illustrate the docked glutamate or TBOA molecule and their interactions with critical residues in the P2 glutamate-binding pocket at the α+/β- interface.</w:t>
      </w:r>
    </w:p>
    <w:p w14:paraId="15D4D319" w14:textId="20B31943" w:rsidR="00581456" w:rsidRPr="00581456" w:rsidRDefault="00581456">
      <w:r w:rsidRPr="00581456">
        <w:br w:type="page"/>
      </w:r>
    </w:p>
    <w:p w14:paraId="3E996CE2" w14:textId="75BB5EFF" w:rsidR="00581456" w:rsidRDefault="00AF7FE2" w:rsidP="00581456">
      <w:pPr>
        <w:pStyle w:val="SMHeading"/>
      </w:pPr>
      <w:r w:rsidRPr="00AF7FE2">
        <w:lastRenderedPageBreak/>
        <w:drawing>
          <wp:inline distT="0" distB="0" distL="0" distR="0" wp14:anchorId="30386010" wp14:editId="7DB5283C">
            <wp:extent cx="5943600" cy="25819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581910"/>
                    </a:xfrm>
                    <a:prstGeom prst="rect">
                      <a:avLst/>
                    </a:prstGeom>
                  </pic:spPr>
                </pic:pic>
              </a:graphicData>
            </a:graphic>
          </wp:inline>
        </w:drawing>
      </w:r>
    </w:p>
    <w:p w14:paraId="310CB698" w14:textId="6F89FAF4" w:rsidR="00581456" w:rsidRDefault="00581456" w:rsidP="00581456">
      <w:pPr>
        <w:pStyle w:val="SMHeading"/>
        <w:rPr>
          <w:b w:val="0"/>
        </w:rPr>
      </w:pPr>
      <w:r w:rsidRPr="00355362">
        <w:t>Fig</w:t>
      </w:r>
      <w:r>
        <w:rPr>
          <w:rFonts w:hint="eastAsia"/>
          <w:lang w:eastAsia="zh-CN"/>
        </w:rPr>
        <w:t>ure</w:t>
      </w:r>
      <w:r w:rsidRPr="00355362">
        <w:t>. S</w:t>
      </w:r>
      <w:r>
        <w:t xml:space="preserve">4. </w:t>
      </w:r>
      <w:r w:rsidR="00B62734" w:rsidRPr="00B62734">
        <w:rPr>
          <w:b w:val="0"/>
        </w:rPr>
        <w:t xml:space="preserve">Glutamate-binding proteins/receptors share van der Waals’ contacts formed between their common charged amino acid residues and glutamate molecule.  Screening crystalized structures of glutamate-bound GluN2A[2A5S], GluN2D[3OEK/3OEL], GluA2[1FTJ], GluA4[3FAS], GluK2[1S7Y], mGluR1 1EWK], mGluR5[3LMK] and </w:t>
      </w:r>
      <w:proofErr w:type="spellStart"/>
      <w:r w:rsidR="00B62734" w:rsidRPr="00B62734">
        <w:rPr>
          <w:b w:val="0"/>
        </w:rPr>
        <w:t>GluCl</w:t>
      </w:r>
      <w:proofErr w:type="spellEnd"/>
      <w:r w:rsidR="00B62734" w:rsidRPr="00B62734">
        <w:rPr>
          <w:b w:val="0"/>
        </w:rPr>
        <w:t>[3RIF] reveals the major types of the direct van der Waals’ contacts formed between glutamate and protein/receptor (</w:t>
      </w:r>
      <w:r w:rsidR="001666E3" w:rsidRPr="009F063E">
        <w:t>a</w:t>
      </w:r>
      <w:r w:rsidR="00B62734" w:rsidRPr="00B62734">
        <w:rPr>
          <w:b w:val="0"/>
        </w:rPr>
        <w:t xml:space="preserve">) and demonstrates that the most common pocket forming amino acid residues involved in direct interacting with glutamate are either positively or negatively charged residues </w:t>
      </w:r>
      <w:proofErr w:type="spellStart"/>
      <w:r w:rsidR="00B62734" w:rsidRPr="00B62734">
        <w:rPr>
          <w:b w:val="0"/>
        </w:rPr>
        <w:t>Arg</w:t>
      </w:r>
      <w:proofErr w:type="spellEnd"/>
      <w:r w:rsidR="00B62734" w:rsidRPr="00B62734">
        <w:rPr>
          <w:b w:val="0"/>
        </w:rPr>
        <w:t>, Lys, Asp, Glu, and Ser (</w:t>
      </w:r>
      <w:r w:rsidR="001666E3" w:rsidRPr="009F063E">
        <w:t>b</w:t>
      </w:r>
      <w:r w:rsidR="00B62734" w:rsidRPr="00B62734">
        <w:rPr>
          <w:b w:val="0"/>
        </w:rPr>
        <w:t xml:space="preserve">). </w:t>
      </w:r>
      <w:bookmarkStart w:id="5" w:name="_Hlk101014282"/>
      <w:r w:rsidR="00B62734" w:rsidRPr="00B62734">
        <w:rPr>
          <w:b w:val="0"/>
        </w:rPr>
        <w:t xml:space="preserve">The panel </w:t>
      </w:r>
      <w:r w:rsidR="001666E3">
        <w:rPr>
          <w:b w:val="0"/>
        </w:rPr>
        <w:t>b</w:t>
      </w:r>
      <w:r w:rsidR="00B62734" w:rsidRPr="00B62734">
        <w:rPr>
          <w:b w:val="0"/>
        </w:rPr>
        <w:t xml:space="preserve"> indicates the interaction frequency between these pocket forming residues and specific glutamate active groups.</w:t>
      </w:r>
      <w:bookmarkEnd w:id="5"/>
    </w:p>
    <w:p w14:paraId="5850E96C" w14:textId="0C52BE6D" w:rsidR="00B62734" w:rsidRDefault="00B62734">
      <w:pPr>
        <w:rPr>
          <w:bCs/>
          <w:kern w:val="32"/>
          <w:szCs w:val="24"/>
          <w:lang w:eastAsia="zh-TW"/>
        </w:rPr>
      </w:pPr>
      <w:r>
        <w:rPr>
          <w:b/>
          <w:lang w:eastAsia="zh-TW"/>
        </w:rPr>
        <w:br w:type="page"/>
      </w:r>
    </w:p>
    <w:p w14:paraId="5D601C09" w14:textId="2FE40835" w:rsidR="00B62734" w:rsidRPr="00581456" w:rsidRDefault="00F65D4B" w:rsidP="00581456">
      <w:pPr>
        <w:pStyle w:val="SMHeading"/>
        <w:rPr>
          <w:b w:val="0"/>
          <w:lang w:eastAsia="zh-TW"/>
        </w:rPr>
      </w:pPr>
      <w:r w:rsidRPr="00F65D4B">
        <w:rPr>
          <w:b w:val="0"/>
          <w:noProof/>
        </w:rPr>
        <w:lastRenderedPageBreak/>
        <w:drawing>
          <wp:inline distT="0" distB="0" distL="0" distR="0" wp14:anchorId="4CE5A13E" wp14:editId="7842A5EA">
            <wp:extent cx="5943600" cy="443738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437380"/>
                    </a:xfrm>
                    <a:prstGeom prst="rect">
                      <a:avLst/>
                    </a:prstGeom>
                  </pic:spPr>
                </pic:pic>
              </a:graphicData>
            </a:graphic>
          </wp:inline>
        </w:drawing>
      </w:r>
    </w:p>
    <w:p w14:paraId="3FF03D25" w14:textId="77777777" w:rsidR="008218C4" w:rsidRDefault="008218C4" w:rsidP="00477182">
      <w:pPr>
        <w:pStyle w:val="SMcaption"/>
      </w:pPr>
    </w:p>
    <w:p w14:paraId="10761F9E" w14:textId="4EE682B7" w:rsidR="00581456" w:rsidRDefault="00581456" w:rsidP="00581456">
      <w:pPr>
        <w:pStyle w:val="SMHeading"/>
        <w:rPr>
          <w:b w:val="0"/>
          <w:lang w:eastAsia="zh-TW"/>
        </w:rPr>
      </w:pPr>
      <w:r w:rsidRPr="00355362">
        <w:t>Fig</w:t>
      </w:r>
      <w:r>
        <w:rPr>
          <w:rFonts w:hint="eastAsia"/>
          <w:lang w:eastAsia="zh-CN"/>
        </w:rPr>
        <w:t>ure</w:t>
      </w:r>
      <w:r w:rsidRPr="00355362">
        <w:t>. S</w:t>
      </w:r>
      <w:r>
        <w:t xml:space="preserve">5. </w:t>
      </w:r>
      <w:r w:rsidR="00B62734" w:rsidRPr="00B62734">
        <w:rPr>
          <w:b w:val="0"/>
        </w:rPr>
        <w:t>Comparison of GABA and glutamate induced responses on GABA</w:t>
      </w:r>
      <w:r w:rsidR="00B62734" w:rsidRPr="00B62734">
        <w:rPr>
          <w:b w:val="0"/>
          <w:vertAlign w:val="subscript"/>
        </w:rPr>
        <w:t>A</w:t>
      </w:r>
      <w:r w:rsidR="00B62734" w:rsidRPr="00B62734">
        <w:rPr>
          <w:b w:val="0"/>
        </w:rPr>
        <w:t xml:space="preserve">R and NMDAR (GluN1 and GluN2A). </w:t>
      </w:r>
      <w:r w:rsidR="00B62734" w:rsidRPr="00B62734">
        <w:rPr>
          <w:b w:val="0"/>
          <w:lang w:eastAsia="zh-TW"/>
        </w:rPr>
        <w:t>(</w:t>
      </w:r>
      <w:r w:rsidR="001666E3" w:rsidRPr="009F063E">
        <w:rPr>
          <w:lang w:eastAsia="zh-TW"/>
        </w:rPr>
        <w:t>a</w:t>
      </w:r>
      <w:r w:rsidR="00B62734" w:rsidRPr="00B62734">
        <w:rPr>
          <w:b w:val="0"/>
          <w:lang w:eastAsia="zh-TW"/>
        </w:rPr>
        <w:t>) Representative current traces of glutamate induced dose responses on NMDARs (N=5), dose responses of glutamate potentiation of GABA induced currents on GABA</w:t>
      </w:r>
      <w:r w:rsidR="00B62734" w:rsidRPr="00B62734">
        <w:rPr>
          <w:b w:val="0"/>
          <w:vertAlign w:val="subscript"/>
          <w:lang w:eastAsia="zh-TW"/>
        </w:rPr>
        <w:t>A</w:t>
      </w:r>
      <w:r w:rsidR="00B62734" w:rsidRPr="00B62734">
        <w:rPr>
          <w:b w:val="0"/>
          <w:lang w:eastAsia="zh-TW"/>
        </w:rPr>
        <w:t>Rs (N=14) and glutamate induced dose responses on GABA</w:t>
      </w:r>
      <w:r w:rsidR="00B62734" w:rsidRPr="00B62734">
        <w:rPr>
          <w:b w:val="0"/>
          <w:vertAlign w:val="subscript"/>
          <w:lang w:eastAsia="zh-TW"/>
        </w:rPr>
        <w:t>A</w:t>
      </w:r>
      <w:r w:rsidR="00B62734" w:rsidRPr="00B62734">
        <w:rPr>
          <w:b w:val="0"/>
          <w:lang w:eastAsia="zh-TW"/>
        </w:rPr>
        <w:t>Rs (N=3). (</w:t>
      </w:r>
      <w:r w:rsidR="001666E3" w:rsidRPr="009F063E">
        <w:rPr>
          <w:lang w:eastAsia="zh-TW"/>
        </w:rPr>
        <w:t>b</w:t>
      </w:r>
      <w:r w:rsidR="00B62734" w:rsidRPr="00B62734">
        <w:rPr>
          <w:b w:val="0"/>
          <w:lang w:eastAsia="zh-TW"/>
        </w:rPr>
        <w:t>) The dose-response curves for NMDARs and GABA</w:t>
      </w:r>
      <w:r w:rsidR="00B62734" w:rsidRPr="00B62734">
        <w:rPr>
          <w:b w:val="0"/>
          <w:vertAlign w:val="subscript"/>
          <w:lang w:eastAsia="zh-TW"/>
        </w:rPr>
        <w:t>A</w:t>
      </w:r>
      <w:r w:rsidR="00B62734" w:rsidRPr="00B62734">
        <w:rPr>
          <w:b w:val="0"/>
          <w:lang w:eastAsia="zh-TW"/>
        </w:rPr>
        <w:t>Rs normalized to maximal currents induced by glutamate or glutamate with GABA. The dose-response curves for GABA</w:t>
      </w:r>
      <w:r w:rsidR="00B62734" w:rsidRPr="00B62734">
        <w:rPr>
          <w:b w:val="0"/>
          <w:vertAlign w:val="subscript"/>
          <w:lang w:eastAsia="zh-TW"/>
        </w:rPr>
        <w:t>A</w:t>
      </w:r>
      <w:r w:rsidR="00B62734" w:rsidRPr="00B62734">
        <w:rPr>
          <w:b w:val="0"/>
          <w:lang w:eastAsia="zh-TW"/>
        </w:rPr>
        <w:t>Rs induced by glutamate normalized to the currents induced by 1 mM GABA.</w:t>
      </w:r>
    </w:p>
    <w:p w14:paraId="6FA316FA" w14:textId="5EB573AC" w:rsidR="00B62734" w:rsidRDefault="00B62734">
      <w:pPr>
        <w:rPr>
          <w:bCs/>
          <w:kern w:val="32"/>
          <w:szCs w:val="24"/>
          <w:lang w:eastAsia="zh-TW"/>
        </w:rPr>
      </w:pPr>
      <w:r>
        <w:rPr>
          <w:b/>
          <w:lang w:eastAsia="zh-TW"/>
        </w:rPr>
        <w:br w:type="page"/>
      </w:r>
    </w:p>
    <w:p w14:paraId="72237B40" w14:textId="7DB5B0AE" w:rsidR="00B62734" w:rsidRDefault="00DF49E3" w:rsidP="00581456">
      <w:pPr>
        <w:pStyle w:val="SMHeading"/>
        <w:rPr>
          <w:b w:val="0"/>
          <w:lang w:eastAsia="zh-TW"/>
        </w:rPr>
      </w:pPr>
      <w:r w:rsidRPr="00DF49E3">
        <w:rPr>
          <w:b w:val="0"/>
          <w:lang w:eastAsia="zh-TW"/>
        </w:rPr>
        <w:lastRenderedPageBreak/>
        <w:drawing>
          <wp:inline distT="0" distB="0" distL="0" distR="0" wp14:anchorId="3E480D3B" wp14:editId="62491A94">
            <wp:extent cx="5943600" cy="73082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7308215"/>
                    </a:xfrm>
                    <a:prstGeom prst="rect">
                      <a:avLst/>
                    </a:prstGeom>
                  </pic:spPr>
                </pic:pic>
              </a:graphicData>
            </a:graphic>
          </wp:inline>
        </w:drawing>
      </w:r>
      <w:bookmarkStart w:id="6" w:name="_GoBack"/>
      <w:bookmarkEnd w:id="6"/>
    </w:p>
    <w:p w14:paraId="143A6B68" w14:textId="77777777" w:rsidR="00B62734" w:rsidRPr="00581456" w:rsidRDefault="00B62734" w:rsidP="00581456">
      <w:pPr>
        <w:pStyle w:val="SMHeading"/>
        <w:rPr>
          <w:b w:val="0"/>
        </w:rPr>
      </w:pPr>
    </w:p>
    <w:p w14:paraId="08DC9151" w14:textId="1EA7AC7E" w:rsidR="00C50C6D" w:rsidRDefault="00C50C6D" w:rsidP="00477182">
      <w:pPr>
        <w:pStyle w:val="SMcaption"/>
      </w:pPr>
    </w:p>
    <w:p w14:paraId="5932292D" w14:textId="4D610B97" w:rsidR="00581456" w:rsidRPr="00581456" w:rsidRDefault="00581456" w:rsidP="00581456">
      <w:pPr>
        <w:pStyle w:val="SMHeading"/>
        <w:rPr>
          <w:b w:val="0"/>
        </w:rPr>
      </w:pPr>
      <w:r w:rsidRPr="00355362">
        <w:lastRenderedPageBreak/>
        <w:t>Fig</w:t>
      </w:r>
      <w:r>
        <w:rPr>
          <w:rFonts w:hint="eastAsia"/>
          <w:lang w:eastAsia="zh-CN"/>
        </w:rPr>
        <w:t>ure</w:t>
      </w:r>
      <w:r w:rsidRPr="00355362">
        <w:t>. S</w:t>
      </w:r>
      <w:r>
        <w:t xml:space="preserve">6. </w:t>
      </w:r>
      <w:r w:rsidR="00B62734" w:rsidRPr="00B62734">
        <w:rPr>
          <w:b w:val="0"/>
        </w:rPr>
        <w:t xml:space="preserve">Representative current traces of glutamate potentiated GABA responses on different mutations of </w:t>
      </w:r>
      <w:r w:rsidR="00B62734" w:rsidRPr="00B62734">
        <w:rPr>
          <w:b w:val="0"/>
          <w:lang w:eastAsia="zh-TW"/>
        </w:rPr>
        <w:t>GABA</w:t>
      </w:r>
      <w:r w:rsidR="00B62734" w:rsidRPr="00B62734">
        <w:rPr>
          <w:b w:val="0"/>
          <w:vertAlign w:val="subscript"/>
          <w:lang w:eastAsia="zh-TW"/>
        </w:rPr>
        <w:t>A</w:t>
      </w:r>
      <w:r w:rsidR="00B62734" w:rsidRPr="00B62734">
        <w:rPr>
          <w:b w:val="0"/>
          <w:lang w:eastAsia="zh-TW"/>
        </w:rPr>
        <w:t>Rs. Representative current traces of glutamate induced changes of GABA responses from main Fig. 3</w:t>
      </w:r>
      <w:r w:rsidR="006D4CDE" w:rsidRPr="009F063E">
        <w:rPr>
          <w:lang w:eastAsia="zh-TW"/>
        </w:rPr>
        <w:t>c</w:t>
      </w:r>
      <w:r w:rsidR="00B62734" w:rsidRPr="00B62734">
        <w:rPr>
          <w:b w:val="0"/>
          <w:lang w:eastAsia="zh-TW"/>
        </w:rPr>
        <w:t xml:space="preserve"> (</w:t>
      </w:r>
      <w:r w:rsidR="006D4CDE" w:rsidRPr="009F063E">
        <w:rPr>
          <w:lang w:eastAsia="zh-TW"/>
        </w:rPr>
        <w:t>a</w:t>
      </w:r>
      <w:r w:rsidR="00B62734" w:rsidRPr="00B62734">
        <w:rPr>
          <w:b w:val="0"/>
          <w:lang w:eastAsia="zh-TW"/>
        </w:rPr>
        <w:t>), Fig. 3</w:t>
      </w:r>
      <w:r w:rsidR="006D4CDE" w:rsidRPr="009F063E">
        <w:rPr>
          <w:lang w:eastAsia="zh-TW"/>
        </w:rPr>
        <w:t>e</w:t>
      </w:r>
      <w:r w:rsidR="00B62734" w:rsidRPr="00B62734">
        <w:rPr>
          <w:b w:val="0"/>
          <w:lang w:eastAsia="zh-TW"/>
        </w:rPr>
        <w:t xml:space="preserve"> (</w:t>
      </w:r>
      <w:r w:rsidR="006D4CDE" w:rsidRPr="009F063E">
        <w:rPr>
          <w:lang w:eastAsia="zh-TW"/>
        </w:rPr>
        <w:t>b</w:t>
      </w:r>
      <w:r w:rsidR="00B62734" w:rsidRPr="00B62734">
        <w:rPr>
          <w:b w:val="0"/>
          <w:lang w:eastAsia="zh-TW"/>
        </w:rPr>
        <w:t>), Fig. 4</w:t>
      </w:r>
      <w:r w:rsidR="006D4CDE" w:rsidRPr="009F063E">
        <w:rPr>
          <w:lang w:eastAsia="zh-TW"/>
        </w:rPr>
        <w:t>a</w:t>
      </w:r>
      <w:r w:rsidR="00B62734" w:rsidRPr="00B62734">
        <w:rPr>
          <w:b w:val="0"/>
          <w:lang w:eastAsia="zh-TW"/>
        </w:rPr>
        <w:t xml:space="preserve"> and </w:t>
      </w:r>
      <w:r w:rsidR="006D4CDE" w:rsidRPr="009F063E">
        <w:rPr>
          <w:lang w:eastAsia="zh-TW"/>
        </w:rPr>
        <w:t>b</w:t>
      </w:r>
      <w:r w:rsidR="00B62734" w:rsidRPr="00B62734">
        <w:rPr>
          <w:b w:val="0"/>
          <w:lang w:eastAsia="zh-TW"/>
        </w:rPr>
        <w:t xml:space="preserve"> (</w:t>
      </w:r>
      <w:r w:rsidR="006D4CDE" w:rsidRPr="009F063E">
        <w:rPr>
          <w:lang w:eastAsia="zh-TW"/>
        </w:rPr>
        <w:t>c</w:t>
      </w:r>
      <w:r w:rsidR="00B62734" w:rsidRPr="00B62734">
        <w:rPr>
          <w:b w:val="0"/>
          <w:lang w:eastAsia="zh-TW"/>
        </w:rPr>
        <w:t>), Fig 4</w:t>
      </w:r>
      <w:r w:rsidR="006D4CDE" w:rsidRPr="009F063E">
        <w:rPr>
          <w:lang w:eastAsia="zh-TW"/>
        </w:rPr>
        <w:t>d</w:t>
      </w:r>
      <w:r w:rsidR="00B62734" w:rsidRPr="00B62734">
        <w:rPr>
          <w:b w:val="0"/>
          <w:lang w:eastAsia="zh-TW"/>
        </w:rPr>
        <w:t xml:space="preserve"> and </w:t>
      </w:r>
      <w:r w:rsidR="006D4CDE" w:rsidRPr="009F063E">
        <w:rPr>
          <w:lang w:eastAsia="zh-TW"/>
        </w:rPr>
        <w:t>f</w:t>
      </w:r>
      <w:r w:rsidR="00B62734" w:rsidRPr="00B62734">
        <w:rPr>
          <w:b w:val="0"/>
          <w:lang w:eastAsia="zh-TW"/>
        </w:rPr>
        <w:t xml:space="preserve"> (</w:t>
      </w:r>
      <w:r w:rsidR="006D4CDE" w:rsidRPr="009F063E">
        <w:rPr>
          <w:lang w:eastAsia="zh-TW"/>
        </w:rPr>
        <w:t>d</w:t>
      </w:r>
      <w:r w:rsidR="00B62734" w:rsidRPr="00B62734">
        <w:rPr>
          <w:b w:val="0"/>
          <w:lang w:eastAsia="zh-TW"/>
        </w:rPr>
        <w:t>) and Fig. 5</w:t>
      </w:r>
      <w:r w:rsidR="006D4CDE" w:rsidRPr="009F063E">
        <w:rPr>
          <w:lang w:eastAsia="zh-TW"/>
        </w:rPr>
        <w:t>b</w:t>
      </w:r>
      <w:r w:rsidR="00B62734" w:rsidRPr="00B62734">
        <w:rPr>
          <w:b w:val="0"/>
          <w:lang w:eastAsia="zh-TW"/>
        </w:rPr>
        <w:t xml:space="preserve">, </w:t>
      </w:r>
      <w:r w:rsidR="006D4CDE" w:rsidRPr="009F063E">
        <w:rPr>
          <w:lang w:eastAsia="zh-TW"/>
        </w:rPr>
        <w:t>c</w:t>
      </w:r>
      <w:r w:rsidR="00B62734" w:rsidRPr="00B62734">
        <w:rPr>
          <w:b w:val="0"/>
          <w:lang w:eastAsia="zh-TW"/>
        </w:rPr>
        <w:t xml:space="preserve">, </w:t>
      </w:r>
      <w:r w:rsidR="006D4CDE" w:rsidRPr="009F063E">
        <w:rPr>
          <w:lang w:eastAsia="zh-TW"/>
        </w:rPr>
        <w:t>d</w:t>
      </w:r>
      <w:r w:rsidR="00B62734" w:rsidRPr="00B62734">
        <w:rPr>
          <w:b w:val="0"/>
          <w:lang w:eastAsia="zh-TW"/>
        </w:rPr>
        <w:t xml:space="preserve"> and </w:t>
      </w:r>
      <w:r w:rsidR="006D4CDE" w:rsidRPr="009F063E">
        <w:rPr>
          <w:lang w:eastAsia="zh-TW"/>
        </w:rPr>
        <w:t>e</w:t>
      </w:r>
      <w:r w:rsidR="00B62734" w:rsidRPr="00B62734">
        <w:rPr>
          <w:b w:val="0"/>
          <w:lang w:eastAsia="zh-TW"/>
        </w:rPr>
        <w:t xml:space="preserve"> (</w:t>
      </w:r>
      <w:r w:rsidR="006D4CDE" w:rsidRPr="009F063E">
        <w:rPr>
          <w:lang w:eastAsia="zh-TW"/>
        </w:rPr>
        <w:t>e</w:t>
      </w:r>
      <w:r w:rsidR="00B62734" w:rsidRPr="00B62734">
        <w:rPr>
          <w:b w:val="0"/>
          <w:lang w:eastAsia="zh-TW"/>
        </w:rPr>
        <w:t>), respectively.</w:t>
      </w:r>
      <w:r w:rsidR="00B62734">
        <w:rPr>
          <w:lang w:eastAsia="zh-TW"/>
        </w:rPr>
        <w:t xml:space="preserve">  </w:t>
      </w:r>
    </w:p>
    <w:p w14:paraId="21912B2D" w14:textId="6B436B73" w:rsidR="00B62734" w:rsidRDefault="00B62734">
      <w:r>
        <w:br w:type="page"/>
      </w:r>
    </w:p>
    <w:p w14:paraId="147DFCC9" w14:textId="16C65071" w:rsidR="00581456" w:rsidRDefault="002F22C9" w:rsidP="00477182">
      <w:pPr>
        <w:pStyle w:val="SMcaption"/>
      </w:pPr>
      <w:r w:rsidRPr="002F22C9">
        <w:lastRenderedPageBreak/>
        <w:drawing>
          <wp:inline distT="0" distB="0" distL="0" distR="0" wp14:anchorId="5108C8EE" wp14:editId="427DEB3E">
            <wp:extent cx="5943600" cy="33820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382010"/>
                    </a:xfrm>
                    <a:prstGeom prst="rect">
                      <a:avLst/>
                    </a:prstGeom>
                  </pic:spPr>
                </pic:pic>
              </a:graphicData>
            </a:graphic>
          </wp:inline>
        </w:drawing>
      </w:r>
    </w:p>
    <w:p w14:paraId="7DDA4F1A" w14:textId="6520F68D" w:rsidR="00581456" w:rsidRPr="00581456" w:rsidRDefault="00581456" w:rsidP="00581456">
      <w:pPr>
        <w:pStyle w:val="SMHeading"/>
        <w:rPr>
          <w:b w:val="0"/>
        </w:rPr>
      </w:pPr>
      <w:r w:rsidRPr="00355362">
        <w:t>Fig</w:t>
      </w:r>
      <w:r>
        <w:rPr>
          <w:rFonts w:hint="eastAsia"/>
          <w:lang w:eastAsia="zh-CN"/>
        </w:rPr>
        <w:t>ure</w:t>
      </w:r>
      <w:r w:rsidRPr="00355362">
        <w:t>. S</w:t>
      </w:r>
      <w:r>
        <w:t xml:space="preserve">7. </w:t>
      </w:r>
      <w:r w:rsidR="00B62734" w:rsidRPr="00B62734">
        <w:rPr>
          <w:b w:val="0"/>
        </w:rPr>
        <w:t>β2</w:t>
      </w:r>
      <w:r w:rsidR="00B62734" w:rsidRPr="00B62734">
        <w:rPr>
          <w:b w:val="0"/>
          <w:vertAlign w:val="subscript"/>
        </w:rPr>
        <w:t>E181G</w:t>
      </w:r>
      <w:r w:rsidR="00B62734" w:rsidRPr="00B62734">
        <w:rPr>
          <w:b w:val="0"/>
        </w:rPr>
        <w:t xml:space="preserve"> knock-in (KI) mice did not affect basic properties of inhibitory synaptic transmission.  </w:t>
      </w:r>
      <w:r w:rsidR="00B62734" w:rsidRPr="00B62734">
        <w:rPr>
          <w:b w:val="0"/>
          <w:bCs w:val="0"/>
          <w:color w:val="000000" w:themeColor="text1"/>
          <w:kern w:val="24"/>
        </w:rPr>
        <w:t>(</w:t>
      </w:r>
      <w:r w:rsidR="002F1A54" w:rsidRPr="009F063E">
        <w:rPr>
          <w:bCs w:val="0"/>
          <w:color w:val="000000" w:themeColor="text1"/>
          <w:kern w:val="24"/>
        </w:rPr>
        <w:t>a</w:t>
      </w:r>
      <w:r w:rsidR="00B62734" w:rsidRPr="00B62734">
        <w:rPr>
          <w:b w:val="0"/>
          <w:bCs w:val="0"/>
          <w:color w:val="000000" w:themeColor="text1"/>
          <w:kern w:val="24"/>
        </w:rPr>
        <w:t xml:space="preserve">) Representative average </w:t>
      </w:r>
      <w:proofErr w:type="spellStart"/>
      <w:r w:rsidR="00B62734" w:rsidRPr="00B62734">
        <w:rPr>
          <w:b w:val="0"/>
          <w:bCs w:val="0"/>
          <w:color w:val="000000" w:themeColor="text1"/>
          <w:kern w:val="24"/>
        </w:rPr>
        <w:t>mIPSC</w:t>
      </w:r>
      <w:proofErr w:type="spellEnd"/>
      <w:r w:rsidR="00B62734" w:rsidRPr="00B62734">
        <w:rPr>
          <w:b w:val="0"/>
          <w:bCs w:val="0"/>
          <w:color w:val="000000" w:themeColor="text1"/>
          <w:kern w:val="24"/>
        </w:rPr>
        <w:t xml:space="preserve"> from CA1 pyramidal neurons in WT and KI mice. The amplitude (</w:t>
      </w:r>
      <w:r w:rsidR="002F1A54" w:rsidRPr="009F063E">
        <w:rPr>
          <w:bCs w:val="0"/>
          <w:color w:val="000000" w:themeColor="text1"/>
          <w:kern w:val="24"/>
        </w:rPr>
        <w:t>b</w:t>
      </w:r>
      <w:r w:rsidR="00B62734" w:rsidRPr="00B62734">
        <w:rPr>
          <w:b w:val="0"/>
          <w:bCs w:val="0"/>
          <w:color w:val="000000" w:themeColor="text1"/>
          <w:kern w:val="24"/>
        </w:rPr>
        <w:t>) and frequency (</w:t>
      </w:r>
      <w:r w:rsidR="002F1A54" w:rsidRPr="009F063E">
        <w:rPr>
          <w:bCs w:val="0"/>
          <w:color w:val="000000" w:themeColor="text1"/>
          <w:kern w:val="24"/>
        </w:rPr>
        <w:t>c</w:t>
      </w:r>
      <w:r w:rsidR="00B62734" w:rsidRPr="00B62734">
        <w:rPr>
          <w:b w:val="0"/>
          <w:bCs w:val="0"/>
          <w:color w:val="000000" w:themeColor="text1"/>
          <w:kern w:val="24"/>
        </w:rPr>
        <w:t xml:space="preserve">) of </w:t>
      </w:r>
      <w:proofErr w:type="spellStart"/>
      <w:r w:rsidR="00B62734" w:rsidRPr="00B62734">
        <w:rPr>
          <w:b w:val="0"/>
          <w:bCs w:val="0"/>
          <w:color w:val="000000" w:themeColor="text1"/>
          <w:kern w:val="24"/>
        </w:rPr>
        <w:t>mIPSCs</w:t>
      </w:r>
      <w:proofErr w:type="spellEnd"/>
      <w:r w:rsidR="00B62734" w:rsidRPr="00B62734">
        <w:rPr>
          <w:b w:val="0"/>
          <w:bCs w:val="0"/>
          <w:color w:val="000000" w:themeColor="text1"/>
          <w:kern w:val="24"/>
        </w:rPr>
        <w:t xml:space="preserve"> in KI mice remained unchanged compared with WT (n=21 for WT; n=23 for KI). The mean </w:t>
      </w:r>
      <w:proofErr w:type="gramStart"/>
      <w:r w:rsidR="00B62734" w:rsidRPr="00B62734">
        <w:rPr>
          <w:b w:val="0"/>
          <w:bCs w:val="0"/>
          <w:color w:val="000000" w:themeColor="text1"/>
          <w:kern w:val="24"/>
        </w:rPr>
        <w:t>rise</w:t>
      </w:r>
      <w:proofErr w:type="gramEnd"/>
      <w:r w:rsidR="00B62734" w:rsidRPr="00B62734">
        <w:rPr>
          <w:b w:val="0"/>
          <w:bCs w:val="0"/>
          <w:color w:val="000000" w:themeColor="text1"/>
          <w:kern w:val="24"/>
        </w:rPr>
        <w:t xml:space="preserve"> time (</w:t>
      </w:r>
      <w:r w:rsidR="002F1A54" w:rsidRPr="009F063E">
        <w:rPr>
          <w:bCs w:val="0"/>
          <w:color w:val="000000" w:themeColor="text1"/>
          <w:kern w:val="24"/>
        </w:rPr>
        <w:t>d</w:t>
      </w:r>
      <w:r w:rsidR="00B62734" w:rsidRPr="00B62734">
        <w:rPr>
          <w:b w:val="0"/>
          <w:bCs w:val="0"/>
          <w:color w:val="000000" w:themeColor="text1"/>
          <w:kern w:val="24"/>
        </w:rPr>
        <w:t>) and decay time constant (</w:t>
      </w:r>
      <w:r w:rsidR="002F1A54" w:rsidRPr="009F063E">
        <w:rPr>
          <w:bCs w:val="0"/>
          <w:color w:val="000000" w:themeColor="text1"/>
          <w:kern w:val="24"/>
        </w:rPr>
        <w:t>e</w:t>
      </w:r>
      <w:r w:rsidR="00B62734" w:rsidRPr="00B62734">
        <w:rPr>
          <w:b w:val="0"/>
          <w:bCs w:val="0"/>
          <w:color w:val="000000" w:themeColor="text1"/>
          <w:kern w:val="24"/>
        </w:rPr>
        <w:t xml:space="preserve">) of </w:t>
      </w:r>
      <w:proofErr w:type="spellStart"/>
      <w:r w:rsidR="00B62734" w:rsidRPr="00B62734">
        <w:rPr>
          <w:b w:val="0"/>
          <w:bCs w:val="0"/>
          <w:color w:val="000000" w:themeColor="text1"/>
          <w:kern w:val="24"/>
        </w:rPr>
        <w:t>mIPSCs</w:t>
      </w:r>
      <w:proofErr w:type="spellEnd"/>
      <w:r w:rsidR="00B62734" w:rsidRPr="00B62734">
        <w:rPr>
          <w:b w:val="0"/>
          <w:bCs w:val="0"/>
          <w:color w:val="000000" w:themeColor="text1"/>
          <w:kern w:val="24"/>
        </w:rPr>
        <w:t xml:space="preserve"> did not show the significant differences between WT and KI mice (n=21 for WT; n=23 for KI). (</w:t>
      </w:r>
      <w:r w:rsidR="002F1A54" w:rsidRPr="009F063E">
        <w:rPr>
          <w:bCs w:val="0"/>
          <w:color w:val="000000" w:themeColor="text1"/>
          <w:kern w:val="24"/>
        </w:rPr>
        <w:t>f</w:t>
      </w:r>
      <w:r w:rsidR="00B62734" w:rsidRPr="00B62734">
        <w:rPr>
          <w:b w:val="0"/>
          <w:bCs w:val="0"/>
          <w:color w:val="000000" w:themeColor="text1"/>
          <w:kern w:val="24"/>
        </w:rPr>
        <w:t xml:space="preserve">) The amplitude </w:t>
      </w:r>
      <w:proofErr w:type="spellStart"/>
      <w:r w:rsidR="00B62734" w:rsidRPr="00B62734">
        <w:rPr>
          <w:b w:val="0"/>
          <w:bCs w:val="0"/>
          <w:color w:val="000000" w:themeColor="text1"/>
          <w:kern w:val="24"/>
        </w:rPr>
        <w:t>eIPSCs</w:t>
      </w:r>
      <w:proofErr w:type="spellEnd"/>
      <w:r w:rsidR="00B62734" w:rsidRPr="00B62734">
        <w:rPr>
          <w:b w:val="0"/>
          <w:bCs w:val="0"/>
          <w:color w:val="000000" w:themeColor="text1"/>
          <w:kern w:val="24"/>
        </w:rPr>
        <w:t xml:space="preserve"> in KI mice remained unchanged compared with WT (n=</w:t>
      </w:r>
      <w:r w:rsidR="00B62734" w:rsidRPr="00B62734">
        <w:rPr>
          <w:rFonts w:hint="eastAsia"/>
          <w:b w:val="0"/>
          <w:bCs w:val="0"/>
          <w:color w:val="000000" w:themeColor="text1"/>
          <w:kern w:val="24"/>
        </w:rPr>
        <w:t>42</w:t>
      </w:r>
      <w:r w:rsidR="00B62734" w:rsidRPr="00B62734">
        <w:rPr>
          <w:b w:val="0"/>
          <w:bCs w:val="0"/>
          <w:color w:val="000000" w:themeColor="text1"/>
          <w:kern w:val="24"/>
        </w:rPr>
        <w:t xml:space="preserve"> for WT; n=</w:t>
      </w:r>
      <w:r w:rsidR="00B62734" w:rsidRPr="00B62734">
        <w:rPr>
          <w:rFonts w:hint="eastAsia"/>
          <w:b w:val="0"/>
          <w:bCs w:val="0"/>
          <w:color w:val="000000" w:themeColor="text1"/>
          <w:kern w:val="24"/>
        </w:rPr>
        <w:t>35</w:t>
      </w:r>
      <w:r w:rsidR="00B62734" w:rsidRPr="00B62734">
        <w:rPr>
          <w:b w:val="0"/>
          <w:bCs w:val="0"/>
          <w:color w:val="000000" w:themeColor="text1"/>
          <w:kern w:val="24"/>
        </w:rPr>
        <w:t xml:space="preserve"> for KI)</w:t>
      </w:r>
      <w:r w:rsidRPr="00B62734">
        <w:rPr>
          <w:b w:val="0"/>
          <w:lang w:eastAsia="zh-TW"/>
        </w:rPr>
        <w:t>.</w:t>
      </w:r>
    </w:p>
    <w:p w14:paraId="10BF7DE9" w14:textId="09B590FE" w:rsidR="00B62734" w:rsidRDefault="00B62734">
      <w:r>
        <w:br w:type="page"/>
      </w:r>
    </w:p>
    <w:p w14:paraId="15881866" w14:textId="61712A15" w:rsidR="00B9440A" w:rsidRDefault="00BE28A3" w:rsidP="00B9440A">
      <w:pPr>
        <w:pStyle w:val="SMcaption"/>
      </w:pPr>
      <w:r w:rsidRPr="00BE28A3">
        <w:lastRenderedPageBreak/>
        <w:drawing>
          <wp:inline distT="0" distB="0" distL="0" distR="0" wp14:anchorId="4D6858C5" wp14:editId="7D2EAD6C">
            <wp:extent cx="5943600" cy="18497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1849755"/>
                    </a:xfrm>
                    <a:prstGeom prst="rect">
                      <a:avLst/>
                    </a:prstGeom>
                  </pic:spPr>
                </pic:pic>
              </a:graphicData>
            </a:graphic>
          </wp:inline>
        </w:drawing>
      </w:r>
    </w:p>
    <w:p w14:paraId="716E0141" w14:textId="1920A358" w:rsidR="00581456" w:rsidRPr="00581456" w:rsidRDefault="00581456" w:rsidP="00581456">
      <w:pPr>
        <w:pStyle w:val="SMHeading"/>
        <w:rPr>
          <w:b w:val="0"/>
        </w:rPr>
      </w:pPr>
      <w:r w:rsidRPr="00355362">
        <w:t>Fig</w:t>
      </w:r>
      <w:r>
        <w:rPr>
          <w:rFonts w:hint="eastAsia"/>
          <w:lang w:eastAsia="zh-CN"/>
        </w:rPr>
        <w:t>ure</w:t>
      </w:r>
      <w:r w:rsidRPr="00355362">
        <w:t>. S</w:t>
      </w:r>
      <w:r>
        <w:t xml:space="preserve">8. </w:t>
      </w:r>
      <w:r w:rsidR="00B62734" w:rsidRPr="00B62734">
        <w:rPr>
          <w:b w:val="0"/>
        </w:rPr>
        <w:t>β2</w:t>
      </w:r>
      <w:r w:rsidR="00B62734" w:rsidRPr="00B62734">
        <w:rPr>
          <w:b w:val="0"/>
          <w:vertAlign w:val="subscript"/>
        </w:rPr>
        <w:t>E181G</w:t>
      </w:r>
      <w:r w:rsidR="00B62734" w:rsidRPr="00B62734">
        <w:rPr>
          <w:b w:val="0"/>
        </w:rPr>
        <w:t xml:space="preserve"> knock-in (KI) mice did not affect presynaptic release. </w:t>
      </w:r>
      <w:r w:rsidR="00B62734" w:rsidRPr="00B62734">
        <w:rPr>
          <w:b w:val="0"/>
          <w:bCs w:val="0"/>
          <w:color w:val="000000" w:themeColor="text1"/>
          <w:kern w:val="24"/>
        </w:rPr>
        <w:t>(</w:t>
      </w:r>
      <w:r w:rsidR="005E33E3" w:rsidRPr="009F063E">
        <w:rPr>
          <w:bCs w:val="0"/>
          <w:color w:val="000000" w:themeColor="text1"/>
          <w:kern w:val="24"/>
        </w:rPr>
        <w:t>a</w:t>
      </w:r>
      <w:r w:rsidR="00B62734" w:rsidRPr="00B62734">
        <w:rPr>
          <w:b w:val="0"/>
          <w:bCs w:val="0"/>
          <w:color w:val="000000" w:themeColor="text1"/>
          <w:kern w:val="24"/>
        </w:rPr>
        <w:t xml:space="preserve">) Representative paired-pulse facilitation (PPF) trace at 30, 50, 70 and 110 </w:t>
      </w:r>
      <w:proofErr w:type="spellStart"/>
      <w:r w:rsidR="00B62734" w:rsidRPr="00B62734">
        <w:rPr>
          <w:b w:val="0"/>
          <w:bCs w:val="0"/>
          <w:color w:val="000000" w:themeColor="text1"/>
          <w:kern w:val="24"/>
        </w:rPr>
        <w:t>ms</w:t>
      </w:r>
      <w:proofErr w:type="spellEnd"/>
      <w:r w:rsidR="00B62734" w:rsidRPr="00B62734">
        <w:rPr>
          <w:b w:val="0"/>
          <w:bCs w:val="0"/>
          <w:color w:val="000000" w:themeColor="text1"/>
          <w:kern w:val="24"/>
        </w:rPr>
        <w:t xml:space="preserve"> inter-pulse intervals, respectively. There were no significant differences between WT and KI mice (n=32 slices for WT; n=34 slices for KI) (</w:t>
      </w:r>
      <w:r w:rsidR="005E33E3" w:rsidRPr="009F063E">
        <w:rPr>
          <w:bCs w:val="0"/>
          <w:color w:val="000000" w:themeColor="text1"/>
          <w:kern w:val="24"/>
        </w:rPr>
        <w:t>b</w:t>
      </w:r>
      <w:r w:rsidR="00B62734" w:rsidRPr="00B62734">
        <w:rPr>
          <w:b w:val="0"/>
          <w:bCs w:val="0"/>
          <w:color w:val="000000" w:themeColor="text1"/>
          <w:kern w:val="24"/>
        </w:rPr>
        <w:t>). The input-output relationship did not change in KI mice compared with WT (</w:t>
      </w:r>
      <w:r w:rsidR="009F063E" w:rsidRPr="009F063E">
        <w:rPr>
          <w:bCs w:val="0"/>
          <w:color w:val="000000" w:themeColor="text1"/>
          <w:kern w:val="24"/>
        </w:rPr>
        <w:t>c</w:t>
      </w:r>
      <w:r w:rsidR="00B62734" w:rsidRPr="00B62734">
        <w:rPr>
          <w:b w:val="0"/>
          <w:bCs w:val="0"/>
          <w:color w:val="000000" w:themeColor="text1"/>
          <w:kern w:val="24"/>
        </w:rPr>
        <w:t>)</w:t>
      </w:r>
      <w:r w:rsidRPr="00B62734">
        <w:rPr>
          <w:b w:val="0"/>
          <w:lang w:eastAsia="zh-TW"/>
        </w:rPr>
        <w:t>.</w:t>
      </w:r>
    </w:p>
    <w:p w14:paraId="3CB4715E" w14:textId="77777777" w:rsidR="00581456" w:rsidRPr="00015F74" w:rsidRDefault="00581456" w:rsidP="00B9440A">
      <w:pPr>
        <w:pStyle w:val="SMcaption"/>
      </w:pPr>
    </w:p>
    <w:sectPr w:rsidR="00581456" w:rsidRPr="00015F74" w:rsidSect="00E853D5">
      <w:headerReference w:type="default" r:id="rId17"/>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91B0A" w14:textId="77777777" w:rsidR="008947F4" w:rsidRDefault="008947F4">
      <w:r>
        <w:separator/>
      </w:r>
    </w:p>
  </w:endnote>
  <w:endnote w:type="continuationSeparator" w:id="0">
    <w:p w14:paraId="7E865653" w14:textId="77777777" w:rsidR="008947F4" w:rsidRDefault="00894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PMingLiU">
    <w:altName w:val="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8EA3E" w14:textId="32DFF1A6" w:rsidR="00F125EE" w:rsidRDefault="00114193">
    <w:pPr>
      <w:pStyle w:val="Footer"/>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A1A7E" w14:textId="77777777" w:rsidR="008947F4" w:rsidRDefault="008947F4">
      <w:r>
        <w:separator/>
      </w:r>
    </w:p>
  </w:footnote>
  <w:footnote w:type="continuationSeparator" w:id="0">
    <w:p w14:paraId="35D23860" w14:textId="77777777" w:rsidR="008947F4" w:rsidRDefault="00894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62278"/>
    <w:rsid w:val="00065EBD"/>
    <w:rsid w:val="00083B44"/>
    <w:rsid w:val="000850DC"/>
    <w:rsid w:val="000C2771"/>
    <w:rsid w:val="000D46F4"/>
    <w:rsid w:val="000F0DCE"/>
    <w:rsid w:val="000F6BE3"/>
    <w:rsid w:val="00112C5B"/>
    <w:rsid w:val="00114193"/>
    <w:rsid w:val="00115A38"/>
    <w:rsid w:val="0011687B"/>
    <w:rsid w:val="00124F82"/>
    <w:rsid w:val="0016337A"/>
    <w:rsid w:val="00164269"/>
    <w:rsid w:val="001666E3"/>
    <w:rsid w:val="001875BF"/>
    <w:rsid w:val="001A1BDE"/>
    <w:rsid w:val="001E40B8"/>
    <w:rsid w:val="001F0876"/>
    <w:rsid w:val="001F167C"/>
    <w:rsid w:val="001F5E91"/>
    <w:rsid w:val="002077B9"/>
    <w:rsid w:val="00223A35"/>
    <w:rsid w:val="00262D72"/>
    <w:rsid w:val="00273E17"/>
    <w:rsid w:val="00294FBB"/>
    <w:rsid w:val="002B3205"/>
    <w:rsid w:val="002B66FF"/>
    <w:rsid w:val="002B7892"/>
    <w:rsid w:val="002C030F"/>
    <w:rsid w:val="002F1A54"/>
    <w:rsid w:val="002F22C9"/>
    <w:rsid w:val="00307709"/>
    <w:rsid w:val="00310A12"/>
    <w:rsid w:val="00331D75"/>
    <w:rsid w:val="00355362"/>
    <w:rsid w:val="00363E44"/>
    <w:rsid w:val="003942E2"/>
    <w:rsid w:val="00395E86"/>
    <w:rsid w:val="003A2FD8"/>
    <w:rsid w:val="003B40E6"/>
    <w:rsid w:val="003E74FB"/>
    <w:rsid w:val="003F6E14"/>
    <w:rsid w:val="00405336"/>
    <w:rsid w:val="004571D5"/>
    <w:rsid w:val="00461D81"/>
    <w:rsid w:val="0046356B"/>
    <w:rsid w:val="00477182"/>
    <w:rsid w:val="004779CB"/>
    <w:rsid w:val="004D2175"/>
    <w:rsid w:val="004E42D8"/>
    <w:rsid w:val="004E7BA2"/>
    <w:rsid w:val="004F7EDF"/>
    <w:rsid w:val="005001AC"/>
    <w:rsid w:val="00527D71"/>
    <w:rsid w:val="0053437B"/>
    <w:rsid w:val="005520A8"/>
    <w:rsid w:val="005607DD"/>
    <w:rsid w:val="00562B2F"/>
    <w:rsid w:val="00581456"/>
    <w:rsid w:val="005A558C"/>
    <w:rsid w:val="005E28F8"/>
    <w:rsid w:val="005E33E3"/>
    <w:rsid w:val="005E6513"/>
    <w:rsid w:val="00651114"/>
    <w:rsid w:val="00664560"/>
    <w:rsid w:val="00670299"/>
    <w:rsid w:val="00691985"/>
    <w:rsid w:val="006A1B64"/>
    <w:rsid w:val="006D4CDE"/>
    <w:rsid w:val="007108F5"/>
    <w:rsid w:val="00713E5B"/>
    <w:rsid w:val="00730EF9"/>
    <w:rsid w:val="007402FC"/>
    <w:rsid w:val="007411A1"/>
    <w:rsid w:val="00793072"/>
    <w:rsid w:val="00797FF6"/>
    <w:rsid w:val="00807D35"/>
    <w:rsid w:val="008218C4"/>
    <w:rsid w:val="00821F38"/>
    <w:rsid w:val="00867A98"/>
    <w:rsid w:val="00870867"/>
    <w:rsid w:val="00885C9B"/>
    <w:rsid w:val="008947F4"/>
    <w:rsid w:val="008D5D2A"/>
    <w:rsid w:val="00914B63"/>
    <w:rsid w:val="00930ADB"/>
    <w:rsid w:val="009354F3"/>
    <w:rsid w:val="009447DC"/>
    <w:rsid w:val="00961BA5"/>
    <w:rsid w:val="009743A9"/>
    <w:rsid w:val="009A5287"/>
    <w:rsid w:val="009B2AC5"/>
    <w:rsid w:val="009B7984"/>
    <w:rsid w:val="009F063E"/>
    <w:rsid w:val="009F4BED"/>
    <w:rsid w:val="009F7D93"/>
    <w:rsid w:val="00A3403B"/>
    <w:rsid w:val="00A51A12"/>
    <w:rsid w:val="00A627D4"/>
    <w:rsid w:val="00A74DA2"/>
    <w:rsid w:val="00AB399E"/>
    <w:rsid w:val="00AC59D0"/>
    <w:rsid w:val="00AD16B1"/>
    <w:rsid w:val="00AD499C"/>
    <w:rsid w:val="00AF7FE2"/>
    <w:rsid w:val="00B36869"/>
    <w:rsid w:val="00B43B31"/>
    <w:rsid w:val="00B47CFA"/>
    <w:rsid w:val="00B54427"/>
    <w:rsid w:val="00B57F00"/>
    <w:rsid w:val="00B62734"/>
    <w:rsid w:val="00B77B2A"/>
    <w:rsid w:val="00B82C22"/>
    <w:rsid w:val="00B93DBA"/>
    <w:rsid w:val="00B9440A"/>
    <w:rsid w:val="00B94BF1"/>
    <w:rsid w:val="00BB2D2A"/>
    <w:rsid w:val="00BB6708"/>
    <w:rsid w:val="00BC3E04"/>
    <w:rsid w:val="00BD204B"/>
    <w:rsid w:val="00BD58CF"/>
    <w:rsid w:val="00BE28A3"/>
    <w:rsid w:val="00BF0C92"/>
    <w:rsid w:val="00C04CC1"/>
    <w:rsid w:val="00C4096C"/>
    <w:rsid w:val="00C423B5"/>
    <w:rsid w:val="00C50C6D"/>
    <w:rsid w:val="00C600D9"/>
    <w:rsid w:val="00C92B22"/>
    <w:rsid w:val="00CC1384"/>
    <w:rsid w:val="00CC743F"/>
    <w:rsid w:val="00CD3720"/>
    <w:rsid w:val="00CF1848"/>
    <w:rsid w:val="00CF5C2F"/>
    <w:rsid w:val="00D04BCF"/>
    <w:rsid w:val="00D143D9"/>
    <w:rsid w:val="00D15E5F"/>
    <w:rsid w:val="00D40D0C"/>
    <w:rsid w:val="00D5511B"/>
    <w:rsid w:val="00D71C05"/>
    <w:rsid w:val="00D766F1"/>
    <w:rsid w:val="00DA4991"/>
    <w:rsid w:val="00DF49E3"/>
    <w:rsid w:val="00E257C8"/>
    <w:rsid w:val="00E41512"/>
    <w:rsid w:val="00E4519A"/>
    <w:rsid w:val="00E46EE1"/>
    <w:rsid w:val="00E479D6"/>
    <w:rsid w:val="00E853D5"/>
    <w:rsid w:val="00E9773B"/>
    <w:rsid w:val="00EA6F42"/>
    <w:rsid w:val="00EC13A3"/>
    <w:rsid w:val="00EC7C85"/>
    <w:rsid w:val="00F125EE"/>
    <w:rsid w:val="00F12E98"/>
    <w:rsid w:val="00F22029"/>
    <w:rsid w:val="00F515FB"/>
    <w:rsid w:val="00F617D1"/>
    <w:rsid w:val="00F630EA"/>
    <w:rsid w:val="00F65D4B"/>
    <w:rsid w:val="00F7007E"/>
    <w:rsid w:val="00F73193"/>
    <w:rsid w:val="00F74F95"/>
    <w:rsid w:val="00F80705"/>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twang@brain.ubc.ca"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ongchuanwu@mail.cmu.edu.tw" TargetMode="Externa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11</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6728</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WDC</cp:lastModifiedBy>
  <cp:revision>24</cp:revision>
  <cp:lastPrinted>2022-05-30T00:22:00Z</cp:lastPrinted>
  <dcterms:created xsi:type="dcterms:W3CDTF">2022-05-29T11:31:00Z</dcterms:created>
  <dcterms:modified xsi:type="dcterms:W3CDTF">2022-07-26T13:32:00Z</dcterms:modified>
</cp:coreProperties>
</file>