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11C" w:rsidRDefault="0007094D">
      <w:pPr>
        <w:jc w:val="center"/>
        <w:rPr>
          <w:rFonts w:eastAsia="DengXian"/>
          <w:b/>
          <w:bCs/>
          <w:color w:val="000000"/>
          <w:kern w:val="2"/>
          <w:sz w:val="32"/>
          <w:szCs w:val="32"/>
          <w:lang w:eastAsia="zh-CN"/>
        </w:rPr>
      </w:pPr>
      <w:r>
        <w:rPr>
          <w:rFonts w:eastAsia="DengXian"/>
          <w:b/>
          <w:bCs/>
          <w:color w:val="000000"/>
          <w:kern w:val="2"/>
          <w:sz w:val="32"/>
          <w:szCs w:val="32"/>
          <w:lang w:eastAsia="zh-CN"/>
        </w:rPr>
        <w:t>Supplementary Materials for</w:t>
      </w:r>
    </w:p>
    <w:p w:rsidR="0082611C" w:rsidRDefault="0082611C"/>
    <w:p w:rsidR="0082611C" w:rsidRDefault="0007094D">
      <w:pPr>
        <w:jc w:val="center"/>
        <w:rPr>
          <w:sz w:val="28"/>
          <w:szCs w:val="28"/>
        </w:rPr>
      </w:pPr>
      <w:r>
        <w:rPr>
          <w:sz w:val="28"/>
          <w:szCs w:val="28"/>
        </w:rPr>
        <w:t>Antigen-induced chimeric antigen receptor multimerization amplifies on-tumor cytotoxicity</w:t>
      </w:r>
    </w:p>
    <w:p w:rsidR="0082611C" w:rsidRDefault="0082611C">
      <w:pPr>
        <w:jc w:val="center"/>
        <w:rPr>
          <w:sz w:val="28"/>
          <w:szCs w:val="28"/>
        </w:rPr>
      </w:pPr>
    </w:p>
    <w:p w:rsidR="0082611C" w:rsidRDefault="0007094D">
      <w:pPr>
        <w:pStyle w:val="1"/>
        <w:jc w:val="both"/>
        <w:rPr>
          <w:rFonts w:ascii="Apple Color Emoji" w:hAnsi="Apple Color Emoji" w:cs="Apple Color Emoji"/>
          <w:b w:val="0"/>
          <w:bCs w:val="0"/>
          <w:color w:val="000000" w:themeColor="text1"/>
          <w:kern w:val="0"/>
          <w:vertAlign w:val="superscript"/>
        </w:rPr>
      </w:pPr>
      <w:r>
        <w:rPr>
          <w:bCs w:val="0"/>
          <w:kern w:val="0"/>
        </w:rPr>
        <w:t xml:space="preserve">Authors: </w:t>
      </w:r>
      <w:r>
        <w:rPr>
          <w:b w:val="0"/>
          <w:bCs w:val="0"/>
          <w:kern w:val="0"/>
        </w:rPr>
        <w:t>Yan Sun</w:t>
      </w:r>
      <w:r>
        <w:rPr>
          <w:b w:val="0"/>
          <w:bCs w:val="0"/>
          <w:kern w:val="0"/>
          <w:vertAlign w:val="superscript"/>
        </w:rPr>
        <w:t>1</w:t>
      </w:r>
      <w:r>
        <w:rPr>
          <w:b w:val="0"/>
          <w:bCs w:val="0"/>
          <w:kern w:val="0"/>
        </w:rPr>
        <w:t xml:space="preserve">, </w:t>
      </w:r>
      <w:proofErr w:type="spellStart"/>
      <w:r>
        <w:rPr>
          <w:b w:val="0"/>
          <w:bCs w:val="0"/>
          <w:kern w:val="0"/>
        </w:rPr>
        <w:t>Xiu</w:t>
      </w:r>
      <w:proofErr w:type="spellEnd"/>
      <w:r>
        <w:rPr>
          <w:b w:val="0"/>
          <w:bCs w:val="0"/>
          <w:kern w:val="0"/>
        </w:rPr>
        <w:t>-Na Yang</w:t>
      </w:r>
      <w:r>
        <w:rPr>
          <w:b w:val="0"/>
          <w:bCs w:val="0"/>
          <w:kern w:val="0"/>
          <w:vertAlign w:val="superscript"/>
        </w:rPr>
        <w:t>2</w:t>
      </w:r>
      <w:r>
        <w:rPr>
          <w:b w:val="0"/>
          <w:bCs w:val="0"/>
          <w:kern w:val="0"/>
        </w:rPr>
        <w:t xml:space="preserve">, </w:t>
      </w:r>
      <w:proofErr w:type="spellStart"/>
      <w:r>
        <w:rPr>
          <w:b w:val="0"/>
          <w:bCs w:val="0"/>
          <w:kern w:val="0"/>
        </w:rPr>
        <w:t>Shuang-Shuang</w:t>
      </w:r>
      <w:proofErr w:type="spellEnd"/>
      <w:r>
        <w:rPr>
          <w:b w:val="0"/>
          <w:bCs w:val="0"/>
          <w:kern w:val="0"/>
        </w:rPr>
        <w:t xml:space="preserve"> Yang</w:t>
      </w:r>
      <w:r>
        <w:rPr>
          <w:b w:val="0"/>
          <w:bCs w:val="0"/>
          <w:kern w:val="0"/>
          <w:vertAlign w:val="superscript"/>
        </w:rPr>
        <w:t>1</w:t>
      </w:r>
      <w:r>
        <w:rPr>
          <w:b w:val="0"/>
          <w:bCs w:val="0"/>
          <w:kern w:val="0"/>
        </w:rPr>
        <w:t>, Yi-Zhu Lyu</w:t>
      </w:r>
      <w:r>
        <w:rPr>
          <w:b w:val="0"/>
          <w:bCs w:val="0"/>
          <w:kern w:val="0"/>
          <w:vertAlign w:val="superscript"/>
        </w:rPr>
        <w:t>1,3</w:t>
      </w:r>
      <w:r>
        <w:rPr>
          <w:b w:val="0"/>
          <w:bCs w:val="0"/>
          <w:kern w:val="0"/>
        </w:rPr>
        <w:t>, Bing Zhang</w:t>
      </w:r>
      <w:r>
        <w:rPr>
          <w:b w:val="0"/>
          <w:bCs w:val="0"/>
          <w:kern w:val="0"/>
          <w:vertAlign w:val="superscript"/>
        </w:rPr>
        <w:t>2</w:t>
      </w:r>
      <w:r>
        <w:rPr>
          <w:b w:val="0"/>
          <w:bCs w:val="0"/>
          <w:kern w:val="0"/>
        </w:rPr>
        <w:t>, Kai-</w:t>
      </w:r>
      <w:r>
        <w:rPr>
          <w:b w:val="0"/>
          <w:bCs w:val="0"/>
          <w:color w:val="000000" w:themeColor="text1"/>
          <w:kern w:val="0"/>
        </w:rPr>
        <w:t xml:space="preserve">Wen </w:t>
      </w:r>
      <w:r>
        <w:rPr>
          <w:b w:val="0"/>
          <w:bCs w:val="0"/>
          <w:kern w:val="0"/>
        </w:rPr>
        <w:t>Liu</w:t>
      </w:r>
      <w:r>
        <w:rPr>
          <w:b w:val="0"/>
          <w:bCs w:val="0"/>
          <w:kern w:val="0"/>
          <w:vertAlign w:val="superscript"/>
        </w:rPr>
        <w:t>1</w:t>
      </w:r>
      <w:r>
        <w:rPr>
          <w:b w:val="0"/>
          <w:bCs w:val="0"/>
          <w:color w:val="000000" w:themeColor="text1"/>
          <w:kern w:val="0"/>
        </w:rPr>
        <w:t>, Na Li</w:t>
      </w:r>
      <w:r>
        <w:rPr>
          <w:b w:val="0"/>
          <w:bCs w:val="0"/>
          <w:color w:val="000000" w:themeColor="text1"/>
          <w:kern w:val="0"/>
          <w:vertAlign w:val="superscript"/>
        </w:rPr>
        <w:t>4</w:t>
      </w:r>
      <w:r>
        <w:rPr>
          <w:b w:val="0"/>
          <w:bCs w:val="0"/>
          <w:color w:val="000000" w:themeColor="text1"/>
          <w:kern w:val="0"/>
        </w:rPr>
        <w:t>, Jia-Chen Cui</w:t>
      </w:r>
      <w:r>
        <w:rPr>
          <w:b w:val="0"/>
          <w:bCs w:val="0"/>
          <w:color w:val="000000" w:themeColor="text1"/>
          <w:kern w:val="0"/>
          <w:vertAlign w:val="superscript"/>
        </w:rPr>
        <w:t>1</w:t>
      </w:r>
      <w:r>
        <w:rPr>
          <w:b w:val="0"/>
          <w:bCs w:val="0"/>
          <w:color w:val="000000" w:themeColor="text1"/>
          <w:kern w:val="0"/>
        </w:rPr>
        <w:t xml:space="preserve">, </w:t>
      </w:r>
      <w:proofErr w:type="spellStart"/>
      <w:r>
        <w:rPr>
          <w:b w:val="0"/>
          <w:bCs w:val="0"/>
          <w:color w:val="000000" w:themeColor="text1"/>
          <w:kern w:val="0"/>
        </w:rPr>
        <w:t>Guang</w:t>
      </w:r>
      <w:proofErr w:type="spellEnd"/>
      <w:r>
        <w:rPr>
          <w:b w:val="0"/>
          <w:bCs w:val="0"/>
          <w:color w:val="000000" w:themeColor="text1"/>
          <w:kern w:val="0"/>
        </w:rPr>
        <w:t xml:space="preserve">-Xiang </w:t>
      </w:r>
      <w:r>
        <w:rPr>
          <w:b w:val="0"/>
          <w:bCs w:val="0"/>
          <w:color w:val="000000" w:themeColor="text1"/>
          <w:kern w:val="0"/>
        </w:rPr>
        <w:t>Huang</w:t>
      </w:r>
      <w:r>
        <w:rPr>
          <w:b w:val="0"/>
          <w:bCs w:val="0"/>
          <w:color w:val="000000" w:themeColor="text1"/>
          <w:kern w:val="0"/>
          <w:vertAlign w:val="superscript"/>
        </w:rPr>
        <w:t>1</w:t>
      </w:r>
      <w:r>
        <w:rPr>
          <w:b w:val="0"/>
          <w:bCs w:val="0"/>
          <w:color w:val="000000" w:themeColor="text1"/>
          <w:kern w:val="0"/>
        </w:rPr>
        <w:t>, Cheng-Lin Liu</w:t>
      </w:r>
      <w:r>
        <w:rPr>
          <w:b w:val="0"/>
          <w:bCs w:val="0"/>
          <w:color w:val="000000" w:themeColor="text1"/>
          <w:kern w:val="0"/>
          <w:vertAlign w:val="superscript"/>
        </w:rPr>
        <w:t>1</w:t>
      </w:r>
      <w:r>
        <w:rPr>
          <w:b w:val="0"/>
          <w:bCs w:val="0"/>
          <w:color w:val="000000" w:themeColor="text1"/>
          <w:kern w:val="0"/>
        </w:rPr>
        <w:t xml:space="preserve">, </w:t>
      </w:r>
      <w:proofErr w:type="spellStart"/>
      <w:r>
        <w:rPr>
          <w:b w:val="0"/>
          <w:bCs w:val="0"/>
          <w:color w:val="000000" w:themeColor="text1"/>
          <w:kern w:val="0"/>
        </w:rPr>
        <w:t>Jie</w:t>
      </w:r>
      <w:proofErr w:type="spellEnd"/>
      <w:r>
        <w:rPr>
          <w:b w:val="0"/>
          <w:bCs w:val="0"/>
          <w:color w:val="000000" w:themeColor="text1"/>
          <w:kern w:val="0"/>
        </w:rPr>
        <w:t xml:space="preserve"> Xu</w:t>
      </w:r>
      <w:r>
        <w:rPr>
          <w:b w:val="0"/>
          <w:bCs w:val="0"/>
          <w:color w:val="000000" w:themeColor="text1"/>
          <w:kern w:val="0"/>
          <w:vertAlign w:val="superscript"/>
        </w:rPr>
        <w:t>1</w:t>
      </w:r>
      <w:r>
        <w:rPr>
          <w:b w:val="0"/>
          <w:bCs w:val="0"/>
          <w:color w:val="000000" w:themeColor="text1"/>
          <w:kern w:val="0"/>
        </w:rPr>
        <w:t>, Jian-Qing Mi</w:t>
      </w:r>
      <w:r>
        <w:rPr>
          <w:b w:val="0"/>
          <w:bCs w:val="0"/>
          <w:color w:val="000000" w:themeColor="text1"/>
          <w:kern w:val="0"/>
          <w:vertAlign w:val="superscript"/>
        </w:rPr>
        <w:t>1</w:t>
      </w:r>
      <w:r>
        <w:rPr>
          <w:b w:val="0"/>
          <w:bCs w:val="0"/>
          <w:color w:val="000000" w:themeColor="text1"/>
          <w:kern w:val="0"/>
        </w:rPr>
        <w:t>, Zhu Chen</w:t>
      </w:r>
      <w:r>
        <w:rPr>
          <w:b w:val="0"/>
          <w:bCs w:val="0"/>
          <w:color w:val="000000" w:themeColor="text1"/>
          <w:kern w:val="0"/>
          <w:vertAlign w:val="superscript"/>
        </w:rPr>
        <w:t>1</w:t>
      </w:r>
      <w:r>
        <w:rPr>
          <w:b w:val="0"/>
          <w:bCs w:val="0"/>
          <w:color w:val="000000" w:themeColor="text1"/>
          <w:kern w:val="0"/>
        </w:rPr>
        <w:t>, Xiao-Hu Fan</w:t>
      </w:r>
      <w:r>
        <w:rPr>
          <w:b w:val="0"/>
          <w:bCs w:val="0"/>
          <w:color w:val="000000" w:themeColor="text1"/>
          <w:kern w:val="0"/>
          <w:vertAlign w:val="superscript"/>
        </w:rPr>
        <w:t>5,7</w:t>
      </w:r>
      <w:r>
        <w:rPr>
          <w:rFonts w:ascii="Apple Color Emoji" w:hAnsi="Apple Color Emoji" w:cs="Apple Color Emoji"/>
          <w:b w:val="0"/>
          <w:bCs w:val="0"/>
          <w:color w:val="000000" w:themeColor="text1"/>
          <w:kern w:val="0"/>
          <w:vertAlign w:val="superscript"/>
        </w:rPr>
        <w:t>✉</w:t>
      </w:r>
      <w:r>
        <w:rPr>
          <w:b w:val="0"/>
          <w:bCs w:val="0"/>
          <w:color w:val="000000" w:themeColor="text1"/>
          <w:kern w:val="0"/>
        </w:rPr>
        <w:t>, Sai-Juan Chen</w:t>
      </w:r>
      <w:r>
        <w:rPr>
          <w:b w:val="0"/>
          <w:bCs w:val="0"/>
          <w:color w:val="000000" w:themeColor="text1"/>
          <w:kern w:val="0"/>
          <w:vertAlign w:val="superscript"/>
        </w:rPr>
        <w:t>1</w:t>
      </w:r>
      <w:r>
        <w:rPr>
          <w:rFonts w:ascii="Apple Color Emoji" w:hAnsi="Apple Color Emoji" w:cs="Apple Color Emoji"/>
          <w:b w:val="0"/>
          <w:bCs w:val="0"/>
          <w:color w:val="000000" w:themeColor="text1"/>
          <w:kern w:val="0"/>
          <w:vertAlign w:val="superscript"/>
        </w:rPr>
        <w:t>✉</w:t>
      </w:r>
      <w:r>
        <w:rPr>
          <w:b w:val="0"/>
          <w:bCs w:val="0"/>
          <w:color w:val="000000" w:themeColor="text1"/>
          <w:kern w:val="0"/>
        </w:rPr>
        <w:t xml:space="preserve">, </w:t>
      </w:r>
      <w:proofErr w:type="spellStart"/>
      <w:r>
        <w:rPr>
          <w:b w:val="0"/>
          <w:bCs w:val="0"/>
          <w:color w:val="000000" w:themeColor="text1"/>
          <w:kern w:val="0"/>
        </w:rPr>
        <w:t>Shuo</w:t>
      </w:r>
      <w:proofErr w:type="spellEnd"/>
      <w:r>
        <w:rPr>
          <w:b w:val="0"/>
          <w:bCs w:val="0"/>
          <w:color w:val="000000" w:themeColor="text1"/>
          <w:kern w:val="0"/>
        </w:rPr>
        <w:t xml:space="preserve"> Chen</w:t>
      </w:r>
      <w:r>
        <w:rPr>
          <w:b w:val="0"/>
          <w:bCs w:val="0"/>
          <w:color w:val="000000" w:themeColor="text1"/>
          <w:kern w:val="0"/>
          <w:vertAlign w:val="superscript"/>
        </w:rPr>
        <w:t>1,6</w:t>
      </w:r>
      <w:r>
        <w:rPr>
          <w:rFonts w:ascii="Apple Color Emoji" w:hAnsi="Apple Color Emoji" w:cs="Apple Color Emoji"/>
          <w:b w:val="0"/>
          <w:bCs w:val="0"/>
          <w:color w:val="000000" w:themeColor="text1"/>
          <w:kern w:val="0"/>
          <w:vertAlign w:val="superscript"/>
        </w:rPr>
        <w:t>✉</w:t>
      </w:r>
    </w:p>
    <w:p w:rsidR="0082611C" w:rsidRDefault="0082611C"/>
    <w:p w:rsidR="0082611C" w:rsidRDefault="0007094D">
      <w:pPr>
        <w:jc w:val="center"/>
      </w:pPr>
      <w:r>
        <w:rPr>
          <w:szCs w:val="24"/>
        </w:rPr>
        <w:t xml:space="preserve">Correspondence to Xiao-Hu Fan(frankfanwondercel@gmail.com), Sai-Juan Chen(sjchen@stn.sh.cn) &amp; </w:t>
      </w:r>
      <w:proofErr w:type="spellStart"/>
      <w:r>
        <w:rPr>
          <w:szCs w:val="24"/>
        </w:rPr>
        <w:t>Shuo</w:t>
      </w:r>
      <w:proofErr w:type="spellEnd"/>
      <w:r>
        <w:rPr>
          <w:szCs w:val="24"/>
        </w:rPr>
        <w:t xml:space="preserve"> Chen(shuochen@sjtu.edu.cn)</w:t>
      </w:r>
    </w:p>
    <w:p w:rsidR="0082611C" w:rsidRDefault="0082611C">
      <w:pPr>
        <w:rPr>
          <w:b/>
        </w:rPr>
      </w:pPr>
    </w:p>
    <w:p w:rsidR="0082611C" w:rsidRDefault="0007094D">
      <w:pPr>
        <w:rPr>
          <w:b/>
        </w:rPr>
      </w:pPr>
      <w:r>
        <w:rPr>
          <w:b/>
        </w:rPr>
        <w:t xml:space="preserve">This PDF file </w:t>
      </w:r>
      <w:r>
        <w:rPr>
          <w:b/>
        </w:rPr>
        <w:t>includes:</w:t>
      </w:r>
    </w:p>
    <w:p w:rsidR="0082611C" w:rsidRDefault="0082611C"/>
    <w:p w:rsidR="0082611C" w:rsidRDefault="0007094D">
      <w:pPr>
        <w:suppressLineNumbers/>
        <w:spacing w:line="360" w:lineRule="auto"/>
        <w:ind w:firstLine="720"/>
        <w:rPr>
          <w:rFonts w:eastAsia="DengXian"/>
          <w:color w:val="000000" w:themeColor="text1"/>
          <w:szCs w:val="24"/>
        </w:rPr>
      </w:pPr>
      <w:r>
        <w:rPr>
          <w:rFonts w:eastAsia="DengXian"/>
          <w:color w:val="000000" w:themeColor="text1"/>
          <w:szCs w:val="24"/>
        </w:rPr>
        <w:t>Supplementary Figure 1-6 with their legends</w:t>
      </w:r>
    </w:p>
    <w:p w:rsidR="0082611C" w:rsidRDefault="0082611C">
      <w:pPr>
        <w:ind w:left="720"/>
      </w:pPr>
    </w:p>
    <w:p w:rsidR="0082611C" w:rsidRDefault="0007094D">
      <w:pPr>
        <w:suppressLineNumbers/>
        <w:spacing w:line="360" w:lineRule="auto"/>
        <w:ind w:firstLine="720"/>
        <w:rPr>
          <w:rFonts w:eastAsia="DengXian"/>
          <w:color w:val="000000" w:themeColor="text1"/>
          <w:szCs w:val="24"/>
        </w:rPr>
      </w:pPr>
      <w:r>
        <w:rPr>
          <w:rFonts w:eastAsia="DengXian"/>
          <w:color w:val="000000" w:themeColor="text1"/>
          <w:szCs w:val="24"/>
        </w:rPr>
        <w:t>Supplementary Table 1- 2</w:t>
      </w:r>
    </w:p>
    <w:p w:rsidR="0082611C" w:rsidRDefault="0082611C"/>
    <w:p w:rsidR="0082611C" w:rsidRDefault="0082611C">
      <w:pPr>
        <w:ind w:left="720"/>
      </w:pPr>
    </w:p>
    <w:p w:rsidR="0082611C" w:rsidRDefault="0007094D">
      <w:pPr>
        <w:ind w:left="720"/>
      </w:pPr>
      <w:r>
        <w:br/>
      </w:r>
    </w:p>
    <w:p w:rsidR="0082611C" w:rsidRDefault="0082611C">
      <w:pPr>
        <w:pStyle w:val="SMHeading"/>
      </w:pPr>
      <w:bookmarkStart w:id="0" w:name="Tables"/>
      <w:bookmarkStart w:id="1" w:name="MaterialsMethods"/>
      <w:bookmarkEnd w:id="0"/>
      <w:bookmarkEnd w:id="1"/>
    </w:p>
    <w:p w:rsidR="0082611C" w:rsidRDefault="0082611C">
      <w:pPr>
        <w:pStyle w:val="SMText"/>
        <w:ind w:firstLine="0"/>
      </w:pPr>
    </w:p>
    <w:p w:rsidR="0082611C" w:rsidRDefault="0007094D">
      <w:r>
        <w:br w:type="page"/>
      </w:r>
    </w:p>
    <w:p w:rsidR="0082611C" w:rsidRDefault="0007094D">
      <w:pPr>
        <w:pStyle w:val="SMText"/>
      </w:pPr>
      <w:r>
        <w:rPr>
          <w:rFonts w:ascii="Arial" w:eastAsia="Times New Roman" w:hAnsi="Arial" w:cs="Arial"/>
          <w:b/>
          <w:noProof/>
        </w:rPr>
        <w:lastRenderedPageBreak/>
        <w:drawing>
          <wp:inline distT="0" distB="0" distL="0" distR="0">
            <wp:extent cx="5943600" cy="3169920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11C" w:rsidRDefault="0007094D">
      <w:r>
        <w:br w:type="page"/>
      </w:r>
    </w:p>
    <w:p w:rsidR="0082611C" w:rsidRDefault="0007094D">
      <w:pPr>
        <w:spacing w:line="276" w:lineRule="auto"/>
        <w:rPr>
          <w:rFonts w:ascii="Helvetica" w:eastAsia="Times New Roman" w:hAnsi="Helvetica" w:cs="Arial"/>
          <w:color w:val="333333"/>
          <w:sz w:val="21"/>
          <w:szCs w:val="21"/>
        </w:rPr>
      </w:pPr>
      <w:r>
        <w:rPr>
          <w:b/>
          <w:bCs/>
          <w:color w:val="000000" w:themeColor="text1"/>
          <w:szCs w:val="24"/>
        </w:rPr>
        <w:lastRenderedPageBreak/>
        <w:t>S</w:t>
      </w:r>
      <w:r>
        <w:rPr>
          <w:rFonts w:hint="eastAsia"/>
          <w:b/>
          <w:bCs/>
          <w:color w:val="000000" w:themeColor="text1"/>
          <w:szCs w:val="24"/>
        </w:rPr>
        <w:t>u</w:t>
      </w:r>
      <w:r>
        <w:rPr>
          <w:b/>
          <w:bCs/>
          <w:color w:val="000000" w:themeColor="text1"/>
          <w:szCs w:val="24"/>
        </w:rPr>
        <w:t xml:space="preserve">pplementary Fig 1. </w:t>
      </w:r>
      <w:r>
        <w:rPr>
          <w:rFonts w:eastAsia="Times New Roman"/>
          <w:b/>
          <w:color w:val="000000"/>
          <w:szCs w:val="24"/>
        </w:rPr>
        <w:t>Surface Plasmon Resonance (SPR) analysis prompts binding model of NbT and BCMA</w:t>
      </w:r>
      <w:r>
        <w:rPr>
          <w:rFonts w:eastAsia="Times New Roman"/>
          <w:b/>
          <w:color w:val="000000"/>
          <w:szCs w:val="24"/>
          <w:vertAlign w:val="subscript"/>
        </w:rPr>
        <w:t>ECD</w:t>
      </w:r>
      <w:r>
        <w:rPr>
          <w:rFonts w:eastAsia="Times New Roman"/>
          <w:b/>
          <w:color w:val="000000"/>
          <w:szCs w:val="24"/>
        </w:rPr>
        <w:t>.</w:t>
      </w:r>
      <w:r>
        <w:rPr>
          <w:b/>
        </w:rPr>
        <w:t xml:space="preserve"> a </w:t>
      </w:r>
      <w:r>
        <w:rPr>
          <w:rFonts w:eastAsia="Times New Roman"/>
          <w:color w:val="333333"/>
          <w:szCs w:val="21"/>
        </w:rPr>
        <w:t>Gel filtration and SDS-PAGE analysis of BCMA</w:t>
      </w:r>
      <w:r>
        <w:rPr>
          <w:rFonts w:eastAsia="Times New Roman"/>
          <w:color w:val="333333"/>
          <w:szCs w:val="21"/>
          <w:vertAlign w:val="subscript"/>
        </w:rPr>
        <w:t>ECD</w:t>
      </w:r>
      <w:r>
        <w:rPr>
          <w:rFonts w:eastAsia="Times New Roman"/>
          <w:color w:val="333333"/>
          <w:szCs w:val="21"/>
        </w:rPr>
        <w:t xml:space="preserve">-His and </w:t>
      </w:r>
      <w:r>
        <w:rPr>
          <w:rFonts w:eastAsia="Times New Roman"/>
          <w:color w:val="333333"/>
          <w:szCs w:val="21"/>
        </w:rPr>
        <w:t>BCMA</w:t>
      </w:r>
      <w:r>
        <w:rPr>
          <w:rFonts w:eastAsia="Times New Roman"/>
          <w:color w:val="333333"/>
          <w:szCs w:val="21"/>
          <w:vertAlign w:val="subscript"/>
        </w:rPr>
        <w:t>ECD</w:t>
      </w:r>
      <w:r>
        <w:rPr>
          <w:rFonts w:eastAsia="Times New Roman"/>
          <w:color w:val="333333"/>
          <w:szCs w:val="21"/>
        </w:rPr>
        <w:t>-Fc. BCMA</w:t>
      </w:r>
      <w:r>
        <w:rPr>
          <w:rFonts w:eastAsia="Times New Roman"/>
          <w:color w:val="333333"/>
          <w:szCs w:val="21"/>
          <w:vertAlign w:val="subscript"/>
        </w:rPr>
        <w:t>ECD</w:t>
      </w:r>
      <w:r>
        <w:rPr>
          <w:rFonts w:eastAsia="Times New Roman"/>
          <w:color w:val="333333"/>
          <w:szCs w:val="21"/>
        </w:rPr>
        <w:t>-His had the same molecular weight under both reducing and non-reducing conditions, while BCMA</w:t>
      </w:r>
      <w:r>
        <w:rPr>
          <w:rFonts w:eastAsia="Times New Roman"/>
          <w:color w:val="333333"/>
          <w:szCs w:val="21"/>
          <w:vertAlign w:val="subscript"/>
        </w:rPr>
        <w:t>ECD</w:t>
      </w:r>
      <w:r>
        <w:rPr>
          <w:rFonts w:eastAsia="Times New Roman"/>
          <w:color w:val="333333"/>
          <w:szCs w:val="21"/>
        </w:rPr>
        <w:t>-Fc in non-reducing conditions presents twice that of BCMA</w:t>
      </w:r>
      <w:r>
        <w:rPr>
          <w:rFonts w:eastAsia="Times New Roman"/>
          <w:color w:val="333333"/>
          <w:szCs w:val="21"/>
          <w:vertAlign w:val="subscript"/>
        </w:rPr>
        <w:t>ECD</w:t>
      </w:r>
      <w:r>
        <w:rPr>
          <w:rFonts w:eastAsia="Times New Roman"/>
          <w:color w:val="333333"/>
          <w:szCs w:val="21"/>
        </w:rPr>
        <w:t>-Fc under reducing conditions. The elution volume of the peak is labeled. Stand</w:t>
      </w:r>
      <w:r>
        <w:rPr>
          <w:rFonts w:eastAsia="Times New Roman"/>
          <w:color w:val="333333"/>
          <w:szCs w:val="21"/>
        </w:rPr>
        <w:t>ard molecular weight is shown as a black dotted line as a reference.</w:t>
      </w:r>
      <w:r>
        <w:rPr>
          <w:sz w:val="28"/>
        </w:rPr>
        <w:t xml:space="preserve"> </w:t>
      </w:r>
      <w:r>
        <w:rPr>
          <w:rFonts w:eastAsia="Times New Roman"/>
          <w:color w:val="333333"/>
          <w:szCs w:val="21"/>
        </w:rPr>
        <w:t>F stands for Ferritin (molecular weight [Mw] 440 kDa), B indicates BSA (Mw 67 kDa), O for Ovalbumin (Mw 43 kDa), and R for Ribonuclease A (Mw 13.7 kDa). SDS-PAGE was run on the same gel a</w:t>
      </w:r>
      <w:r>
        <w:rPr>
          <w:rFonts w:eastAsia="Times New Roman"/>
          <w:color w:val="333333"/>
          <w:szCs w:val="21"/>
        </w:rPr>
        <w:t>nd the marker lane is duplicated here.</w:t>
      </w:r>
      <w:r>
        <w:rPr>
          <w:rFonts w:ascii="Helvetica" w:eastAsia="Times New Roman" w:hAnsi="Helvetica"/>
          <w:b/>
          <w:color w:val="000000"/>
          <w:sz w:val="21"/>
        </w:rPr>
        <w:t xml:space="preserve"> </w:t>
      </w:r>
      <w:r>
        <w:rPr>
          <w:b/>
        </w:rPr>
        <w:t>b</w:t>
      </w:r>
      <w:r>
        <w:rPr>
          <w:rFonts w:ascii="Helvetica" w:eastAsia="Times New Roman" w:hAnsi="Helvetica" w:cs="Arial"/>
          <w:color w:val="333333"/>
          <w:sz w:val="21"/>
          <w:szCs w:val="21"/>
        </w:rPr>
        <w:t xml:space="preserve"> </w:t>
      </w:r>
      <w:r>
        <w:rPr>
          <w:rFonts w:eastAsia="Times New Roman"/>
          <w:color w:val="333333"/>
          <w:szCs w:val="21"/>
        </w:rPr>
        <w:t>Heterogeneous ligands and Langmuir kinetics model of BCMA</w:t>
      </w:r>
      <w:r>
        <w:rPr>
          <w:rFonts w:eastAsia="Times New Roman"/>
          <w:color w:val="333333"/>
          <w:szCs w:val="21"/>
          <w:vertAlign w:val="subscript"/>
        </w:rPr>
        <w:t>ECD</w:t>
      </w:r>
      <w:r>
        <w:rPr>
          <w:rFonts w:eastAsia="Times New Roman"/>
          <w:color w:val="333333"/>
          <w:szCs w:val="21"/>
        </w:rPr>
        <w:t>-His and BCMA</w:t>
      </w:r>
      <w:r>
        <w:rPr>
          <w:rFonts w:eastAsia="Times New Roman"/>
          <w:color w:val="333333"/>
          <w:szCs w:val="21"/>
          <w:vertAlign w:val="subscript"/>
        </w:rPr>
        <w:t>ECD</w:t>
      </w:r>
      <w:r>
        <w:rPr>
          <w:rFonts w:eastAsia="Times New Roman"/>
          <w:color w:val="333333"/>
          <w:szCs w:val="21"/>
        </w:rPr>
        <w:t xml:space="preserve">-Fc fit with NbT respectively. </w:t>
      </w:r>
      <w:proofErr w:type="spellStart"/>
      <w:r>
        <w:rPr>
          <w:rFonts w:eastAsia="Times New Roman"/>
          <w:color w:val="333333"/>
          <w:szCs w:val="21"/>
        </w:rPr>
        <w:t>Sensorgrams</w:t>
      </w:r>
      <w:proofErr w:type="spellEnd"/>
      <w:r>
        <w:rPr>
          <w:rFonts w:eastAsia="Times New Roman"/>
          <w:color w:val="333333"/>
          <w:szCs w:val="21"/>
        </w:rPr>
        <w:t xml:space="preserve"> are shown in blue, fitted ones in black.</w:t>
      </w:r>
      <w:r>
        <w:rPr>
          <w:rFonts w:ascii="Helvetica" w:eastAsia="Times New Roman" w:hAnsi="Helvetica" w:cs="Arial"/>
          <w:color w:val="333333"/>
          <w:sz w:val="21"/>
          <w:szCs w:val="21"/>
        </w:rPr>
        <w:t xml:space="preserve"> </w:t>
      </w:r>
    </w:p>
    <w:p w:rsidR="0082611C" w:rsidRDefault="0007094D">
      <w:pPr>
        <w:rPr>
          <w:rFonts w:ascii="Helvetica" w:eastAsia="Times New Roman" w:hAnsi="Helvetica" w:cs="Arial"/>
          <w:color w:val="333333"/>
          <w:sz w:val="21"/>
          <w:szCs w:val="21"/>
        </w:rPr>
      </w:pPr>
      <w:r>
        <w:rPr>
          <w:rFonts w:ascii="Helvetica" w:eastAsia="Times New Roman" w:hAnsi="Helvetica" w:cs="Arial"/>
          <w:color w:val="333333"/>
          <w:sz w:val="21"/>
          <w:szCs w:val="21"/>
        </w:rPr>
        <w:br w:type="page"/>
      </w:r>
    </w:p>
    <w:p w:rsidR="0082611C" w:rsidRDefault="0007094D">
      <w:pPr>
        <w:spacing w:line="276" w:lineRule="auto"/>
        <w:rPr>
          <w:rFonts w:ascii="Helvetica" w:eastAsia="Times New Roman" w:hAnsi="Helvetica"/>
          <w:b/>
          <w:color w:val="000000"/>
          <w:sz w:val="21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5943600" cy="348424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11C" w:rsidRDefault="0007094D">
      <w:pPr>
        <w:rPr>
          <w:rFonts w:ascii="Helvetica" w:eastAsia="Times New Roman" w:hAnsi="Helvetica"/>
          <w:b/>
          <w:color w:val="000000"/>
          <w:sz w:val="21"/>
        </w:rPr>
      </w:pPr>
      <w:r>
        <w:rPr>
          <w:rFonts w:ascii="Helvetica" w:eastAsia="Times New Roman" w:hAnsi="Helvetica"/>
          <w:b/>
          <w:color w:val="000000"/>
          <w:sz w:val="21"/>
        </w:rPr>
        <w:br w:type="page"/>
      </w:r>
    </w:p>
    <w:p w:rsidR="0082611C" w:rsidRDefault="0007094D">
      <w:pPr>
        <w:spacing w:line="276" w:lineRule="auto"/>
        <w:rPr>
          <w:rFonts w:eastAsia="Times New Roman"/>
          <w:color w:val="333333"/>
          <w:szCs w:val="24"/>
        </w:rPr>
      </w:pPr>
      <w:r>
        <w:rPr>
          <w:b/>
          <w:bCs/>
          <w:color w:val="000000" w:themeColor="text1"/>
          <w:szCs w:val="24"/>
        </w:rPr>
        <w:lastRenderedPageBreak/>
        <w:t>S</w:t>
      </w:r>
      <w:r>
        <w:rPr>
          <w:rFonts w:hint="eastAsia"/>
          <w:b/>
          <w:bCs/>
          <w:color w:val="000000" w:themeColor="text1"/>
          <w:szCs w:val="24"/>
        </w:rPr>
        <w:t>u</w:t>
      </w:r>
      <w:r>
        <w:rPr>
          <w:b/>
          <w:bCs/>
          <w:color w:val="000000" w:themeColor="text1"/>
          <w:szCs w:val="24"/>
        </w:rPr>
        <w:t xml:space="preserve">pplementary Fig 2. </w:t>
      </w:r>
      <w:r>
        <w:rPr>
          <w:b/>
          <w:szCs w:val="24"/>
        </w:rPr>
        <w:t xml:space="preserve">Structural basis of </w:t>
      </w:r>
      <w:r>
        <w:rPr>
          <w:b/>
          <w:szCs w:val="24"/>
        </w:rPr>
        <w:t>nanobody and BCMA complex.</w:t>
      </w:r>
      <w:r>
        <w:rPr>
          <w:rFonts w:ascii="Helvetica" w:eastAsia="Times New Roman" w:hAnsi="Helvetica" w:cs="Arial"/>
          <w:color w:val="333333"/>
          <w:sz w:val="21"/>
          <w:szCs w:val="21"/>
        </w:rPr>
        <w:t xml:space="preserve"> </w:t>
      </w:r>
      <w:r>
        <w:rPr>
          <w:b/>
        </w:rPr>
        <w:t xml:space="preserve">a </w:t>
      </w:r>
      <w:r>
        <w:rPr>
          <w:rFonts w:eastAsia="Times New Roman"/>
          <w:color w:val="333333"/>
          <w:szCs w:val="24"/>
        </w:rPr>
        <w:t xml:space="preserve">Sequence alignment of Nb1 and Nb2 using </w:t>
      </w:r>
      <w:proofErr w:type="spellStart"/>
      <w:r>
        <w:rPr>
          <w:rFonts w:eastAsia="Times New Roman"/>
          <w:color w:val="333333"/>
          <w:szCs w:val="24"/>
        </w:rPr>
        <w:t>ESPript</w:t>
      </w:r>
      <w:proofErr w:type="spellEnd"/>
      <w:r>
        <w:rPr>
          <w:rFonts w:eastAsia="Times New Roman"/>
          <w:color w:val="333333"/>
          <w:szCs w:val="24"/>
        </w:rPr>
        <w:t xml:space="preserve"> 3.0. Different residues between Nb1 and Nb2 are marked in bold. Nb1 residues interacting with BCMA are shown in the blue box, while Nb2 in red box. Black and white triangles </w:t>
      </w:r>
      <w:r>
        <w:rPr>
          <w:rFonts w:eastAsia="Times New Roman"/>
          <w:color w:val="333333"/>
          <w:szCs w:val="24"/>
        </w:rPr>
        <w:t>indicate residues in Nb1–BCMA</w:t>
      </w:r>
      <w:r>
        <w:rPr>
          <w:rFonts w:eastAsia="Times New Roman"/>
          <w:color w:val="333333"/>
          <w:szCs w:val="24"/>
          <w:vertAlign w:val="subscript"/>
        </w:rPr>
        <w:t>ECD</w:t>
      </w:r>
      <w:r>
        <w:rPr>
          <w:rFonts w:eastAsia="Times New Roman"/>
          <w:color w:val="333333"/>
          <w:szCs w:val="24"/>
        </w:rPr>
        <w:t xml:space="preserve"> interface, respectively. The secondary structure elements of Nb1 are listed at the top of the alignment, and those of Nb2 are listed at the bottom. β-sheets, </w:t>
      </w:r>
      <w:bookmarkStart w:id="2" w:name="OLE_LINK2"/>
      <w:bookmarkStart w:id="3" w:name="OLE_LINK1"/>
      <w:r>
        <w:rPr>
          <w:rFonts w:eastAsia="Times New Roman"/>
          <w:color w:val="333333"/>
          <w:szCs w:val="24"/>
        </w:rPr>
        <w:t>3</w:t>
      </w:r>
      <w:r>
        <w:rPr>
          <w:rFonts w:eastAsia="Times New Roman"/>
          <w:color w:val="333333"/>
          <w:szCs w:val="24"/>
          <w:vertAlign w:val="subscript"/>
        </w:rPr>
        <w:t>10</w:t>
      </w:r>
      <w:r>
        <w:rPr>
          <w:rFonts w:eastAsia="Times New Roman"/>
          <w:color w:val="333333"/>
          <w:szCs w:val="24"/>
        </w:rPr>
        <w:t>-helix</w:t>
      </w:r>
      <w:bookmarkEnd w:id="2"/>
      <w:bookmarkEnd w:id="3"/>
      <w:r>
        <w:rPr>
          <w:rFonts w:eastAsia="Times New Roman"/>
          <w:color w:val="333333"/>
          <w:szCs w:val="24"/>
        </w:rPr>
        <w:t>, and strict β-turns are denoted β, η, and ΤΤ, respectiv</w:t>
      </w:r>
      <w:r>
        <w:rPr>
          <w:rFonts w:eastAsia="Times New Roman"/>
          <w:color w:val="333333"/>
          <w:szCs w:val="24"/>
        </w:rPr>
        <w:t xml:space="preserve">ely. The complementarity-determining region (CDR) and framework region (FR) regions are defined according to the </w:t>
      </w:r>
      <w:proofErr w:type="spellStart"/>
      <w:r>
        <w:rPr>
          <w:rFonts w:eastAsia="Times New Roman"/>
          <w:color w:val="333333"/>
          <w:szCs w:val="24"/>
        </w:rPr>
        <w:t>IgBlast</w:t>
      </w:r>
      <w:proofErr w:type="spellEnd"/>
      <w:r>
        <w:rPr>
          <w:rFonts w:eastAsia="Times New Roman"/>
          <w:color w:val="333333"/>
          <w:szCs w:val="24"/>
        </w:rPr>
        <w:t xml:space="preserve"> tool and solved crystal structure. </w:t>
      </w:r>
      <w:r>
        <w:rPr>
          <w:b/>
          <w:szCs w:val="24"/>
        </w:rPr>
        <w:t>b</w:t>
      </w:r>
      <w:r>
        <w:rPr>
          <w:rFonts w:eastAsia="Times New Roman"/>
          <w:color w:val="333333"/>
          <w:szCs w:val="24"/>
        </w:rPr>
        <w:t xml:space="preserve"> the cartoon shows the alignment of Nb1 and Nb2. </w:t>
      </w:r>
      <w:r>
        <w:rPr>
          <w:b/>
          <w:szCs w:val="24"/>
        </w:rPr>
        <w:t>c</w:t>
      </w:r>
      <w:r>
        <w:rPr>
          <w:rFonts w:eastAsia="Times New Roman"/>
          <w:color w:val="333333"/>
          <w:szCs w:val="24"/>
        </w:rPr>
        <w:t xml:space="preserve"> the alignment of BCMA interacting with Nb1 and N</w:t>
      </w:r>
      <w:r>
        <w:rPr>
          <w:rFonts w:eastAsia="Times New Roman"/>
          <w:color w:val="333333"/>
          <w:szCs w:val="24"/>
        </w:rPr>
        <w:t>b2.</w:t>
      </w:r>
    </w:p>
    <w:p w:rsidR="0082611C" w:rsidRDefault="0007094D">
      <w:pPr>
        <w:rPr>
          <w:rFonts w:eastAsia="Times New Roman"/>
          <w:color w:val="333333"/>
          <w:szCs w:val="24"/>
        </w:rPr>
      </w:pPr>
      <w:r>
        <w:rPr>
          <w:rFonts w:eastAsia="Times New Roman"/>
          <w:color w:val="333333"/>
          <w:szCs w:val="24"/>
        </w:rPr>
        <w:br w:type="page"/>
      </w:r>
    </w:p>
    <w:p w:rsidR="0082611C" w:rsidRDefault="0007094D">
      <w:pPr>
        <w:spacing w:line="276" w:lineRule="auto"/>
        <w:rPr>
          <w:b/>
          <w:szCs w:val="24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5943600" cy="404368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11C" w:rsidRDefault="0007094D">
      <w:pPr>
        <w:rPr>
          <w:b/>
          <w:szCs w:val="24"/>
        </w:rPr>
      </w:pPr>
      <w:r>
        <w:rPr>
          <w:b/>
          <w:szCs w:val="24"/>
        </w:rPr>
        <w:br w:type="page"/>
      </w:r>
    </w:p>
    <w:p w:rsidR="0082611C" w:rsidRDefault="0007094D">
      <w:pPr>
        <w:spacing w:line="276" w:lineRule="auto"/>
        <w:rPr>
          <w:b/>
          <w:szCs w:val="24"/>
        </w:rPr>
      </w:pPr>
      <w:r>
        <w:rPr>
          <w:b/>
          <w:bCs/>
          <w:color w:val="000000" w:themeColor="text1"/>
          <w:szCs w:val="24"/>
        </w:rPr>
        <w:lastRenderedPageBreak/>
        <w:t>S</w:t>
      </w:r>
      <w:r>
        <w:rPr>
          <w:rFonts w:hint="eastAsia"/>
          <w:b/>
          <w:bCs/>
          <w:color w:val="000000" w:themeColor="text1"/>
          <w:szCs w:val="24"/>
        </w:rPr>
        <w:t>u</w:t>
      </w:r>
      <w:r>
        <w:rPr>
          <w:b/>
          <w:bCs/>
          <w:color w:val="000000" w:themeColor="text1"/>
          <w:szCs w:val="24"/>
        </w:rPr>
        <w:t xml:space="preserve">pplementary Fig 3. </w:t>
      </w:r>
      <w:r>
        <w:rPr>
          <w:b/>
          <w:szCs w:val="24"/>
        </w:rPr>
        <w:t>Gel filtration studies of nanobody and nanobody–BCMA</w:t>
      </w:r>
      <w:r>
        <w:rPr>
          <w:b/>
          <w:szCs w:val="24"/>
          <w:vertAlign w:val="subscript"/>
        </w:rPr>
        <w:t>ECD</w:t>
      </w:r>
      <w:r>
        <w:rPr>
          <w:b/>
          <w:szCs w:val="24"/>
        </w:rPr>
        <w:t xml:space="preserve"> complex.</w:t>
      </w:r>
      <w:r>
        <w:rPr>
          <w:rFonts w:hint="eastAsia"/>
          <w:b/>
          <w:szCs w:val="24"/>
        </w:rPr>
        <w:t xml:space="preserve"> </w:t>
      </w:r>
      <w:proofErr w:type="gramStart"/>
      <w:r>
        <w:rPr>
          <w:b/>
        </w:rPr>
        <w:t>a</w:t>
      </w:r>
      <w:proofErr w:type="gramEnd"/>
      <w:r>
        <w:rPr>
          <w:rFonts w:eastAsia="Times New Roman"/>
          <w:color w:val="333333"/>
          <w:szCs w:val="24"/>
        </w:rPr>
        <w:t xml:space="preserve"> SDS-PAGE analysis of BCMA</w:t>
      </w:r>
      <w:r>
        <w:rPr>
          <w:rFonts w:eastAsia="Times New Roman"/>
          <w:color w:val="333333"/>
          <w:szCs w:val="24"/>
          <w:vertAlign w:val="subscript"/>
        </w:rPr>
        <w:t>ECD</w:t>
      </w:r>
      <w:r>
        <w:rPr>
          <w:rFonts w:eastAsia="Times New Roman"/>
          <w:color w:val="333333"/>
          <w:szCs w:val="24"/>
        </w:rPr>
        <w:t xml:space="preserve">, Nb1, Nb2, and NbT. </w:t>
      </w:r>
      <w:r>
        <w:rPr>
          <w:b/>
        </w:rPr>
        <w:t xml:space="preserve">b </w:t>
      </w:r>
      <w:r>
        <w:rPr>
          <w:rFonts w:eastAsia="Times New Roman"/>
          <w:color w:val="333333"/>
          <w:szCs w:val="24"/>
        </w:rPr>
        <w:t>BCMA</w:t>
      </w:r>
      <w:r>
        <w:rPr>
          <w:rFonts w:eastAsia="Times New Roman"/>
          <w:color w:val="333333"/>
          <w:szCs w:val="24"/>
          <w:vertAlign w:val="subscript"/>
        </w:rPr>
        <w:t>ECD</w:t>
      </w:r>
      <w:r>
        <w:rPr>
          <w:rFonts w:eastAsia="Times New Roman"/>
          <w:color w:val="333333"/>
          <w:szCs w:val="24"/>
        </w:rPr>
        <w:t>, Nb1, Nb2, and NbT were purified by size-exclusion chromatography using a Superdex 75 column. The e</w:t>
      </w:r>
      <w:r>
        <w:rPr>
          <w:rFonts w:eastAsia="Times New Roman"/>
          <w:color w:val="333333"/>
          <w:szCs w:val="24"/>
        </w:rPr>
        <w:t xml:space="preserve">lution volume of the peak is labeled. Standard molecular weight is shown as a black dotted line as a reference. A stand for Aprotinin </w:t>
      </w:r>
      <w:r>
        <w:rPr>
          <w:color w:val="333333"/>
          <w:szCs w:val="24"/>
        </w:rPr>
        <w:t xml:space="preserve">(Mw 6.5 </w:t>
      </w:r>
      <w:r>
        <w:rPr>
          <w:rFonts w:eastAsia="宋体"/>
          <w:color w:val="333333"/>
          <w:szCs w:val="24"/>
        </w:rPr>
        <w:t>kDa</w:t>
      </w:r>
      <w:r>
        <w:rPr>
          <w:color w:val="333333"/>
          <w:szCs w:val="24"/>
        </w:rPr>
        <w:t>),</w:t>
      </w:r>
      <w:r>
        <w:rPr>
          <w:rFonts w:eastAsia="Times New Roman"/>
          <w:color w:val="333333"/>
          <w:szCs w:val="24"/>
        </w:rPr>
        <w:t xml:space="preserve"> others are described in </w:t>
      </w:r>
      <w:r>
        <w:rPr>
          <w:rFonts w:eastAsia="Times New Roman" w:hint="eastAsia"/>
          <w:color w:val="333333"/>
          <w:szCs w:val="24"/>
        </w:rPr>
        <w:t>s</w:t>
      </w:r>
      <w:r>
        <w:rPr>
          <w:rFonts w:eastAsia="Times New Roman"/>
          <w:color w:val="333333"/>
          <w:szCs w:val="24"/>
        </w:rPr>
        <w:t>upplementary Fig. S1.</w:t>
      </w:r>
      <w:r>
        <w:rPr>
          <w:rFonts w:hint="eastAsia"/>
          <w:b/>
          <w:szCs w:val="24"/>
        </w:rPr>
        <w:t xml:space="preserve"> </w:t>
      </w:r>
      <w:r>
        <w:rPr>
          <w:b/>
        </w:rPr>
        <w:t>c</w:t>
      </w:r>
      <w:r>
        <w:rPr>
          <w:rFonts w:eastAsia="Times New Roman"/>
          <w:color w:val="333333"/>
          <w:szCs w:val="24"/>
        </w:rPr>
        <w:t xml:space="preserve"> Gel filtration of Nb1–BCMAE</w:t>
      </w:r>
      <w:r>
        <w:rPr>
          <w:rFonts w:eastAsia="Times New Roman"/>
          <w:color w:val="333333"/>
          <w:szCs w:val="24"/>
          <w:vertAlign w:val="subscript"/>
        </w:rPr>
        <w:t>CD</w:t>
      </w:r>
      <w:r>
        <w:rPr>
          <w:rFonts w:eastAsia="Times New Roman"/>
          <w:color w:val="333333"/>
          <w:szCs w:val="24"/>
        </w:rPr>
        <w:t>, Nb2–BCMA</w:t>
      </w:r>
      <w:r>
        <w:rPr>
          <w:rFonts w:eastAsia="Times New Roman"/>
          <w:color w:val="333333"/>
          <w:szCs w:val="24"/>
          <w:vertAlign w:val="subscript"/>
        </w:rPr>
        <w:t>ECD</w:t>
      </w:r>
      <w:r>
        <w:rPr>
          <w:rFonts w:eastAsia="Times New Roman"/>
          <w:color w:val="333333"/>
          <w:szCs w:val="24"/>
        </w:rPr>
        <w:t>, and NbT–BCMA</w:t>
      </w:r>
      <w:r>
        <w:rPr>
          <w:rFonts w:eastAsia="Times New Roman"/>
          <w:color w:val="333333"/>
          <w:szCs w:val="24"/>
          <w:vertAlign w:val="subscript"/>
        </w:rPr>
        <w:t xml:space="preserve">ECD </w:t>
      </w:r>
      <w:r>
        <w:rPr>
          <w:rFonts w:eastAsia="Times New Roman"/>
          <w:color w:val="333333"/>
          <w:szCs w:val="24"/>
        </w:rPr>
        <w:t xml:space="preserve">using the indicated Superdex column. The proteins in the red dashed square were collected for crystal screening and SAXS data collection. </w:t>
      </w:r>
    </w:p>
    <w:p w:rsidR="0082611C" w:rsidRDefault="0007094D">
      <w:r>
        <w:br w:type="page"/>
      </w:r>
    </w:p>
    <w:p w:rsidR="0082611C" w:rsidRDefault="0007094D">
      <w:pPr>
        <w:pStyle w:val="SMcaption"/>
      </w:pPr>
      <w:r>
        <w:rPr>
          <w:b/>
          <w:noProof/>
          <w:szCs w:val="24"/>
        </w:rPr>
        <w:lastRenderedPageBreak/>
        <w:drawing>
          <wp:inline distT="0" distB="0" distL="0" distR="0">
            <wp:extent cx="5943600" cy="1572895"/>
            <wp:effectExtent l="0" t="0" r="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11C" w:rsidRDefault="0007094D">
      <w:r>
        <w:br w:type="page"/>
      </w:r>
    </w:p>
    <w:p w:rsidR="0082611C" w:rsidRDefault="0007094D">
      <w:pPr>
        <w:rPr>
          <w:b/>
          <w:szCs w:val="24"/>
        </w:rPr>
      </w:pPr>
      <w:r>
        <w:rPr>
          <w:b/>
          <w:bCs/>
          <w:color w:val="000000" w:themeColor="text1"/>
          <w:szCs w:val="24"/>
        </w:rPr>
        <w:lastRenderedPageBreak/>
        <w:t>S</w:t>
      </w:r>
      <w:r>
        <w:rPr>
          <w:rFonts w:hint="eastAsia"/>
          <w:b/>
          <w:bCs/>
          <w:color w:val="000000" w:themeColor="text1"/>
          <w:szCs w:val="24"/>
        </w:rPr>
        <w:t>u</w:t>
      </w:r>
      <w:r>
        <w:rPr>
          <w:b/>
          <w:bCs/>
          <w:color w:val="000000" w:themeColor="text1"/>
          <w:szCs w:val="24"/>
        </w:rPr>
        <w:t xml:space="preserve">pplementary Fig 4. </w:t>
      </w:r>
      <w:r>
        <w:rPr>
          <w:b/>
          <w:szCs w:val="24"/>
        </w:rPr>
        <w:t>Comparison of the simulated atomic structures with the physiological state in solution</w:t>
      </w:r>
      <w:r>
        <w:rPr>
          <w:b/>
          <w:szCs w:val="24"/>
        </w:rPr>
        <w:t xml:space="preserve">. </w:t>
      </w:r>
      <w:proofErr w:type="spellStart"/>
      <w:r>
        <w:rPr>
          <w:b/>
        </w:rPr>
        <w:t>a</w:t>
      </w:r>
      <w:proofErr w:type="spellEnd"/>
      <w:r>
        <w:rPr>
          <w:rFonts w:eastAsia="Times New Roman"/>
          <w:szCs w:val="24"/>
        </w:rPr>
        <w:t xml:space="preserve"> </w:t>
      </w:r>
      <w:proofErr w:type="gramStart"/>
      <w:r>
        <w:rPr>
          <w:rFonts w:eastAsia="Times New Roman"/>
          <w:szCs w:val="24"/>
        </w:rPr>
        <w:t>The</w:t>
      </w:r>
      <w:proofErr w:type="gramEnd"/>
      <w:r>
        <w:rPr>
          <w:rFonts w:eastAsia="Times New Roman"/>
          <w:szCs w:val="24"/>
        </w:rPr>
        <w:t xml:space="preserve"> fitting line (blue) for the Nb1</w:t>
      </w:r>
      <w:r>
        <w:rPr>
          <w:rFonts w:eastAsia="Times New Roman"/>
          <w:color w:val="333333"/>
          <w:szCs w:val="24"/>
        </w:rPr>
        <w:t>–</w:t>
      </w:r>
      <w:r>
        <w:rPr>
          <w:rFonts w:eastAsia="Times New Roman"/>
          <w:szCs w:val="24"/>
        </w:rPr>
        <w:t>BCMA</w:t>
      </w:r>
      <w:r>
        <w:rPr>
          <w:rFonts w:eastAsia="Times New Roman"/>
          <w:szCs w:val="24"/>
          <w:vertAlign w:val="subscript"/>
        </w:rPr>
        <w:t>ECD</w:t>
      </w:r>
      <w:r>
        <w:rPr>
          <w:rFonts w:eastAsia="Times New Roman"/>
          <w:szCs w:val="24"/>
        </w:rPr>
        <w:t xml:space="preserve"> model is shown (green dots). The Chi</w:t>
      </w:r>
      <w:r>
        <w:rPr>
          <w:rFonts w:eastAsia="Times New Roman"/>
          <w:szCs w:val="24"/>
          <w:vertAlign w:val="superscript"/>
        </w:rPr>
        <w:t>2</w:t>
      </w:r>
      <w:r>
        <w:rPr>
          <w:rFonts w:eastAsia="Times New Roman"/>
          <w:szCs w:val="24"/>
        </w:rPr>
        <w:t xml:space="preserve"> equals 3.82.</w:t>
      </w:r>
    </w:p>
    <w:p w:rsidR="0082611C" w:rsidRDefault="0007094D">
      <w:pPr>
        <w:spacing w:line="276" w:lineRule="auto"/>
        <w:rPr>
          <w:rFonts w:eastAsia="Times New Roman"/>
          <w:szCs w:val="24"/>
        </w:rPr>
      </w:pPr>
      <w:r>
        <w:rPr>
          <w:b/>
        </w:rPr>
        <w:t>b</w:t>
      </w:r>
      <w:r>
        <w:rPr>
          <w:rFonts w:eastAsia="Times New Roman"/>
          <w:szCs w:val="24"/>
        </w:rPr>
        <w:t xml:space="preserve"> Model fitting (orange line) against experimental profiles (light blue dots) of Nb2</w:t>
      </w:r>
      <w:r>
        <w:rPr>
          <w:rFonts w:eastAsia="Times New Roman"/>
          <w:color w:val="333333"/>
          <w:szCs w:val="24"/>
        </w:rPr>
        <w:t>–</w:t>
      </w:r>
      <w:r>
        <w:rPr>
          <w:rFonts w:eastAsia="Times New Roman"/>
          <w:szCs w:val="24"/>
        </w:rPr>
        <w:t>BCMA</w:t>
      </w:r>
      <w:r>
        <w:rPr>
          <w:rFonts w:eastAsia="Times New Roman"/>
          <w:szCs w:val="24"/>
          <w:vertAlign w:val="subscript"/>
        </w:rPr>
        <w:t>ECD</w:t>
      </w:r>
      <w:r>
        <w:rPr>
          <w:rFonts w:eastAsia="Times New Roman"/>
          <w:szCs w:val="24"/>
        </w:rPr>
        <w:t>. The Chi</w:t>
      </w:r>
      <w:r>
        <w:rPr>
          <w:rFonts w:eastAsia="Times New Roman"/>
          <w:szCs w:val="24"/>
          <w:vertAlign w:val="superscript"/>
        </w:rPr>
        <w:t>2</w:t>
      </w:r>
      <w:r>
        <w:rPr>
          <w:rFonts w:eastAsia="Times New Roman"/>
          <w:szCs w:val="24"/>
        </w:rPr>
        <w:t xml:space="preserve"> equals 4.52. </w:t>
      </w:r>
      <w:r>
        <w:rPr>
          <w:b/>
        </w:rPr>
        <w:t>c</w:t>
      </w:r>
      <w:r>
        <w:rPr>
          <w:rFonts w:eastAsia="Times New Roman"/>
          <w:szCs w:val="24"/>
        </w:rPr>
        <w:t xml:space="preserve"> the fitting (blue line) of the NbT</w:t>
      </w:r>
      <w:r>
        <w:rPr>
          <w:rFonts w:eastAsia="Times New Roman"/>
          <w:color w:val="333333"/>
          <w:szCs w:val="24"/>
        </w:rPr>
        <w:t>–</w:t>
      </w:r>
      <w:r>
        <w:rPr>
          <w:rFonts w:eastAsia="Times New Roman"/>
          <w:szCs w:val="24"/>
        </w:rPr>
        <w:t>BCMA</w:t>
      </w:r>
      <w:r>
        <w:rPr>
          <w:rFonts w:eastAsia="Times New Roman"/>
          <w:szCs w:val="24"/>
          <w:vertAlign w:val="subscript"/>
        </w:rPr>
        <w:t>ECD</w:t>
      </w:r>
      <w:r>
        <w:rPr>
          <w:rFonts w:eastAsia="Times New Roman"/>
          <w:szCs w:val="24"/>
        </w:rPr>
        <w:t xml:space="preserve"> model to the experimental profiles (orange dots) is shown. The Chi</w:t>
      </w:r>
      <w:r>
        <w:rPr>
          <w:rFonts w:eastAsia="Times New Roman"/>
          <w:szCs w:val="24"/>
          <w:vertAlign w:val="superscript"/>
        </w:rPr>
        <w:t>2</w:t>
      </w:r>
      <w:r>
        <w:rPr>
          <w:rFonts w:eastAsia="Times New Roman"/>
          <w:szCs w:val="24"/>
        </w:rPr>
        <w:t xml:space="preserve"> equals 11.58.</w:t>
      </w:r>
    </w:p>
    <w:p w:rsidR="0082611C" w:rsidRDefault="0082611C">
      <w:pPr>
        <w:pStyle w:val="SMcaption"/>
      </w:pPr>
    </w:p>
    <w:p w:rsidR="0082611C" w:rsidRDefault="0007094D">
      <w:r>
        <w:br w:type="page"/>
      </w:r>
    </w:p>
    <w:p w:rsidR="0082611C" w:rsidRDefault="0007094D">
      <w:r>
        <w:rPr>
          <w:noProof/>
        </w:rPr>
        <w:lastRenderedPageBreak/>
        <w:drawing>
          <wp:inline distT="0" distB="0" distL="0" distR="0">
            <wp:extent cx="5943600" cy="15036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11C" w:rsidRDefault="0007094D">
      <w:r>
        <w:br w:type="page"/>
      </w:r>
    </w:p>
    <w:p w:rsidR="0082611C" w:rsidRDefault="0007094D">
      <w:pPr>
        <w:spacing w:line="276" w:lineRule="auto"/>
        <w:rPr>
          <w:color w:val="0432FF"/>
        </w:rPr>
      </w:pPr>
      <w:r>
        <w:rPr>
          <w:b/>
          <w:bCs/>
          <w:color w:val="000000" w:themeColor="text1"/>
          <w:szCs w:val="24"/>
        </w:rPr>
        <w:lastRenderedPageBreak/>
        <w:t>S</w:t>
      </w:r>
      <w:r>
        <w:rPr>
          <w:rFonts w:hint="eastAsia"/>
          <w:b/>
          <w:bCs/>
          <w:color w:val="000000" w:themeColor="text1"/>
          <w:szCs w:val="24"/>
        </w:rPr>
        <w:t>u</w:t>
      </w:r>
      <w:r>
        <w:rPr>
          <w:b/>
          <w:bCs/>
          <w:color w:val="000000" w:themeColor="text1"/>
          <w:szCs w:val="24"/>
        </w:rPr>
        <w:t xml:space="preserve">pplementary Fig 5. </w:t>
      </w:r>
      <w:r>
        <w:rPr>
          <w:b/>
          <w:szCs w:val="24"/>
        </w:rPr>
        <w:t>The competitive binding of nanobody and BAFF with BCMA</w:t>
      </w:r>
      <w:r>
        <w:rPr>
          <w:b/>
          <w:szCs w:val="24"/>
          <w:vertAlign w:val="subscript"/>
        </w:rPr>
        <w:t>ECD</w:t>
      </w:r>
      <w:r>
        <w:rPr>
          <w:b/>
          <w:szCs w:val="24"/>
        </w:rPr>
        <w:t>.</w:t>
      </w:r>
      <w:r>
        <w:rPr>
          <w:rFonts w:hint="eastAsia"/>
          <w:b/>
          <w:szCs w:val="24"/>
        </w:rPr>
        <w:t xml:space="preserve"> </w:t>
      </w:r>
      <w:r>
        <w:rPr>
          <w:b/>
        </w:rPr>
        <w:t xml:space="preserve">a </w:t>
      </w:r>
      <w:proofErr w:type="spellStart"/>
      <w:r>
        <w:rPr>
          <w:rFonts w:eastAsia="Times New Roman"/>
          <w:szCs w:val="24"/>
        </w:rPr>
        <w:t>Nbs</w:t>
      </w:r>
      <w:proofErr w:type="spellEnd"/>
      <w:r>
        <w:rPr>
          <w:rFonts w:eastAsia="Times New Roman"/>
          <w:szCs w:val="24"/>
        </w:rPr>
        <w:t xml:space="preserve"> exerted no significant effect on MM cells proliferation induced by BAFF. Data</w:t>
      </w:r>
      <w:r>
        <w:rPr>
          <w:rFonts w:eastAsia="Times New Roman"/>
          <w:szCs w:val="24"/>
        </w:rPr>
        <w:t xml:space="preserve"> are represented as means and SEMs of n = 3 replicates</w:t>
      </w:r>
      <w:r w:rsidR="007E09C6">
        <w:rPr>
          <w:rFonts w:eastAsia="Times New Roman"/>
          <w:szCs w:val="24"/>
        </w:rPr>
        <w:t xml:space="preserve"> per group</w:t>
      </w:r>
      <w:r w:rsidRPr="007E09C6">
        <w:rPr>
          <w:rFonts w:eastAsia="Times New Roman"/>
          <w:szCs w:val="24"/>
        </w:rPr>
        <w:t xml:space="preserve">, </w:t>
      </w:r>
      <w:r w:rsidRPr="007E09C6">
        <w:rPr>
          <w:color w:val="000000" w:themeColor="text1"/>
          <w:szCs w:val="24"/>
        </w:rPr>
        <w:t>the one-way analysis of variance (ANOVA) followed by Tukey's multiple comparisons test was used to assess the differences among different groups.</w:t>
      </w:r>
      <w:r w:rsidRPr="007E09C6">
        <w:rPr>
          <w:color w:val="000000" w:themeColor="text1"/>
          <w:lang w:eastAsia="zh-CN"/>
        </w:rPr>
        <w:t xml:space="preserve"> </w:t>
      </w:r>
      <w:r w:rsidRPr="007E09C6">
        <w:rPr>
          <w:b/>
        </w:rPr>
        <w:t>b</w:t>
      </w:r>
      <w:r>
        <w:rPr>
          <w:rFonts w:eastAsia="Times New Roman"/>
          <w:szCs w:val="24"/>
        </w:rPr>
        <w:t xml:space="preserve"> </w:t>
      </w:r>
      <w:r>
        <w:rPr>
          <w:color w:val="000000" w:themeColor="text1"/>
        </w:rPr>
        <w:t xml:space="preserve">Nb1 (2000nM; </w:t>
      </w:r>
      <w:r>
        <w:rPr>
          <w:color w:val="000000" w:themeColor="text1"/>
        </w:rPr>
        <w:t>left), Nb2 (100 nM; middle), and NbT (10 nM; right) were probed for competitive binding against BAFF using SPR.</w:t>
      </w:r>
    </w:p>
    <w:p w:rsidR="0082611C" w:rsidRDefault="0007094D">
      <w:pPr>
        <w:rPr>
          <w:color w:val="0432FF"/>
        </w:rPr>
      </w:pPr>
      <w:r>
        <w:rPr>
          <w:color w:val="0432FF"/>
        </w:rPr>
        <w:br w:type="page"/>
      </w:r>
    </w:p>
    <w:p w:rsidR="0082611C" w:rsidRDefault="0007094D">
      <w:pPr>
        <w:spacing w:line="276" w:lineRule="auto"/>
        <w:rPr>
          <w:b/>
          <w:szCs w:val="24"/>
        </w:rPr>
      </w:pPr>
      <w:r>
        <w:rPr>
          <w:b/>
          <w:noProof/>
          <w:szCs w:val="24"/>
        </w:rPr>
        <w:lastRenderedPageBreak/>
        <w:drawing>
          <wp:inline distT="0" distB="0" distL="0" distR="0">
            <wp:extent cx="5943600" cy="550100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11C" w:rsidRDefault="0007094D">
      <w:pPr>
        <w:rPr>
          <w:b/>
          <w:szCs w:val="24"/>
        </w:rPr>
      </w:pPr>
      <w:r>
        <w:rPr>
          <w:b/>
          <w:szCs w:val="24"/>
        </w:rPr>
        <w:br w:type="page"/>
      </w:r>
    </w:p>
    <w:p w:rsidR="0082611C" w:rsidRDefault="0007094D">
      <w:pPr>
        <w:spacing w:line="276" w:lineRule="auto"/>
        <w:rPr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lastRenderedPageBreak/>
        <w:t>S</w:t>
      </w:r>
      <w:r>
        <w:rPr>
          <w:rFonts w:hint="eastAsia"/>
          <w:b/>
          <w:bCs/>
          <w:color w:val="000000" w:themeColor="text1"/>
          <w:szCs w:val="24"/>
        </w:rPr>
        <w:t>u</w:t>
      </w:r>
      <w:r>
        <w:rPr>
          <w:b/>
          <w:bCs/>
          <w:color w:val="000000" w:themeColor="text1"/>
          <w:szCs w:val="24"/>
        </w:rPr>
        <w:t xml:space="preserve">pplementary Fig 6. </w:t>
      </w:r>
      <w:r>
        <w:rPr>
          <w:b/>
          <w:szCs w:val="24"/>
        </w:rPr>
        <w:t>CAR T cell cytotoxicity against MM cell lines.</w:t>
      </w:r>
      <w:r>
        <w:rPr>
          <w:rFonts w:ascii="Lucida Grande" w:eastAsia="宋体" w:hAnsi="Lucida Grande" w:cs="Lucida Grande"/>
          <w:color w:val="000000" w:themeColor="text1"/>
          <w:sz w:val="21"/>
          <w:szCs w:val="21"/>
          <w:shd w:val="clear" w:color="auto" w:fill="FFFFFF"/>
        </w:rPr>
        <w:t xml:space="preserve"> </w:t>
      </w:r>
      <w:r>
        <w:rPr>
          <w:b/>
        </w:rPr>
        <w:t xml:space="preserve">a </w:t>
      </w:r>
      <w:r>
        <w:rPr>
          <w:color w:val="333333"/>
          <w:szCs w:val="24"/>
        </w:rPr>
        <w:t xml:space="preserve">Viability of MM.1S-luc and RPMI 8226-luc cells co-cultured with the </w:t>
      </w:r>
      <w:r>
        <w:rPr>
          <w:color w:val="333333"/>
          <w:szCs w:val="24"/>
        </w:rPr>
        <w:t xml:space="preserve">indicated CAR T cells from another donor for 24 </w:t>
      </w:r>
      <w:proofErr w:type="spellStart"/>
      <w:r>
        <w:rPr>
          <w:color w:val="333333"/>
          <w:szCs w:val="24"/>
        </w:rPr>
        <w:t>hrs</w:t>
      </w:r>
      <w:proofErr w:type="spellEnd"/>
      <w:r>
        <w:rPr>
          <w:color w:val="333333"/>
          <w:szCs w:val="24"/>
        </w:rPr>
        <w:t xml:space="preserve"> at the effector: target (E: T) ratios of </w:t>
      </w:r>
      <w:proofErr w:type="gramStart"/>
      <w:r>
        <w:rPr>
          <w:color w:val="333333"/>
          <w:szCs w:val="24"/>
        </w:rPr>
        <w:t>1 :</w:t>
      </w:r>
      <w:proofErr w:type="gramEnd"/>
      <w:r>
        <w:rPr>
          <w:color w:val="333333"/>
          <w:szCs w:val="24"/>
        </w:rPr>
        <w:t xml:space="preserve"> 1 and 4 : 1.</w:t>
      </w:r>
      <w:r>
        <w:rPr>
          <w:rFonts w:eastAsia="宋体"/>
          <w:color w:val="333333"/>
          <w:szCs w:val="24"/>
        </w:rPr>
        <w:t xml:space="preserve"> Data are represented as means and SEMs of n = 4 replicat</w:t>
      </w:r>
      <w:r w:rsidRPr="004A5A8E">
        <w:rPr>
          <w:rFonts w:eastAsia="宋体"/>
          <w:color w:val="333333"/>
          <w:szCs w:val="24"/>
        </w:rPr>
        <w:t xml:space="preserve">es, </w:t>
      </w:r>
      <w:r w:rsidRPr="004A5A8E">
        <w:rPr>
          <w:rFonts w:eastAsia="宋体"/>
          <w:color w:val="333333"/>
          <w:szCs w:val="24"/>
        </w:rPr>
        <w:t>using</w:t>
      </w:r>
      <w:r w:rsidRPr="004A5A8E">
        <w:rPr>
          <w:color w:val="000000" w:themeColor="text1"/>
        </w:rPr>
        <w:t xml:space="preserve"> unpaired two-tailed Student’s </w:t>
      </w:r>
      <w:r w:rsidRPr="004A5A8E">
        <w:rPr>
          <w:i/>
          <w:color w:val="000000" w:themeColor="text1"/>
        </w:rPr>
        <w:t>t</w:t>
      </w:r>
      <w:r w:rsidRPr="004A5A8E">
        <w:rPr>
          <w:color w:val="000000" w:themeColor="text1"/>
        </w:rPr>
        <w:t xml:space="preserve"> test without adjustments for multiple comparisons. </w:t>
      </w:r>
      <w:r>
        <w:rPr>
          <w:b/>
          <w:color w:val="000000" w:themeColor="text1"/>
          <w:szCs w:val="24"/>
        </w:rPr>
        <w:t xml:space="preserve">b </w:t>
      </w:r>
      <w:r w:rsidR="001F0759" w:rsidRPr="001F0759">
        <w:rPr>
          <w:color w:val="000000" w:themeColor="text1"/>
          <w:szCs w:val="24"/>
        </w:rPr>
        <w:t>Representative Western blots of nanobody in CAR T cells and control (GAPDH) samples</w:t>
      </w:r>
      <w:r w:rsidR="0098426D">
        <w:rPr>
          <w:color w:val="000000" w:themeColor="text1"/>
          <w:szCs w:val="24"/>
        </w:rPr>
        <w:t xml:space="preserve"> </w:t>
      </w:r>
      <w:r w:rsidR="0098426D" w:rsidRPr="0098426D">
        <w:rPr>
          <w:color w:val="000000" w:themeColor="text1"/>
          <w:szCs w:val="24"/>
        </w:rPr>
        <w:t>incubate with or without BCMA</w:t>
      </w:r>
      <w:r w:rsidR="001F0759" w:rsidRPr="001F0759">
        <w:rPr>
          <w:color w:val="000000" w:themeColor="text1"/>
          <w:szCs w:val="24"/>
        </w:rPr>
        <w:t>.</w:t>
      </w:r>
      <w:r w:rsidR="001F0759">
        <w:rPr>
          <w:b/>
          <w:color w:val="000000" w:themeColor="text1"/>
          <w:szCs w:val="24"/>
        </w:rPr>
        <w:t xml:space="preserve"> </w:t>
      </w:r>
      <w:r>
        <w:rPr>
          <w:rFonts w:hint="eastAsia"/>
          <w:bCs/>
          <w:color w:val="000000" w:themeColor="text1"/>
          <w:szCs w:val="24"/>
          <w:lang w:eastAsia="zh-CN"/>
        </w:rPr>
        <w:t>Immunob</w:t>
      </w:r>
      <w:bookmarkStart w:id="4" w:name="_GoBack"/>
      <w:bookmarkEnd w:id="4"/>
      <w:r>
        <w:rPr>
          <w:rFonts w:hint="eastAsia"/>
          <w:bCs/>
          <w:color w:val="000000" w:themeColor="text1"/>
          <w:szCs w:val="24"/>
          <w:lang w:eastAsia="zh-CN"/>
        </w:rPr>
        <w:t xml:space="preserve">lotting of </w:t>
      </w:r>
      <w:r w:rsidR="007E09C6">
        <w:rPr>
          <w:color w:val="000000" w:themeColor="text1"/>
          <w:szCs w:val="24"/>
        </w:rPr>
        <w:t>d</w:t>
      </w:r>
      <w:r>
        <w:rPr>
          <w:color w:val="000000" w:themeColor="text1"/>
          <w:szCs w:val="24"/>
        </w:rPr>
        <w:t>isulfide-linked nanobody CARs and loading control</w:t>
      </w:r>
      <w:r>
        <w:rPr>
          <w:rFonts w:hint="eastAsia"/>
          <w:color w:val="000000" w:themeColor="text1"/>
          <w:szCs w:val="24"/>
          <w:lang w:eastAsia="zh-CN"/>
        </w:rPr>
        <w:t xml:space="preserve"> with respectively primary and secondary antibodies (see Immunoblotting in Methods of main text for details)</w:t>
      </w:r>
      <w:r>
        <w:rPr>
          <w:color w:val="000000" w:themeColor="text1"/>
          <w:szCs w:val="24"/>
        </w:rPr>
        <w:t>.</w:t>
      </w:r>
      <w:r>
        <w:rPr>
          <w:rFonts w:eastAsia="宋体"/>
          <w:color w:val="000000" w:themeColor="text1"/>
          <w:szCs w:val="24"/>
          <w:shd w:val="clear" w:color="auto" w:fill="FFFFFF"/>
        </w:rPr>
        <w:t xml:space="preserve"> Synthesized BCMA </w:t>
      </w:r>
      <w:r>
        <w:rPr>
          <w:rFonts w:eastAsia="宋体" w:hint="eastAsia"/>
          <w:color w:val="000000" w:themeColor="text1"/>
          <w:szCs w:val="24"/>
          <w:shd w:val="clear" w:color="auto" w:fill="FFFFFF"/>
        </w:rPr>
        <w:t>w</w:t>
      </w:r>
      <w:r>
        <w:rPr>
          <w:rFonts w:eastAsia="宋体"/>
          <w:color w:val="000000" w:themeColor="text1"/>
          <w:szCs w:val="24"/>
          <w:shd w:val="clear" w:color="auto" w:fill="FFFFFF"/>
        </w:rPr>
        <w:t>as incubated with CAR T cells at 4</w:t>
      </w:r>
      <w:r>
        <w:rPr>
          <w:szCs w:val="24"/>
        </w:rPr>
        <w:t>°C</w:t>
      </w:r>
      <w:r>
        <w:rPr>
          <w:rFonts w:eastAsia="宋体"/>
          <w:color w:val="000000" w:themeColor="text1"/>
          <w:szCs w:val="24"/>
          <w:shd w:val="clear" w:color="auto" w:fill="FFFFFF"/>
        </w:rPr>
        <w:t xml:space="preserve"> for 30min</w:t>
      </w:r>
      <w:r>
        <w:rPr>
          <w:rFonts w:eastAsia="宋体" w:hint="eastAsia"/>
          <w:color w:val="000000" w:themeColor="text1"/>
          <w:szCs w:val="24"/>
          <w:shd w:val="clear" w:color="auto" w:fill="FFFFFF"/>
        </w:rPr>
        <w:t>.</w:t>
      </w:r>
      <w:r>
        <w:rPr>
          <w:rFonts w:eastAsia="宋体"/>
          <w:color w:val="000000" w:themeColor="text1"/>
          <w:szCs w:val="24"/>
          <w:shd w:val="clear" w:color="auto" w:fill="FFFFFF"/>
        </w:rPr>
        <w:t xml:space="preserve"> </w:t>
      </w:r>
      <w:r>
        <w:rPr>
          <w:rFonts w:eastAsia="宋体"/>
          <w:b/>
          <w:bCs/>
          <w:color w:val="000000" w:themeColor="text1"/>
          <w:szCs w:val="24"/>
          <w:shd w:val="clear" w:color="auto" w:fill="FFFFFF"/>
        </w:rPr>
        <w:t>c</w:t>
      </w:r>
      <w:r>
        <w:rPr>
          <w:rFonts w:eastAsia="宋体"/>
          <w:color w:val="000000" w:themeColor="text1"/>
          <w:szCs w:val="24"/>
          <w:shd w:val="clear" w:color="auto" w:fill="FFFFFF"/>
        </w:rPr>
        <w:t xml:space="preserve"> Evaluation of c</w:t>
      </w:r>
      <w:r>
        <w:rPr>
          <w:color w:val="000000" w:themeColor="text1"/>
          <w:szCs w:val="24"/>
        </w:rPr>
        <w:t xml:space="preserve">ell-surface BCMA levels on MM.1S and RPMI-8226 cells. </w:t>
      </w:r>
    </w:p>
    <w:p w:rsidR="0082611C" w:rsidRDefault="0007094D">
      <w:pPr>
        <w:rPr>
          <w:b/>
          <w:szCs w:val="24"/>
        </w:rPr>
      </w:pPr>
      <w:r>
        <w:rPr>
          <w:b/>
          <w:szCs w:val="24"/>
        </w:rPr>
        <w:br w:type="page"/>
      </w:r>
    </w:p>
    <w:p w:rsidR="0082611C" w:rsidRDefault="0007094D">
      <w:pPr>
        <w:spacing w:line="360" w:lineRule="auto"/>
        <w:rPr>
          <w:rFonts w:eastAsia="Times New Roman"/>
          <w:b/>
          <w:color w:val="000000"/>
        </w:rPr>
      </w:pPr>
      <w:r>
        <w:rPr>
          <w:b/>
          <w:bCs/>
          <w:szCs w:val="24"/>
        </w:rPr>
        <w:lastRenderedPageBreak/>
        <w:t>Supplementary</w:t>
      </w:r>
      <w:r>
        <w:rPr>
          <w:b/>
          <w:szCs w:val="24"/>
        </w:rPr>
        <w:t xml:space="preserve"> Table 1.</w:t>
      </w:r>
      <w:r>
        <w:rPr>
          <w:rFonts w:eastAsia="Times New Roman"/>
          <w:b/>
          <w:color w:val="000000"/>
        </w:rPr>
        <w:t xml:space="preserve"> Crystallographic data collection and refinement statistics</w:t>
      </w:r>
    </w:p>
    <w:tbl>
      <w:tblPr>
        <w:tblW w:w="6840" w:type="dxa"/>
        <w:tblLook w:val="04A0" w:firstRow="1" w:lastRow="0" w:firstColumn="1" w:lastColumn="0" w:noHBand="0" w:noVBand="1"/>
      </w:tblPr>
      <w:tblGrid>
        <w:gridCol w:w="2000"/>
        <w:gridCol w:w="2380"/>
        <w:gridCol w:w="2460"/>
      </w:tblGrid>
      <w:tr w:rsidR="0082611C">
        <w:trPr>
          <w:trHeight w:val="360"/>
        </w:trPr>
        <w:tc>
          <w:tcPr>
            <w:tcW w:w="20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82611C" w:rsidRDefault="0082611C">
            <w:pPr>
              <w:rPr>
                <w:sz w:val="20"/>
                <w:szCs w:val="24"/>
              </w:rPr>
            </w:pPr>
          </w:p>
        </w:tc>
        <w:tc>
          <w:tcPr>
            <w:tcW w:w="23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82611C" w:rsidRDefault="0007094D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Nb1–BCMA complex</w:t>
            </w:r>
          </w:p>
        </w:tc>
        <w:tc>
          <w:tcPr>
            <w:tcW w:w="24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82611C" w:rsidRDefault="0007094D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Nb2–BCMA complex</w:t>
            </w:r>
          </w:p>
        </w:tc>
      </w:tr>
      <w:tr w:rsidR="0082611C">
        <w:trPr>
          <w:trHeight w:val="320"/>
        </w:trPr>
        <w:tc>
          <w:tcPr>
            <w:tcW w:w="200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82611C" w:rsidRDefault="0007094D">
            <w:pPr>
              <w:rPr>
                <w:rFonts w:eastAsia="DengXian"/>
                <w:b/>
                <w:bCs/>
                <w:color w:val="000000"/>
                <w:sz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</w:rPr>
              <w:t>Data collection</w:t>
            </w:r>
          </w:p>
        </w:tc>
        <w:tc>
          <w:tcPr>
            <w:tcW w:w="238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82611C" w:rsidRDefault="0082611C">
            <w:pPr>
              <w:rPr>
                <w:rFonts w:eastAsia="DengXian"/>
                <w:b/>
                <w:bCs/>
                <w:color w:val="000000"/>
                <w:sz w:val="20"/>
              </w:rPr>
            </w:pPr>
          </w:p>
        </w:tc>
        <w:tc>
          <w:tcPr>
            <w:tcW w:w="2460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:rsidR="0082611C" w:rsidRDefault="0082611C">
            <w:pPr>
              <w:jc w:val="center"/>
              <w:rPr>
                <w:rFonts w:eastAsia="Times New Roman"/>
                <w:sz w:val="20"/>
              </w:rPr>
            </w:pPr>
          </w:p>
        </w:tc>
      </w:tr>
      <w:tr w:rsidR="0082611C">
        <w:trPr>
          <w:trHeight w:val="34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Space group</w:t>
            </w:r>
          </w:p>
        </w:tc>
        <w:tc>
          <w:tcPr>
            <w:tcW w:w="238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i/>
                <w:iCs/>
                <w:color w:val="000000"/>
                <w:sz w:val="20"/>
              </w:rPr>
            </w:pPr>
            <w:r>
              <w:rPr>
                <w:rFonts w:eastAsia="DengXian"/>
                <w:i/>
                <w:iCs/>
                <w:color w:val="000000"/>
                <w:sz w:val="20"/>
              </w:rPr>
              <w:t>P4</w:t>
            </w:r>
            <w:r>
              <w:rPr>
                <w:rFonts w:eastAsia="DengXian"/>
                <w:color w:val="000000"/>
                <w:sz w:val="20"/>
                <w:vertAlign w:val="subscript"/>
              </w:rPr>
              <w:t>1</w:t>
            </w:r>
            <w:r>
              <w:rPr>
                <w:rFonts w:eastAsia="DengXian"/>
                <w:color w:val="000000"/>
                <w:sz w:val="20"/>
              </w:rPr>
              <w:t>2</w:t>
            </w:r>
            <w:r>
              <w:rPr>
                <w:rFonts w:eastAsia="DengXian"/>
                <w:color w:val="000000"/>
                <w:sz w:val="20"/>
                <w:vertAlign w:val="subscript"/>
              </w:rPr>
              <w:t>1</w:t>
            </w:r>
            <w:r>
              <w:rPr>
                <w:rFonts w:eastAsia="DengXian"/>
                <w:color w:val="000000"/>
                <w:sz w:val="20"/>
              </w:rPr>
              <w:t>2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i/>
                <w:iCs/>
                <w:color w:val="000000"/>
                <w:sz w:val="20"/>
              </w:rPr>
              <w:t>P</w:t>
            </w:r>
            <w:r>
              <w:rPr>
                <w:rFonts w:eastAsia="DengXian"/>
                <w:color w:val="000000"/>
                <w:sz w:val="20"/>
              </w:rPr>
              <w:t>41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Cell dimensions</w:t>
            </w:r>
            <w:r>
              <w:rPr>
                <w:rFonts w:ascii="Symbol" w:eastAsia="DengXian" w:hAnsi="Symbol"/>
                <w:color w:val="000000"/>
                <w:sz w:val="20"/>
              </w:rPr>
              <w:t></w:t>
            </w:r>
            <w:r>
              <w:rPr>
                <w:rFonts w:ascii="Symbol" w:eastAsia="DengXian" w:hAnsi="Symbol"/>
                <w:color w:val="000000"/>
                <w:sz w:val="20"/>
              </w:rPr>
              <w:t></w:t>
            </w:r>
          </w:p>
        </w:tc>
        <w:tc>
          <w:tcPr>
            <w:tcW w:w="2380" w:type="dxa"/>
            <w:vAlign w:val="center"/>
          </w:tcPr>
          <w:p w:rsidR="0082611C" w:rsidRDefault="0082611C">
            <w:pPr>
              <w:rPr>
                <w:rFonts w:eastAsia="DengXian"/>
                <w:color w:val="000000"/>
                <w:sz w:val="20"/>
              </w:rPr>
            </w:pPr>
          </w:p>
        </w:tc>
        <w:tc>
          <w:tcPr>
            <w:tcW w:w="2460" w:type="dxa"/>
            <w:noWrap/>
            <w:vAlign w:val="center"/>
          </w:tcPr>
          <w:p w:rsidR="0082611C" w:rsidRDefault="0082611C">
            <w:pPr>
              <w:jc w:val="center"/>
              <w:rPr>
                <w:rFonts w:eastAsia="Times New Roman"/>
                <w:sz w:val="20"/>
              </w:rPr>
            </w:pP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 xml:space="preserve">    </w:t>
            </w:r>
            <w:r>
              <w:rPr>
                <w:rFonts w:eastAsia="DengXian"/>
                <w:i/>
                <w:iCs/>
                <w:color w:val="000000"/>
                <w:sz w:val="20"/>
              </w:rPr>
              <w:t>a</w:t>
            </w:r>
            <w:r>
              <w:rPr>
                <w:rFonts w:eastAsia="DengXian"/>
                <w:color w:val="000000"/>
                <w:sz w:val="20"/>
              </w:rPr>
              <w:t xml:space="preserve">, </w:t>
            </w:r>
            <w:r>
              <w:rPr>
                <w:rFonts w:eastAsia="DengXian"/>
                <w:i/>
                <w:iCs/>
                <w:color w:val="000000"/>
                <w:sz w:val="20"/>
              </w:rPr>
              <w:t>b</w:t>
            </w:r>
            <w:r>
              <w:rPr>
                <w:rFonts w:eastAsia="DengXian"/>
                <w:color w:val="000000"/>
                <w:sz w:val="20"/>
              </w:rPr>
              <w:t xml:space="preserve">, </w:t>
            </w:r>
            <w:r>
              <w:rPr>
                <w:rFonts w:eastAsia="DengXian"/>
                <w:i/>
                <w:iCs/>
                <w:color w:val="000000"/>
                <w:sz w:val="20"/>
              </w:rPr>
              <w:t>c</w:t>
            </w:r>
            <w:r>
              <w:rPr>
                <w:rFonts w:eastAsia="DengXian"/>
                <w:color w:val="000000"/>
                <w:sz w:val="20"/>
              </w:rPr>
              <w:t xml:space="preserve"> (Å)</w:t>
            </w:r>
          </w:p>
        </w:tc>
        <w:tc>
          <w:tcPr>
            <w:tcW w:w="238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 xml:space="preserve">66.77, 66.77, 174.24 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 xml:space="preserve">80.06, 80.06, 78.96 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ascii="Symbol" w:eastAsia="DengXian" w:hAnsi="Symbol" w:cs="宋体"/>
                <w:color w:val="000000"/>
                <w:sz w:val="20"/>
              </w:rPr>
            </w:pPr>
            <w:r>
              <w:rPr>
                <w:rFonts w:ascii="Symbol" w:eastAsia="DengXian" w:hAnsi="Symbol" w:cs="宋体"/>
                <w:color w:val="000000"/>
                <w:sz w:val="20"/>
              </w:rPr>
              <w:t></w:t>
            </w:r>
            <w:r>
              <w:rPr>
                <w:rFonts w:ascii="Symbol" w:eastAsia="DengXian" w:hAnsi="Symbol" w:cs="宋体"/>
                <w:color w:val="000000"/>
                <w:sz w:val="20"/>
              </w:rPr>
              <w:t></w:t>
            </w:r>
            <w:r>
              <w:rPr>
                <w:rFonts w:ascii="Symbol" w:eastAsia="DengXian" w:hAnsi="Symbol" w:cs="宋体"/>
                <w:color w:val="000000"/>
                <w:sz w:val="20"/>
              </w:rPr>
              <w:t></w:t>
            </w:r>
            <w:r>
              <w:rPr>
                <w:rFonts w:ascii="Symbol" w:eastAsia="DengXian" w:hAnsi="Symbol" w:cs="宋体"/>
                <w:color w:val="000000"/>
                <w:sz w:val="20"/>
              </w:rPr>
              <w:t></w:t>
            </w:r>
            <w:r>
              <w:rPr>
                <w:rFonts w:ascii="Symbol" w:eastAsia="DengXian" w:hAnsi="Symbol" w:cs="宋体"/>
                <w:color w:val="000000"/>
                <w:sz w:val="20"/>
              </w:rPr>
              <w:t></w:t>
            </w:r>
            <w:r>
              <w:rPr>
                <w:rFonts w:ascii="Symbol" w:eastAsia="DengXian" w:hAnsi="Symbol" w:cs="宋体"/>
                <w:color w:val="000000"/>
                <w:sz w:val="20"/>
              </w:rPr>
              <w:t></w:t>
            </w:r>
            <w:r>
              <w:rPr>
                <w:rFonts w:ascii="Symbol" w:eastAsia="DengXian" w:hAnsi="Symbol" w:cs="宋体"/>
                <w:color w:val="000000"/>
                <w:sz w:val="20"/>
              </w:rPr>
              <w:t></w:t>
            </w:r>
            <w:r>
              <w:rPr>
                <w:rFonts w:ascii="Symbol" w:eastAsia="DengXian" w:hAnsi="Symbol" w:cs="宋体"/>
                <w:color w:val="000000"/>
                <w:sz w:val="20"/>
              </w:rPr>
              <w:t></w:t>
            </w:r>
            <w:r>
              <w:rPr>
                <w:rFonts w:ascii="Symbol" w:eastAsia="DengXian" w:hAnsi="Symbol" w:cs="宋体"/>
                <w:color w:val="000000"/>
                <w:sz w:val="20"/>
              </w:rPr>
              <w:t></w:t>
            </w:r>
            <w:r>
              <w:rPr>
                <w:rFonts w:ascii="Symbol" w:eastAsia="DengXian" w:hAnsi="Symbol" w:cs="宋体"/>
                <w:color w:val="000000"/>
                <w:sz w:val="20"/>
              </w:rPr>
              <w:t></w:t>
            </w:r>
            <w:r>
              <w:rPr>
                <w:rFonts w:ascii="Symbol" w:eastAsia="DengXian" w:hAnsi="Symbol" w:cs="宋体"/>
                <w:color w:val="000000"/>
                <w:sz w:val="20"/>
              </w:rPr>
              <w:t></w:t>
            </w:r>
            <w:r>
              <w:rPr>
                <w:rFonts w:ascii="Symbol" w:eastAsia="DengXian" w:hAnsi="Symbol" w:cs="宋体"/>
                <w:color w:val="000000"/>
                <w:sz w:val="20"/>
              </w:rPr>
              <w:t></w:t>
            </w:r>
            <w:r>
              <w:rPr>
                <w:rFonts w:eastAsia="DengXian"/>
                <w:color w:val="000000"/>
                <w:sz w:val="20"/>
              </w:rPr>
              <w:t xml:space="preserve"> (</w:t>
            </w:r>
            <w:r>
              <w:rPr>
                <w:rFonts w:ascii="Symbol" w:eastAsia="DengXian" w:hAnsi="Symbol" w:cs="宋体"/>
                <w:color w:val="000000"/>
                <w:sz w:val="20"/>
              </w:rPr>
              <w:t></w:t>
            </w:r>
            <w:r>
              <w:rPr>
                <w:rFonts w:eastAsia="DengXian"/>
                <w:color w:val="000000"/>
                <w:sz w:val="20"/>
              </w:rPr>
              <w:t xml:space="preserve">) </w:t>
            </w:r>
          </w:p>
        </w:tc>
        <w:tc>
          <w:tcPr>
            <w:tcW w:w="238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90, 90, 90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90, 90, 90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Wavelength (Å)</w:t>
            </w:r>
          </w:p>
        </w:tc>
        <w:tc>
          <w:tcPr>
            <w:tcW w:w="238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0.97853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0.97853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Resolution (Å)</w:t>
            </w:r>
          </w:p>
        </w:tc>
        <w:tc>
          <w:tcPr>
            <w:tcW w:w="2380" w:type="dxa"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50.00-2.39 (2.45-2.39)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50.00-2.70 (2.86-2.70)</w:t>
            </w:r>
          </w:p>
        </w:tc>
      </w:tr>
      <w:tr w:rsidR="0082611C">
        <w:trPr>
          <w:trHeight w:val="36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i/>
                <w:iCs/>
                <w:color w:val="000000"/>
                <w:sz w:val="20"/>
              </w:rPr>
            </w:pPr>
            <w:proofErr w:type="spellStart"/>
            <w:r>
              <w:rPr>
                <w:rFonts w:eastAsia="DengXian"/>
                <w:i/>
                <w:iCs/>
                <w:color w:val="000000"/>
                <w:sz w:val="20"/>
              </w:rPr>
              <w:t>R</w:t>
            </w:r>
            <w:r>
              <w:rPr>
                <w:rFonts w:eastAsia="DengXian"/>
                <w:color w:val="000000"/>
                <w:sz w:val="20"/>
                <w:vertAlign w:val="subscript"/>
              </w:rPr>
              <w:t>sym</w:t>
            </w:r>
            <w:proofErr w:type="spellEnd"/>
            <w:r>
              <w:rPr>
                <w:rFonts w:eastAsia="DengXian"/>
                <w:color w:val="000000"/>
                <w:sz w:val="20"/>
              </w:rPr>
              <w:t xml:space="preserve"> or </w:t>
            </w:r>
            <w:proofErr w:type="spellStart"/>
            <w:r>
              <w:rPr>
                <w:rFonts w:eastAsia="DengXian"/>
                <w:i/>
                <w:iCs/>
                <w:color w:val="000000"/>
                <w:sz w:val="20"/>
              </w:rPr>
              <w:t>R</w:t>
            </w:r>
            <w:r>
              <w:rPr>
                <w:rFonts w:eastAsia="DengXian"/>
                <w:color w:val="000000"/>
                <w:sz w:val="20"/>
                <w:vertAlign w:val="subscript"/>
              </w:rPr>
              <w:t>merge</w:t>
            </w:r>
            <w:proofErr w:type="spellEnd"/>
          </w:p>
        </w:tc>
        <w:tc>
          <w:tcPr>
            <w:tcW w:w="2380" w:type="dxa"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13.6 (137.1)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26.3 (101.9)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i/>
                <w:iCs/>
                <w:color w:val="000000"/>
                <w:sz w:val="20"/>
              </w:rPr>
            </w:pPr>
            <w:r>
              <w:rPr>
                <w:rFonts w:eastAsia="DengXian"/>
                <w:i/>
                <w:iCs/>
                <w:color w:val="000000"/>
                <w:sz w:val="20"/>
              </w:rPr>
              <w:t xml:space="preserve">I </w:t>
            </w:r>
            <w:r>
              <w:rPr>
                <w:rFonts w:eastAsia="DengXian"/>
                <w:color w:val="000000"/>
                <w:sz w:val="20"/>
              </w:rPr>
              <w:t xml:space="preserve">/ </w:t>
            </w:r>
            <w:r>
              <w:rPr>
                <w:rFonts w:ascii="Symbol" w:eastAsia="DengXian" w:hAnsi="Symbol"/>
                <w:color w:val="000000"/>
                <w:sz w:val="20"/>
              </w:rPr>
              <w:t></w:t>
            </w:r>
            <w:r>
              <w:rPr>
                <w:rFonts w:ascii="Symbol" w:eastAsia="DengXian" w:hAnsi="Symbol"/>
                <w:color w:val="000000"/>
                <w:sz w:val="20"/>
              </w:rPr>
              <w:t></w:t>
            </w:r>
            <w:r>
              <w:rPr>
                <w:rFonts w:ascii="Symbol" w:eastAsia="DengXian" w:hAnsi="Symbol"/>
                <w:i/>
                <w:iCs/>
                <w:color w:val="000000"/>
                <w:sz w:val="20"/>
              </w:rPr>
              <w:t></w:t>
            </w:r>
            <w:r>
              <w:rPr>
                <w:rFonts w:ascii="Symbol" w:eastAsia="DengXian" w:hAnsi="Symbol"/>
                <w:color w:val="000000"/>
                <w:sz w:val="20"/>
              </w:rPr>
              <w:t></w:t>
            </w:r>
          </w:p>
        </w:tc>
        <w:tc>
          <w:tcPr>
            <w:tcW w:w="2380" w:type="dxa"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11.33 (1.75)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6.25 (1.65)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Completeness (%)</w:t>
            </w:r>
          </w:p>
        </w:tc>
        <w:tc>
          <w:tcPr>
            <w:tcW w:w="2380" w:type="dxa"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99.6 (96.2)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99.8 (99.6)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Redundancy</w:t>
            </w:r>
          </w:p>
        </w:tc>
        <w:tc>
          <w:tcPr>
            <w:tcW w:w="2380" w:type="dxa"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 xml:space="preserve">12.6 </w:t>
            </w:r>
            <w:r>
              <w:rPr>
                <w:rFonts w:eastAsia="DengXian"/>
                <w:color w:val="000000"/>
                <w:sz w:val="20"/>
              </w:rPr>
              <w:t>(12.2)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4.6 (4.7)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CC1/2 (%)</w:t>
            </w:r>
          </w:p>
        </w:tc>
        <w:tc>
          <w:tcPr>
            <w:tcW w:w="2380" w:type="dxa"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99.4 (84.7)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97.3 (62.3)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82611C">
            <w:pPr>
              <w:jc w:val="center"/>
              <w:rPr>
                <w:rFonts w:eastAsia="DengXian"/>
                <w:color w:val="000000"/>
                <w:sz w:val="20"/>
              </w:rPr>
            </w:pPr>
          </w:p>
        </w:tc>
        <w:tc>
          <w:tcPr>
            <w:tcW w:w="2380" w:type="dxa"/>
            <w:vAlign w:val="center"/>
          </w:tcPr>
          <w:p w:rsidR="0082611C" w:rsidRDefault="0082611C">
            <w:pPr>
              <w:rPr>
                <w:rFonts w:eastAsia="Times New Roman"/>
                <w:sz w:val="20"/>
              </w:rPr>
            </w:pPr>
          </w:p>
        </w:tc>
        <w:tc>
          <w:tcPr>
            <w:tcW w:w="2460" w:type="dxa"/>
            <w:noWrap/>
            <w:vAlign w:val="center"/>
          </w:tcPr>
          <w:p w:rsidR="0082611C" w:rsidRDefault="0082611C">
            <w:pPr>
              <w:jc w:val="center"/>
              <w:rPr>
                <w:rFonts w:eastAsia="Times New Roman"/>
                <w:sz w:val="20"/>
              </w:rPr>
            </w:pP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b/>
                <w:bCs/>
                <w:color w:val="000000"/>
                <w:sz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</w:rPr>
              <w:t>Refinement</w:t>
            </w:r>
          </w:p>
        </w:tc>
        <w:tc>
          <w:tcPr>
            <w:tcW w:w="2380" w:type="dxa"/>
            <w:vAlign w:val="center"/>
          </w:tcPr>
          <w:p w:rsidR="0082611C" w:rsidRDefault="0082611C">
            <w:pPr>
              <w:rPr>
                <w:rFonts w:eastAsia="DengXian"/>
                <w:b/>
                <w:bCs/>
                <w:color w:val="000000"/>
                <w:sz w:val="20"/>
              </w:rPr>
            </w:pPr>
          </w:p>
        </w:tc>
        <w:tc>
          <w:tcPr>
            <w:tcW w:w="2460" w:type="dxa"/>
            <w:noWrap/>
            <w:vAlign w:val="center"/>
          </w:tcPr>
          <w:p w:rsidR="0082611C" w:rsidRDefault="0082611C">
            <w:pPr>
              <w:jc w:val="center"/>
              <w:rPr>
                <w:rFonts w:eastAsia="Times New Roman"/>
                <w:sz w:val="20"/>
              </w:rPr>
            </w:pP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Resolution (Å)</w:t>
            </w:r>
          </w:p>
        </w:tc>
        <w:tc>
          <w:tcPr>
            <w:tcW w:w="2380" w:type="dxa"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47.22-2.4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40.03-2.7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No. reflections</w:t>
            </w:r>
          </w:p>
        </w:tc>
        <w:tc>
          <w:tcPr>
            <w:tcW w:w="2380" w:type="dxa"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16,136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13,778</w:t>
            </w:r>
          </w:p>
        </w:tc>
      </w:tr>
      <w:tr w:rsidR="0082611C">
        <w:trPr>
          <w:trHeight w:val="36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i/>
                <w:iCs/>
                <w:color w:val="000000"/>
                <w:sz w:val="20"/>
              </w:rPr>
            </w:pPr>
            <w:proofErr w:type="spellStart"/>
            <w:r>
              <w:rPr>
                <w:rFonts w:eastAsia="DengXian"/>
                <w:i/>
                <w:iCs/>
                <w:color w:val="000000"/>
                <w:sz w:val="20"/>
              </w:rPr>
              <w:t>R</w:t>
            </w:r>
            <w:r>
              <w:rPr>
                <w:rFonts w:eastAsia="DengXian"/>
                <w:color w:val="000000"/>
                <w:sz w:val="20"/>
                <w:vertAlign w:val="subscript"/>
              </w:rPr>
              <w:t>work</w:t>
            </w:r>
            <w:proofErr w:type="spellEnd"/>
            <w:r>
              <w:rPr>
                <w:rFonts w:eastAsia="DengXian"/>
                <w:color w:val="000000"/>
                <w:sz w:val="20"/>
              </w:rPr>
              <w:t xml:space="preserve"> / </w:t>
            </w:r>
            <w:proofErr w:type="spellStart"/>
            <w:r>
              <w:rPr>
                <w:rFonts w:eastAsia="DengXian"/>
                <w:i/>
                <w:iCs/>
                <w:color w:val="000000"/>
                <w:sz w:val="20"/>
              </w:rPr>
              <w:t>R</w:t>
            </w:r>
            <w:r>
              <w:rPr>
                <w:rFonts w:eastAsia="DengXian"/>
                <w:color w:val="000000"/>
                <w:sz w:val="20"/>
                <w:vertAlign w:val="subscript"/>
              </w:rPr>
              <w:t>free</w:t>
            </w:r>
            <w:proofErr w:type="spellEnd"/>
          </w:p>
        </w:tc>
        <w:tc>
          <w:tcPr>
            <w:tcW w:w="2380" w:type="dxa"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22.6 / 27.3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24.0 / 28.7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No. atoms</w:t>
            </w:r>
          </w:p>
        </w:tc>
        <w:tc>
          <w:tcPr>
            <w:tcW w:w="2380" w:type="dxa"/>
            <w:vAlign w:val="center"/>
          </w:tcPr>
          <w:p w:rsidR="0082611C" w:rsidRDefault="0082611C">
            <w:pPr>
              <w:rPr>
                <w:rFonts w:eastAsia="DengXian"/>
                <w:color w:val="000000"/>
                <w:sz w:val="20"/>
              </w:rPr>
            </w:pPr>
          </w:p>
        </w:tc>
        <w:tc>
          <w:tcPr>
            <w:tcW w:w="2460" w:type="dxa"/>
            <w:noWrap/>
            <w:vAlign w:val="center"/>
          </w:tcPr>
          <w:p w:rsidR="0082611C" w:rsidRDefault="0082611C">
            <w:pPr>
              <w:jc w:val="center"/>
              <w:rPr>
                <w:rFonts w:eastAsia="Times New Roman"/>
                <w:sz w:val="20"/>
              </w:rPr>
            </w:pP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 xml:space="preserve">    Protein</w:t>
            </w:r>
          </w:p>
        </w:tc>
        <w:tc>
          <w:tcPr>
            <w:tcW w:w="2380" w:type="dxa"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2,518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2,446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 xml:space="preserve">    Ligand/ion</w:t>
            </w:r>
          </w:p>
        </w:tc>
        <w:tc>
          <w:tcPr>
            <w:tcW w:w="2380" w:type="dxa"/>
            <w:vAlign w:val="center"/>
          </w:tcPr>
          <w:p w:rsidR="0082611C" w:rsidRDefault="0082611C">
            <w:pPr>
              <w:rPr>
                <w:rFonts w:eastAsia="DengXian"/>
                <w:color w:val="000000"/>
                <w:sz w:val="20"/>
              </w:rPr>
            </w:pPr>
          </w:p>
        </w:tc>
        <w:tc>
          <w:tcPr>
            <w:tcW w:w="2460" w:type="dxa"/>
            <w:noWrap/>
            <w:vAlign w:val="center"/>
          </w:tcPr>
          <w:p w:rsidR="0082611C" w:rsidRDefault="0082611C">
            <w:pPr>
              <w:jc w:val="center"/>
              <w:rPr>
                <w:rFonts w:eastAsia="Times New Roman"/>
                <w:sz w:val="20"/>
              </w:rPr>
            </w:pP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 xml:space="preserve">    Water</w:t>
            </w:r>
          </w:p>
        </w:tc>
        <w:tc>
          <w:tcPr>
            <w:tcW w:w="2380" w:type="dxa"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22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77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i/>
                <w:iCs/>
                <w:color w:val="000000"/>
                <w:sz w:val="20"/>
              </w:rPr>
            </w:pPr>
            <w:r>
              <w:rPr>
                <w:rFonts w:eastAsia="DengXian"/>
                <w:i/>
                <w:iCs/>
                <w:color w:val="000000"/>
                <w:sz w:val="20"/>
              </w:rPr>
              <w:t>B</w:t>
            </w:r>
            <w:r>
              <w:rPr>
                <w:rFonts w:eastAsia="DengXian"/>
                <w:color w:val="000000"/>
                <w:sz w:val="20"/>
              </w:rPr>
              <w:t>-factors</w:t>
            </w:r>
          </w:p>
        </w:tc>
        <w:tc>
          <w:tcPr>
            <w:tcW w:w="2380" w:type="dxa"/>
            <w:vAlign w:val="center"/>
          </w:tcPr>
          <w:p w:rsidR="0082611C" w:rsidRDefault="0082611C">
            <w:pPr>
              <w:rPr>
                <w:rFonts w:eastAsia="DengXian"/>
                <w:i/>
                <w:iCs/>
                <w:color w:val="000000"/>
                <w:sz w:val="20"/>
              </w:rPr>
            </w:pPr>
          </w:p>
        </w:tc>
        <w:tc>
          <w:tcPr>
            <w:tcW w:w="2460" w:type="dxa"/>
            <w:noWrap/>
            <w:vAlign w:val="center"/>
          </w:tcPr>
          <w:p w:rsidR="0082611C" w:rsidRDefault="0082611C">
            <w:pPr>
              <w:jc w:val="center"/>
              <w:rPr>
                <w:rFonts w:eastAsia="Times New Roman"/>
                <w:sz w:val="20"/>
              </w:rPr>
            </w:pP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 xml:space="preserve">    Protein</w:t>
            </w:r>
          </w:p>
        </w:tc>
        <w:tc>
          <w:tcPr>
            <w:tcW w:w="2380" w:type="dxa"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66.25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30.01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 xml:space="preserve">    Ligand/ion</w:t>
            </w:r>
          </w:p>
        </w:tc>
        <w:tc>
          <w:tcPr>
            <w:tcW w:w="2380" w:type="dxa"/>
            <w:vAlign w:val="center"/>
          </w:tcPr>
          <w:p w:rsidR="0082611C" w:rsidRDefault="0082611C">
            <w:pPr>
              <w:rPr>
                <w:rFonts w:eastAsia="DengXian"/>
                <w:color w:val="000000"/>
                <w:sz w:val="20"/>
              </w:rPr>
            </w:pPr>
          </w:p>
        </w:tc>
        <w:tc>
          <w:tcPr>
            <w:tcW w:w="2460" w:type="dxa"/>
            <w:noWrap/>
            <w:vAlign w:val="center"/>
          </w:tcPr>
          <w:p w:rsidR="0082611C" w:rsidRDefault="0082611C">
            <w:pPr>
              <w:jc w:val="center"/>
              <w:rPr>
                <w:rFonts w:eastAsia="Times New Roman"/>
                <w:sz w:val="20"/>
              </w:rPr>
            </w:pP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 xml:space="preserve">    Water</w:t>
            </w:r>
          </w:p>
        </w:tc>
        <w:tc>
          <w:tcPr>
            <w:tcW w:w="2380" w:type="dxa"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53.43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23.72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proofErr w:type="spellStart"/>
            <w:r>
              <w:rPr>
                <w:rFonts w:eastAsia="DengXian"/>
                <w:color w:val="000000"/>
                <w:sz w:val="20"/>
              </w:rPr>
              <w:t>R.m.s</w:t>
            </w:r>
            <w:proofErr w:type="spellEnd"/>
            <w:r>
              <w:rPr>
                <w:rFonts w:eastAsia="DengXian"/>
                <w:color w:val="000000"/>
                <w:sz w:val="20"/>
              </w:rPr>
              <w:t>. deviations</w:t>
            </w:r>
          </w:p>
        </w:tc>
        <w:tc>
          <w:tcPr>
            <w:tcW w:w="2380" w:type="dxa"/>
            <w:vAlign w:val="center"/>
          </w:tcPr>
          <w:p w:rsidR="0082611C" w:rsidRDefault="0082611C">
            <w:pPr>
              <w:rPr>
                <w:rFonts w:eastAsia="DengXian"/>
                <w:color w:val="000000"/>
                <w:sz w:val="20"/>
              </w:rPr>
            </w:pPr>
          </w:p>
        </w:tc>
        <w:tc>
          <w:tcPr>
            <w:tcW w:w="2460" w:type="dxa"/>
            <w:noWrap/>
            <w:vAlign w:val="center"/>
          </w:tcPr>
          <w:p w:rsidR="0082611C" w:rsidRDefault="0082611C">
            <w:pPr>
              <w:jc w:val="center"/>
              <w:rPr>
                <w:rFonts w:eastAsia="Times New Roman"/>
                <w:sz w:val="20"/>
              </w:rPr>
            </w:pP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 xml:space="preserve">    Bond lengths (Å)</w:t>
            </w:r>
          </w:p>
        </w:tc>
        <w:tc>
          <w:tcPr>
            <w:tcW w:w="2380" w:type="dxa"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0.006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0.003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 xml:space="preserve">    Bond angles (°)</w:t>
            </w:r>
          </w:p>
        </w:tc>
        <w:tc>
          <w:tcPr>
            <w:tcW w:w="2380" w:type="dxa"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0.96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0.65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Ramachandran plot (%)</w:t>
            </w:r>
          </w:p>
        </w:tc>
        <w:tc>
          <w:tcPr>
            <w:tcW w:w="2380" w:type="dxa"/>
            <w:vAlign w:val="center"/>
          </w:tcPr>
          <w:p w:rsidR="0082611C" w:rsidRDefault="0082611C">
            <w:pPr>
              <w:rPr>
                <w:rFonts w:eastAsia="DengXian"/>
                <w:color w:val="000000"/>
                <w:sz w:val="20"/>
              </w:rPr>
            </w:pPr>
          </w:p>
        </w:tc>
        <w:tc>
          <w:tcPr>
            <w:tcW w:w="2460" w:type="dxa"/>
            <w:noWrap/>
            <w:vAlign w:val="center"/>
          </w:tcPr>
          <w:p w:rsidR="0082611C" w:rsidRDefault="0082611C">
            <w:pPr>
              <w:jc w:val="center"/>
              <w:rPr>
                <w:rFonts w:eastAsia="Times New Roman"/>
                <w:sz w:val="20"/>
              </w:rPr>
            </w:pP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 xml:space="preserve">    Favored</w:t>
            </w:r>
          </w:p>
        </w:tc>
        <w:tc>
          <w:tcPr>
            <w:tcW w:w="2380" w:type="dxa"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97.8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96.14</w:t>
            </w:r>
          </w:p>
        </w:tc>
      </w:tr>
      <w:tr w:rsidR="0082611C">
        <w:trPr>
          <w:trHeight w:val="320"/>
        </w:trPr>
        <w:tc>
          <w:tcPr>
            <w:tcW w:w="2000" w:type="dxa"/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 xml:space="preserve">    Allowed</w:t>
            </w:r>
          </w:p>
        </w:tc>
        <w:tc>
          <w:tcPr>
            <w:tcW w:w="2380" w:type="dxa"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1.6</w:t>
            </w:r>
          </w:p>
        </w:tc>
        <w:tc>
          <w:tcPr>
            <w:tcW w:w="2460" w:type="dxa"/>
            <w:noWrap/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3.22</w:t>
            </w:r>
          </w:p>
        </w:tc>
      </w:tr>
      <w:tr w:rsidR="0082611C">
        <w:trPr>
          <w:trHeight w:val="340"/>
        </w:trPr>
        <w:tc>
          <w:tcPr>
            <w:tcW w:w="200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2611C" w:rsidRDefault="0007094D">
            <w:pPr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 xml:space="preserve">    Outliers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0.6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2611C" w:rsidRDefault="0007094D">
            <w:pPr>
              <w:jc w:val="center"/>
              <w:rPr>
                <w:rFonts w:eastAsia="DengXian"/>
                <w:color w:val="000000"/>
                <w:sz w:val="20"/>
              </w:rPr>
            </w:pPr>
            <w:r>
              <w:rPr>
                <w:rFonts w:eastAsia="DengXian"/>
                <w:color w:val="000000"/>
                <w:sz w:val="20"/>
              </w:rPr>
              <w:t>0.64</w:t>
            </w:r>
          </w:p>
        </w:tc>
      </w:tr>
    </w:tbl>
    <w:p w:rsidR="0082611C" w:rsidRDefault="0007094D">
      <w:pPr>
        <w:rPr>
          <w:rFonts w:eastAsia="Times New Roman"/>
          <w:kern w:val="32"/>
          <w:szCs w:val="24"/>
        </w:rPr>
      </w:pPr>
      <w:r>
        <w:rPr>
          <w:rFonts w:eastAsia="Times New Roman"/>
          <w:kern w:val="32"/>
          <w:szCs w:val="24"/>
        </w:rPr>
        <w:br w:type="page"/>
      </w:r>
    </w:p>
    <w:p w:rsidR="0082611C" w:rsidRDefault="0007094D">
      <w:pPr>
        <w:spacing w:line="360" w:lineRule="auto"/>
        <w:rPr>
          <w:rFonts w:eastAsia="Times New Roman"/>
          <w:b/>
          <w:color w:val="000000"/>
        </w:rPr>
      </w:pPr>
      <w:r>
        <w:rPr>
          <w:b/>
          <w:bCs/>
          <w:szCs w:val="24"/>
        </w:rPr>
        <w:lastRenderedPageBreak/>
        <w:t>Supplementary</w:t>
      </w:r>
      <w:r>
        <w:rPr>
          <w:b/>
          <w:szCs w:val="24"/>
        </w:rPr>
        <w:t xml:space="preserve"> Table 2.</w:t>
      </w:r>
      <w:r>
        <w:rPr>
          <w:rFonts w:eastAsia="Times New Roman"/>
          <w:b/>
          <w:color w:val="000000"/>
        </w:rPr>
        <w:t xml:space="preserve"> SAXS data analysis, model fitting and software used</w:t>
      </w:r>
    </w:p>
    <w:tbl>
      <w:tblPr>
        <w:tblW w:w="9844" w:type="dxa"/>
        <w:tblLook w:val="04A0" w:firstRow="1" w:lastRow="0" w:firstColumn="1" w:lastColumn="0" w:noHBand="0" w:noVBand="1"/>
      </w:tblPr>
      <w:tblGrid>
        <w:gridCol w:w="4133"/>
        <w:gridCol w:w="1760"/>
        <w:gridCol w:w="61"/>
        <w:gridCol w:w="1855"/>
        <w:gridCol w:w="61"/>
        <w:gridCol w:w="1861"/>
        <w:gridCol w:w="61"/>
        <w:gridCol w:w="52"/>
      </w:tblGrid>
      <w:tr w:rsidR="0082611C">
        <w:trPr>
          <w:gridAfter w:val="2"/>
          <w:wAfter w:w="113" w:type="dxa"/>
          <w:trHeight w:val="280"/>
        </w:trPr>
        <w:tc>
          <w:tcPr>
            <w:tcW w:w="41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2611C" w:rsidRDefault="0007094D">
            <w:pPr>
              <w:rPr>
                <w:rFonts w:ascii="Arial" w:eastAsia="宋体" w:hAnsi="Arial" w:cs="Arial"/>
                <w:color w:val="000000"/>
                <w:sz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sz w:val="20"/>
              </w:rPr>
              <w:t>(a) Sample details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Nb1–BCMA</w:t>
            </w:r>
            <w:r>
              <w:rPr>
                <w:rFonts w:eastAsia="宋体"/>
                <w:color w:val="000000"/>
                <w:sz w:val="20"/>
                <w:vertAlign w:val="subscript"/>
              </w:rPr>
              <w:t>ECD</w:t>
            </w:r>
          </w:p>
        </w:tc>
        <w:tc>
          <w:tcPr>
            <w:tcW w:w="19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Nb2–BCMA</w:t>
            </w:r>
            <w:r>
              <w:rPr>
                <w:rFonts w:eastAsia="宋体"/>
                <w:color w:val="000000"/>
                <w:sz w:val="20"/>
                <w:vertAlign w:val="subscript"/>
              </w:rPr>
              <w:t>ECD</w:t>
            </w:r>
          </w:p>
        </w:tc>
        <w:tc>
          <w:tcPr>
            <w:tcW w:w="19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NbT–BCMA</w:t>
            </w:r>
            <w:r>
              <w:rPr>
                <w:rFonts w:eastAsia="宋体"/>
                <w:color w:val="000000"/>
                <w:sz w:val="20"/>
                <w:vertAlign w:val="subscript"/>
              </w:rPr>
              <w:t>ECD</w:t>
            </w:r>
          </w:p>
        </w:tc>
      </w:tr>
      <w:tr w:rsidR="0082611C">
        <w:trPr>
          <w:gridAfter w:val="2"/>
          <w:wAfter w:w="113" w:type="dxa"/>
          <w:trHeight w:val="280"/>
        </w:trPr>
        <w:tc>
          <w:tcPr>
            <w:tcW w:w="4133" w:type="dxa"/>
            <w:tcBorders>
              <w:top w:val="single" w:sz="8" w:space="0" w:color="auto"/>
            </w:tcBorders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Organism</w:t>
            </w:r>
          </w:p>
        </w:tc>
        <w:tc>
          <w:tcPr>
            <w:tcW w:w="5598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Homo sapiens BCMA; Camelid nanobodies</w:t>
            </w:r>
          </w:p>
        </w:tc>
      </w:tr>
      <w:tr w:rsidR="0082611C">
        <w:trPr>
          <w:gridAfter w:val="2"/>
          <w:wAfter w:w="113" w:type="dxa"/>
          <w:trHeight w:val="280"/>
        </w:trPr>
        <w:tc>
          <w:tcPr>
            <w:tcW w:w="4133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Source (Catalogue No. or reference)</w:t>
            </w:r>
          </w:p>
        </w:tc>
        <w:tc>
          <w:tcPr>
            <w:tcW w:w="5598" w:type="dxa"/>
            <w:gridSpan w:val="5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iCs/>
                <w:color w:val="000000"/>
                <w:sz w:val="20"/>
              </w:rPr>
              <w:t xml:space="preserve">Synthesized </w:t>
            </w:r>
            <w:r>
              <w:rPr>
                <w:rFonts w:eastAsia="宋体"/>
                <w:color w:val="000000"/>
                <w:sz w:val="20"/>
              </w:rPr>
              <w:t>BCMA</w:t>
            </w:r>
            <w:r>
              <w:rPr>
                <w:rFonts w:eastAsia="宋体"/>
                <w:color w:val="000000"/>
                <w:sz w:val="20"/>
                <w:vertAlign w:val="subscript"/>
              </w:rPr>
              <w:t>ECD;</w:t>
            </w:r>
            <w:r>
              <w:rPr>
                <w:rFonts w:eastAsia="宋体"/>
                <w:iCs/>
                <w:color w:val="000000"/>
                <w:sz w:val="20"/>
              </w:rPr>
              <w:t xml:space="preserve"> </w:t>
            </w:r>
            <w:proofErr w:type="gramStart"/>
            <w:r>
              <w:rPr>
                <w:rFonts w:eastAsia="宋体"/>
                <w:i/>
                <w:iCs/>
                <w:color w:val="000000"/>
                <w:sz w:val="20"/>
              </w:rPr>
              <w:t>E.coli</w:t>
            </w:r>
            <w:proofErr w:type="gramEnd"/>
            <w:r>
              <w:rPr>
                <w:rFonts w:eastAsia="宋体"/>
                <w:color w:val="000000"/>
                <w:sz w:val="20"/>
              </w:rPr>
              <w:t xml:space="preserve"> expressed nanobodies</w:t>
            </w:r>
          </w:p>
        </w:tc>
      </w:tr>
      <w:tr w:rsidR="0082611C">
        <w:trPr>
          <w:gridAfter w:val="1"/>
          <w:wAfter w:w="52" w:type="dxa"/>
          <w:trHeight w:val="540"/>
        </w:trPr>
        <w:tc>
          <w:tcPr>
            <w:tcW w:w="4133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proofErr w:type="spellStart"/>
            <w:r>
              <w:rPr>
                <w:rFonts w:eastAsia="宋体"/>
                <w:color w:val="000000"/>
                <w:sz w:val="20"/>
              </w:rPr>
              <w:t>UniProt</w:t>
            </w:r>
            <w:proofErr w:type="spellEnd"/>
            <w:r>
              <w:rPr>
                <w:rFonts w:eastAsia="宋体"/>
                <w:color w:val="000000"/>
                <w:sz w:val="20"/>
              </w:rPr>
              <w:t xml:space="preserve"> sequence ID (residues in construct)</w:t>
            </w:r>
            <w:r>
              <w:rPr>
                <w:rFonts w:eastAsia="宋体"/>
                <w:color w:val="000000"/>
                <w:sz w:val="20"/>
              </w:rPr>
              <w:tab/>
            </w:r>
          </w:p>
        </w:tc>
        <w:tc>
          <w:tcPr>
            <w:tcW w:w="1821" w:type="dxa"/>
            <w:gridSpan w:val="2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BCMA</w:t>
            </w:r>
            <w:r>
              <w:rPr>
                <w:rFonts w:eastAsia="宋体"/>
                <w:color w:val="000000"/>
                <w:sz w:val="20"/>
                <w:vertAlign w:val="subscript"/>
              </w:rPr>
              <w:t xml:space="preserve">ECD </w:t>
            </w:r>
            <w:r>
              <w:rPr>
                <w:rFonts w:eastAsia="宋体"/>
                <w:color w:val="000000"/>
                <w:sz w:val="20"/>
              </w:rPr>
              <w:t>Q02223(1-54)</w:t>
            </w:r>
          </w:p>
        </w:tc>
        <w:tc>
          <w:tcPr>
            <w:tcW w:w="1916" w:type="dxa"/>
            <w:gridSpan w:val="2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BCMA</w:t>
            </w:r>
            <w:r>
              <w:rPr>
                <w:rFonts w:eastAsia="宋体"/>
                <w:color w:val="000000"/>
                <w:sz w:val="20"/>
                <w:vertAlign w:val="subscript"/>
              </w:rPr>
              <w:t>ECD</w:t>
            </w:r>
            <w:r>
              <w:rPr>
                <w:rFonts w:eastAsia="宋体"/>
                <w:color w:val="000000"/>
                <w:sz w:val="20"/>
              </w:rPr>
              <w:t xml:space="preserve"> Q02223(1-54)</w:t>
            </w:r>
          </w:p>
        </w:tc>
        <w:tc>
          <w:tcPr>
            <w:tcW w:w="1922" w:type="dxa"/>
            <w:gridSpan w:val="2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BCMA</w:t>
            </w:r>
            <w:r>
              <w:rPr>
                <w:rFonts w:eastAsia="宋体"/>
                <w:color w:val="000000"/>
                <w:sz w:val="20"/>
                <w:vertAlign w:val="subscript"/>
              </w:rPr>
              <w:t>ECD</w:t>
            </w:r>
            <w:r>
              <w:rPr>
                <w:rFonts w:eastAsia="宋体"/>
                <w:color w:val="000000"/>
                <w:sz w:val="20"/>
              </w:rPr>
              <w:t xml:space="preserve"> Q02223(1-54)</w:t>
            </w:r>
          </w:p>
        </w:tc>
      </w:tr>
      <w:tr w:rsidR="0082611C">
        <w:trPr>
          <w:gridAfter w:val="1"/>
          <w:wAfter w:w="52" w:type="dxa"/>
          <w:trHeight w:val="540"/>
        </w:trPr>
        <w:tc>
          <w:tcPr>
            <w:tcW w:w="4133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Molecular mass M from chemical composition (kDa)</w:t>
            </w:r>
          </w:p>
        </w:tc>
        <w:tc>
          <w:tcPr>
            <w:tcW w:w="1821" w:type="dxa"/>
            <w:gridSpan w:val="2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40</w:t>
            </w:r>
          </w:p>
        </w:tc>
        <w:tc>
          <w:tcPr>
            <w:tcW w:w="1916" w:type="dxa"/>
            <w:gridSpan w:val="2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20</w:t>
            </w:r>
          </w:p>
        </w:tc>
        <w:tc>
          <w:tcPr>
            <w:tcW w:w="1922" w:type="dxa"/>
            <w:gridSpan w:val="2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80</w:t>
            </w:r>
          </w:p>
        </w:tc>
      </w:tr>
      <w:tr w:rsidR="0082611C">
        <w:trPr>
          <w:gridAfter w:val="2"/>
          <w:wAfter w:w="113" w:type="dxa"/>
          <w:trHeight w:val="560"/>
        </w:trPr>
        <w:tc>
          <w:tcPr>
            <w:tcW w:w="4133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Concentration (range/values) measured (mg/mL)</w:t>
            </w:r>
          </w:p>
        </w:tc>
        <w:tc>
          <w:tcPr>
            <w:tcW w:w="5598" w:type="dxa"/>
            <w:gridSpan w:val="5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4-5.6</w:t>
            </w:r>
          </w:p>
        </w:tc>
      </w:tr>
      <w:tr w:rsidR="0082611C">
        <w:trPr>
          <w:gridAfter w:val="2"/>
          <w:wAfter w:w="113" w:type="dxa"/>
          <w:trHeight w:val="300"/>
        </w:trPr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 xml:space="preserve">Solvent </w:t>
            </w:r>
            <w:r>
              <w:rPr>
                <w:rFonts w:eastAsia="宋体"/>
                <w:color w:val="000000"/>
                <w:sz w:val="20"/>
              </w:rPr>
              <w:t>composition and source</w:t>
            </w:r>
          </w:p>
        </w:tc>
        <w:tc>
          <w:tcPr>
            <w:tcW w:w="559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20 mM Tris, 100 mM NaCl, pH 8.0</w:t>
            </w:r>
          </w:p>
        </w:tc>
      </w:tr>
      <w:tr w:rsidR="0082611C">
        <w:trPr>
          <w:gridAfter w:val="2"/>
          <w:wAfter w:w="113" w:type="dxa"/>
          <w:trHeight w:val="300"/>
        </w:trPr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2611C" w:rsidRDefault="0007094D">
            <w:pPr>
              <w:rPr>
                <w:rFonts w:ascii="Arial" w:eastAsia="宋体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sz w:val="20"/>
              </w:rPr>
              <w:t>(b) SAS data collection parameters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2611C" w:rsidRDefault="0082611C">
            <w:pPr>
              <w:rPr>
                <w:rFonts w:ascii="Arial" w:eastAsia="宋体" w:hAnsi="Arial" w:cs="Arial"/>
                <w:color w:val="000000"/>
                <w:sz w:val="20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2611C" w:rsidRDefault="0082611C">
            <w:pPr>
              <w:rPr>
                <w:rFonts w:ascii="Arial" w:eastAsia="宋体" w:hAnsi="Arial" w:cs="Arial"/>
                <w:color w:val="000000"/>
                <w:sz w:val="20"/>
              </w:rPr>
            </w:pPr>
          </w:p>
        </w:tc>
        <w:tc>
          <w:tcPr>
            <w:tcW w:w="19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2611C" w:rsidRDefault="0082611C">
            <w:pPr>
              <w:rPr>
                <w:rFonts w:ascii="Arial" w:eastAsia="宋体" w:hAnsi="Arial" w:cs="Arial"/>
                <w:color w:val="000000"/>
                <w:sz w:val="20"/>
              </w:rPr>
            </w:pPr>
          </w:p>
        </w:tc>
      </w:tr>
      <w:tr w:rsidR="0082611C">
        <w:trPr>
          <w:gridAfter w:val="2"/>
          <w:wAfter w:w="113" w:type="dxa"/>
          <w:trHeight w:val="640"/>
        </w:trPr>
        <w:tc>
          <w:tcPr>
            <w:tcW w:w="4133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Source, instrument and description or reference</w:t>
            </w:r>
          </w:p>
        </w:tc>
        <w:tc>
          <w:tcPr>
            <w:tcW w:w="5598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 xml:space="preserve">BL19U2 </w:t>
            </w:r>
            <w:proofErr w:type="spellStart"/>
            <w:r>
              <w:rPr>
                <w:rFonts w:eastAsia="宋体"/>
                <w:color w:val="000000"/>
                <w:sz w:val="20"/>
              </w:rPr>
              <w:t>BioSAXS</w:t>
            </w:r>
            <w:proofErr w:type="spellEnd"/>
            <w:r>
              <w:rPr>
                <w:rFonts w:eastAsia="宋体"/>
                <w:color w:val="000000"/>
                <w:sz w:val="20"/>
              </w:rPr>
              <w:t xml:space="preserve"> Beamline, National Facility for Protein Science Shanghai with two detectors inline: Pilatus2M </w:t>
            </w:r>
            <w:r>
              <w:rPr>
                <w:rFonts w:eastAsia="宋体"/>
                <w:color w:val="000000"/>
                <w:sz w:val="20"/>
              </w:rPr>
              <w:t>(SAXS)</w:t>
            </w:r>
          </w:p>
        </w:tc>
      </w:tr>
      <w:tr w:rsidR="0082611C">
        <w:trPr>
          <w:gridAfter w:val="2"/>
          <w:wAfter w:w="113" w:type="dxa"/>
          <w:trHeight w:val="280"/>
        </w:trPr>
        <w:tc>
          <w:tcPr>
            <w:tcW w:w="4133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Wavelength (Å)</w:t>
            </w:r>
          </w:p>
        </w:tc>
        <w:tc>
          <w:tcPr>
            <w:tcW w:w="5598" w:type="dxa"/>
            <w:gridSpan w:val="5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1.03</w:t>
            </w:r>
          </w:p>
        </w:tc>
      </w:tr>
      <w:tr w:rsidR="0082611C">
        <w:trPr>
          <w:gridAfter w:val="2"/>
          <w:wAfter w:w="113" w:type="dxa"/>
          <w:trHeight w:val="600"/>
        </w:trPr>
        <w:tc>
          <w:tcPr>
            <w:tcW w:w="4133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Beam geometry (size, sample-to-detector distance) (H x V) mm</w:t>
            </w:r>
            <w:r>
              <w:rPr>
                <w:rFonts w:eastAsia="宋体"/>
                <w:color w:val="000000"/>
                <w:sz w:val="20"/>
                <w:vertAlign w:val="superscript"/>
              </w:rPr>
              <w:t>2</w:t>
            </w:r>
          </w:p>
        </w:tc>
        <w:tc>
          <w:tcPr>
            <w:tcW w:w="5598" w:type="dxa"/>
            <w:gridSpan w:val="5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330μm x 50μm (H x V), 2.74m</w:t>
            </w:r>
          </w:p>
        </w:tc>
      </w:tr>
      <w:tr w:rsidR="0082611C">
        <w:trPr>
          <w:gridAfter w:val="2"/>
          <w:wAfter w:w="113" w:type="dxa"/>
          <w:trHeight w:val="320"/>
        </w:trPr>
        <w:tc>
          <w:tcPr>
            <w:tcW w:w="4133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q-measurement range (Å</w:t>
            </w:r>
            <w:r>
              <w:rPr>
                <w:rFonts w:eastAsia="宋体"/>
                <w:color w:val="000000"/>
                <w:sz w:val="20"/>
                <w:vertAlign w:val="superscript"/>
              </w:rPr>
              <w:t>-</w:t>
            </w:r>
            <w:proofErr w:type="gramStart"/>
            <w:r>
              <w:rPr>
                <w:rFonts w:eastAsia="宋体"/>
                <w:color w:val="000000"/>
                <w:sz w:val="20"/>
                <w:vertAlign w:val="superscript"/>
              </w:rPr>
              <w:t xml:space="preserve">1 </w:t>
            </w:r>
            <w:r>
              <w:rPr>
                <w:rFonts w:eastAsia="宋体"/>
                <w:color w:val="000000"/>
                <w:sz w:val="20"/>
              </w:rPr>
              <w:t>)</w:t>
            </w:r>
            <w:proofErr w:type="gramEnd"/>
          </w:p>
        </w:tc>
        <w:tc>
          <w:tcPr>
            <w:tcW w:w="5598" w:type="dxa"/>
            <w:gridSpan w:val="5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0.008-0.47</w:t>
            </w:r>
          </w:p>
        </w:tc>
      </w:tr>
      <w:tr w:rsidR="0082611C">
        <w:trPr>
          <w:gridAfter w:val="2"/>
          <w:wAfter w:w="113" w:type="dxa"/>
          <w:trHeight w:val="940"/>
        </w:trPr>
        <w:tc>
          <w:tcPr>
            <w:tcW w:w="4133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Method for monitoring radiation damage, X-ray dose where relevant</w:t>
            </w:r>
          </w:p>
        </w:tc>
        <w:tc>
          <w:tcPr>
            <w:tcW w:w="5598" w:type="dxa"/>
            <w:gridSpan w:val="5"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 xml:space="preserve">SAXS data were collected as </w:t>
            </w:r>
            <w:r>
              <w:rPr>
                <w:rFonts w:eastAsia="宋体"/>
                <w:color w:val="000000"/>
                <w:sz w:val="20"/>
              </w:rPr>
              <w:t>continuous serial exposures and scattering profiles for the passes were compared to monitor the radiation damage</w:t>
            </w:r>
          </w:p>
        </w:tc>
      </w:tr>
      <w:tr w:rsidR="0082611C">
        <w:trPr>
          <w:gridAfter w:val="2"/>
          <w:wAfter w:w="113" w:type="dxa"/>
          <w:trHeight w:val="280"/>
        </w:trPr>
        <w:tc>
          <w:tcPr>
            <w:tcW w:w="4133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Exposure time, number of exposures</w:t>
            </w:r>
          </w:p>
        </w:tc>
        <w:tc>
          <w:tcPr>
            <w:tcW w:w="5598" w:type="dxa"/>
            <w:gridSpan w:val="5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1 s per frame, total 20 frames</w:t>
            </w:r>
          </w:p>
        </w:tc>
      </w:tr>
      <w:tr w:rsidR="0082611C">
        <w:trPr>
          <w:gridAfter w:val="2"/>
          <w:wAfter w:w="113" w:type="dxa"/>
          <w:trHeight w:val="300"/>
        </w:trPr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Sample temperature (ºC)</w:t>
            </w:r>
          </w:p>
        </w:tc>
        <w:tc>
          <w:tcPr>
            <w:tcW w:w="559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25</w:t>
            </w:r>
          </w:p>
        </w:tc>
      </w:tr>
      <w:tr w:rsidR="0082611C">
        <w:trPr>
          <w:trHeight w:val="340"/>
        </w:trPr>
        <w:tc>
          <w:tcPr>
            <w:tcW w:w="984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2611C" w:rsidRDefault="0007094D">
            <w:pPr>
              <w:rPr>
                <w:rFonts w:ascii="Arial" w:eastAsia="宋体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sz w:val="20"/>
              </w:rPr>
              <w:t xml:space="preserve">(c) Software employed for SAS data reduction, </w:t>
            </w:r>
            <w:r>
              <w:rPr>
                <w:rFonts w:ascii="Arial" w:eastAsia="宋体" w:hAnsi="Arial" w:cs="Arial"/>
                <w:b/>
                <w:bCs/>
                <w:color w:val="000000"/>
                <w:sz w:val="20"/>
              </w:rPr>
              <w:t>analysis and interpretation</w:t>
            </w:r>
          </w:p>
        </w:tc>
      </w:tr>
      <w:tr w:rsidR="0082611C">
        <w:trPr>
          <w:gridAfter w:val="2"/>
          <w:wAfter w:w="113" w:type="dxa"/>
          <w:trHeight w:val="496"/>
        </w:trPr>
        <w:tc>
          <w:tcPr>
            <w:tcW w:w="4133" w:type="dxa"/>
            <w:vMerge w:val="restart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 xml:space="preserve">SAS data reduction </w:t>
            </w:r>
          </w:p>
        </w:tc>
        <w:tc>
          <w:tcPr>
            <w:tcW w:w="5598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i/>
                <w:iCs/>
                <w:color w:val="000000"/>
                <w:sz w:val="20"/>
              </w:rPr>
              <w:t>ln</w:t>
            </w:r>
            <w:r>
              <w:rPr>
                <w:rFonts w:eastAsia="宋体"/>
                <w:color w:val="000000"/>
                <w:sz w:val="20"/>
              </w:rPr>
              <w:t>(</w:t>
            </w:r>
            <w:r>
              <w:rPr>
                <w:rFonts w:eastAsia="宋体"/>
                <w:i/>
                <w:iCs/>
                <w:color w:val="000000"/>
                <w:sz w:val="20"/>
              </w:rPr>
              <w:t>I</w:t>
            </w:r>
            <w:r>
              <w:rPr>
                <w:rFonts w:eastAsia="宋体"/>
                <w:color w:val="000000"/>
                <w:sz w:val="20"/>
              </w:rPr>
              <w:t xml:space="preserve">) versus </w:t>
            </w:r>
            <w:r>
              <w:rPr>
                <w:rFonts w:eastAsia="宋体"/>
                <w:i/>
                <w:iCs/>
                <w:color w:val="000000"/>
                <w:sz w:val="20"/>
              </w:rPr>
              <w:t>q2</w:t>
            </w:r>
            <w:r>
              <w:rPr>
                <w:rFonts w:eastAsia="宋体"/>
                <w:color w:val="000000"/>
                <w:sz w:val="20"/>
              </w:rPr>
              <w:t xml:space="preserve"> using </w:t>
            </w:r>
            <w:r>
              <w:rPr>
                <w:rFonts w:eastAsia="宋体"/>
                <w:i/>
                <w:iCs/>
                <w:color w:val="000000"/>
                <w:sz w:val="20"/>
              </w:rPr>
              <w:t>Origin</w:t>
            </w:r>
            <w:r>
              <w:rPr>
                <w:rFonts w:eastAsia="宋体"/>
                <w:color w:val="000000"/>
                <w:sz w:val="20"/>
              </w:rPr>
              <w:t xml:space="preserve">, solvent subtraction using </w:t>
            </w:r>
            <w:r>
              <w:rPr>
                <w:rFonts w:eastAsia="宋体"/>
                <w:i/>
                <w:iCs/>
                <w:color w:val="000000"/>
                <w:sz w:val="20"/>
              </w:rPr>
              <w:t>PRIMUS</w:t>
            </w:r>
          </w:p>
        </w:tc>
      </w:tr>
      <w:tr w:rsidR="0082611C">
        <w:trPr>
          <w:gridAfter w:val="2"/>
          <w:wAfter w:w="113" w:type="dxa"/>
          <w:trHeight w:val="496"/>
        </w:trPr>
        <w:tc>
          <w:tcPr>
            <w:tcW w:w="0" w:type="auto"/>
            <w:vMerge/>
            <w:vAlign w:val="center"/>
          </w:tcPr>
          <w:p w:rsidR="0082611C" w:rsidRDefault="0082611C">
            <w:pPr>
              <w:rPr>
                <w:rFonts w:eastAsia="宋体"/>
                <w:color w:val="000000"/>
                <w:sz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2611C" w:rsidRDefault="0082611C">
            <w:pPr>
              <w:rPr>
                <w:rFonts w:eastAsia="宋体"/>
                <w:color w:val="000000"/>
                <w:sz w:val="20"/>
              </w:rPr>
            </w:pPr>
          </w:p>
        </w:tc>
      </w:tr>
      <w:tr w:rsidR="0082611C">
        <w:trPr>
          <w:gridAfter w:val="2"/>
          <w:wAfter w:w="113" w:type="dxa"/>
          <w:trHeight w:val="300"/>
        </w:trPr>
        <w:tc>
          <w:tcPr>
            <w:tcW w:w="4133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Extinction coefficient estimate</w:t>
            </w:r>
          </w:p>
        </w:tc>
        <w:tc>
          <w:tcPr>
            <w:tcW w:w="5598" w:type="dxa"/>
            <w:gridSpan w:val="5"/>
            <w:noWrap/>
            <w:vAlign w:val="bottom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http://protcalc.sourceforge.net/</w:t>
            </w:r>
          </w:p>
        </w:tc>
      </w:tr>
      <w:tr w:rsidR="0082611C">
        <w:trPr>
          <w:gridAfter w:val="2"/>
          <w:wAfter w:w="113" w:type="dxa"/>
          <w:trHeight w:val="300"/>
        </w:trPr>
        <w:tc>
          <w:tcPr>
            <w:tcW w:w="4133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 xml:space="preserve">Basic analyses: </w:t>
            </w:r>
            <w:proofErr w:type="spellStart"/>
            <w:r>
              <w:rPr>
                <w:rFonts w:eastAsia="宋体"/>
                <w:color w:val="000000"/>
                <w:sz w:val="20"/>
              </w:rPr>
              <w:t>Guinier</w:t>
            </w:r>
            <w:proofErr w:type="spellEnd"/>
            <w:r>
              <w:rPr>
                <w:rFonts w:eastAsia="宋体"/>
                <w:color w:val="000000"/>
                <w:sz w:val="20"/>
              </w:rPr>
              <w:t xml:space="preserve">, P(r), </w:t>
            </w:r>
            <w:proofErr w:type="spellStart"/>
            <w:r>
              <w:rPr>
                <w:rFonts w:eastAsia="宋体"/>
                <w:color w:val="000000"/>
                <w:sz w:val="20"/>
              </w:rPr>
              <w:t>Vp</w:t>
            </w:r>
            <w:proofErr w:type="spellEnd"/>
          </w:p>
        </w:tc>
        <w:tc>
          <w:tcPr>
            <w:tcW w:w="5598" w:type="dxa"/>
            <w:gridSpan w:val="5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i/>
                <w:iCs/>
                <w:color w:val="000000"/>
                <w:sz w:val="20"/>
              </w:rPr>
            </w:pPr>
            <w:r>
              <w:rPr>
                <w:rFonts w:eastAsia="宋体"/>
                <w:i/>
                <w:iCs/>
                <w:color w:val="000000"/>
                <w:sz w:val="20"/>
              </w:rPr>
              <w:t>PRIMUS (ATSAS 2.8.0)</w:t>
            </w:r>
            <w:r>
              <w:rPr>
                <w:rFonts w:eastAsia="宋体"/>
                <w:iCs/>
                <w:color w:val="000000"/>
                <w:sz w:val="20"/>
              </w:rPr>
              <w:t xml:space="preserve"> </w:t>
            </w:r>
            <w:r>
              <w:rPr>
                <w:rFonts w:eastAsia="宋体"/>
                <w:iCs/>
                <w:color w:val="000000"/>
                <w:sz w:val="20"/>
              </w:rPr>
              <w:fldChar w:fldCharType="begin"/>
            </w:r>
            <w:r>
              <w:rPr>
                <w:rFonts w:eastAsia="宋体"/>
                <w:iCs/>
                <w:color w:val="000000"/>
                <w:sz w:val="20"/>
              </w:rPr>
              <w:instrText xml:space="preserve"> ADDIN EN.CITE &lt;EndNote&gt;&lt;Cite&gt;&lt;Author&gt;Franke&lt;/Author&gt;&lt;Year&gt;2017&lt;/Year&gt;&lt;RecNum&gt;784&lt;/RecNum&gt;&lt;DisplayText&gt;&lt;style face="superscript"&gt;1&lt;/style&gt;&lt;/DisplayText&gt;&lt;record&gt;&lt;rec-number&gt;784&lt;/rec-number&gt;&lt;foreign-keys&gt;&lt;key app="EN" db-id="0zsedwarupprtuevp2pxzwx15a2efetxd</w:instrText>
            </w:r>
            <w:r>
              <w:rPr>
                <w:rFonts w:eastAsia="宋体"/>
                <w:iCs/>
                <w:color w:val="000000"/>
                <w:sz w:val="20"/>
              </w:rPr>
              <w:instrText>pps" timestamp="1673859698"&gt;784&lt;/key&gt;&lt;/foreign-keys&gt;&lt;ref-type name="Electronic Article"&gt;43&lt;/ref-type&gt;&lt;contributors&gt;&lt;authors&gt;&lt;author&gt;Franke, D.&lt;/author&gt;&lt;author&gt;Petoukhov, M. V.&lt;/author&gt;&lt;author&gt;Konarev, P. V.&lt;/author&gt;&lt;author&gt;Panjkovich, A.&lt;/author&gt;&lt;author&gt;Tu</w:instrText>
            </w:r>
            <w:r>
              <w:rPr>
                <w:rFonts w:eastAsia="宋体"/>
                <w:iCs/>
                <w:color w:val="000000"/>
                <w:sz w:val="20"/>
              </w:rPr>
              <w:instrText>ukkanen, A.&lt;/author&gt;&lt;author&gt;Mertens, H. D. T.&lt;/author&gt;&lt;author&gt;Kikhney, A. G.&lt;/author&gt;&lt;author&gt;Hajizadeh, N. R.&lt;/author&gt;&lt;author&gt;Franklin, J. M.&lt;/author&gt;&lt;author&gt;Jeffries, C. M.&lt;/author&gt;&lt;author&gt;Svergun, D. I.&lt;/author&gt;&lt;/authors&gt;&lt;/contributors&gt;&lt;auth-address&gt;Euro</w:instrText>
            </w:r>
            <w:r>
              <w:rPr>
                <w:rFonts w:eastAsia="宋体"/>
                <w:iCs/>
                <w:color w:val="000000"/>
                <w:sz w:val="20"/>
              </w:rPr>
              <w:instrText>pean Molecular Biology Laboratory, Hamburg Outstation, Notkestrasse 85, D-22607 Hamburg, Germany.&lt;/auth-address&gt;&lt;titles&gt;&lt;title&gt;ATSAS 2.8 : a comprehensive data analysis suite for small-angle scattering from macromolecular solutions&lt;/title&gt;&lt;secondary-title&gt;</w:instrText>
            </w:r>
            <w:r>
              <w:rPr>
                <w:rFonts w:eastAsia="宋体"/>
                <w:iCs/>
                <w:color w:val="000000"/>
                <w:sz w:val="20"/>
              </w:rPr>
              <w:instrText>Journal of applied crystallography&lt;/secondary-title&gt;&lt;alt-title&gt;J Appl Crystallogr&lt;/alt-title&gt;&lt;/titles&gt;&lt;periodical&gt;&lt;full-title&gt;Journal of Applied Crystallography&lt;/full-title&gt;&lt;/periodical&gt;&lt;alt-periodical&gt;&lt;full-title&gt;J Appl Crystallogr&lt;/full-title&gt;&lt;/alt-perio</w:instrText>
            </w:r>
            <w:r>
              <w:rPr>
                <w:rFonts w:eastAsia="宋体"/>
                <w:iCs/>
                <w:color w:val="000000"/>
                <w:sz w:val="20"/>
              </w:rPr>
              <w:instrText>dical&gt;&lt;pages&gt;1212-1225&lt;/pages&gt;&lt;volume&gt;50&lt;/volume&gt;&lt;number&gt;Pt 4&lt;/number&gt;&lt;dates&gt;&lt;year&gt;2017&lt;/year&gt;&lt;pub-dates&gt;&lt;date&gt;2017/08//&lt;/date&gt;&lt;/pub-dates&gt;&lt;/dates&gt;&lt;isbn&gt;0021-8898&lt;/isbn&gt;&lt;accession-num&gt;28808438&lt;/accession-num&gt;&lt;urls&gt;&lt;related-urls&gt;&lt;url&gt;http://europepmc.org/ab</w:instrText>
            </w:r>
            <w:r>
              <w:rPr>
                <w:rFonts w:eastAsia="宋体"/>
                <w:iCs/>
                <w:color w:val="000000"/>
                <w:sz w:val="20"/>
              </w:rPr>
              <w:instrText>stract/MED/28808438&lt;/url&gt;&lt;url&gt;https://doi.org/10.1107/S1600576717007786&lt;/url&gt;&lt;url&gt;https://europepmc.org/articles/PMC5541357&lt;/url&gt;&lt;url&gt;https://europepmc.org/articles/PMC5541357?pdf=render&lt;/url&gt;&lt;/related-urls&gt;&lt;/urls&gt;&lt;electronic-resource-num&gt;10.1107/s16005767</w:instrText>
            </w:r>
            <w:r>
              <w:rPr>
                <w:rFonts w:eastAsia="宋体"/>
                <w:iCs/>
                <w:color w:val="000000"/>
                <w:sz w:val="20"/>
              </w:rPr>
              <w:instrText>17007786&lt;/electronic-resource-num&gt;&lt;remote-database-name&gt;PubMed&lt;/remote-database-name&gt;&lt;language&gt;eng&lt;/language&gt;&lt;/record&gt;&lt;/Cite&gt;&lt;/EndNote&gt;</w:instrText>
            </w:r>
            <w:r>
              <w:rPr>
                <w:rFonts w:eastAsia="宋体"/>
                <w:iCs/>
                <w:color w:val="000000"/>
                <w:sz w:val="20"/>
              </w:rPr>
              <w:fldChar w:fldCharType="separate"/>
            </w:r>
            <w:r>
              <w:rPr>
                <w:rFonts w:eastAsia="宋体"/>
                <w:iCs/>
                <w:color w:val="000000"/>
                <w:sz w:val="20"/>
                <w:vertAlign w:val="superscript"/>
              </w:rPr>
              <w:t>1</w:t>
            </w:r>
            <w:r>
              <w:rPr>
                <w:rFonts w:eastAsia="宋体"/>
                <w:iCs/>
                <w:color w:val="000000"/>
                <w:sz w:val="20"/>
              </w:rPr>
              <w:fldChar w:fldCharType="end"/>
            </w:r>
          </w:p>
        </w:tc>
      </w:tr>
      <w:tr w:rsidR="0082611C">
        <w:trPr>
          <w:gridAfter w:val="2"/>
          <w:wAfter w:w="113" w:type="dxa"/>
          <w:trHeight w:val="520"/>
        </w:trPr>
        <w:tc>
          <w:tcPr>
            <w:tcW w:w="4133" w:type="dxa"/>
            <w:vAlign w:val="center"/>
          </w:tcPr>
          <w:p w:rsidR="0082611C" w:rsidRDefault="0007094D">
            <w:pPr>
              <w:rPr>
                <w:rFonts w:eastAsia="宋体"/>
                <w:i/>
                <w:iCs/>
                <w:color w:val="000000"/>
                <w:sz w:val="20"/>
              </w:rPr>
            </w:pPr>
            <w:r>
              <w:rPr>
                <w:rFonts w:eastAsia="宋体"/>
                <w:i/>
                <w:iCs/>
                <w:color w:val="000000"/>
                <w:sz w:val="20"/>
              </w:rPr>
              <w:t xml:space="preserve">volume (e.g. </w:t>
            </w:r>
            <w:proofErr w:type="spellStart"/>
            <w:r>
              <w:rPr>
                <w:rFonts w:eastAsia="宋体"/>
                <w:i/>
                <w:iCs/>
                <w:color w:val="000000"/>
                <w:sz w:val="20"/>
              </w:rPr>
              <w:t>Porod</w:t>
            </w:r>
            <w:proofErr w:type="spellEnd"/>
            <w:r>
              <w:rPr>
                <w:rFonts w:eastAsia="宋体"/>
                <w:i/>
                <w:iCs/>
                <w:color w:val="000000"/>
                <w:sz w:val="20"/>
              </w:rPr>
              <w:t xml:space="preserve"> volume V</w:t>
            </w:r>
            <w:r>
              <w:rPr>
                <w:rFonts w:eastAsia="宋体"/>
                <w:i/>
                <w:iCs/>
                <w:color w:val="000000"/>
                <w:sz w:val="16"/>
                <w:szCs w:val="16"/>
              </w:rPr>
              <w:t>P</w:t>
            </w:r>
            <w:r>
              <w:rPr>
                <w:rFonts w:eastAsia="宋体"/>
                <w:i/>
                <w:iCs/>
                <w:color w:val="000000"/>
                <w:sz w:val="20"/>
              </w:rPr>
              <w:t xml:space="preserve"> or volume of correlation </w:t>
            </w:r>
            <w:proofErr w:type="spellStart"/>
            <w:r>
              <w:rPr>
                <w:rFonts w:eastAsia="宋体"/>
                <w:i/>
                <w:iCs/>
                <w:color w:val="000000"/>
                <w:sz w:val="20"/>
              </w:rPr>
              <w:t>Vc</w:t>
            </w:r>
            <w:proofErr w:type="spellEnd"/>
            <w:r>
              <w:rPr>
                <w:rFonts w:eastAsia="宋体"/>
                <w:i/>
                <w:iCs/>
                <w:color w:val="000000"/>
                <w:sz w:val="20"/>
              </w:rPr>
              <w:t>)</w:t>
            </w:r>
          </w:p>
        </w:tc>
        <w:tc>
          <w:tcPr>
            <w:tcW w:w="5598" w:type="dxa"/>
            <w:gridSpan w:val="5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iCs/>
                <w:color w:val="000000"/>
                <w:sz w:val="20"/>
              </w:rPr>
            </w:pPr>
            <w:r>
              <w:rPr>
                <w:rFonts w:eastAsia="宋体"/>
                <w:i/>
                <w:iCs/>
                <w:color w:val="000000"/>
                <w:sz w:val="20"/>
              </w:rPr>
              <w:t xml:space="preserve">PRIMUS (ATSAS 2.8.0) </w:t>
            </w:r>
            <w:r>
              <w:rPr>
                <w:rFonts w:eastAsia="宋体"/>
                <w:iCs/>
                <w:color w:val="000000"/>
                <w:sz w:val="20"/>
              </w:rPr>
              <w:fldChar w:fldCharType="begin"/>
            </w:r>
            <w:r>
              <w:rPr>
                <w:rFonts w:eastAsia="宋体"/>
                <w:iCs/>
                <w:color w:val="000000"/>
                <w:sz w:val="20"/>
              </w:rPr>
              <w:instrText xml:space="preserve"> ADDIN EN.CITE &lt;EndNote&gt;&lt;Cite&gt;&lt;Autho</w:instrText>
            </w:r>
            <w:r>
              <w:rPr>
                <w:rFonts w:eastAsia="宋体"/>
                <w:iCs/>
                <w:color w:val="000000"/>
                <w:sz w:val="20"/>
              </w:rPr>
              <w:instrText>r&gt;Franke&lt;/Author&gt;&lt;Year&gt;2017&lt;/Year&gt;&lt;RecNum&gt;784&lt;/RecNum&gt;&lt;DisplayText&gt;&lt;style face="superscript"&gt;1&lt;/style&gt;&lt;/DisplayText&gt;&lt;record&gt;&lt;rec-number&gt;784&lt;/rec-number&gt;&lt;foreign-keys&gt;&lt;key app="EN" db-id="0zsedwarupprtuevp2pxzwx15a2efetxdpps" timestamp="1673859698"&gt;784&lt;/key</w:instrText>
            </w:r>
            <w:r>
              <w:rPr>
                <w:rFonts w:eastAsia="宋体"/>
                <w:iCs/>
                <w:color w:val="000000"/>
                <w:sz w:val="20"/>
              </w:rPr>
              <w:instrText>&gt;&lt;/foreign-keys&gt;&lt;ref-type name="Electronic Article"&gt;43&lt;/ref-type&gt;&lt;contributors&gt;&lt;authors&gt;&lt;author&gt;Franke, D.&lt;/author&gt;&lt;author&gt;Petoukhov, M. V.&lt;/author&gt;&lt;author&gt;Konarev, P. V.&lt;/author&gt;&lt;author&gt;Panjkovich, A.&lt;/author&gt;&lt;author&gt;Tuukkanen, A.&lt;/author&gt;&lt;author&gt;Mertens,</w:instrText>
            </w:r>
            <w:r>
              <w:rPr>
                <w:rFonts w:eastAsia="宋体"/>
                <w:iCs/>
                <w:color w:val="000000"/>
                <w:sz w:val="20"/>
              </w:rPr>
              <w:instrText xml:space="preserve"> H. D. T.&lt;/author&gt;&lt;author&gt;Kikhney, A. G.&lt;/author&gt;&lt;author&gt;Hajizadeh, N. R.&lt;/author&gt;&lt;author&gt;Franklin, J. M.&lt;/author&gt;&lt;author&gt;Jeffries, C. M.&lt;/author&gt;&lt;author&gt;Svergun, D. I.&lt;/author&gt;&lt;/authors&gt;&lt;/contributors&gt;&lt;auth-address&gt;European Molecular Biology Laboratory, H</w:instrText>
            </w:r>
            <w:r>
              <w:rPr>
                <w:rFonts w:eastAsia="宋体"/>
                <w:iCs/>
                <w:color w:val="000000"/>
                <w:sz w:val="20"/>
              </w:rPr>
              <w:instrText>amburg Outstation, Notkestrasse 85, D-22607 Hamburg, Germany.&lt;/auth-address&gt;&lt;titles&gt;&lt;title&gt;ATSAS 2.8 : a comprehensive data analysis suite for small-angle scattering from macromolecular solutions&lt;/title&gt;&lt;secondary-title&gt;Journal of applied crystallography&lt;/</w:instrText>
            </w:r>
            <w:r>
              <w:rPr>
                <w:rFonts w:eastAsia="宋体"/>
                <w:iCs/>
                <w:color w:val="000000"/>
                <w:sz w:val="20"/>
              </w:rPr>
              <w:instrText>secondary-title&gt;&lt;alt-title&gt;J Appl Crystallogr&lt;/alt-title&gt;&lt;/titles&gt;&lt;periodical&gt;&lt;full-title&gt;Journal of Applied Crystallography&lt;/full-title&gt;&lt;/periodical&gt;&lt;alt-periodical&gt;&lt;full-title&gt;J Appl Crystallogr&lt;/full-title&gt;&lt;/alt-periodical&gt;&lt;pages&gt;1212-1225&lt;/pages&gt;&lt;volum</w:instrText>
            </w:r>
            <w:r>
              <w:rPr>
                <w:rFonts w:eastAsia="宋体"/>
                <w:iCs/>
                <w:color w:val="000000"/>
                <w:sz w:val="20"/>
              </w:rPr>
              <w:instrText>e&gt;50&lt;/volume&gt;&lt;number&gt;Pt 4&lt;/number&gt;&lt;dates&gt;&lt;year&gt;2017&lt;/year&gt;&lt;pub-dates&gt;&lt;date&gt;2017/08//&lt;/date&gt;&lt;/pub-dates&gt;&lt;/dates&gt;&lt;isbn&gt;0021-8898&lt;/isbn&gt;&lt;accession-num&gt;28808438&lt;/accession-num&gt;&lt;urls&gt;&lt;related-urls&gt;&lt;url&gt;http://europepmc.org/abstract/MED/28808438&lt;/url&gt;&lt;url&gt;https:</w:instrText>
            </w:r>
            <w:r>
              <w:rPr>
                <w:rFonts w:eastAsia="宋体"/>
                <w:iCs/>
                <w:color w:val="000000"/>
                <w:sz w:val="20"/>
              </w:rPr>
              <w:instrText>//doi.org/10.1107/S1600576717007786&lt;/url&gt;&lt;url&gt;https://europepmc.org/articles/PMC5541357&lt;/url&gt;&lt;url&gt;https://europepmc.org/articles/PMC5541357?pdf=render&lt;/url&gt;&lt;/related-urls&gt;&lt;/urls&gt;&lt;electronic-resource-num&gt;10.1107/s1600576717007786&lt;/electronic-resource-num&gt;&lt;r</w:instrText>
            </w:r>
            <w:r>
              <w:rPr>
                <w:rFonts w:eastAsia="宋体"/>
                <w:iCs/>
                <w:color w:val="000000"/>
                <w:sz w:val="20"/>
              </w:rPr>
              <w:instrText>emote-database-name&gt;PubMed&lt;/remote-database-name&gt;&lt;language&gt;eng&lt;/language&gt;&lt;/record&gt;&lt;/Cite&gt;&lt;/EndNote&gt;</w:instrText>
            </w:r>
            <w:r>
              <w:rPr>
                <w:rFonts w:eastAsia="宋体"/>
                <w:iCs/>
                <w:color w:val="000000"/>
                <w:sz w:val="20"/>
              </w:rPr>
              <w:fldChar w:fldCharType="separate"/>
            </w:r>
            <w:r>
              <w:rPr>
                <w:rFonts w:eastAsia="宋体"/>
                <w:iCs/>
                <w:color w:val="000000"/>
                <w:sz w:val="20"/>
                <w:vertAlign w:val="superscript"/>
              </w:rPr>
              <w:t>1</w:t>
            </w:r>
            <w:r>
              <w:rPr>
                <w:rFonts w:eastAsia="宋体"/>
                <w:iCs/>
                <w:color w:val="000000"/>
                <w:sz w:val="20"/>
              </w:rPr>
              <w:fldChar w:fldCharType="end"/>
            </w:r>
          </w:p>
        </w:tc>
      </w:tr>
      <w:tr w:rsidR="0082611C">
        <w:trPr>
          <w:gridAfter w:val="2"/>
          <w:wAfter w:w="113" w:type="dxa"/>
          <w:trHeight w:val="300"/>
        </w:trPr>
        <w:tc>
          <w:tcPr>
            <w:tcW w:w="4133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Shape/bead modelling</w:t>
            </w:r>
          </w:p>
        </w:tc>
        <w:tc>
          <w:tcPr>
            <w:tcW w:w="5598" w:type="dxa"/>
            <w:gridSpan w:val="5"/>
            <w:vAlign w:val="center"/>
          </w:tcPr>
          <w:p w:rsidR="0082611C" w:rsidRDefault="0007094D">
            <w:pPr>
              <w:jc w:val="center"/>
              <w:rPr>
                <w:rFonts w:eastAsia="宋体"/>
                <w:i/>
                <w:iCs/>
                <w:color w:val="000000"/>
                <w:sz w:val="20"/>
              </w:rPr>
            </w:pPr>
            <w:r>
              <w:rPr>
                <w:rFonts w:eastAsia="宋体"/>
                <w:i/>
                <w:iCs/>
                <w:color w:val="000000"/>
                <w:sz w:val="20"/>
              </w:rPr>
              <w:t xml:space="preserve">DAMMIF </w:t>
            </w:r>
            <w:r>
              <w:rPr>
                <w:rFonts w:eastAsia="宋体"/>
                <w:iCs/>
                <w:color w:val="000000"/>
                <w:sz w:val="20"/>
              </w:rPr>
              <w:fldChar w:fldCharType="begin"/>
            </w:r>
            <w:r>
              <w:rPr>
                <w:rFonts w:eastAsia="宋体"/>
                <w:iCs/>
                <w:color w:val="000000"/>
                <w:sz w:val="20"/>
              </w:rPr>
              <w:instrText xml:space="preserve"> ADDIN EN.CITE &lt;EndNote&gt;&lt;Cite&gt;&lt;Author&gt;Franke&lt;/Author&gt;&lt;Year&gt;2009&lt;/Year&gt;&lt;RecNum&gt;783&lt;/RecNum&gt;&lt;DisplayText&gt;&lt;style face="superscript"&gt;2&lt;/style&gt;&lt;/DisplayText&gt;&lt;record&gt;&lt;rec-number&gt;783&lt;/rec-number&gt;&lt;foreign-keys&gt;&lt;key app="EN" db-id="0zsedwarupprtuevp2pxzwx15a2efetxd</w:instrText>
            </w:r>
            <w:r>
              <w:rPr>
                <w:rFonts w:eastAsia="宋体"/>
                <w:iCs/>
                <w:color w:val="000000"/>
                <w:sz w:val="20"/>
              </w:rPr>
              <w:instrText>pps" timestamp="1671359113"&gt;783&lt;/key&gt;&lt;/foreign-keys&gt;&lt;ref-type name="Journal Article"&gt;17&lt;/ref-type&gt;&lt;contributors&gt;&lt;authors&gt;&lt;author&gt;Franke, D.&lt;/author&gt;&lt;author&gt;Svergun, D. I.&lt;/author&gt;&lt;/authors&gt;&lt;/contributors&gt;&lt;auth-address&gt;European Molecular Biology Laboratory,</w:instrText>
            </w:r>
            <w:r>
              <w:rPr>
                <w:rFonts w:eastAsia="宋体"/>
                <w:iCs/>
                <w:color w:val="000000"/>
                <w:sz w:val="20"/>
              </w:rPr>
              <w:instrText xml:space="preserve"> Hamburg Outstation Notkestrasse 85, 22603 Hamburg, Germany.&amp;#xD;European Molecular Biology Laboratory, Hamburg Outstation Notkestrasse 85, 22603 Hamburg, Germany; Institute of Crystallography, 117333 Moscow, Russian Federation.&lt;/auth-address&gt;&lt;titles&gt;&lt;titl</w:instrText>
            </w:r>
            <w:r>
              <w:rPr>
                <w:rFonts w:eastAsia="宋体"/>
                <w:iCs/>
                <w:color w:val="000000"/>
                <w:sz w:val="20"/>
              </w:rPr>
              <w:instrText>e&gt;DAMMIF, a program for rapid ab-initio shape determination in small-angle scattering&lt;/title&gt;&lt;secondary-title&gt;J Appl Crystallogr&lt;/secondary-title&gt;&lt;/titles&gt;&lt;periodical&gt;&lt;full-title&gt;J Appl Crystallogr&lt;/full-title&gt;&lt;/periodical&gt;&lt;pages&gt;342-346&lt;/pages&gt;&lt;volume&gt;42&lt;</w:instrText>
            </w:r>
            <w:r>
              <w:rPr>
                <w:rFonts w:eastAsia="宋体"/>
                <w:iCs/>
                <w:color w:val="000000"/>
                <w:sz w:val="20"/>
              </w:rPr>
              <w:instrText>/volume&gt;&lt;number&gt;Pt 2&lt;/number&gt;&lt;edition&gt;2009/04/01&lt;/edition&gt;&lt;keywords&gt;&lt;keyword&gt;Dammif&lt;/keyword&gt;&lt;keyword&gt;Dammin&lt;/keyword&gt;&lt;keyword&gt;computer programs&lt;/keyword&gt;&lt;keyword&gt;particle shape determination&lt;/keyword&gt;&lt;keyword&gt;small-angle scattering&lt;/keyword&gt;&lt;/keywords&gt;&lt;da</w:instrText>
            </w:r>
            <w:r>
              <w:rPr>
                <w:rFonts w:eastAsia="宋体"/>
                <w:iCs/>
                <w:color w:val="000000"/>
                <w:sz w:val="20"/>
              </w:rPr>
              <w:instrText>tes&gt;&lt;year&gt;2009&lt;/year&gt;&lt;pub-dates&gt;&lt;date&gt;Apr 1&lt;/date&gt;&lt;/pub-dates&gt;&lt;/dates&gt;&lt;isbn&gt;0021-8898 (Print)&amp;#xD;1600-5767 (Electronic)&amp;#xD;0021-8898 (Linking)&lt;/isbn&gt;&lt;accession-num&gt;27630371&lt;/accession-num&gt;&lt;urls&gt;&lt;related-urls&gt;&lt;url&gt;https://www.ncbi.nlm.nih.gov/pubmed/27630</w:instrText>
            </w:r>
            <w:r>
              <w:rPr>
                <w:rFonts w:eastAsia="宋体"/>
                <w:iCs/>
                <w:color w:val="000000"/>
                <w:sz w:val="20"/>
              </w:rPr>
              <w:instrText>371&lt;/url&gt;&lt;/related-urls&gt;&lt;/urls&gt;&lt;custom2&gt;PMC5023043&lt;/custom2&gt;&lt;electronic-resource-num&gt;10.1107/S0021889809000338&lt;/electronic-resource-num&gt;&lt;/record&gt;&lt;/Cite&gt;&lt;/EndNote&gt;</w:instrText>
            </w:r>
            <w:r>
              <w:rPr>
                <w:rFonts w:eastAsia="宋体"/>
                <w:iCs/>
                <w:color w:val="000000"/>
                <w:sz w:val="20"/>
              </w:rPr>
              <w:fldChar w:fldCharType="separate"/>
            </w:r>
            <w:r>
              <w:rPr>
                <w:rFonts w:eastAsia="宋体"/>
                <w:iCs/>
                <w:color w:val="000000"/>
                <w:sz w:val="20"/>
                <w:vertAlign w:val="superscript"/>
              </w:rPr>
              <w:t>2</w:t>
            </w:r>
            <w:r>
              <w:rPr>
                <w:rFonts w:eastAsia="宋体"/>
                <w:iCs/>
                <w:color w:val="000000"/>
                <w:sz w:val="20"/>
              </w:rPr>
              <w:fldChar w:fldCharType="end"/>
            </w:r>
          </w:p>
        </w:tc>
      </w:tr>
      <w:tr w:rsidR="0082611C">
        <w:trPr>
          <w:gridAfter w:val="2"/>
          <w:wAfter w:w="113" w:type="dxa"/>
          <w:trHeight w:val="300"/>
        </w:trPr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Molecular graphics</w:t>
            </w:r>
          </w:p>
        </w:tc>
        <w:tc>
          <w:tcPr>
            <w:tcW w:w="559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i/>
                <w:iCs/>
                <w:color w:val="000000"/>
                <w:sz w:val="20"/>
              </w:rPr>
            </w:pPr>
            <w:proofErr w:type="spellStart"/>
            <w:r>
              <w:rPr>
                <w:rFonts w:eastAsia="宋体"/>
                <w:i/>
                <w:iCs/>
                <w:color w:val="000000"/>
                <w:sz w:val="20"/>
              </w:rPr>
              <w:t>PyMOL</w:t>
            </w:r>
            <w:proofErr w:type="spellEnd"/>
          </w:p>
        </w:tc>
      </w:tr>
    </w:tbl>
    <w:p w:rsidR="0082611C" w:rsidRDefault="0007094D">
      <w:pPr>
        <w:rPr>
          <w:rFonts w:eastAsia="Times New Roman"/>
        </w:rPr>
      </w:pPr>
      <w:r>
        <w:rPr>
          <w:rFonts w:eastAsia="Times New Roman"/>
        </w:rPr>
        <w:br w:type="page"/>
      </w:r>
    </w:p>
    <w:tbl>
      <w:tblPr>
        <w:tblW w:w="9731" w:type="dxa"/>
        <w:tblLook w:val="04A0" w:firstRow="1" w:lastRow="0" w:firstColumn="1" w:lastColumn="0" w:noHBand="0" w:noVBand="1"/>
      </w:tblPr>
      <w:tblGrid>
        <w:gridCol w:w="4210"/>
        <w:gridCol w:w="1688"/>
        <w:gridCol w:w="1916"/>
        <w:gridCol w:w="1917"/>
      </w:tblGrid>
      <w:tr w:rsidR="0082611C">
        <w:trPr>
          <w:trHeight w:val="300"/>
        </w:trPr>
        <w:tc>
          <w:tcPr>
            <w:tcW w:w="42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sz w:val="20"/>
              </w:rPr>
              <w:lastRenderedPageBreak/>
              <w:t>(d) Structural parameters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82611C" w:rsidRDefault="0082611C">
            <w:pPr>
              <w:rPr>
                <w:rFonts w:eastAsia="宋体"/>
                <w:color w:val="000000"/>
                <w:sz w:val="20"/>
              </w:rPr>
            </w:pP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82611C" w:rsidRDefault="0082611C">
            <w:pPr>
              <w:rPr>
                <w:rFonts w:eastAsia="宋体"/>
                <w:color w:val="000000"/>
                <w:sz w:val="20"/>
              </w:rPr>
            </w:pPr>
          </w:p>
        </w:tc>
        <w:tc>
          <w:tcPr>
            <w:tcW w:w="19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82611C" w:rsidRDefault="0082611C">
            <w:pPr>
              <w:rPr>
                <w:rFonts w:eastAsia="宋体"/>
                <w:color w:val="000000"/>
                <w:sz w:val="20"/>
              </w:rPr>
            </w:pPr>
          </w:p>
        </w:tc>
      </w:tr>
      <w:tr w:rsidR="0082611C">
        <w:trPr>
          <w:trHeight w:val="300"/>
        </w:trPr>
        <w:tc>
          <w:tcPr>
            <w:tcW w:w="42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proofErr w:type="spellStart"/>
            <w:r>
              <w:rPr>
                <w:rFonts w:eastAsia="宋体"/>
                <w:color w:val="000000"/>
                <w:sz w:val="20"/>
              </w:rPr>
              <w:t>Guinier</w:t>
            </w:r>
            <w:proofErr w:type="spellEnd"/>
            <w:r>
              <w:rPr>
                <w:rFonts w:eastAsia="宋体"/>
                <w:color w:val="000000"/>
                <w:sz w:val="20"/>
              </w:rPr>
              <w:t xml:space="preserve"> Analysis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82611C" w:rsidRDefault="0082611C">
            <w:pPr>
              <w:rPr>
                <w:rFonts w:eastAsia="宋体"/>
                <w:color w:val="000000"/>
                <w:sz w:val="20"/>
              </w:rPr>
            </w:pP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82611C" w:rsidRDefault="0082611C">
            <w:pPr>
              <w:rPr>
                <w:rFonts w:eastAsia="宋体"/>
                <w:color w:val="000000"/>
                <w:sz w:val="20"/>
              </w:rPr>
            </w:pPr>
          </w:p>
        </w:tc>
        <w:tc>
          <w:tcPr>
            <w:tcW w:w="19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82611C" w:rsidRDefault="0082611C">
            <w:pPr>
              <w:rPr>
                <w:rFonts w:eastAsia="宋体"/>
                <w:color w:val="000000"/>
                <w:sz w:val="20"/>
              </w:rPr>
            </w:pPr>
          </w:p>
        </w:tc>
      </w:tr>
      <w:tr w:rsidR="0082611C">
        <w:trPr>
          <w:trHeight w:val="300"/>
        </w:trPr>
        <w:tc>
          <w:tcPr>
            <w:tcW w:w="4210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proofErr w:type="spellStart"/>
            <w:r>
              <w:rPr>
                <w:rFonts w:eastAsia="宋体"/>
                <w:color w:val="000000"/>
                <w:sz w:val="20"/>
              </w:rPr>
              <w:t>Rg</w:t>
            </w:r>
            <w:proofErr w:type="spellEnd"/>
            <w:r>
              <w:rPr>
                <w:rFonts w:eastAsia="宋体"/>
                <w:color w:val="000000"/>
                <w:sz w:val="20"/>
              </w:rPr>
              <w:t xml:space="preserve"> (Å)</w:t>
            </w:r>
          </w:p>
        </w:tc>
        <w:tc>
          <w:tcPr>
            <w:tcW w:w="1688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29.51±1.01</w:t>
            </w:r>
          </w:p>
        </w:tc>
        <w:tc>
          <w:tcPr>
            <w:tcW w:w="1916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20.53 ± 0.57</w:t>
            </w:r>
          </w:p>
        </w:tc>
        <w:tc>
          <w:tcPr>
            <w:tcW w:w="1917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47.61 ± 0.48</w:t>
            </w:r>
          </w:p>
        </w:tc>
      </w:tr>
      <w:tr w:rsidR="0082611C">
        <w:trPr>
          <w:trHeight w:val="495"/>
        </w:trPr>
        <w:tc>
          <w:tcPr>
            <w:tcW w:w="4210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proofErr w:type="spellStart"/>
            <w:r>
              <w:rPr>
                <w:rFonts w:eastAsia="宋体"/>
                <w:color w:val="000000"/>
                <w:sz w:val="20"/>
              </w:rPr>
              <w:t>q</w:t>
            </w:r>
            <w:r>
              <w:rPr>
                <w:rFonts w:eastAsia="宋体"/>
                <w:color w:val="000000"/>
                <w:sz w:val="20"/>
                <w:vertAlign w:val="subscript"/>
              </w:rPr>
              <w:t>min</w:t>
            </w:r>
            <w:proofErr w:type="spellEnd"/>
            <w:r>
              <w:rPr>
                <w:rFonts w:eastAsia="宋体"/>
                <w:color w:val="000000"/>
                <w:sz w:val="20"/>
              </w:rPr>
              <w:t xml:space="preserve"> (Å</w:t>
            </w:r>
            <w:r>
              <w:rPr>
                <w:rFonts w:eastAsia="宋体"/>
                <w:color w:val="000000"/>
                <w:sz w:val="20"/>
                <w:vertAlign w:val="superscript"/>
              </w:rPr>
              <w:t>-1</w:t>
            </w:r>
            <w:r>
              <w:rPr>
                <w:rFonts w:eastAsia="宋体"/>
                <w:color w:val="000000"/>
                <w:sz w:val="20"/>
              </w:rPr>
              <w:t>)</w:t>
            </w:r>
          </w:p>
        </w:tc>
        <w:tc>
          <w:tcPr>
            <w:tcW w:w="1688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0.0108</w:t>
            </w:r>
          </w:p>
        </w:tc>
        <w:tc>
          <w:tcPr>
            <w:tcW w:w="1916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0.0181</w:t>
            </w:r>
          </w:p>
        </w:tc>
        <w:tc>
          <w:tcPr>
            <w:tcW w:w="1917" w:type="dxa"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 xml:space="preserve">0.0170 </w:t>
            </w:r>
          </w:p>
        </w:tc>
      </w:tr>
      <w:tr w:rsidR="0082611C">
        <w:trPr>
          <w:trHeight w:val="300"/>
        </w:trPr>
        <w:tc>
          <w:tcPr>
            <w:tcW w:w="4210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proofErr w:type="spellStart"/>
            <w:r>
              <w:rPr>
                <w:rFonts w:eastAsia="宋体"/>
                <w:color w:val="000000"/>
                <w:sz w:val="20"/>
              </w:rPr>
              <w:t>qRg</w:t>
            </w:r>
            <w:proofErr w:type="spellEnd"/>
            <w:r>
              <w:rPr>
                <w:rFonts w:eastAsia="宋体"/>
                <w:color w:val="000000"/>
                <w:sz w:val="20"/>
              </w:rPr>
              <w:t xml:space="preserve"> max (</w:t>
            </w:r>
            <w:proofErr w:type="spellStart"/>
            <w:r>
              <w:rPr>
                <w:rFonts w:eastAsia="宋体"/>
                <w:color w:val="000000"/>
                <w:sz w:val="20"/>
              </w:rPr>
              <w:t>q</w:t>
            </w:r>
            <w:r>
              <w:rPr>
                <w:rFonts w:eastAsia="宋体"/>
                <w:color w:val="000000"/>
                <w:sz w:val="20"/>
                <w:vertAlign w:val="subscript"/>
              </w:rPr>
              <w:t>min</w:t>
            </w:r>
            <w:proofErr w:type="spellEnd"/>
            <w:r>
              <w:rPr>
                <w:rFonts w:eastAsia="宋体"/>
                <w:color w:val="000000"/>
                <w:sz w:val="20"/>
              </w:rPr>
              <w:t>=0.0071 Å</w:t>
            </w:r>
            <w:r>
              <w:rPr>
                <w:rFonts w:eastAsia="宋体"/>
                <w:color w:val="000000"/>
                <w:sz w:val="20"/>
                <w:vertAlign w:val="superscript"/>
              </w:rPr>
              <w:t>-1</w:t>
            </w:r>
            <w:r>
              <w:rPr>
                <w:rFonts w:eastAsia="宋体"/>
                <w:color w:val="000000"/>
                <w:sz w:val="20"/>
              </w:rPr>
              <w:t>)</w:t>
            </w:r>
          </w:p>
        </w:tc>
        <w:tc>
          <w:tcPr>
            <w:tcW w:w="1688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1.27</w:t>
            </w:r>
          </w:p>
        </w:tc>
        <w:tc>
          <w:tcPr>
            <w:tcW w:w="1916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1.25</w:t>
            </w:r>
          </w:p>
        </w:tc>
        <w:tc>
          <w:tcPr>
            <w:tcW w:w="1917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1.32</w:t>
            </w:r>
          </w:p>
        </w:tc>
      </w:tr>
      <w:tr w:rsidR="0082611C">
        <w:trPr>
          <w:trHeight w:val="300"/>
        </w:trPr>
        <w:tc>
          <w:tcPr>
            <w:tcW w:w="4210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P(r) analysis</w:t>
            </w:r>
          </w:p>
        </w:tc>
        <w:tc>
          <w:tcPr>
            <w:tcW w:w="1688" w:type="dxa"/>
            <w:noWrap/>
            <w:vAlign w:val="center"/>
          </w:tcPr>
          <w:p w:rsidR="0082611C" w:rsidRDefault="0082611C">
            <w:pPr>
              <w:rPr>
                <w:rFonts w:eastAsia="宋体"/>
                <w:color w:val="000000"/>
                <w:sz w:val="20"/>
              </w:rPr>
            </w:pPr>
          </w:p>
        </w:tc>
        <w:tc>
          <w:tcPr>
            <w:tcW w:w="1916" w:type="dxa"/>
            <w:noWrap/>
            <w:vAlign w:val="center"/>
          </w:tcPr>
          <w:p w:rsidR="0082611C" w:rsidRDefault="0082611C">
            <w:pPr>
              <w:rPr>
                <w:rFonts w:eastAsia="Times New Roman"/>
                <w:sz w:val="20"/>
              </w:rPr>
            </w:pPr>
          </w:p>
        </w:tc>
        <w:tc>
          <w:tcPr>
            <w:tcW w:w="1917" w:type="dxa"/>
            <w:noWrap/>
            <w:vAlign w:val="center"/>
          </w:tcPr>
          <w:p w:rsidR="0082611C" w:rsidRDefault="0082611C">
            <w:pPr>
              <w:jc w:val="center"/>
              <w:rPr>
                <w:rFonts w:eastAsia="Times New Roman"/>
                <w:sz w:val="20"/>
              </w:rPr>
            </w:pPr>
          </w:p>
        </w:tc>
      </w:tr>
      <w:tr w:rsidR="0082611C">
        <w:trPr>
          <w:trHeight w:val="300"/>
        </w:trPr>
        <w:tc>
          <w:tcPr>
            <w:tcW w:w="4210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proofErr w:type="spellStart"/>
            <w:r>
              <w:rPr>
                <w:rFonts w:eastAsia="宋体"/>
                <w:color w:val="000000"/>
                <w:sz w:val="20"/>
              </w:rPr>
              <w:t>Rg</w:t>
            </w:r>
            <w:proofErr w:type="spellEnd"/>
            <w:r>
              <w:rPr>
                <w:rFonts w:eastAsia="宋体"/>
                <w:color w:val="000000"/>
                <w:sz w:val="20"/>
              </w:rPr>
              <w:t xml:space="preserve"> (Å)</w:t>
            </w:r>
          </w:p>
        </w:tc>
        <w:tc>
          <w:tcPr>
            <w:tcW w:w="1688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29.38</w:t>
            </w:r>
          </w:p>
        </w:tc>
        <w:tc>
          <w:tcPr>
            <w:tcW w:w="1916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20.46</w:t>
            </w:r>
          </w:p>
        </w:tc>
        <w:tc>
          <w:tcPr>
            <w:tcW w:w="1917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53.66</w:t>
            </w:r>
          </w:p>
        </w:tc>
      </w:tr>
      <w:tr w:rsidR="0082611C">
        <w:trPr>
          <w:trHeight w:val="300"/>
        </w:trPr>
        <w:tc>
          <w:tcPr>
            <w:tcW w:w="4210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D</w:t>
            </w:r>
            <w:r>
              <w:rPr>
                <w:rFonts w:eastAsia="宋体"/>
                <w:color w:val="000000"/>
                <w:sz w:val="20"/>
                <w:vertAlign w:val="subscript"/>
              </w:rPr>
              <w:t>max</w:t>
            </w:r>
            <w:r>
              <w:rPr>
                <w:rFonts w:eastAsia="宋体"/>
                <w:color w:val="000000"/>
                <w:sz w:val="20"/>
              </w:rPr>
              <w:t xml:space="preserve"> (Å)</w:t>
            </w:r>
          </w:p>
        </w:tc>
        <w:tc>
          <w:tcPr>
            <w:tcW w:w="1688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98.25</w:t>
            </w:r>
          </w:p>
        </w:tc>
        <w:tc>
          <w:tcPr>
            <w:tcW w:w="1916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78.5</w:t>
            </w:r>
          </w:p>
        </w:tc>
        <w:tc>
          <w:tcPr>
            <w:tcW w:w="1917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149.3</w:t>
            </w:r>
          </w:p>
        </w:tc>
      </w:tr>
      <w:tr w:rsidR="0082611C">
        <w:trPr>
          <w:trHeight w:val="300"/>
        </w:trPr>
        <w:tc>
          <w:tcPr>
            <w:tcW w:w="4210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q-range (Å</w:t>
            </w:r>
            <w:r>
              <w:rPr>
                <w:rFonts w:eastAsia="宋体"/>
                <w:color w:val="000000"/>
                <w:sz w:val="20"/>
                <w:vertAlign w:val="superscript"/>
              </w:rPr>
              <w:t>-1</w:t>
            </w:r>
            <w:r>
              <w:rPr>
                <w:rFonts w:eastAsia="宋体"/>
                <w:color w:val="000000"/>
                <w:sz w:val="20"/>
              </w:rPr>
              <w:t>)</w:t>
            </w:r>
          </w:p>
        </w:tc>
        <w:tc>
          <w:tcPr>
            <w:tcW w:w="1688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0.0108-0.2654</w:t>
            </w:r>
          </w:p>
        </w:tc>
        <w:tc>
          <w:tcPr>
            <w:tcW w:w="1916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0.0181-0.3449</w:t>
            </w:r>
          </w:p>
        </w:tc>
        <w:tc>
          <w:tcPr>
            <w:tcW w:w="1917" w:type="dxa"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0.0170-0.1967</w:t>
            </w:r>
          </w:p>
        </w:tc>
      </w:tr>
      <w:tr w:rsidR="0082611C">
        <w:trPr>
          <w:trHeight w:val="300"/>
        </w:trPr>
        <w:tc>
          <w:tcPr>
            <w:tcW w:w="4210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Chi</w:t>
            </w:r>
            <w:r>
              <w:rPr>
                <w:rFonts w:eastAsia="宋体"/>
                <w:color w:val="000000"/>
                <w:sz w:val="20"/>
                <w:vertAlign w:val="superscript"/>
              </w:rPr>
              <w:t>2</w:t>
            </w:r>
            <w:r>
              <w:rPr>
                <w:rFonts w:eastAsia="宋体"/>
                <w:color w:val="000000"/>
                <w:sz w:val="20"/>
              </w:rPr>
              <w:t xml:space="preserve"> (total estimate from GNOM)</w:t>
            </w:r>
          </w:p>
        </w:tc>
        <w:tc>
          <w:tcPr>
            <w:tcW w:w="1688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0.921 (0.96)</w:t>
            </w:r>
          </w:p>
        </w:tc>
        <w:tc>
          <w:tcPr>
            <w:tcW w:w="1916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0.87 (0.91)</w:t>
            </w:r>
          </w:p>
        </w:tc>
        <w:tc>
          <w:tcPr>
            <w:tcW w:w="1917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0.89 (0.930)</w:t>
            </w:r>
          </w:p>
        </w:tc>
      </w:tr>
      <w:tr w:rsidR="0082611C">
        <w:trPr>
          <w:trHeight w:val="300"/>
        </w:trPr>
        <w:tc>
          <w:tcPr>
            <w:tcW w:w="42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Volume (e.g. V</w:t>
            </w:r>
            <w:r>
              <w:rPr>
                <w:rFonts w:eastAsia="宋体"/>
                <w:color w:val="000000"/>
                <w:sz w:val="16"/>
                <w:szCs w:val="16"/>
              </w:rPr>
              <w:t>P</w:t>
            </w:r>
            <w:r>
              <w:rPr>
                <w:rFonts w:eastAsia="宋体"/>
                <w:color w:val="000000"/>
                <w:sz w:val="20"/>
              </w:rPr>
              <w:t xml:space="preserve"> and/or </w:t>
            </w:r>
            <w:proofErr w:type="spellStart"/>
            <w:r>
              <w:rPr>
                <w:rFonts w:eastAsia="宋体"/>
                <w:color w:val="000000"/>
                <w:sz w:val="20"/>
              </w:rPr>
              <w:t>Vc</w:t>
            </w:r>
            <w:proofErr w:type="spellEnd"/>
            <w:r>
              <w:rPr>
                <w:rFonts w:eastAsia="宋体"/>
                <w:color w:val="000000"/>
                <w:sz w:val="20"/>
              </w:rPr>
              <w:t>) (Å</w:t>
            </w:r>
            <w:r>
              <w:rPr>
                <w:rFonts w:eastAsia="宋体"/>
                <w:color w:val="000000"/>
                <w:sz w:val="20"/>
                <w:vertAlign w:val="superscript"/>
              </w:rPr>
              <w:t>3</w:t>
            </w:r>
            <w:r>
              <w:rPr>
                <w:rFonts w:eastAsia="宋体"/>
                <w:color w:val="000000"/>
                <w:sz w:val="20"/>
              </w:rPr>
              <w:t>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44048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23177.5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124430</w:t>
            </w:r>
          </w:p>
        </w:tc>
      </w:tr>
      <w:tr w:rsidR="0082611C">
        <w:trPr>
          <w:trHeight w:val="300"/>
        </w:trPr>
        <w:tc>
          <w:tcPr>
            <w:tcW w:w="973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2611C" w:rsidRDefault="0007094D">
            <w:pPr>
              <w:rPr>
                <w:rFonts w:ascii="Arial" w:eastAsia="宋体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sz w:val="20"/>
              </w:rPr>
              <w:t>(e) Shape modelling results (a complete panel for each method)</w:t>
            </w:r>
          </w:p>
        </w:tc>
      </w:tr>
      <w:tr w:rsidR="0082611C">
        <w:trPr>
          <w:trHeight w:val="300"/>
        </w:trPr>
        <w:tc>
          <w:tcPr>
            <w:tcW w:w="4210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DAMMIF</w:t>
            </w:r>
          </w:p>
        </w:tc>
        <w:tc>
          <w:tcPr>
            <w:tcW w:w="1688" w:type="dxa"/>
            <w:noWrap/>
            <w:vAlign w:val="center"/>
          </w:tcPr>
          <w:p w:rsidR="0082611C" w:rsidRDefault="0082611C">
            <w:pPr>
              <w:rPr>
                <w:rFonts w:eastAsia="宋体"/>
                <w:color w:val="000000"/>
                <w:sz w:val="20"/>
              </w:rPr>
            </w:pPr>
          </w:p>
        </w:tc>
        <w:tc>
          <w:tcPr>
            <w:tcW w:w="1916" w:type="dxa"/>
            <w:noWrap/>
            <w:vAlign w:val="center"/>
          </w:tcPr>
          <w:p w:rsidR="0082611C" w:rsidRDefault="0082611C">
            <w:pPr>
              <w:rPr>
                <w:rFonts w:eastAsia="宋体"/>
                <w:color w:val="000000"/>
                <w:sz w:val="20"/>
              </w:rPr>
            </w:pPr>
          </w:p>
        </w:tc>
        <w:tc>
          <w:tcPr>
            <w:tcW w:w="1917" w:type="dxa"/>
            <w:noWrap/>
            <w:vAlign w:val="center"/>
          </w:tcPr>
          <w:p w:rsidR="0082611C" w:rsidRDefault="0082611C">
            <w:pPr>
              <w:rPr>
                <w:rFonts w:eastAsia="宋体"/>
                <w:color w:val="000000"/>
                <w:sz w:val="20"/>
              </w:rPr>
            </w:pPr>
          </w:p>
        </w:tc>
      </w:tr>
      <w:tr w:rsidR="0082611C">
        <w:trPr>
          <w:trHeight w:val="300"/>
        </w:trPr>
        <w:tc>
          <w:tcPr>
            <w:tcW w:w="4210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q-range for fitting</w:t>
            </w:r>
          </w:p>
        </w:tc>
        <w:tc>
          <w:tcPr>
            <w:tcW w:w="1688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0.0108-0.4176</w:t>
            </w:r>
          </w:p>
        </w:tc>
        <w:tc>
          <w:tcPr>
            <w:tcW w:w="1916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0.0181-0.4176</w:t>
            </w:r>
          </w:p>
        </w:tc>
        <w:tc>
          <w:tcPr>
            <w:tcW w:w="1917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0.0170-0.4176</w:t>
            </w:r>
          </w:p>
        </w:tc>
      </w:tr>
      <w:tr w:rsidR="0082611C">
        <w:trPr>
          <w:trHeight w:val="300"/>
        </w:trPr>
        <w:tc>
          <w:tcPr>
            <w:tcW w:w="4210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Symmetry/anisotropy assumptions</w:t>
            </w:r>
          </w:p>
        </w:tc>
        <w:tc>
          <w:tcPr>
            <w:tcW w:w="1688" w:type="dxa"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P1, none</w:t>
            </w:r>
          </w:p>
        </w:tc>
        <w:tc>
          <w:tcPr>
            <w:tcW w:w="1916" w:type="dxa"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P1, none</w:t>
            </w:r>
          </w:p>
        </w:tc>
        <w:tc>
          <w:tcPr>
            <w:tcW w:w="1917" w:type="dxa"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P1, none</w:t>
            </w:r>
          </w:p>
        </w:tc>
      </w:tr>
      <w:tr w:rsidR="0082611C">
        <w:trPr>
          <w:trHeight w:val="300"/>
        </w:trPr>
        <w:tc>
          <w:tcPr>
            <w:tcW w:w="4210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NSD (standard deviation), No. of clusters</w:t>
            </w:r>
          </w:p>
        </w:tc>
        <w:tc>
          <w:tcPr>
            <w:tcW w:w="1688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0.87 (0.01),1</w:t>
            </w:r>
          </w:p>
        </w:tc>
        <w:tc>
          <w:tcPr>
            <w:tcW w:w="1916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0.85 (0.02),1</w:t>
            </w:r>
          </w:p>
        </w:tc>
        <w:tc>
          <w:tcPr>
            <w:tcW w:w="1917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0.91 (0.01),1</w:t>
            </w:r>
          </w:p>
        </w:tc>
      </w:tr>
      <w:tr w:rsidR="0082611C">
        <w:trPr>
          <w:trHeight w:val="300"/>
        </w:trPr>
        <w:tc>
          <w:tcPr>
            <w:tcW w:w="4210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χ^2 value/range</w:t>
            </w:r>
          </w:p>
        </w:tc>
        <w:tc>
          <w:tcPr>
            <w:tcW w:w="1688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1.098</w:t>
            </w:r>
          </w:p>
        </w:tc>
        <w:tc>
          <w:tcPr>
            <w:tcW w:w="1916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0.921</w:t>
            </w:r>
          </w:p>
        </w:tc>
        <w:tc>
          <w:tcPr>
            <w:tcW w:w="1917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1.606</w:t>
            </w:r>
          </w:p>
        </w:tc>
      </w:tr>
      <w:tr w:rsidR="0082611C">
        <w:trPr>
          <w:trHeight w:val="300"/>
        </w:trPr>
        <w:tc>
          <w:tcPr>
            <w:tcW w:w="4210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resolution (from SASRES) (Å)</w:t>
            </w:r>
          </w:p>
        </w:tc>
        <w:tc>
          <w:tcPr>
            <w:tcW w:w="1688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25 ± 2</w:t>
            </w:r>
          </w:p>
        </w:tc>
        <w:tc>
          <w:tcPr>
            <w:tcW w:w="1916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29 ± 3</w:t>
            </w:r>
          </w:p>
        </w:tc>
        <w:tc>
          <w:tcPr>
            <w:tcW w:w="1917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27 ± 2</w:t>
            </w:r>
          </w:p>
        </w:tc>
      </w:tr>
      <w:tr w:rsidR="0082611C">
        <w:trPr>
          <w:trHeight w:val="300"/>
        </w:trPr>
        <w:tc>
          <w:tcPr>
            <w:tcW w:w="973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2611C" w:rsidRDefault="0007094D">
            <w:pPr>
              <w:rPr>
                <w:rFonts w:ascii="Arial" w:eastAsia="宋体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sz w:val="20"/>
              </w:rPr>
              <w:t xml:space="preserve">(f) </w:t>
            </w:r>
            <w:r>
              <w:rPr>
                <w:rFonts w:ascii="Arial" w:eastAsia="宋体" w:hAnsi="Arial" w:cs="Arial"/>
                <w:b/>
                <w:bCs/>
                <w:color w:val="000000"/>
                <w:sz w:val="20"/>
              </w:rPr>
              <w:t>Atomistic modelling</w:t>
            </w:r>
          </w:p>
        </w:tc>
      </w:tr>
      <w:tr w:rsidR="0082611C">
        <w:trPr>
          <w:trHeight w:val="300"/>
        </w:trPr>
        <w:tc>
          <w:tcPr>
            <w:tcW w:w="4210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CRYSOL</w:t>
            </w:r>
          </w:p>
        </w:tc>
        <w:tc>
          <w:tcPr>
            <w:tcW w:w="1688" w:type="dxa"/>
            <w:noWrap/>
            <w:vAlign w:val="center"/>
          </w:tcPr>
          <w:p w:rsidR="0082611C" w:rsidRDefault="0082611C">
            <w:pPr>
              <w:jc w:val="center"/>
              <w:rPr>
                <w:rFonts w:eastAsia="宋体"/>
                <w:color w:val="000000"/>
                <w:sz w:val="20"/>
              </w:rPr>
            </w:pPr>
          </w:p>
        </w:tc>
        <w:tc>
          <w:tcPr>
            <w:tcW w:w="1916" w:type="dxa"/>
            <w:noWrap/>
            <w:vAlign w:val="center"/>
          </w:tcPr>
          <w:p w:rsidR="0082611C" w:rsidRDefault="0082611C">
            <w:pPr>
              <w:jc w:val="center"/>
              <w:rPr>
                <w:rFonts w:eastAsia="宋体"/>
                <w:color w:val="000000"/>
                <w:sz w:val="20"/>
              </w:rPr>
            </w:pPr>
          </w:p>
        </w:tc>
        <w:tc>
          <w:tcPr>
            <w:tcW w:w="1917" w:type="dxa"/>
            <w:noWrap/>
            <w:vAlign w:val="center"/>
          </w:tcPr>
          <w:p w:rsidR="0082611C" w:rsidRDefault="0082611C">
            <w:pPr>
              <w:jc w:val="center"/>
              <w:rPr>
                <w:rFonts w:eastAsia="宋体"/>
                <w:color w:val="000000"/>
                <w:sz w:val="20"/>
              </w:rPr>
            </w:pPr>
          </w:p>
        </w:tc>
      </w:tr>
      <w:tr w:rsidR="0082611C">
        <w:trPr>
          <w:trHeight w:val="300"/>
        </w:trPr>
        <w:tc>
          <w:tcPr>
            <w:tcW w:w="4210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χ^2 value</w:t>
            </w:r>
          </w:p>
        </w:tc>
        <w:tc>
          <w:tcPr>
            <w:tcW w:w="1688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3.82</w:t>
            </w:r>
          </w:p>
        </w:tc>
        <w:tc>
          <w:tcPr>
            <w:tcW w:w="1916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4.52</w:t>
            </w:r>
          </w:p>
        </w:tc>
        <w:tc>
          <w:tcPr>
            <w:tcW w:w="1917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11.58</w:t>
            </w:r>
          </w:p>
        </w:tc>
      </w:tr>
      <w:tr w:rsidR="0082611C">
        <w:trPr>
          <w:trHeight w:val="300"/>
        </w:trPr>
        <w:tc>
          <w:tcPr>
            <w:tcW w:w="4210" w:type="dxa"/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P value</w:t>
            </w:r>
          </w:p>
        </w:tc>
        <w:tc>
          <w:tcPr>
            <w:tcW w:w="1688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0.05</w:t>
            </w:r>
          </w:p>
        </w:tc>
        <w:tc>
          <w:tcPr>
            <w:tcW w:w="1916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</w:t>
            </w:r>
          </w:p>
        </w:tc>
        <w:tc>
          <w:tcPr>
            <w:tcW w:w="1917" w:type="dxa"/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0.08</w:t>
            </w:r>
          </w:p>
        </w:tc>
      </w:tr>
      <w:tr w:rsidR="0082611C">
        <w:trPr>
          <w:trHeight w:val="300"/>
        </w:trPr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 xml:space="preserve">Predicted </w:t>
            </w:r>
            <w:proofErr w:type="spellStart"/>
            <w:r>
              <w:rPr>
                <w:rFonts w:eastAsia="宋体"/>
                <w:color w:val="000000"/>
                <w:sz w:val="20"/>
              </w:rPr>
              <w:t>Rg</w:t>
            </w:r>
            <w:proofErr w:type="spellEnd"/>
            <w:r>
              <w:rPr>
                <w:rFonts w:eastAsia="宋体"/>
                <w:color w:val="000000"/>
                <w:sz w:val="20"/>
              </w:rPr>
              <w:t xml:space="preserve"> (Å)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29.51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20.53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42.34</w:t>
            </w:r>
          </w:p>
        </w:tc>
      </w:tr>
      <w:tr w:rsidR="0082611C">
        <w:trPr>
          <w:trHeight w:val="300"/>
        </w:trPr>
        <w:tc>
          <w:tcPr>
            <w:tcW w:w="42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2611C" w:rsidRDefault="0007094D">
            <w:pPr>
              <w:rPr>
                <w:rFonts w:eastAsia="宋体"/>
                <w:color w:val="000000"/>
                <w:sz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sz w:val="20"/>
              </w:rPr>
              <w:t>(g) Data and model deposition IDs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2611C" w:rsidRDefault="0082611C">
            <w:pPr>
              <w:jc w:val="center"/>
              <w:rPr>
                <w:rFonts w:eastAsia="宋体"/>
                <w:color w:val="000000"/>
                <w:sz w:val="20"/>
              </w:rPr>
            </w:pP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2611C" w:rsidRDefault="0082611C">
            <w:pPr>
              <w:jc w:val="center"/>
              <w:rPr>
                <w:rFonts w:eastAsia="宋体"/>
                <w:color w:val="000000"/>
                <w:sz w:val="20"/>
              </w:rPr>
            </w:pPr>
          </w:p>
        </w:tc>
        <w:tc>
          <w:tcPr>
            <w:tcW w:w="19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2611C" w:rsidRDefault="0082611C">
            <w:pPr>
              <w:jc w:val="center"/>
              <w:rPr>
                <w:rFonts w:eastAsia="宋体"/>
                <w:color w:val="000000"/>
                <w:sz w:val="20"/>
              </w:rPr>
            </w:pPr>
          </w:p>
        </w:tc>
      </w:tr>
      <w:tr w:rsidR="0082611C">
        <w:trPr>
          <w:trHeight w:val="300"/>
        </w:trPr>
        <w:tc>
          <w:tcPr>
            <w:tcW w:w="421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82611C" w:rsidRDefault="0082611C">
            <w:pPr>
              <w:rPr>
                <w:rFonts w:eastAsia="宋体"/>
                <w:color w:val="000000"/>
                <w:sz w:val="20"/>
              </w:rPr>
            </w:pPr>
          </w:p>
        </w:tc>
        <w:tc>
          <w:tcPr>
            <w:tcW w:w="1688" w:type="dxa"/>
            <w:tcBorders>
              <w:top w:val="single" w:sz="8" w:space="0" w:color="auto"/>
              <w:left w:val="nil"/>
              <w:right w:val="nil"/>
            </w:tcBorders>
            <w:noWrap/>
            <w:vAlign w:val="bottom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Nb1–BCMA</w:t>
            </w:r>
            <w:r>
              <w:rPr>
                <w:rFonts w:eastAsia="宋体"/>
                <w:color w:val="000000"/>
                <w:sz w:val="20"/>
                <w:vertAlign w:val="subscript"/>
              </w:rPr>
              <w:t>ECD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right w:val="nil"/>
            </w:tcBorders>
            <w:noWrap/>
            <w:vAlign w:val="bottom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Nb2–BCMA</w:t>
            </w:r>
            <w:r>
              <w:rPr>
                <w:rFonts w:eastAsia="宋体"/>
                <w:color w:val="000000"/>
                <w:sz w:val="20"/>
                <w:vertAlign w:val="subscript"/>
              </w:rPr>
              <w:t>ECD</w:t>
            </w:r>
          </w:p>
        </w:tc>
        <w:tc>
          <w:tcPr>
            <w:tcW w:w="1917" w:type="dxa"/>
            <w:tcBorders>
              <w:top w:val="single" w:sz="8" w:space="0" w:color="auto"/>
              <w:left w:val="nil"/>
              <w:right w:val="nil"/>
            </w:tcBorders>
            <w:noWrap/>
            <w:vAlign w:val="bottom"/>
          </w:tcPr>
          <w:p w:rsidR="0082611C" w:rsidRDefault="0007094D">
            <w:pPr>
              <w:jc w:val="center"/>
              <w:rPr>
                <w:rFonts w:eastAsia="宋体"/>
                <w:color w:val="000000"/>
                <w:sz w:val="20"/>
              </w:rPr>
            </w:pPr>
            <w:r>
              <w:rPr>
                <w:rFonts w:eastAsia="宋体"/>
                <w:color w:val="000000"/>
                <w:sz w:val="20"/>
              </w:rPr>
              <w:t>NbT–BCMA</w:t>
            </w:r>
            <w:r>
              <w:rPr>
                <w:rFonts w:eastAsia="宋体"/>
                <w:color w:val="000000"/>
                <w:sz w:val="20"/>
                <w:vertAlign w:val="subscript"/>
              </w:rPr>
              <w:t>ECD</w:t>
            </w:r>
          </w:p>
        </w:tc>
      </w:tr>
      <w:tr w:rsidR="0082611C">
        <w:trPr>
          <w:trHeight w:val="300"/>
        </w:trPr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611C" w:rsidRDefault="0082611C">
            <w:pPr>
              <w:rPr>
                <w:rFonts w:eastAsia="宋体"/>
                <w:color w:val="000000"/>
                <w:sz w:val="20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2611C" w:rsidRDefault="008B6834">
            <w:pPr>
              <w:jc w:val="center"/>
              <w:rPr>
                <w:rFonts w:eastAsia="宋体"/>
                <w:color w:val="000000"/>
                <w:sz w:val="20"/>
                <w:lang w:eastAsia="zh-CN"/>
              </w:rPr>
            </w:pPr>
            <w:r w:rsidRPr="008B6834">
              <w:rPr>
                <w:rFonts w:eastAsia="宋体"/>
                <w:color w:val="000000"/>
                <w:sz w:val="20"/>
                <w:lang w:eastAsia="zh-CN"/>
              </w:rPr>
              <w:t>SASDQV9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2611C" w:rsidRDefault="005928FA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5928FA">
              <w:rPr>
                <w:rFonts w:eastAsia="宋体"/>
                <w:color w:val="000000"/>
                <w:sz w:val="20"/>
              </w:rPr>
              <w:t>SASDQW9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2611C" w:rsidRDefault="005928FA">
            <w:pPr>
              <w:jc w:val="center"/>
              <w:rPr>
                <w:rFonts w:eastAsia="宋体"/>
                <w:color w:val="000000"/>
                <w:sz w:val="20"/>
              </w:rPr>
            </w:pPr>
            <w:r w:rsidRPr="005928FA">
              <w:rPr>
                <w:rFonts w:eastAsia="宋体"/>
                <w:color w:val="000000"/>
                <w:sz w:val="20"/>
              </w:rPr>
              <w:t>SASDQX9</w:t>
            </w:r>
          </w:p>
        </w:tc>
      </w:tr>
    </w:tbl>
    <w:p w:rsidR="0082611C" w:rsidRDefault="0082611C">
      <w:pPr>
        <w:rPr>
          <w:rFonts w:eastAsia="Times New Roman"/>
        </w:rPr>
      </w:pPr>
    </w:p>
    <w:p w:rsidR="0082611C" w:rsidRDefault="0007094D">
      <w:pPr>
        <w:spacing w:line="360" w:lineRule="auto"/>
        <w:rPr>
          <w:szCs w:val="24"/>
        </w:rPr>
      </w:pPr>
      <w:r>
        <w:rPr>
          <w:b/>
          <w:bCs/>
          <w:szCs w:val="24"/>
        </w:rPr>
        <w:t>References</w:t>
      </w:r>
    </w:p>
    <w:p w:rsidR="0082611C" w:rsidRDefault="0007094D">
      <w:pPr>
        <w:pStyle w:val="EndNoteBibliography"/>
        <w:ind w:left="720" w:hanging="720"/>
      </w:pPr>
      <w:r>
        <w:rPr>
          <w:rFonts w:eastAsia="Baoli TC"/>
        </w:rPr>
        <w:fldChar w:fldCharType="begin"/>
      </w:r>
      <w:r>
        <w:instrText xml:space="preserve"> ADDIN EN.REFLIST </w:instrText>
      </w:r>
      <w:r>
        <w:rPr>
          <w:rFonts w:eastAsia="Baoli TC"/>
        </w:rPr>
        <w:fldChar w:fldCharType="separate"/>
      </w:r>
      <w:r>
        <w:t>1</w:t>
      </w:r>
      <w:r>
        <w:tab/>
        <w:t>Franke, D.</w:t>
      </w:r>
      <w:r>
        <w:rPr>
          <w:i/>
        </w:rPr>
        <w:t xml:space="preserve"> et al.</w:t>
      </w:r>
      <w:r>
        <w:t xml:space="preserve"> ATSAS 2.8 : a comprehensive data analysis suite for small-angle scattering from macromolecular solutions. </w:t>
      </w:r>
      <w:r>
        <w:rPr>
          <w:i/>
        </w:rPr>
        <w:t>Journal of applied crystallography</w:t>
      </w:r>
      <w:r>
        <w:t xml:space="preserve"> </w:t>
      </w:r>
      <w:r>
        <w:rPr>
          <w:b/>
        </w:rPr>
        <w:t>50</w:t>
      </w:r>
      <w:r>
        <w:t xml:space="preserve">, 1212-1225 (2017). </w:t>
      </w:r>
    </w:p>
    <w:p w:rsidR="0082611C" w:rsidRDefault="0007094D">
      <w:pPr>
        <w:pStyle w:val="EndNoteBibliography"/>
        <w:ind w:left="720" w:hanging="720"/>
      </w:pPr>
      <w:r>
        <w:t>2</w:t>
      </w:r>
      <w:r>
        <w:tab/>
      </w:r>
      <w:r>
        <w:t xml:space="preserve">Franke, D. &amp; Svergun, D. I. DAMMIF, a program for rapid ab-initio shape determination in small-angle scattering. </w:t>
      </w:r>
      <w:r>
        <w:rPr>
          <w:i/>
        </w:rPr>
        <w:t>J Appl Crystallogr</w:t>
      </w:r>
      <w:r>
        <w:t xml:space="preserve"> </w:t>
      </w:r>
      <w:r>
        <w:rPr>
          <w:b/>
        </w:rPr>
        <w:t>42</w:t>
      </w:r>
      <w:r>
        <w:t>, 342-346, doi:10.1107/S0021889809000338 (2009).</w:t>
      </w:r>
    </w:p>
    <w:p w:rsidR="0082611C" w:rsidRDefault="0007094D">
      <w:pPr>
        <w:spacing w:line="276" w:lineRule="auto"/>
      </w:pPr>
      <w:r>
        <w:rPr>
          <w:rFonts w:eastAsia="Times New Roman"/>
          <w:szCs w:val="24"/>
        </w:rPr>
        <w:fldChar w:fldCharType="end"/>
      </w:r>
    </w:p>
    <w:sectPr w:rsidR="0082611C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94D" w:rsidRDefault="0007094D">
      <w:r>
        <w:separator/>
      </w:r>
    </w:p>
  </w:endnote>
  <w:endnote w:type="continuationSeparator" w:id="0">
    <w:p w:rsidR="0007094D" w:rsidRDefault="0007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aoli TC">
    <w:altName w:val="Malgun Gothic Semilight"/>
    <w:panose1 w:val="02010600040101010101"/>
    <w:charset w:val="88"/>
    <w:family w:val="auto"/>
    <w:pitch w:val="variable"/>
    <w:sig w:usb0="80000287" w:usb1="280F3C52" w:usb2="00000016" w:usb3="00000000" w:csb0="001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11C" w:rsidRDefault="0007094D">
    <w:pPr>
      <w:pStyle w:val="af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 w:rsidR="0082611C" w:rsidRDefault="0082611C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94D" w:rsidRDefault="0007094D">
      <w:r>
        <w:separator/>
      </w:r>
    </w:p>
  </w:footnote>
  <w:footnote w:type="continuationSeparator" w:id="0">
    <w:p w:rsidR="0007094D" w:rsidRDefault="00070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11C" w:rsidRDefault="0082611C">
    <w:pPr>
      <w:jc w:val="right"/>
      <w:rPr>
        <w:sz w:val="20"/>
      </w:rPr>
    </w:pPr>
  </w:p>
  <w:p w:rsidR="0082611C" w:rsidRDefault="008261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doNotDisplayPageBoundaries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55DB"/>
    <w:rsid w:val="00005CC7"/>
    <w:rsid w:val="00015F74"/>
    <w:rsid w:val="00022BA5"/>
    <w:rsid w:val="000251A3"/>
    <w:rsid w:val="00035A67"/>
    <w:rsid w:val="00044777"/>
    <w:rsid w:val="00065EBD"/>
    <w:rsid w:val="000677F8"/>
    <w:rsid w:val="0007094D"/>
    <w:rsid w:val="00080E0D"/>
    <w:rsid w:val="00083B44"/>
    <w:rsid w:val="000850DC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51639"/>
    <w:rsid w:val="0016337A"/>
    <w:rsid w:val="00164269"/>
    <w:rsid w:val="001713F7"/>
    <w:rsid w:val="001A1BDE"/>
    <w:rsid w:val="001B576A"/>
    <w:rsid w:val="001C403D"/>
    <w:rsid w:val="001F0759"/>
    <w:rsid w:val="001F0876"/>
    <w:rsid w:val="001F167C"/>
    <w:rsid w:val="001F5E91"/>
    <w:rsid w:val="00206110"/>
    <w:rsid w:val="002077B9"/>
    <w:rsid w:val="00237651"/>
    <w:rsid w:val="00262D72"/>
    <w:rsid w:val="00294FBB"/>
    <w:rsid w:val="002B3205"/>
    <w:rsid w:val="002C030F"/>
    <w:rsid w:val="002C5B95"/>
    <w:rsid w:val="002F1912"/>
    <w:rsid w:val="00331D75"/>
    <w:rsid w:val="00355362"/>
    <w:rsid w:val="00363E44"/>
    <w:rsid w:val="003806E5"/>
    <w:rsid w:val="003807CE"/>
    <w:rsid w:val="00381B21"/>
    <w:rsid w:val="00395E86"/>
    <w:rsid w:val="003A2FD8"/>
    <w:rsid w:val="003A3AA8"/>
    <w:rsid w:val="003A679D"/>
    <w:rsid w:val="003B0E1F"/>
    <w:rsid w:val="003B40E6"/>
    <w:rsid w:val="003E74FB"/>
    <w:rsid w:val="003F6E14"/>
    <w:rsid w:val="00405336"/>
    <w:rsid w:val="00426A48"/>
    <w:rsid w:val="004571D5"/>
    <w:rsid w:val="00461D81"/>
    <w:rsid w:val="0046356B"/>
    <w:rsid w:val="00477182"/>
    <w:rsid w:val="004779CB"/>
    <w:rsid w:val="00480A24"/>
    <w:rsid w:val="004A5A8E"/>
    <w:rsid w:val="004D0AF1"/>
    <w:rsid w:val="004E42D8"/>
    <w:rsid w:val="004E7BA2"/>
    <w:rsid w:val="004F7EDF"/>
    <w:rsid w:val="005001AC"/>
    <w:rsid w:val="005244D7"/>
    <w:rsid w:val="00527D71"/>
    <w:rsid w:val="005520A8"/>
    <w:rsid w:val="005607DD"/>
    <w:rsid w:val="0056152F"/>
    <w:rsid w:val="00565C71"/>
    <w:rsid w:val="00572F8C"/>
    <w:rsid w:val="005841B8"/>
    <w:rsid w:val="005928FA"/>
    <w:rsid w:val="00593D20"/>
    <w:rsid w:val="005A49DA"/>
    <w:rsid w:val="005A558C"/>
    <w:rsid w:val="005E28F8"/>
    <w:rsid w:val="005E6513"/>
    <w:rsid w:val="00614348"/>
    <w:rsid w:val="00625BC9"/>
    <w:rsid w:val="00651114"/>
    <w:rsid w:val="00664560"/>
    <w:rsid w:val="00670299"/>
    <w:rsid w:val="00691985"/>
    <w:rsid w:val="00692379"/>
    <w:rsid w:val="006A1B64"/>
    <w:rsid w:val="006D3BEB"/>
    <w:rsid w:val="006E4387"/>
    <w:rsid w:val="006E73CE"/>
    <w:rsid w:val="007108F5"/>
    <w:rsid w:val="00713E5B"/>
    <w:rsid w:val="007402FC"/>
    <w:rsid w:val="007411A1"/>
    <w:rsid w:val="00763398"/>
    <w:rsid w:val="00774772"/>
    <w:rsid w:val="00786A7A"/>
    <w:rsid w:val="00793072"/>
    <w:rsid w:val="007C5AB6"/>
    <w:rsid w:val="007E09C6"/>
    <w:rsid w:val="007E1CBC"/>
    <w:rsid w:val="007E6416"/>
    <w:rsid w:val="007F64AE"/>
    <w:rsid w:val="00807D35"/>
    <w:rsid w:val="008218C4"/>
    <w:rsid w:val="00821F38"/>
    <w:rsid w:val="0082611C"/>
    <w:rsid w:val="00851209"/>
    <w:rsid w:val="00867A98"/>
    <w:rsid w:val="00870867"/>
    <w:rsid w:val="00885C9B"/>
    <w:rsid w:val="008A3417"/>
    <w:rsid w:val="008B6834"/>
    <w:rsid w:val="008B76DA"/>
    <w:rsid w:val="008D5D2A"/>
    <w:rsid w:val="008F2D0F"/>
    <w:rsid w:val="008F49D1"/>
    <w:rsid w:val="00912BF2"/>
    <w:rsid w:val="00914284"/>
    <w:rsid w:val="00914B63"/>
    <w:rsid w:val="0092613B"/>
    <w:rsid w:val="009354F3"/>
    <w:rsid w:val="009447DC"/>
    <w:rsid w:val="00961BA5"/>
    <w:rsid w:val="00973D01"/>
    <w:rsid w:val="009743A9"/>
    <w:rsid w:val="0098426D"/>
    <w:rsid w:val="00994BE0"/>
    <w:rsid w:val="009A47E0"/>
    <w:rsid w:val="009A5287"/>
    <w:rsid w:val="009B2AC5"/>
    <w:rsid w:val="009B7984"/>
    <w:rsid w:val="009E5F9C"/>
    <w:rsid w:val="009F1C2E"/>
    <w:rsid w:val="009F4BED"/>
    <w:rsid w:val="009F7D93"/>
    <w:rsid w:val="00A15C3D"/>
    <w:rsid w:val="00A3403B"/>
    <w:rsid w:val="00A51A12"/>
    <w:rsid w:val="00A627D4"/>
    <w:rsid w:val="00A74DA2"/>
    <w:rsid w:val="00AB399E"/>
    <w:rsid w:val="00AC59D0"/>
    <w:rsid w:val="00AD16B1"/>
    <w:rsid w:val="00AD499C"/>
    <w:rsid w:val="00B36869"/>
    <w:rsid w:val="00B41BD2"/>
    <w:rsid w:val="00B43AF3"/>
    <w:rsid w:val="00B43B31"/>
    <w:rsid w:val="00B47CFA"/>
    <w:rsid w:val="00B57F00"/>
    <w:rsid w:val="00B7449C"/>
    <w:rsid w:val="00B77B2A"/>
    <w:rsid w:val="00B82C22"/>
    <w:rsid w:val="00B93DBA"/>
    <w:rsid w:val="00B9440A"/>
    <w:rsid w:val="00BB2D2A"/>
    <w:rsid w:val="00BC3E04"/>
    <w:rsid w:val="00BC49F5"/>
    <w:rsid w:val="00BD43B7"/>
    <w:rsid w:val="00BD58CF"/>
    <w:rsid w:val="00BD5A60"/>
    <w:rsid w:val="00BF04B6"/>
    <w:rsid w:val="00BF0C92"/>
    <w:rsid w:val="00BF1552"/>
    <w:rsid w:val="00C04CC1"/>
    <w:rsid w:val="00C060AF"/>
    <w:rsid w:val="00C1404D"/>
    <w:rsid w:val="00C3429E"/>
    <w:rsid w:val="00C4096C"/>
    <w:rsid w:val="00C50C6D"/>
    <w:rsid w:val="00C600D9"/>
    <w:rsid w:val="00C623B0"/>
    <w:rsid w:val="00C63EA1"/>
    <w:rsid w:val="00C9097A"/>
    <w:rsid w:val="00C92B22"/>
    <w:rsid w:val="00CC1384"/>
    <w:rsid w:val="00CC6306"/>
    <w:rsid w:val="00CC743F"/>
    <w:rsid w:val="00CD3720"/>
    <w:rsid w:val="00CE79E1"/>
    <w:rsid w:val="00CF1848"/>
    <w:rsid w:val="00CF5C2F"/>
    <w:rsid w:val="00D04BCF"/>
    <w:rsid w:val="00D143D9"/>
    <w:rsid w:val="00D2331C"/>
    <w:rsid w:val="00D3334B"/>
    <w:rsid w:val="00D53AC8"/>
    <w:rsid w:val="00D5511B"/>
    <w:rsid w:val="00D766F1"/>
    <w:rsid w:val="00DA63B3"/>
    <w:rsid w:val="00DC1A74"/>
    <w:rsid w:val="00E026E8"/>
    <w:rsid w:val="00E1546A"/>
    <w:rsid w:val="00E257C8"/>
    <w:rsid w:val="00E33626"/>
    <w:rsid w:val="00E41274"/>
    <w:rsid w:val="00E41512"/>
    <w:rsid w:val="00E4519A"/>
    <w:rsid w:val="00E611D0"/>
    <w:rsid w:val="00E853D5"/>
    <w:rsid w:val="00E85A44"/>
    <w:rsid w:val="00E9773B"/>
    <w:rsid w:val="00EA4B0E"/>
    <w:rsid w:val="00EA6F42"/>
    <w:rsid w:val="00EC13A3"/>
    <w:rsid w:val="00EC210C"/>
    <w:rsid w:val="00EC2D7A"/>
    <w:rsid w:val="00EC7C85"/>
    <w:rsid w:val="00EE4F64"/>
    <w:rsid w:val="00F03FE2"/>
    <w:rsid w:val="00F125EE"/>
    <w:rsid w:val="00F12E98"/>
    <w:rsid w:val="00F22029"/>
    <w:rsid w:val="00F44E04"/>
    <w:rsid w:val="00F515FB"/>
    <w:rsid w:val="00F630EA"/>
    <w:rsid w:val="00F7007E"/>
    <w:rsid w:val="00F70BEB"/>
    <w:rsid w:val="00F73193"/>
    <w:rsid w:val="00F74F95"/>
    <w:rsid w:val="00F80705"/>
    <w:rsid w:val="00F959FA"/>
    <w:rsid w:val="00FA1481"/>
    <w:rsid w:val="00FF04E3"/>
    <w:rsid w:val="1D19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730D3CB"/>
  <w15:docId w15:val="{E26AF818-DB03-5242-BF65-A0523F149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 w:unhideWhenUsed="1"/>
    <w:lsdException w:name="Strong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 w:unhideWhenUsed="1"/>
    <w:lsdException w:name="HTML Address" w:semiHidden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  <w:lang w:eastAsia="en-US"/>
    </w:rPr>
  </w:style>
  <w:style w:type="paragraph" w:styleId="1">
    <w:name w:val="heading 1"/>
    <w:basedOn w:val="a1"/>
    <w:next w:val="a1"/>
    <w:link w:val="10"/>
    <w:semiHidden/>
    <w:qFormat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32">
    <w:name w:val="List 3"/>
    <w:basedOn w:val="a1"/>
    <w:semiHidden/>
    <w:pPr>
      <w:ind w:left="1080" w:hanging="360"/>
      <w:contextualSpacing/>
    </w:pPr>
  </w:style>
  <w:style w:type="paragraph" w:styleId="TOC7">
    <w:name w:val="toc 7"/>
    <w:basedOn w:val="a1"/>
    <w:next w:val="a1"/>
    <w:semiHidden/>
    <w:pPr>
      <w:ind w:left="1440"/>
    </w:pPr>
  </w:style>
  <w:style w:type="paragraph" w:styleId="2">
    <w:name w:val="List Number 2"/>
    <w:basedOn w:val="a1"/>
    <w:semiHidden/>
    <w:pPr>
      <w:numPr>
        <w:numId w:val="1"/>
      </w:numPr>
      <w:contextualSpacing/>
    </w:pPr>
  </w:style>
  <w:style w:type="paragraph" w:styleId="a7">
    <w:name w:val="table of authorities"/>
    <w:basedOn w:val="a1"/>
    <w:next w:val="a1"/>
    <w:semiHidden/>
    <w:pPr>
      <w:ind w:left="240" w:hanging="240"/>
    </w:pPr>
  </w:style>
  <w:style w:type="paragraph" w:styleId="a8">
    <w:name w:val="Note Heading"/>
    <w:basedOn w:val="a1"/>
    <w:next w:val="a1"/>
    <w:link w:val="a9"/>
    <w:semiHidden/>
  </w:style>
  <w:style w:type="paragraph" w:styleId="40">
    <w:name w:val="List Bullet 4"/>
    <w:basedOn w:val="a1"/>
    <w:semiHidden/>
    <w:pPr>
      <w:numPr>
        <w:numId w:val="2"/>
      </w:numPr>
      <w:contextualSpacing/>
    </w:pPr>
  </w:style>
  <w:style w:type="paragraph" w:styleId="81">
    <w:name w:val="index 8"/>
    <w:basedOn w:val="a1"/>
    <w:next w:val="a1"/>
    <w:semiHidden/>
    <w:pPr>
      <w:ind w:left="1920" w:hanging="240"/>
    </w:pPr>
  </w:style>
  <w:style w:type="paragraph" w:styleId="aa">
    <w:name w:val="E-mail Signature"/>
    <w:basedOn w:val="a1"/>
    <w:link w:val="ab"/>
    <w:semiHidden/>
  </w:style>
  <w:style w:type="paragraph" w:styleId="a">
    <w:name w:val="List Number"/>
    <w:basedOn w:val="a1"/>
    <w:semiHidden/>
    <w:pPr>
      <w:numPr>
        <w:numId w:val="3"/>
      </w:numPr>
      <w:contextualSpacing/>
    </w:pPr>
  </w:style>
  <w:style w:type="paragraph" w:styleId="ac">
    <w:name w:val="Normal Indent"/>
    <w:basedOn w:val="a1"/>
    <w:semiHidden/>
    <w:pPr>
      <w:ind w:left="720"/>
    </w:pPr>
  </w:style>
  <w:style w:type="paragraph" w:styleId="ad">
    <w:name w:val="caption"/>
    <w:basedOn w:val="a1"/>
    <w:next w:val="a1"/>
    <w:semiHidden/>
    <w:qFormat/>
    <w:rPr>
      <w:b/>
      <w:bCs/>
      <w:sz w:val="20"/>
    </w:rPr>
  </w:style>
  <w:style w:type="paragraph" w:styleId="53">
    <w:name w:val="index 5"/>
    <w:basedOn w:val="a1"/>
    <w:next w:val="a1"/>
    <w:semiHidden/>
    <w:pPr>
      <w:ind w:left="1200" w:hanging="240"/>
    </w:pPr>
  </w:style>
  <w:style w:type="paragraph" w:styleId="a0">
    <w:name w:val="List Bullet"/>
    <w:basedOn w:val="a1"/>
    <w:semiHidden/>
    <w:pPr>
      <w:numPr>
        <w:numId w:val="4"/>
      </w:numPr>
      <w:contextualSpacing/>
    </w:pPr>
  </w:style>
  <w:style w:type="paragraph" w:styleId="ae">
    <w:name w:val="envelope address"/>
    <w:basedOn w:val="a1"/>
    <w:semiHidden/>
    <w:pPr>
      <w:framePr w:w="7920" w:h="1980" w:hRule="exact" w:hSpace="180" w:wrap="around" w:hAnchor="page" w:xAlign="center" w:yAlign="bottom"/>
      <w:ind w:left="2880"/>
    </w:pPr>
    <w:rPr>
      <w:rFonts w:ascii="Cambria" w:hAnsi="Cambria"/>
      <w:szCs w:val="24"/>
    </w:rPr>
  </w:style>
  <w:style w:type="paragraph" w:styleId="af">
    <w:name w:val="Document Map"/>
    <w:basedOn w:val="a1"/>
    <w:link w:val="af0"/>
    <w:semiHidden/>
    <w:rPr>
      <w:rFonts w:ascii="Tahoma" w:hAnsi="Tahoma" w:cs="Tahoma"/>
      <w:sz w:val="16"/>
      <w:szCs w:val="16"/>
    </w:rPr>
  </w:style>
  <w:style w:type="paragraph" w:styleId="af1">
    <w:name w:val="toa heading"/>
    <w:basedOn w:val="a1"/>
    <w:next w:val="a1"/>
    <w:semiHidden/>
    <w:pPr>
      <w:spacing w:before="120"/>
    </w:pPr>
    <w:rPr>
      <w:rFonts w:ascii="Cambria" w:hAnsi="Cambria"/>
      <w:b/>
      <w:bCs/>
      <w:szCs w:val="24"/>
    </w:rPr>
  </w:style>
  <w:style w:type="paragraph" w:styleId="af2">
    <w:name w:val="annotation text"/>
    <w:basedOn w:val="a1"/>
    <w:link w:val="af3"/>
    <w:semiHidden/>
    <w:rPr>
      <w:sz w:val="20"/>
    </w:rPr>
  </w:style>
  <w:style w:type="paragraph" w:styleId="61">
    <w:name w:val="index 6"/>
    <w:basedOn w:val="a1"/>
    <w:next w:val="a1"/>
    <w:semiHidden/>
    <w:pPr>
      <w:ind w:left="1440" w:hanging="240"/>
    </w:pPr>
  </w:style>
  <w:style w:type="paragraph" w:styleId="af4">
    <w:name w:val="Salutation"/>
    <w:basedOn w:val="a1"/>
    <w:next w:val="a1"/>
    <w:link w:val="af5"/>
    <w:semiHidden/>
  </w:style>
  <w:style w:type="paragraph" w:styleId="33">
    <w:name w:val="Body Text 3"/>
    <w:basedOn w:val="a1"/>
    <w:link w:val="34"/>
    <w:semiHidden/>
    <w:pPr>
      <w:spacing w:after="120"/>
    </w:pPr>
    <w:rPr>
      <w:sz w:val="16"/>
      <w:szCs w:val="16"/>
    </w:rPr>
  </w:style>
  <w:style w:type="paragraph" w:styleId="af6">
    <w:name w:val="Closing"/>
    <w:basedOn w:val="a1"/>
    <w:link w:val="af7"/>
    <w:semiHidden/>
    <w:pPr>
      <w:ind w:left="4320"/>
    </w:pPr>
  </w:style>
  <w:style w:type="paragraph" w:styleId="30">
    <w:name w:val="List Bullet 3"/>
    <w:basedOn w:val="a1"/>
    <w:semiHidden/>
    <w:pPr>
      <w:numPr>
        <w:numId w:val="5"/>
      </w:numPr>
      <w:contextualSpacing/>
    </w:pPr>
  </w:style>
  <w:style w:type="paragraph" w:styleId="af8">
    <w:name w:val="Body Text"/>
    <w:basedOn w:val="a1"/>
    <w:link w:val="af9"/>
    <w:semiHidden/>
    <w:pPr>
      <w:spacing w:after="120"/>
    </w:pPr>
  </w:style>
  <w:style w:type="paragraph" w:styleId="afa">
    <w:name w:val="Body Text Indent"/>
    <w:basedOn w:val="a1"/>
    <w:link w:val="afb"/>
    <w:semiHidden/>
    <w:pPr>
      <w:spacing w:after="120"/>
      <w:ind w:left="360"/>
    </w:pPr>
  </w:style>
  <w:style w:type="paragraph" w:styleId="3">
    <w:name w:val="List Number 3"/>
    <w:basedOn w:val="a1"/>
    <w:semiHidden/>
    <w:pPr>
      <w:numPr>
        <w:numId w:val="6"/>
      </w:numPr>
      <w:contextualSpacing/>
    </w:pPr>
  </w:style>
  <w:style w:type="paragraph" w:styleId="23">
    <w:name w:val="List 2"/>
    <w:basedOn w:val="a1"/>
    <w:semiHidden/>
    <w:pPr>
      <w:ind w:left="720" w:hanging="360"/>
      <w:contextualSpacing/>
    </w:pPr>
  </w:style>
  <w:style w:type="paragraph" w:styleId="afc">
    <w:name w:val="List Continue"/>
    <w:basedOn w:val="a1"/>
    <w:semiHidden/>
    <w:pPr>
      <w:spacing w:after="120"/>
      <w:ind w:left="360"/>
      <w:contextualSpacing/>
    </w:pPr>
  </w:style>
  <w:style w:type="paragraph" w:styleId="afd">
    <w:name w:val="Block Text"/>
    <w:basedOn w:val="a1"/>
    <w:semiHidden/>
    <w:pPr>
      <w:spacing w:after="120"/>
      <w:ind w:left="1440" w:right="1440"/>
    </w:pPr>
  </w:style>
  <w:style w:type="paragraph" w:styleId="20">
    <w:name w:val="List Bullet 2"/>
    <w:basedOn w:val="a1"/>
    <w:semiHidden/>
    <w:pPr>
      <w:numPr>
        <w:numId w:val="7"/>
      </w:numPr>
      <w:contextualSpacing/>
    </w:pPr>
  </w:style>
  <w:style w:type="paragraph" w:styleId="HTML">
    <w:name w:val="HTML Address"/>
    <w:basedOn w:val="a1"/>
    <w:link w:val="HTML0"/>
    <w:semiHidden/>
    <w:rPr>
      <w:i/>
      <w:iCs/>
    </w:rPr>
  </w:style>
  <w:style w:type="paragraph" w:styleId="42">
    <w:name w:val="index 4"/>
    <w:basedOn w:val="a1"/>
    <w:next w:val="a1"/>
    <w:semiHidden/>
    <w:pPr>
      <w:ind w:left="960" w:hanging="240"/>
    </w:pPr>
  </w:style>
  <w:style w:type="paragraph" w:styleId="TOC5">
    <w:name w:val="toc 5"/>
    <w:basedOn w:val="a1"/>
    <w:next w:val="a1"/>
    <w:semiHidden/>
    <w:pPr>
      <w:ind w:left="960"/>
    </w:pPr>
  </w:style>
  <w:style w:type="paragraph" w:styleId="TOC3">
    <w:name w:val="toc 3"/>
    <w:basedOn w:val="a1"/>
    <w:next w:val="a1"/>
    <w:semiHidden/>
    <w:pPr>
      <w:ind w:left="480"/>
    </w:pPr>
  </w:style>
  <w:style w:type="paragraph" w:styleId="afe">
    <w:name w:val="Plain Text"/>
    <w:basedOn w:val="a1"/>
    <w:link w:val="aff"/>
    <w:semiHidden/>
    <w:rPr>
      <w:rFonts w:ascii="Courier New" w:hAnsi="Courier New" w:cs="Courier New"/>
      <w:sz w:val="20"/>
    </w:rPr>
  </w:style>
  <w:style w:type="paragraph" w:styleId="50">
    <w:name w:val="List Bullet 5"/>
    <w:basedOn w:val="a1"/>
    <w:semiHidden/>
    <w:pPr>
      <w:numPr>
        <w:numId w:val="8"/>
      </w:numPr>
      <w:contextualSpacing/>
    </w:pPr>
  </w:style>
  <w:style w:type="paragraph" w:styleId="4">
    <w:name w:val="List Number 4"/>
    <w:basedOn w:val="a1"/>
    <w:semiHidden/>
    <w:pPr>
      <w:numPr>
        <w:numId w:val="9"/>
      </w:numPr>
      <w:contextualSpacing/>
    </w:pPr>
  </w:style>
  <w:style w:type="paragraph" w:styleId="TOC8">
    <w:name w:val="toc 8"/>
    <w:basedOn w:val="a1"/>
    <w:next w:val="a1"/>
    <w:semiHidden/>
    <w:pPr>
      <w:ind w:left="1680"/>
    </w:pPr>
  </w:style>
  <w:style w:type="paragraph" w:styleId="35">
    <w:name w:val="index 3"/>
    <w:basedOn w:val="a1"/>
    <w:next w:val="a1"/>
    <w:semiHidden/>
    <w:pPr>
      <w:ind w:left="720" w:hanging="240"/>
    </w:pPr>
  </w:style>
  <w:style w:type="paragraph" w:styleId="aff0">
    <w:name w:val="Date"/>
    <w:basedOn w:val="a1"/>
    <w:next w:val="a1"/>
    <w:link w:val="aff1"/>
    <w:semiHidden/>
  </w:style>
  <w:style w:type="paragraph" w:styleId="24">
    <w:name w:val="Body Text Indent 2"/>
    <w:basedOn w:val="a1"/>
    <w:link w:val="25"/>
    <w:semiHidden/>
    <w:pPr>
      <w:spacing w:after="120" w:line="480" w:lineRule="auto"/>
      <w:ind w:left="360"/>
    </w:pPr>
  </w:style>
  <w:style w:type="paragraph" w:styleId="aff2">
    <w:name w:val="endnote text"/>
    <w:basedOn w:val="a1"/>
    <w:link w:val="aff3"/>
    <w:semiHidden/>
    <w:rPr>
      <w:sz w:val="20"/>
    </w:rPr>
  </w:style>
  <w:style w:type="paragraph" w:styleId="54">
    <w:name w:val="List Continue 5"/>
    <w:basedOn w:val="a1"/>
    <w:semiHidden/>
    <w:pPr>
      <w:spacing w:after="120"/>
      <w:ind w:left="1800"/>
      <w:contextualSpacing/>
    </w:pPr>
  </w:style>
  <w:style w:type="paragraph" w:styleId="aff4">
    <w:name w:val="Balloon Text"/>
    <w:basedOn w:val="a1"/>
    <w:link w:val="aff5"/>
    <w:semiHidden/>
    <w:rPr>
      <w:rFonts w:ascii="Tahoma" w:hAnsi="Tahoma" w:cs="Tahoma"/>
      <w:sz w:val="16"/>
      <w:szCs w:val="16"/>
    </w:rPr>
  </w:style>
  <w:style w:type="paragraph" w:styleId="aff6">
    <w:name w:val="footer"/>
    <w:basedOn w:val="a1"/>
    <w:link w:val="aff7"/>
    <w:semiHidden/>
    <w:pPr>
      <w:tabs>
        <w:tab w:val="center" w:pos="4680"/>
        <w:tab w:val="right" w:pos="9360"/>
      </w:tabs>
    </w:pPr>
  </w:style>
  <w:style w:type="paragraph" w:styleId="aff8">
    <w:name w:val="envelope return"/>
    <w:basedOn w:val="a1"/>
    <w:semiHidden/>
    <w:rPr>
      <w:rFonts w:ascii="Cambria" w:hAnsi="Cambria"/>
      <w:sz w:val="20"/>
    </w:rPr>
  </w:style>
  <w:style w:type="paragraph" w:styleId="aff9">
    <w:name w:val="header"/>
    <w:basedOn w:val="a1"/>
    <w:link w:val="affa"/>
    <w:semiHidden/>
    <w:pPr>
      <w:tabs>
        <w:tab w:val="center" w:pos="4680"/>
        <w:tab w:val="right" w:pos="9360"/>
      </w:tabs>
    </w:pPr>
  </w:style>
  <w:style w:type="paragraph" w:styleId="affb">
    <w:name w:val="Signature"/>
    <w:basedOn w:val="a1"/>
    <w:link w:val="affc"/>
    <w:semiHidden/>
    <w:pPr>
      <w:ind w:left="4320"/>
    </w:pPr>
  </w:style>
  <w:style w:type="paragraph" w:styleId="TOC1">
    <w:name w:val="toc 1"/>
    <w:basedOn w:val="a1"/>
    <w:next w:val="a1"/>
    <w:semiHidden/>
  </w:style>
  <w:style w:type="paragraph" w:styleId="43">
    <w:name w:val="List Continue 4"/>
    <w:basedOn w:val="a1"/>
    <w:semiHidden/>
    <w:pPr>
      <w:spacing w:after="120"/>
      <w:ind w:left="1440"/>
      <w:contextualSpacing/>
    </w:pPr>
  </w:style>
  <w:style w:type="paragraph" w:styleId="TOC4">
    <w:name w:val="toc 4"/>
    <w:basedOn w:val="a1"/>
    <w:next w:val="a1"/>
    <w:semiHidden/>
    <w:pPr>
      <w:ind w:left="720"/>
    </w:pPr>
  </w:style>
  <w:style w:type="paragraph" w:styleId="affd">
    <w:name w:val="index heading"/>
    <w:basedOn w:val="a1"/>
    <w:next w:val="11"/>
    <w:semiHidden/>
    <w:rPr>
      <w:rFonts w:ascii="Cambria" w:hAnsi="Cambria"/>
      <w:b/>
      <w:bCs/>
    </w:rPr>
  </w:style>
  <w:style w:type="paragraph" w:styleId="11">
    <w:name w:val="index 1"/>
    <w:basedOn w:val="a1"/>
    <w:next w:val="a1"/>
    <w:semiHidden/>
    <w:pPr>
      <w:ind w:left="240" w:hanging="240"/>
    </w:pPr>
  </w:style>
  <w:style w:type="paragraph" w:styleId="affe">
    <w:name w:val="Subtitle"/>
    <w:basedOn w:val="a1"/>
    <w:next w:val="a1"/>
    <w:link w:val="afff"/>
    <w:semiHidden/>
    <w:qFormat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5">
    <w:name w:val="List Number 5"/>
    <w:basedOn w:val="a1"/>
    <w:semiHidden/>
    <w:pPr>
      <w:numPr>
        <w:numId w:val="10"/>
      </w:numPr>
      <w:contextualSpacing/>
    </w:pPr>
  </w:style>
  <w:style w:type="paragraph" w:styleId="afff0">
    <w:name w:val="List"/>
    <w:basedOn w:val="a1"/>
    <w:semiHidden/>
    <w:pPr>
      <w:ind w:left="360" w:hanging="360"/>
      <w:contextualSpacing/>
    </w:pPr>
  </w:style>
  <w:style w:type="paragraph" w:styleId="afff1">
    <w:name w:val="footnote text"/>
    <w:basedOn w:val="a1"/>
    <w:link w:val="afff2"/>
    <w:semiHidden/>
    <w:rPr>
      <w:sz w:val="20"/>
    </w:rPr>
  </w:style>
  <w:style w:type="paragraph" w:styleId="TOC6">
    <w:name w:val="toc 6"/>
    <w:basedOn w:val="a1"/>
    <w:next w:val="a1"/>
    <w:semiHidden/>
    <w:pPr>
      <w:ind w:left="1200"/>
    </w:pPr>
  </w:style>
  <w:style w:type="paragraph" w:styleId="55">
    <w:name w:val="List 5"/>
    <w:basedOn w:val="a1"/>
    <w:semiHidden/>
    <w:pPr>
      <w:ind w:left="1800" w:hanging="360"/>
      <w:contextualSpacing/>
    </w:pPr>
  </w:style>
  <w:style w:type="paragraph" w:styleId="36">
    <w:name w:val="Body Text Indent 3"/>
    <w:basedOn w:val="a1"/>
    <w:link w:val="37"/>
    <w:semiHidden/>
    <w:pPr>
      <w:spacing w:after="120"/>
      <w:ind w:left="360"/>
    </w:pPr>
    <w:rPr>
      <w:sz w:val="16"/>
      <w:szCs w:val="16"/>
    </w:rPr>
  </w:style>
  <w:style w:type="paragraph" w:styleId="71">
    <w:name w:val="index 7"/>
    <w:basedOn w:val="a1"/>
    <w:next w:val="a1"/>
    <w:semiHidden/>
    <w:pPr>
      <w:ind w:left="1680" w:hanging="240"/>
    </w:pPr>
  </w:style>
  <w:style w:type="paragraph" w:styleId="91">
    <w:name w:val="index 9"/>
    <w:basedOn w:val="a1"/>
    <w:next w:val="a1"/>
    <w:semiHidden/>
    <w:pPr>
      <w:ind w:left="2160" w:hanging="240"/>
    </w:pPr>
  </w:style>
  <w:style w:type="paragraph" w:styleId="afff3">
    <w:name w:val="table of figures"/>
    <w:basedOn w:val="a1"/>
    <w:next w:val="a1"/>
    <w:semiHidden/>
  </w:style>
  <w:style w:type="paragraph" w:styleId="TOC2">
    <w:name w:val="toc 2"/>
    <w:basedOn w:val="a1"/>
    <w:next w:val="a1"/>
    <w:semiHidden/>
    <w:pPr>
      <w:ind w:left="240"/>
    </w:pPr>
  </w:style>
  <w:style w:type="paragraph" w:styleId="TOC9">
    <w:name w:val="toc 9"/>
    <w:basedOn w:val="a1"/>
    <w:next w:val="a1"/>
    <w:semiHidden/>
    <w:pPr>
      <w:ind w:left="1920"/>
    </w:pPr>
  </w:style>
  <w:style w:type="paragraph" w:styleId="26">
    <w:name w:val="Body Text 2"/>
    <w:basedOn w:val="a1"/>
    <w:link w:val="27"/>
    <w:semiHidden/>
    <w:pPr>
      <w:spacing w:after="120" w:line="480" w:lineRule="auto"/>
    </w:pPr>
  </w:style>
  <w:style w:type="paragraph" w:styleId="44">
    <w:name w:val="List 4"/>
    <w:basedOn w:val="a1"/>
    <w:semiHidden/>
    <w:pPr>
      <w:ind w:left="1440" w:hanging="360"/>
      <w:contextualSpacing/>
    </w:pPr>
  </w:style>
  <w:style w:type="paragraph" w:styleId="28">
    <w:name w:val="List Continue 2"/>
    <w:basedOn w:val="a1"/>
    <w:semiHidden/>
    <w:pPr>
      <w:spacing w:after="120"/>
      <w:ind w:left="720"/>
      <w:contextualSpacing/>
    </w:pPr>
  </w:style>
  <w:style w:type="paragraph" w:styleId="afff4">
    <w:name w:val="Message Header"/>
    <w:basedOn w:val="a1"/>
    <w:link w:val="afff5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HTML1">
    <w:name w:val="HTML Preformatted"/>
    <w:basedOn w:val="a1"/>
    <w:link w:val="HTML2"/>
    <w:semiHidden/>
    <w:rPr>
      <w:rFonts w:ascii="Courier New" w:hAnsi="Courier New" w:cs="Courier New"/>
      <w:sz w:val="20"/>
    </w:rPr>
  </w:style>
  <w:style w:type="paragraph" w:styleId="afff6">
    <w:name w:val="Normal (Web)"/>
    <w:basedOn w:val="a1"/>
    <w:semiHidden/>
    <w:rPr>
      <w:szCs w:val="24"/>
    </w:rPr>
  </w:style>
  <w:style w:type="paragraph" w:styleId="38">
    <w:name w:val="List Continue 3"/>
    <w:basedOn w:val="a1"/>
    <w:semiHidden/>
    <w:pPr>
      <w:spacing w:after="120"/>
      <w:ind w:left="1080"/>
      <w:contextualSpacing/>
    </w:pPr>
  </w:style>
  <w:style w:type="paragraph" w:styleId="29">
    <w:name w:val="index 2"/>
    <w:basedOn w:val="a1"/>
    <w:next w:val="a1"/>
    <w:semiHidden/>
    <w:pPr>
      <w:ind w:left="480" w:hanging="240"/>
    </w:pPr>
  </w:style>
  <w:style w:type="paragraph" w:styleId="afff7">
    <w:name w:val="Title"/>
    <w:basedOn w:val="a1"/>
    <w:next w:val="a1"/>
    <w:link w:val="afff8"/>
    <w:semiHidden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ff9">
    <w:name w:val="annotation subject"/>
    <w:basedOn w:val="af2"/>
    <w:next w:val="af2"/>
    <w:link w:val="afffa"/>
    <w:semiHidden/>
    <w:rPr>
      <w:b/>
      <w:bCs/>
    </w:rPr>
  </w:style>
  <w:style w:type="paragraph" w:styleId="afffb">
    <w:name w:val="Body Text First Indent"/>
    <w:basedOn w:val="af8"/>
    <w:link w:val="afffc"/>
    <w:semiHidden/>
    <w:pPr>
      <w:ind w:firstLine="210"/>
    </w:pPr>
  </w:style>
  <w:style w:type="paragraph" w:styleId="2a">
    <w:name w:val="Body Text First Indent 2"/>
    <w:basedOn w:val="afa"/>
    <w:link w:val="2b"/>
    <w:semiHidden/>
    <w:pPr>
      <w:ind w:firstLine="210"/>
    </w:pPr>
  </w:style>
  <w:style w:type="character" w:styleId="afffd">
    <w:name w:val="page number"/>
    <w:basedOn w:val="a2"/>
    <w:semiHidden/>
  </w:style>
  <w:style w:type="character" w:styleId="afffe">
    <w:name w:val="FollowedHyperlink"/>
    <w:semiHidden/>
    <w:unhideWhenUsed/>
    <w:rPr>
      <w:color w:val="800080"/>
      <w:u w:val="single"/>
    </w:rPr>
  </w:style>
  <w:style w:type="character" w:styleId="affff">
    <w:name w:val="Hyperlink"/>
    <w:semiHidden/>
    <w:rPr>
      <w:color w:val="0000FF"/>
      <w:u w:val="single"/>
    </w:rPr>
  </w:style>
  <w:style w:type="character" w:styleId="affff0">
    <w:name w:val="annotation reference"/>
    <w:semiHidden/>
    <w:unhideWhenUsed/>
    <w:rPr>
      <w:sz w:val="16"/>
      <w:szCs w:val="16"/>
    </w:rPr>
  </w:style>
  <w:style w:type="character" w:customStyle="1" w:styleId="10">
    <w:name w:val="标题 1 字符"/>
    <w:link w:val="1"/>
    <w:semiHidden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</w:style>
  <w:style w:type="paragraph" w:customStyle="1" w:styleId="SMSubheading">
    <w:name w:val="SM Subheading"/>
    <w:basedOn w:val="a1"/>
    <w:qFormat/>
    <w:rPr>
      <w:u w:val="words"/>
    </w:rPr>
  </w:style>
  <w:style w:type="paragraph" w:customStyle="1" w:styleId="SMText">
    <w:name w:val="SM Text"/>
    <w:basedOn w:val="a1"/>
    <w:qFormat/>
    <w:pPr>
      <w:ind w:firstLine="480"/>
    </w:pPr>
  </w:style>
  <w:style w:type="paragraph" w:customStyle="1" w:styleId="SMcaption">
    <w:name w:val="SM caption"/>
    <w:basedOn w:val="SMText"/>
    <w:qFormat/>
    <w:pPr>
      <w:ind w:firstLine="0"/>
    </w:pPr>
  </w:style>
  <w:style w:type="character" w:customStyle="1" w:styleId="aff5">
    <w:name w:val="批注框文本 字符"/>
    <w:link w:val="aff4"/>
    <w:semiHidden/>
    <w:rPr>
      <w:rFonts w:ascii="Tahoma" w:hAnsi="Tahoma" w:cs="Tahoma"/>
      <w:sz w:val="16"/>
      <w:szCs w:val="16"/>
    </w:rPr>
  </w:style>
  <w:style w:type="paragraph" w:customStyle="1" w:styleId="12">
    <w:name w:val="书目1"/>
    <w:basedOn w:val="a1"/>
    <w:next w:val="a1"/>
    <w:uiPriority w:val="37"/>
    <w:semiHidden/>
  </w:style>
  <w:style w:type="character" w:customStyle="1" w:styleId="af9">
    <w:name w:val="正文文本 字符"/>
    <w:link w:val="af8"/>
    <w:semiHidden/>
    <w:rPr>
      <w:sz w:val="24"/>
    </w:rPr>
  </w:style>
  <w:style w:type="character" w:customStyle="1" w:styleId="27">
    <w:name w:val="正文文本 2 字符"/>
    <w:link w:val="26"/>
    <w:semiHidden/>
    <w:rPr>
      <w:sz w:val="24"/>
    </w:rPr>
  </w:style>
  <w:style w:type="character" w:customStyle="1" w:styleId="34">
    <w:name w:val="正文文本 3 字符"/>
    <w:link w:val="33"/>
    <w:semiHidden/>
    <w:rPr>
      <w:sz w:val="16"/>
      <w:szCs w:val="16"/>
    </w:rPr>
  </w:style>
  <w:style w:type="character" w:customStyle="1" w:styleId="afffc">
    <w:name w:val="正文文本首行缩进 字符"/>
    <w:link w:val="afffb"/>
    <w:semiHidden/>
    <w:rPr>
      <w:sz w:val="24"/>
    </w:rPr>
  </w:style>
  <w:style w:type="character" w:customStyle="1" w:styleId="afb">
    <w:name w:val="正文文本缩进 字符"/>
    <w:link w:val="afa"/>
    <w:semiHidden/>
    <w:rPr>
      <w:sz w:val="24"/>
    </w:rPr>
  </w:style>
  <w:style w:type="character" w:customStyle="1" w:styleId="2b">
    <w:name w:val="正文文本首行缩进 2 字符"/>
    <w:link w:val="2a"/>
    <w:semiHidden/>
    <w:rPr>
      <w:sz w:val="24"/>
    </w:rPr>
  </w:style>
  <w:style w:type="character" w:customStyle="1" w:styleId="25">
    <w:name w:val="正文文本缩进 2 字符"/>
    <w:link w:val="24"/>
    <w:semiHidden/>
    <w:rPr>
      <w:sz w:val="24"/>
    </w:rPr>
  </w:style>
  <w:style w:type="character" w:customStyle="1" w:styleId="37">
    <w:name w:val="正文文本缩进 3 字符"/>
    <w:link w:val="36"/>
    <w:semiHidden/>
    <w:rPr>
      <w:sz w:val="16"/>
      <w:szCs w:val="16"/>
    </w:rPr>
  </w:style>
  <w:style w:type="character" w:customStyle="1" w:styleId="af7">
    <w:name w:val="结束语 字符"/>
    <w:link w:val="af6"/>
    <w:semiHidden/>
    <w:rPr>
      <w:sz w:val="24"/>
    </w:rPr>
  </w:style>
  <w:style w:type="character" w:customStyle="1" w:styleId="af3">
    <w:name w:val="批注文字 字符"/>
    <w:basedOn w:val="a2"/>
    <w:link w:val="af2"/>
    <w:semiHidden/>
  </w:style>
  <w:style w:type="character" w:customStyle="1" w:styleId="afffa">
    <w:name w:val="批注主题 字符"/>
    <w:link w:val="afff9"/>
    <w:semiHidden/>
    <w:rPr>
      <w:b/>
      <w:bCs/>
    </w:rPr>
  </w:style>
  <w:style w:type="character" w:customStyle="1" w:styleId="aff1">
    <w:name w:val="日期 字符"/>
    <w:link w:val="aff0"/>
    <w:semiHidden/>
    <w:rPr>
      <w:sz w:val="24"/>
    </w:rPr>
  </w:style>
  <w:style w:type="character" w:customStyle="1" w:styleId="af0">
    <w:name w:val="文档结构图 字符"/>
    <w:link w:val="af"/>
    <w:semiHidden/>
    <w:rPr>
      <w:rFonts w:ascii="Tahoma" w:hAnsi="Tahoma" w:cs="Tahoma"/>
      <w:sz w:val="16"/>
      <w:szCs w:val="16"/>
    </w:rPr>
  </w:style>
  <w:style w:type="character" w:customStyle="1" w:styleId="ab">
    <w:name w:val="电子邮件签名 字符"/>
    <w:link w:val="aa"/>
    <w:semiHidden/>
    <w:rPr>
      <w:sz w:val="24"/>
    </w:rPr>
  </w:style>
  <w:style w:type="character" w:customStyle="1" w:styleId="aff3">
    <w:name w:val="尾注文本 字符"/>
    <w:basedOn w:val="a2"/>
    <w:link w:val="aff2"/>
    <w:semiHidden/>
  </w:style>
  <w:style w:type="character" w:customStyle="1" w:styleId="aff7">
    <w:name w:val="页脚 字符"/>
    <w:link w:val="aff6"/>
    <w:semiHidden/>
    <w:rPr>
      <w:sz w:val="24"/>
    </w:rPr>
  </w:style>
  <w:style w:type="character" w:customStyle="1" w:styleId="afff2">
    <w:name w:val="脚注文本 字符"/>
    <w:basedOn w:val="a2"/>
    <w:link w:val="afff1"/>
    <w:semiHidden/>
  </w:style>
  <w:style w:type="character" w:customStyle="1" w:styleId="affa">
    <w:name w:val="页眉 字符"/>
    <w:link w:val="aff9"/>
    <w:semiHidden/>
    <w:rPr>
      <w:sz w:val="24"/>
    </w:rPr>
  </w:style>
  <w:style w:type="character" w:customStyle="1" w:styleId="HTML0">
    <w:name w:val="HTML 地址 字符"/>
    <w:link w:val="HTML"/>
    <w:semiHidden/>
    <w:rPr>
      <w:i/>
      <w:iCs/>
      <w:sz w:val="24"/>
    </w:rPr>
  </w:style>
  <w:style w:type="character" w:customStyle="1" w:styleId="HTML2">
    <w:name w:val="HTML 预设格式 字符"/>
    <w:link w:val="HTML1"/>
    <w:semiHidden/>
    <w:rPr>
      <w:rFonts w:ascii="Courier New" w:hAnsi="Courier New" w:cs="Courier New"/>
    </w:rPr>
  </w:style>
  <w:style w:type="paragraph" w:styleId="affff1">
    <w:name w:val="Intense Quote"/>
    <w:basedOn w:val="a1"/>
    <w:next w:val="a1"/>
    <w:link w:val="affff2"/>
    <w:uiPriority w:val="30"/>
    <w:semiHidden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2">
    <w:name w:val="明显引用 字符"/>
    <w:link w:val="affff1"/>
    <w:uiPriority w:val="30"/>
    <w:semiHidden/>
    <w:rPr>
      <w:b/>
      <w:bCs/>
      <w:i/>
      <w:iCs/>
      <w:color w:val="4F81BD"/>
      <w:sz w:val="24"/>
    </w:rPr>
  </w:style>
  <w:style w:type="paragraph" w:styleId="affff3">
    <w:name w:val="List Paragraph"/>
    <w:basedOn w:val="a1"/>
    <w:uiPriority w:val="34"/>
    <w:semiHidden/>
    <w:qFormat/>
    <w:pPr>
      <w:ind w:left="720"/>
    </w:pPr>
  </w:style>
  <w:style w:type="character" w:customStyle="1" w:styleId="a6">
    <w:name w:val="宏文本 字符"/>
    <w:link w:val="a5"/>
    <w:semiHidden/>
    <w:rPr>
      <w:rFonts w:ascii="Courier New" w:hAnsi="Courier New" w:cs="Courier New"/>
      <w:lang w:val="en-US" w:eastAsia="en-US" w:bidi="ar-SA"/>
    </w:rPr>
  </w:style>
  <w:style w:type="character" w:customStyle="1" w:styleId="afff5">
    <w:name w:val="信息标题 字符"/>
    <w:link w:val="afff4"/>
    <w:semiHidden/>
    <w:rPr>
      <w:rFonts w:ascii="Cambria" w:hAnsi="Cambria"/>
      <w:sz w:val="24"/>
      <w:szCs w:val="24"/>
      <w:shd w:val="pct20" w:color="auto" w:fill="auto"/>
    </w:rPr>
  </w:style>
  <w:style w:type="paragraph" w:styleId="affff4">
    <w:name w:val="No Spacing"/>
    <w:uiPriority w:val="1"/>
    <w:semiHidden/>
    <w:qFormat/>
    <w:rPr>
      <w:sz w:val="24"/>
      <w:lang w:eastAsia="en-US"/>
    </w:rPr>
  </w:style>
  <w:style w:type="character" w:customStyle="1" w:styleId="a9">
    <w:name w:val="注释标题 字符"/>
    <w:link w:val="a8"/>
    <w:semiHidden/>
    <w:rPr>
      <w:sz w:val="24"/>
    </w:rPr>
  </w:style>
  <w:style w:type="character" w:customStyle="1" w:styleId="aff">
    <w:name w:val="纯文本 字符"/>
    <w:link w:val="afe"/>
    <w:semiHidden/>
    <w:rPr>
      <w:rFonts w:ascii="Courier New" w:hAnsi="Courier New" w:cs="Courier New"/>
    </w:rPr>
  </w:style>
  <w:style w:type="paragraph" w:styleId="affff5">
    <w:name w:val="Quote"/>
    <w:basedOn w:val="a1"/>
    <w:next w:val="a1"/>
    <w:link w:val="affff6"/>
    <w:uiPriority w:val="29"/>
    <w:semiHidden/>
    <w:qFormat/>
    <w:rPr>
      <w:i/>
      <w:iCs/>
      <w:color w:val="000000"/>
    </w:rPr>
  </w:style>
  <w:style w:type="character" w:customStyle="1" w:styleId="affff6">
    <w:name w:val="引用 字符"/>
    <w:link w:val="affff5"/>
    <w:uiPriority w:val="29"/>
    <w:semiHidden/>
    <w:rPr>
      <w:i/>
      <w:iCs/>
      <w:color w:val="000000"/>
      <w:sz w:val="24"/>
    </w:rPr>
  </w:style>
  <w:style w:type="character" w:customStyle="1" w:styleId="af5">
    <w:name w:val="称呼 字符"/>
    <w:link w:val="af4"/>
    <w:semiHidden/>
    <w:rPr>
      <w:sz w:val="24"/>
    </w:rPr>
  </w:style>
  <w:style w:type="character" w:customStyle="1" w:styleId="affc">
    <w:name w:val="签名 字符"/>
    <w:link w:val="affb"/>
    <w:semiHidden/>
    <w:rPr>
      <w:sz w:val="24"/>
    </w:rPr>
  </w:style>
  <w:style w:type="character" w:customStyle="1" w:styleId="afff">
    <w:name w:val="副标题 字符"/>
    <w:link w:val="affe"/>
    <w:semiHidden/>
    <w:rPr>
      <w:rFonts w:ascii="Cambria" w:hAnsi="Cambria"/>
      <w:sz w:val="24"/>
      <w:szCs w:val="24"/>
    </w:rPr>
  </w:style>
  <w:style w:type="character" w:customStyle="1" w:styleId="afff8">
    <w:name w:val="标题 字符"/>
    <w:link w:val="afff7"/>
    <w:semiHidden/>
    <w:rPr>
      <w:rFonts w:ascii="Cambria" w:hAnsi="Cambria"/>
      <w:b/>
      <w:bCs/>
      <w:kern w:val="28"/>
      <w:sz w:val="32"/>
      <w:szCs w:val="32"/>
    </w:rPr>
  </w:style>
  <w:style w:type="paragraph" w:customStyle="1" w:styleId="TOC10">
    <w:name w:val="TOC 标题1"/>
    <w:basedOn w:val="1"/>
    <w:next w:val="a1"/>
    <w:uiPriority w:val="39"/>
    <w:semiHidden/>
    <w:unhideWhenUsed/>
    <w:qFormat/>
    <w:pPr>
      <w:outlineLvl w:val="9"/>
    </w:pPr>
    <w:rPr>
      <w:rFonts w:ascii="Cambria" w:hAnsi="Cambria"/>
      <w:sz w:val="32"/>
      <w:szCs w:val="32"/>
    </w:rPr>
  </w:style>
  <w:style w:type="character" w:customStyle="1" w:styleId="13">
    <w:name w:val="未处理的提及1"/>
    <w:basedOn w:val="a2"/>
    <w:uiPriority w:val="99"/>
    <w:semiHidden/>
    <w:unhideWhenUsed/>
    <w:rPr>
      <w:color w:val="808080"/>
      <w:shd w:val="clear" w:color="auto" w:fill="E6E6E6"/>
    </w:rPr>
  </w:style>
  <w:style w:type="paragraph" w:customStyle="1" w:styleId="EndNoteBibliography">
    <w:name w:val="EndNote Bibliography"/>
    <w:basedOn w:val="a1"/>
    <w:link w:val="EndNoteBibliographyChar"/>
    <w:qFormat/>
    <w:pPr>
      <w:spacing w:after="160"/>
    </w:pPr>
    <w:rPr>
      <w:szCs w:val="22"/>
      <w:lang w:val="en-GB" w:eastAsia="zh-CN"/>
    </w:rPr>
  </w:style>
  <w:style w:type="character" w:customStyle="1" w:styleId="EndNoteBibliographyChar">
    <w:name w:val="EndNote Bibliography Char"/>
    <w:basedOn w:val="a2"/>
    <w:link w:val="EndNoteBibliography"/>
    <w:rPr>
      <w:sz w:val="24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16</Pages>
  <Words>2144</Words>
  <Characters>12227</Characters>
  <Application>Microsoft Office Word</Application>
  <DocSecurity>0</DocSecurity>
  <Lines>101</Lines>
  <Paragraphs>28</Paragraphs>
  <ScaleCrop>false</ScaleCrop>
  <Company>AAAS</Company>
  <LinksUpToDate>false</LinksUpToDate>
  <CharactersWithSpaces>14343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Microsoft Office 用户</cp:lastModifiedBy>
  <cp:revision>8</cp:revision>
  <cp:lastPrinted>2018-01-11T19:53:00Z</cp:lastPrinted>
  <dcterms:created xsi:type="dcterms:W3CDTF">2023-10-18T07:09:00Z</dcterms:created>
  <dcterms:modified xsi:type="dcterms:W3CDTF">2023-10-18T15:42:00Z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