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2246AB8A" w:rsidR="00015F74" w:rsidRDefault="007F483E" w:rsidP="000F0998">
      <w:pPr>
        <w:jc w:val="center"/>
        <w:rPr>
          <w:sz w:val="28"/>
          <w:szCs w:val="28"/>
          <w:lang w:eastAsia="zh-CN"/>
        </w:rPr>
      </w:pPr>
      <w:r w:rsidRPr="007F483E">
        <w:rPr>
          <w:sz w:val="28"/>
          <w:szCs w:val="28"/>
        </w:rPr>
        <w:t xml:space="preserve">Exploring </w:t>
      </w:r>
      <w:r w:rsidR="00257A68">
        <w:rPr>
          <w:rFonts w:hint="eastAsia"/>
          <w:sz w:val="28"/>
          <w:szCs w:val="28"/>
          <w:lang w:eastAsia="zh-CN"/>
        </w:rPr>
        <w:t>t</w:t>
      </w:r>
      <w:r w:rsidRPr="007F483E">
        <w:rPr>
          <w:sz w:val="28"/>
          <w:szCs w:val="28"/>
        </w:rPr>
        <w:t xml:space="preserve">reatment </w:t>
      </w:r>
      <w:r w:rsidR="00257A68">
        <w:rPr>
          <w:rFonts w:hint="eastAsia"/>
          <w:sz w:val="28"/>
          <w:szCs w:val="28"/>
          <w:lang w:eastAsia="zh-CN"/>
        </w:rPr>
        <w:t>o</w:t>
      </w:r>
      <w:r w:rsidRPr="007F483E">
        <w:rPr>
          <w:sz w:val="28"/>
          <w:szCs w:val="28"/>
        </w:rPr>
        <w:t xml:space="preserve">ptions </w:t>
      </w:r>
      <w:r w:rsidR="000F0998">
        <w:rPr>
          <w:rFonts w:hint="eastAsia"/>
          <w:sz w:val="28"/>
          <w:szCs w:val="28"/>
          <w:lang w:eastAsia="zh-CN"/>
        </w:rPr>
        <w:t xml:space="preserve">in </w:t>
      </w:r>
      <w:r w:rsidR="00257A68">
        <w:rPr>
          <w:rFonts w:hint="eastAsia"/>
          <w:sz w:val="28"/>
          <w:szCs w:val="28"/>
          <w:lang w:eastAsia="zh-CN"/>
        </w:rPr>
        <w:t>c</w:t>
      </w:r>
      <w:r w:rsidRPr="007F483E">
        <w:rPr>
          <w:sz w:val="28"/>
          <w:szCs w:val="28"/>
        </w:rPr>
        <w:t xml:space="preserve">ancer: </w:t>
      </w:r>
      <w:r w:rsidR="00257A68">
        <w:rPr>
          <w:rFonts w:hint="eastAsia"/>
          <w:sz w:val="28"/>
          <w:szCs w:val="28"/>
          <w:lang w:eastAsia="zh-CN"/>
        </w:rPr>
        <w:t>t</w:t>
      </w:r>
      <w:r w:rsidRPr="007F483E">
        <w:rPr>
          <w:sz w:val="28"/>
          <w:szCs w:val="28"/>
        </w:rPr>
        <w:t xml:space="preserve">umor </w:t>
      </w:r>
      <w:r w:rsidR="00257A68">
        <w:rPr>
          <w:rFonts w:hint="eastAsia"/>
          <w:sz w:val="28"/>
          <w:szCs w:val="28"/>
          <w:lang w:eastAsia="zh-CN"/>
        </w:rPr>
        <w:t>t</w:t>
      </w:r>
      <w:r w:rsidRPr="007F483E">
        <w:rPr>
          <w:sz w:val="28"/>
          <w:szCs w:val="28"/>
        </w:rPr>
        <w:t xml:space="preserve">reatment </w:t>
      </w:r>
      <w:r w:rsidR="00257A68">
        <w:rPr>
          <w:rFonts w:hint="eastAsia"/>
          <w:sz w:val="28"/>
          <w:szCs w:val="28"/>
          <w:lang w:eastAsia="zh-CN"/>
        </w:rPr>
        <w:t>s</w:t>
      </w:r>
      <w:r w:rsidRPr="007F483E">
        <w:rPr>
          <w:sz w:val="28"/>
          <w:szCs w:val="28"/>
        </w:rPr>
        <w:t>trategies</w:t>
      </w:r>
    </w:p>
    <w:p w14:paraId="06D7F167" w14:textId="77777777" w:rsidR="007F483E" w:rsidRPr="007108F5" w:rsidRDefault="007F483E" w:rsidP="003B40E6">
      <w:pPr>
        <w:jc w:val="center"/>
        <w:rPr>
          <w:sz w:val="28"/>
          <w:szCs w:val="28"/>
        </w:rPr>
      </w:pPr>
    </w:p>
    <w:p w14:paraId="63D8913E" w14:textId="309D5375" w:rsidR="002C030F" w:rsidRDefault="007F483E" w:rsidP="005001AC">
      <w:pPr>
        <w:jc w:val="center"/>
        <w:rPr>
          <w:szCs w:val="24"/>
        </w:rPr>
      </w:pPr>
      <w:r>
        <w:rPr>
          <w:rStyle w:val="normaltextrun"/>
          <w:color w:val="000000"/>
          <w:shd w:val="clear" w:color="auto" w:fill="FFFFFF"/>
        </w:rPr>
        <w:t xml:space="preserve">Beilei Liu, Hongyu Zhou, Licheng Tan, Siu Kin To Hugo, </w:t>
      </w:r>
      <w:r w:rsidR="00984AD3" w:rsidRPr="00984AD3">
        <w:rPr>
          <w:rStyle w:val="normaltextrun"/>
          <w:color w:val="000000"/>
          <w:shd w:val="clear" w:color="auto" w:fill="FFFFFF"/>
        </w:rPr>
        <w:t>Xin-Yuan Guan</w:t>
      </w:r>
    </w:p>
    <w:p w14:paraId="0648E06D" w14:textId="77777777" w:rsidR="000F0DCE" w:rsidRDefault="000F0DCE" w:rsidP="005001AC">
      <w:pPr>
        <w:jc w:val="center"/>
        <w:rPr>
          <w:szCs w:val="24"/>
        </w:rPr>
      </w:pPr>
    </w:p>
    <w:p w14:paraId="34D67477" w14:textId="147A201E"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r w:rsidR="007F483E">
        <w:rPr>
          <w:szCs w:val="24"/>
        </w:rPr>
        <w:t>xyguan@hku.hk</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39DE064C" w14:textId="7A7FB8A6" w:rsidR="002C030F" w:rsidRDefault="002C030F" w:rsidP="00262D72">
      <w:pPr>
        <w:ind w:left="720"/>
      </w:pPr>
      <w:r>
        <w:t>Tables S1</w:t>
      </w:r>
      <w:r w:rsidR="00A3403B">
        <w:t xml:space="preserve"> to </w:t>
      </w:r>
      <w:r>
        <w:t>S</w:t>
      </w:r>
      <w:r w:rsidR="004312DC">
        <w:t>3</w:t>
      </w:r>
    </w:p>
    <w:p w14:paraId="4B448789" w14:textId="77777777" w:rsidR="002C030F" w:rsidRDefault="002C030F"/>
    <w:p w14:paraId="2ADDDC07" w14:textId="520B32C1" w:rsidR="0020281F" w:rsidRDefault="0020281F" w:rsidP="00477182">
      <w:pPr>
        <w:pStyle w:val="SMcaption"/>
      </w:pPr>
    </w:p>
    <w:p w14:paraId="12A6ED68" w14:textId="63E3411E" w:rsidR="0020281F" w:rsidRDefault="0020281F"/>
    <w:p w14:paraId="0028985C" w14:textId="77777777" w:rsidR="00E1130C" w:rsidRDefault="00E1130C" w:rsidP="00477182">
      <w:pPr>
        <w:pStyle w:val="SMcaption"/>
        <w:sectPr w:rsidR="00E1130C" w:rsidSect="00830C3F">
          <w:headerReference w:type="default" r:id="rId7"/>
          <w:footerReference w:type="default" r:id="rId8"/>
          <w:pgSz w:w="12240" w:h="15840"/>
          <w:pgMar w:top="1440" w:right="1440" w:bottom="1440" w:left="1440" w:header="720" w:footer="720" w:gutter="0"/>
          <w:pgNumType w:start="1"/>
          <w:cols w:space="720"/>
          <w:docGrid w:linePitch="360"/>
        </w:sectPr>
      </w:pPr>
    </w:p>
    <w:p w14:paraId="16966F07" w14:textId="1CFABFDE" w:rsidR="009A5287" w:rsidRDefault="00015F74" w:rsidP="00E1130C">
      <w:pPr>
        <w:pStyle w:val="SMHeading"/>
        <w:rPr>
          <w:lang w:eastAsia="zh-CN"/>
        </w:rPr>
      </w:pPr>
      <w:r>
        <w:lastRenderedPageBreak/>
        <w:t>Table S1.</w:t>
      </w:r>
      <w:r w:rsidR="00F50FCF">
        <w:rPr>
          <w:rFonts w:hint="eastAsia"/>
          <w:lang w:eastAsia="zh-CN"/>
        </w:rPr>
        <w:t xml:space="preserve"> </w:t>
      </w:r>
      <w:r w:rsidR="00F50FCF" w:rsidRPr="00F50FCF">
        <w:rPr>
          <w:lang w:eastAsia="zh-CN"/>
        </w:rPr>
        <w:t>Approved monoclonal antibodies (mAbs) for oncology treatment by Year 2024</w:t>
      </w:r>
    </w:p>
    <w:tbl>
      <w:tblPr>
        <w:tblW w:w="13534" w:type="dxa"/>
        <w:tblLook w:val="04A0" w:firstRow="1" w:lastRow="0" w:firstColumn="1" w:lastColumn="0" w:noHBand="0" w:noVBand="1"/>
      </w:tblPr>
      <w:tblGrid>
        <w:gridCol w:w="1399"/>
        <w:gridCol w:w="1924"/>
        <w:gridCol w:w="1230"/>
        <w:gridCol w:w="1968"/>
        <w:gridCol w:w="3174"/>
        <w:gridCol w:w="1177"/>
        <w:gridCol w:w="2662"/>
      </w:tblGrid>
      <w:tr w:rsidR="00E1130C" w:rsidRPr="00E1130C" w14:paraId="2EB5B919" w14:textId="77777777" w:rsidTr="008B22FD">
        <w:trPr>
          <w:trHeight w:val="204"/>
        </w:trPr>
        <w:tc>
          <w:tcPr>
            <w:tcW w:w="1399" w:type="dxa"/>
            <w:tcBorders>
              <w:top w:val="nil"/>
              <w:left w:val="nil"/>
              <w:bottom w:val="single" w:sz="4" w:space="0" w:color="auto"/>
              <w:right w:val="nil"/>
            </w:tcBorders>
            <w:shd w:val="clear" w:color="auto" w:fill="auto"/>
            <w:noWrap/>
            <w:vAlign w:val="center"/>
            <w:hideMark/>
          </w:tcPr>
          <w:p w14:paraId="590893E8"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Antibody Name</w:t>
            </w:r>
          </w:p>
        </w:tc>
        <w:tc>
          <w:tcPr>
            <w:tcW w:w="1924" w:type="dxa"/>
            <w:tcBorders>
              <w:top w:val="nil"/>
              <w:left w:val="nil"/>
              <w:bottom w:val="single" w:sz="4" w:space="0" w:color="auto"/>
              <w:right w:val="nil"/>
            </w:tcBorders>
            <w:shd w:val="clear" w:color="auto" w:fill="auto"/>
            <w:noWrap/>
            <w:vAlign w:val="center"/>
            <w:hideMark/>
          </w:tcPr>
          <w:p w14:paraId="391F05A5"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Trade Name</w:t>
            </w:r>
          </w:p>
        </w:tc>
        <w:tc>
          <w:tcPr>
            <w:tcW w:w="1230" w:type="dxa"/>
            <w:tcBorders>
              <w:top w:val="nil"/>
              <w:left w:val="nil"/>
              <w:bottom w:val="single" w:sz="4" w:space="0" w:color="auto"/>
              <w:right w:val="nil"/>
            </w:tcBorders>
            <w:shd w:val="clear" w:color="auto" w:fill="auto"/>
            <w:noWrap/>
            <w:vAlign w:val="center"/>
            <w:hideMark/>
          </w:tcPr>
          <w:p w14:paraId="76286706"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Drug Company</w:t>
            </w:r>
          </w:p>
        </w:tc>
        <w:tc>
          <w:tcPr>
            <w:tcW w:w="1968" w:type="dxa"/>
            <w:tcBorders>
              <w:top w:val="nil"/>
              <w:left w:val="nil"/>
              <w:bottom w:val="single" w:sz="4" w:space="0" w:color="auto"/>
              <w:right w:val="nil"/>
            </w:tcBorders>
            <w:shd w:val="clear" w:color="auto" w:fill="auto"/>
            <w:noWrap/>
            <w:vAlign w:val="center"/>
            <w:hideMark/>
          </w:tcPr>
          <w:p w14:paraId="07055A74"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 xml:space="preserve">Target, </w:t>
            </w:r>
          </w:p>
        </w:tc>
        <w:tc>
          <w:tcPr>
            <w:tcW w:w="3174" w:type="dxa"/>
            <w:tcBorders>
              <w:top w:val="nil"/>
              <w:left w:val="nil"/>
              <w:bottom w:val="single" w:sz="4" w:space="0" w:color="auto"/>
              <w:right w:val="nil"/>
            </w:tcBorders>
            <w:shd w:val="clear" w:color="auto" w:fill="auto"/>
            <w:noWrap/>
            <w:vAlign w:val="center"/>
            <w:hideMark/>
          </w:tcPr>
          <w:p w14:paraId="736BBE9F"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 xml:space="preserve">Medical indications </w:t>
            </w:r>
          </w:p>
        </w:tc>
        <w:tc>
          <w:tcPr>
            <w:tcW w:w="1177" w:type="dxa"/>
            <w:tcBorders>
              <w:top w:val="nil"/>
              <w:left w:val="nil"/>
              <w:bottom w:val="single" w:sz="4" w:space="0" w:color="auto"/>
              <w:right w:val="nil"/>
            </w:tcBorders>
            <w:shd w:val="clear" w:color="auto" w:fill="auto"/>
            <w:noWrap/>
            <w:vAlign w:val="center"/>
            <w:hideMark/>
          </w:tcPr>
          <w:p w14:paraId="077CD998"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Year of approval</w:t>
            </w:r>
          </w:p>
        </w:tc>
        <w:tc>
          <w:tcPr>
            <w:tcW w:w="2662" w:type="dxa"/>
            <w:tcBorders>
              <w:top w:val="nil"/>
              <w:left w:val="nil"/>
              <w:bottom w:val="single" w:sz="4" w:space="0" w:color="auto"/>
              <w:right w:val="nil"/>
            </w:tcBorders>
            <w:shd w:val="clear" w:color="auto" w:fill="auto"/>
            <w:vAlign w:val="center"/>
            <w:hideMark/>
          </w:tcPr>
          <w:p w14:paraId="5BB44B33" w14:textId="77777777" w:rsidR="00E1130C" w:rsidRPr="00E1130C" w:rsidRDefault="00E1130C" w:rsidP="00DB0820">
            <w:pPr>
              <w:rPr>
                <w:rFonts w:ascii="Arial" w:eastAsia="Times New Roman" w:hAnsi="Arial" w:cs="Arial"/>
                <w:b/>
                <w:bCs/>
                <w:color w:val="000000"/>
                <w:sz w:val="18"/>
                <w:szCs w:val="18"/>
                <w:lang w:val="en-HK" w:eastAsia="zh-CN"/>
              </w:rPr>
            </w:pPr>
            <w:r w:rsidRPr="00E1130C">
              <w:rPr>
                <w:rFonts w:ascii="Arial" w:eastAsia="Times New Roman" w:hAnsi="Arial" w:cs="Arial"/>
                <w:b/>
                <w:bCs/>
                <w:color w:val="000000"/>
                <w:sz w:val="18"/>
                <w:szCs w:val="18"/>
                <w:lang w:val="en-HK" w:eastAsia="zh-CN"/>
              </w:rPr>
              <w:t>Clinical Efficacy</w:t>
            </w:r>
          </w:p>
        </w:tc>
      </w:tr>
      <w:tr w:rsidR="00E1130C" w:rsidRPr="00E1130C" w14:paraId="77B5A278" w14:textId="77777777" w:rsidTr="008B22FD">
        <w:trPr>
          <w:trHeight w:val="204"/>
        </w:trPr>
        <w:tc>
          <w:tcPr>
            <w:tcW w:w="1399" w:type="dxa"/>
            <w:tcBorders>
              <w:top w:val="nil"/>
              <w:left w:val="nil"/>
              <w:bottom w:val="nil"/>
              <w:right w:val="nil"/>
            </w:tcBorders>
            <w:shd w:val="clear" w:color="auto" w:fill="auto"/>
            <w:noWrap/>
            <w:vAlign w:val="center"/>
            <w:hideMark/>
          </w:tcPr>
          <w:p w14:paraId="0C8AB83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Trastuzumab</w:t>
            </w:r>
          </w:p>
        </w:tc>
        <w:tc>
          <w:tcPr>
            <w:tcW w:w="1924" w:type="dxa"/>
            <w:tcBorders>
              <w:top w:val="nil"/>
              <w:left w:val="nil"/>
              <w:bottom w:val="nil"/>
              <w:right w:val="nil"/>
            </w:tcBorders>
            <w:shd w:val="clear" w:color="auto" w:fill="auto"/>
            <w:noWrap/>
            <w:vAlign w:val="center"/>
            <w:hideMark/>
          </w:tcPr>
          <w:p w14:paraId="40C90DE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Herceptin</w:t>
            </w:r>
          </w:p>
        </w:tc>
        <w:tc>
          <w:tcPr>
            <w:tcW w:w="1230" w:type="dxa"/>
            <w:tcBorders>
              <w:top w:val="nil"/>
              <w:left w:val="nil"/>
              <w:bottom w:val="nil"/>
              <w:right w:val="nil"/>
            </w:tcBorders>
            <w:shd w:val="clear" w:color="auto" w:fill="auto"/>
            <w:noWrap/>
            <w:vAlign w:val="center"/>
            <w:hideMark/>
          </w:tcPr>
          <w:p w14:paraId="7C2782E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12D4C66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HER2; Humanized IgG1</w:t>
            </w:r>
          </w:p>
        </w:tc>
        <w:tc>
          <w:tcPr>
            <w:tcW w:w="3174" w:type="dxa"/>
            <w:tcBorders>
              <w:top w:val="nil"/>
              <w:left w:val="nil"/>
              <w:bottom w:val="nil"/>
              <w:right w:val="nil"/>
            </w:tcBorders>
            <w:shd w:val="clear" w:color="auto" w:fill="auto"/>
            <w:noWrap/>
            <w:vAlign w:val="center"/>
            <w:hideMark/>
          </w:tcPr>
          <w:p w14:paraId="07CC678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HER2+ breast cancer</w:t>
            </w:r>
          </w:p>
        </w:tc>
        <w:tc>
          <w:tcPr>
            <w:tcW w:w="1177" w:type="dxa"/>
            <w:tcBorders>
              <w:top w:val="nil"/>
              <w:left w:val="nil"/>
              <w:bottom w:val="nil"/>
              <w:right w:val="nil"/>
            </w:tcBorders>
            <w:shd w:val="clear" w:color="auto" w:fill="auto"/>
            <w:noWrap/>
            <w:vAlign w:val="center"/>
            <w:hideMark/>
          </w:tcPr>
          <w:p w14:paraId="47ABDD5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1998 (US); 2000 (EU)</w:t>
            </w:r>
          </w:p>
        </w:tc>
        <w:tc>
          <w:tcPr>
            <w:tcW w:w="2662" w:type="dxa"/>
            <w:tcBorders>
              <w:top w:val="nil"/>
              <w:left w:val="nil"/>
              <w:bottom w:val="nil"/>
              <w:right w:val="nil"/>
            </w:tcBorders>
            <w:shd w:val="clear" w:color="auto" w:fill="auto"/>
            <w:vAlign w:val="center"/>
            <w:hideMark/>
          </w:tcPr>
          <w:p w14:paraId="27580B48" w14:textId="30022A9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3-year DFS: 89.5% of mono vs. 93.8% mono+chemo; 3-year RFS: 92.4% of mono vs 95.3% mono+chemo</w:t>
            </w:r>
          </w:p>
        </w:tc>
      </w:tr>
      <w:tr w:rsidR="00E1130C" w:rsidRPr="00E1130C" w14:paraId="4E3B0D72" w14:textId="77777777" w:rsidTr="008B22FD">
        <w:trPr>
          <w:trHeight w:val="408"/>
        </w:trPr>
        <w:tc>
          <w:tcPr>
            <w:tcW w:w="1399" w:type="dxa"/>
            <w:tcBorders>
              <w:top w:val="nil"/>
              <w:left w:val="nil"/>
              <w:bottom w:val="nil"/>
              <w:right w:val="nil"/>
            </w:tcBorders>
            <w:shd w:val="clear" w:color="auto" w:fill="auto"/>
            <w:noWrap/>
            <w:vAlign w:val="center"/>
            <w:hideMark/>
          </w:tcPr>
          <w:p w14:paraId="0E26C33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Pertuzumab</w:t>
            </w:r>
          </w:p>
        </w:tc>
        <w:tc>
          <w:tcPr>
            <w:tcW w:w="1924" w:type="dxa"/>
            <w:tcBorders>
              <w:top w:val="nil"/>
              <w:left w:val="nil"/>
              <w:bottom w:val="nil"/>
              <w:right w:val="nil"/>
            </w:tcBorders>
            <w:shd w:val="clear" w:color="auto" w:fill="auto"/>
            <w:noWrap/>
            <w:vAlign w:val="center"/>
            <w:hideMark/>
          </w:tcPr>
          <w:p w14:paraId="001BE4E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Perjeta</w:t>
            </w:r>
          </w:p>
        </w:tc>
        <w:tc>
          <w:tcPr>
            <w:tcW w:w="1230" w:type="dxa"/>
            <w:tcBorders>
              <w:top w:val="nil"/>
              <w:left w:val="nil"/>
              <w:bottom w:val="nil"/>
              <w:right w:val="nil"/>
            </w:tcBorders>
            <w:shd w:val="clear" w:color="auto" w:fill="auto"/>
            <w:noWrap/>
            <w:vAlign w:val="center"/>
            <w:hideMark/>
          </w:tcPr>
          <w:p w14:paraId="492A510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7773803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HER2; Humanized IgG1</w:t>
            </w:r>
          </w:p>
        </w:tc>
        <w:tc>
          <w:tcPr>
            <w:tcW w:w="3174" w:type="dxa"/>
            <w:tcBorders>
              <w:top w:val="nil"/>
              <w:left w:val="nil"/>
              <w:bottom w:val="nil"/>
              <w:right w:val="nil"/>
            </w:tcBorders>
            <w:shd w:val="clear" w:color="auto" w:fill="auto"/>
            <w:noWrap/>
            <w:vAlign w:val="center"/>
            <w:hideMark/>
          </w:tcPr>
          <w:p w14:paraId="2509A95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HER2+ breast cancer</w:t>
            </w:r>
          </w:p>
        </w:tc>
        <w:tc>
          <w:tcPr>
            <w:tcW w:w="1177" w:type="dxa"/>
            <w:tcBorders>
              <w:top w:val="nil"/>
              <w:left w:val="nil"/>
              <w:bottom w:val="nil"/>
              <w:right w:val="nil"/>
            </w:tcBorders>
            <w:shd w:val="clear" w:color="auto" w:fill="auto"/>
            <w:noWrap/>
            <w:vAlign w:val="center"/>
            <w:hideMark/>
          </w:tcPr>
          <w:p w14:paraId="7EB1A09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2012 (US); 2013 (EU)</w:t>
            </w:r>
          </w:p>
        </w:tc>
        <w:tc>
          <w:tcPr>
            <w:tcW w:w="2662" w:type="dxa"/>
            <w:tcBorders>
              <w:top w:val="nil"/>
              <w:left w:val="nil"/>
              <w:bottom w:val="nil"/>
              <w:right w:val="nil"/>
            </w:tcBorders>
            <w:shd w:val="clear" w:color="auto" w:fill="auto"/>
            <w:vAlign w:val="center"/>
            <w:hideMark/>
          </w:tcPr>
          <w:p w14:paraId="7F6B30C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ORR: 3.4% vs 17.6%; CBR:17.6% vs 41.2% PFS:7.1 weeks of mono vs 17.4 mono+trastuzumab; mean overall sruvaival: 56.5 mons for pertuzumab+Trastuzumab+chemo vs 40.8 months for Trastuzumab+chemo</w:t>
            </w:r>
          </w:p>
        </w:tc>
      </w:tr>
      <w:tr w:rsidR="00E1130C" w:rsidRPr="00E1130C" w14:paraId="78FC4C3E" w14:textId="77777777" w:rsidTr="008B22FD">
        <w:trPr>
          <w:trHeight w:val="204"/>
        </w:trPr>
        <w:tc>
          <w:tcPr>
            <w:tcW w:w="1399" w:type="dxa"/>
            <w:tcBorders>
              <w:top w:val="nil"/>
              <w:left w:val="nil"/>
              <w:bottom w:val="nil"/>
              <w:right w:val="nil"/>
            </w:tcBorders>
            <w:shd w:val="clear" w:color="auto" w:fill="auto"/>
            <w:noWrap/>
            <w:vAlign w:val="center"/>
            <w:hideMark/>
          </w:tcPr>
          <w:p w14:paraId="4A7FAF7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Margetuximab</w:t>
            </w:r>
          </w:p>
        </w:tc>
        <w:tc>
          <w:tcPr>
            <w:tcW w:w="1924" w:type="dxa"/>
            <w:tcBorders>
              <w:top w:val="nil"/>
              <w:left w:val="nil"/>
              <w:bottom w:val="nil"/>
              <w:right w:val="nil"/>
            </w:tcBorders>
            <w:shd w:val="clear" w:color="auto" w:fill="auto"/>
            <w:noWrap/>
            <w:vAlign w:val="center"/>
            <w:hideMark/>
          </w:tcPr>
          <w:p w14:paraId="1F7A8AD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MARGENZA</w:t>
            </w:r>
          </w:p>
        </w:tc>
        <w:tc>
          <w:tcPr>
            <w:tcW w:w="1230" w:type="dxa"/>
            <w:tcBorders>
              <w:top w:val="nil"/>
              <w:left w:val="nil"/>
              <w:bottom w:val="nil"/>
              <w:right w:val="nil"/>
            </w:tcBorders>
            <w:shd w:val="clear" w:color="auto" w:fill="auto"/>
            <w:noWrap/>
            <w:vAlign w:val="center"/>
            <w:hideMark/>
          </w:tcPr>
          <w:p w14:paraId="3B2E5A6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MacroGenics</w:t>
            </w:r>
          </w:p>
        </w:tc>
        <w:tc>
          <w:tcPr>
            <w:tcW w:w="1968" w:type="dxa"/>
            <w:tcBorders>
              <w:top w:val="nil"/>
              <w:left w:val="nil"/>
              <w:bottom w:val="nil"/>
              <w:right w:val="nil"/>
            </w:tcBorders>
            <w:shd w:val="clear" w:color="auto" w:fill="auto"/>
            <w:noWrap/>
            <w:vAlign w:val="center"/>
            <w:hideMark/>
          </w:tcPr>
          <w:p w14:paraId="7C4F605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HER2; Chimeric IgG1</w:t>
            </w:r>
          </w:p>
        </w:tc>
        <w:tc>
          <w:tcPr>
            <w:tcW w:w="3174" w:type="dxa"/>
            <w:tcBorders>
              <w:top w:val="nil"/>
              <w:left w:val="nil"/>
              <w:bottom w:val="nil"/>
              <w:right w:val="nil"/>
            </w:tcBorders>
            <w:shd w:val="clear" w:color="auto" w:fill="auto"/>
            <w:noWrap/>
            <w:vAlign w:val="center"/>
            <w:hideMark/>
          </w:tcPr>
          <w:p w14:paraId="0C2F963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Metastatic HER2+ breast cancer</w:t>
            </w:r>
          </w:p>
        </w:tc>
        <w:tc>
          <w:tcPr>
            <w:tcW w:w="1177" w:type="dxa"/>
            <w:tcBorders>
              <w:top w:val="nil"/>
              <w:left w:val="nil"/>
              <w:bottom w:val="nil"/>
              <w:right w:val="nil"/>
            </w:tcBorders>
            <w:shd w:val="clear" w:color="auto" w:fill="auto"/>
            <w:noWrap/>
            <w:vAlign w:val="center"/>
            <w:hideMark/>
          </w:tcPr>
          <w:p w14:paraId="18A18C4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2020 (US); NA (EU)</w:t>
            </w:r>
          </w:p>
        </w:tc>
        <w:tc>
          <w:tcPr>
            <w:tcW w:w="2662" w:type="dxa"/>
            <w:tcBorders>
              <w:top w:val="nil"/>
              <w:left w:val="nil"/>
              <w:bottom w:val="nil"/>
              <w:right w:val="nil"/>
            </w:tcBorders>
            <w:shd w:val="clear" w:color="auto" w:fill="auto"/>
            <w:vAlign w:val="center"/>
            <w:hideMark/>
          </w:tcPr>
          <w:p w14:paraId="088F354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Median PFS:  5.8mons of Margetuximab+chemo vs 4.9mons of trastuzumab+chemo; objective response rate: 26% vs 14%</w:t>
            </w:r>
          </w:p>
        </w:tc>
      </w:tr>
      <w:tr w:rsidR="00E1130C" w:rsidRPr="00E1130C" w14:paraId="108C7640" w14:textId="77777777" w:rsidTr="008B22FD">
        <w:trPr>
          <w:trHeight w:val="408"/>
        </w:trPr>
        <w:tc>
          <w:tcPr>
            <w:tcW w:w="1399" w:type="dxa"/>
            <w:tcBorders>
              <w:top w:val="nil"/>
              <w:left w:val="nil"/>
              <w:bottom w:val="nil"/>
              <w:right w:val="nil"/>
            </w:tcBorders>
            <w:shd w:val="clear" w:color="auto" w:fill="auto"/>
            <w:noWrap/>
            <w:vAlign w:val="center"/>
            <w:hideMark/>
          </w:tcPr>
          <w:p w14:paraId="0205EA1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Cetuximab</w:t>
            </w:r>
          </w:p>
        </w:tc>
        <w:tc>
          <w:tcPr>
            <w:tcW w:w="1924" w:type="dxa"/>
            <w:tcBorders>
              <w:top w:val="nil"/>
              <w:left w:val="nil"/>
              <w:bottom w:val="nil"/>
              <w:right w:val="nil"/>
            </w:tcBorders>
            <w:shd w:val="clear" w:color="auto" w:fill="auto"/>
            <w:noWrap/>
            <w:vAlign w:val="center"/>
            <w:hideMark/>
          </w:tcPr>
          <w:p w14:paraId="37F2996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Erbitux</w:t>
            </w:r>
          </w:p>
        </w:tc>
        <w:tc>
          <w:tcPr>
            <w:tcW w:w="1230" w:type="dxa"/>
            <w:tcBorders>
              <w:top w:val="nil"/>
              <w:left w:val="nil"/>
              <w:bottom w:val="nil"/>
              <w:right w:val="nil"/>
            </w:tcBorders>
            <w:shd w:val="clear" w:color="auto" w:fill="auto"/>
            <w:noWrap/>
            <w:vAlign w:val="center"/>
            <w:hideMark/>
          </w:tcPr>
          <w:p w14:paraId="70F4A3F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Eli Lilly</w:t>
            </w:r>
          </w:p>
        </w:tc>
        <w:tc>
          <w:tcPr>
            <w:tcW w:w="1968" w:type="dxa"/>
            <w:tcBorders>
              <w:top w:val="nil"/>
              <w:left w:val="nil"/>
              <w:bottom w:val="nil"/>
              <w:right w:val="nil"/>
            </w:tcBorders>
            <w:shd w:val="clear" w:color="auto" w:fill="auto"/>
            <w:noWrap/>
            <w:vAlign w:val="center"/>
            <w:hideMark/>
          </w:tcPr>
          <w:p w14:paraId="74443D5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EGFR; Chimeric IgG1</w:t>
            </w:r>
          </w:p>
        </w:tc>
        <w:tc>
          <w:tcPr>
            <w:tcW w:w="3174" w:type="dxa"/>
            <w:tcBorders>
              <w:top w:val="nil"/>
              <w:left w:val="nil"/>
              <w:bottom w:val="nil"/>
              <w:right w:val="nil"/>
            </w:tcBorders>
            <w:shd w:val="clear" w:color="auto" w:fill="auto"/>
            <w:noWrap/>
            <w:vAlign w:val="center"/>
            <w:hideMark/>
          </w:tcPr>
          <w:p w14:paraId="78F2D67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Colorectal cancer and Head and Neck Cancer</w:t>
            </w:r>
          </w:p>
        </w:tc>
        <w:tc>
          <w:tcPr>
            <w:tcW w:w="1177" w:type="dxa"/>
            <w:tcBorders>
              <w:top w:val="nil"/>
              <w:left w:val="nil"/>
              <w:bottom w:val="nil"/>
              <w:right w:val="nil"/>
            </w:tcBorders>
            <w:shd w:val="clear" w:color="auto" w:fill="auto"/>
            <w:noWrap/>
            <w:vAlign w:val="center"/>
            <w:hideMark/>
          </w:tcPr>
          <w:p w14:paraId="1719E68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2004 (US); 2004 (EU)</w:t>
            </w:r>
          </w:p>
        </w:tc>
        <w:tc>
          <w:tcPr>
            <w:tcW w:w="2662" w:type="dxa"/>
            <w:tcBorders>
              <w:top w:val="nil"/>
              <w:left w:val="nil"/>
              <w:bottom w:val="nil"/>
              <w:right w:val="nil"/>
            </w:tcBorders>
            <w:shd w:val="clear" w:color="auto" w:fill="auto"/>
            <w:vAlign w:val="center"/>
            <w:hideMark/>
          </w:tcPr>
          <w:p w14:paraId="57AC858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Median OS: 31mons for Cetuximab plus FOLFIRI vs 26 months for bevacizumab in KRAS WT mCRC; CRYSTAL study:OS: 23.5 cetuximab+FOLFIRI vs 20.0 months FOLFIRI alone, PFS:  9.9 v 8.4 months, response rate 57.3% v 39.7%. Head and Neck cancer: 24.4 months cetuximab+radio vs 14.9 months radio alone, os: overall survival: 49.0 months vs 29.3 months</w:t>
            </w:r>
          </w:p>
        </w:tc>
      </w:tr>
      <w:tr w:rsidR="00E1130C" w:rsidRPr="00E1130C" w14:paraId="363EA23D" w14:textId="77777777" w:rsidTr="008B22FD">
        <w:trPr>
          <w:trHeight w:val="408"/>
        </w:trPr>
        <w:tc>
          <w:tcPr>
            <w:tcW w:w="1399" w:type="dxa"/>
            <w:tcBorders>
              <w:top w:val="nil"/>
              <w:left w:val="nil"/>
              <w:bottom w:val="nil"/>
              <w:right w:val="nil"/>
            </w:tcBorders>
            <w:shd w:val="clear" w:color="auto" w:fill="auto"/>
            <w:noWrap/>
            <w:vAlign w:val="center"/>
            <w:hideMark/>
          </w:tcPr>
          <w:p w14:paraId="77A12AA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Panitumumab</w:t>
            </w:r>
          </w:p>
        </w:tc>
        <w:tc>
          <w:tcPr>
            <w:tcW w:w="1924" w:type="dxa"/>
            <w:tcBorders>
              <w:top w:val="nil"/>
              <w:left w:val="nil"/>
              <w:bottom w:val="nil"/>
              <w:right w:val="nil"/>
            </w:tcBorders>
            <w:shd w:val="clear" w:color="auto" w:fill="auto"/>
            <w:noWrap/>
            <w:vAlign w:val="center"/>
            <w:hideMark/>
          </w:tcPr>
          <w:p w14:paraId="7CEEF5E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Vectibix</w:t>
            </w:r>
          </w:p>
        </w:tc>
        <w:tc>
          <w:tcPr>
            <w:tcW w:w="1230" w:type="dxa"/>
            <w:tcBorders>
              <w:top w:val="nil"/>
              <w:left w:val="nil"/>
              <w:bottom w:val="nil"/>
              <w:right w:val="nil"/>
            </w:tcBorders>
            <w:shd w:val="clear" w:color="auto" w:fill="auto"/>
            <w:noWrap/>
            <w:vAlign w:val="center"/>
            <w:hideMark/>
          </w:tcPr>
          <w:p w14:paraId="765B9A1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Amgen</w:t>
            </w:r>
          </w:p>
        </w:tc>
        <w:tc>
          <w:tcPr>
            <w:tcW w:w="1968" w:type="dxa"/>
            <w:tcBorders>
              <w:top w:val="nil"/>
              <w:left w:val="nil"/>
              <w:bottom w:val="nil"/>
              <w:right w:val="nil"/>
            </w:tcBorders>
            <w:shd w:val="clear" w:color="auto" w:fill="auto"/>
            <w:noWrap/>
            <w:vAlign w:val="center"/>
            <w:hideMark/>
          </w:tcPr>
          <w:p w14:paraId="33327C9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EGFR; Human IgG2</w:t>
            </w:r>
          </w:p>
        </w:tc>
        <w:tc>
          <w:tcPr>
            <w:tcW w:w="3174" w:type="dxa"/>
            <w:tcBorders>
              <w:top w:val="nil"/>
              <w:left w:val="nil"/>
              <w:bottom w:val="nil"/>
              <w:right w:val="nil"/>
            </w:tcBorders>
            <w:shd w:val="clear" w:color="auto" w:fill="auto"/>
            <w:noWrap/>
            <w:vAlign w:val="center"/>
            <w:hideMark/>
          </w:tcPr>
          <w:p w14:paraId="32E2241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Colorectal cancer</w:t>
            </w:r>
          </w:p>
        </w:tc>
        <w:tc>
          <w:tcPr>
            <w:tcW w:w="1177" w:type="dxa"/>
            <w:tcBorders>
              <w:top w:val="nil"/>
              <w:left w:val="nil"/>
              <w:bottom w:val="nil"/>
              <w:right w:val="nil"/>
            </w:tcBorders>
            <w:shd w:val="clear" w:color="auto" w:fill="auto"/>
            <w:noWrap/>
            <w:vAlign w:val="center"/>
            <w:hideMark/>
          </w:tcPr>
          <w:p w14:paraId="288F568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2006 (US); 2007 (EU)</w:t>
            </w:r>
          </w:p>
        </w:tc>
        <w:tc>
          <w:tcPr>
            <w:tcW w:w="2662" w:type="dxa"/>
            <w:tcBorders>
              <w:top w:val="nil"/>
              <w:left w:val="nil"/>
              <w:bottom w:val="nil"/>
              <w:right w:val="nil"/>
            </w:tcBorders>
            <w:shd w:val="clear" w:color="auto" w:fill="auto"/>
            <w:vAlign w:val="center"/>
            <w:hideMark/>
          </w:tcPr>
          <w:p w14:paraId="1DF7608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Median OS: 10·4 months with panitumumab vs 10·0 months with cetuximab for KRAS WT mCRC; PARADIGM study: panitumumab +FOLFOX 37.9 months vs bevacizumab + +FOLFOX 34.3 months </w:t>
            </w:r>
          </w:p>
        </w:tc>
      </w:tr>
      <w:tr w:rsidR="00E1130C" w:rsidRPr="00E1130C" w14:paraId="20D7C572" w14:textId="77777777" w:rsidTr="008B22FD">
        <w:trPr>
          <w:trHeight w:val="204"/>
        </w:trPr>
        <w:tc>
          <w:tcPr>
            <w:tcW w:w="1399" w:type="dxa"/>
            <w:tcBorders>
              <w:top w:val="nil"/>
              <w:left w:val="nil"/>
              <w:bottom w:val="nil"/>
              <w:right w:val="nil"/>
            </w:tcBorders>
            <w:shd w:val="clear" w:color="auto" w:fill="auto"/>
            <w:noWrap/>
            <w:vAlign w:val="center"/>
            <w:hideMark/>
          </w:tcPr>
          <w:p w14:paraId="1BE2C26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Necitumumab</w:t>
            </w:r>
          </w:p>
        </w:tc>
        <w:tc>
          <w:tcPr>
            <w:tcW w:w="1924" w:type="dxa"/>
            <w:tcBorders>
              <w:top w:val="nil"/>
              <w:left w:val="nil"/>
              <w:bottom w:val="nil"/>
              <w:right w:val="nil"/>
            </w:tcBorders>
            <w:shd w:val="clear" w:color="auto" w:fill="auto"/>
            <w:noWrap/>
            <w:vAlign w:val="center"/>
            <w:hideMark/>
          </w:tcPr>
          <w:p w14:paraId="65496EE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Portrazza</w:t>
            </w:r>
          </w:p>
        </w:tc>
        <w:tc>
          <w:tcPr>
            <w:tcW w:w="1230" w:type="dxa"/>
            <w:tcBorders>
              <w:top w:val="nil"/>
              <w:left w:val="nil"/>
              <w:bottom w:val="nil"/>
              <w:right w:val="nil"/>
            </w:tcBorders>
            <w:shd w:val="clear" w:color="auto" w:fill="auto"/>
            <w:noWrap/>
            <w:vAlign w:val="center"/>
            <w:hideMark/>
          </w:tcPr>
          <w:p w14:paraId="4D31045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Eli Lilly</w:t>
            </w:r>
          </w:p>
        </w:tc>
        <w:tc>
          <w:tcPr>
            <w:tcW w:w="1968" w:type="dxa"/>
            <w:tcBorders>
              <w:top w:val="nil"/>
              <w:left w:val="nil"/>
              <w:bottom w:val="nil"/>
              <w:right w:val="nil"/>
            </w:tcBorders>
            <w:shd w:val="clear" w:color="auto" w:fill="auto"/>
            <w:noWrap/>
            <w:vAlign w:val="center"/>
            <w:hideMark/>
          </w:tcPr>
          <w:p w14:paraId="6C81393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EGFR; Human IgG1</w:t>
            </w:r>
          </w:p>
        </w:tc>
        <w:tc>
          <w:tcPr>
            <w:tcW w:w="3174" w:type="dxa"/>
            <w:tcBorders>
              <w:top w:val="nil"/>
              <w:left w:val="nil"/>
              <w:bottom w:val="nil"/>
              <w:right w:val="nil"/>
            </w:tcBorders>
            <w:shd w:val="clear" w:color="auto" w:fill="auto"/>
            <w:noWrap/>
            <w:vAlign w:val="center"/>
            <w:hideMark/>
          </w:tcPr>
          <w:p w14:paraId="347C5C6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Non-small cell lung cancer</w:t>
            </w:r>
          </w:p>
        </w:tc>
        <w:tc>
          <w:tcPr>
            <w:tcW w:w="1177" w:type="dxa"/>
            <w:tcBorders>
              <w:top w:val="nil"/>
              <w:left w:val="nil"/>
              <w:bottom w:val="nil"/>
              <w:right w:val="nil"/>
            </w:tcBorders>
            <w:shd w:val="clear" w:color="auto" w:fill="auto"/>
            <w:noWrap/>
            <w:vAlign w:val="center"/>
            <w:hideMark/>
          </w:tcPr>
          <w:p w14:paraId="21F2A80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2015(US); 2016(EU)</w:t>
            </w:r>
          </w:p>
        </w:tc>
        <w:tc>
          <w:tcPr>
            <w:tcW w:w="2662" w:type="dxa"/>
            <w:tcBorders>
              <w:top w:val="nil"/>
              <w:left w:val="nil"/>
              <w:bottom w:val="nil"/>
              <w:right w:val="nil"/>
            </w:tcBorders>
            <w:shd w:val="clear" w:color="auto" w:fill="auto"/>
            <w:vAlign w:val="center"/>
            <w:hideMark/>
          </w:tcPr>
          <w:p w14:paraId="7524D3A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SQUIRE trial: Median OS: 11.5 months (necitumumab+chemo) vs  9.9 months (chemo alone), Median PFS was 5.7 vs 5.5 months, the Objective response rate was 31% vs 29%. </w:t>
            </w:r>
          </w:p>
        </w:tc>
      </w:tr>
      <w:tr w:rsidR="00E1130C" w:rsidRPr="00E1130C" w14:paraId="7BE5590A" w14:textId="77777777" w:rsidTr="008B22FD">
        <w:trPr>
          <w:trHeight w:val="408"/>
        </w:trPr>
        <w:tc>
          <w:tcPr>
            <w:tcW w:w="1399" w:type="dxa"/>
            <w:tcBorders>
              <w:top w:val="nil"/>
              <w:left w:val="nil"/>
              <w:bottom w:val="nil"/>
              <w:right w:val="nil"/>
            </w:tcBorders>
            <w:shd w:val="clear" w:color="auto" w:fill="auto"/>
            <w:noWrap/>
            <w:vAlign w:val="center"/>
            <w:hideMark/>
          </w:tcPr>
          <w:p w14:paraId="10BE66E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Amivantamab</w:t>
            </w:r>
          </w:p>
        </w:tc>
        <w:tc>
          <w:tcPr>
            <w:tcW w:w="1924" w:type="dxa"/>
            <w:tcBorders>
              <w:top w:val="nil"/>
              <w:left w:val="nil"/>
              <w:bottom w:val="nil"/>
              <w:right w:val="nil"/>
            </w:tcBorders>
            <w:shd w:val="clear" w:color="auto" w:fill="auto"/>
            <w:noWrap/>
            <w:vAlign w:val="center"/>
            <w:hideMark/>
          </w:tcPr>
          <w:p w14:paraId="737F7AF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Rybrevant</w:t>
            </w:r>
          </w:p>
        </w:tc>
        <w:tc>
          <w:tcPr>
            <w:tcW w:w="1230" w:type="dxa"/>
            <w:tcBorders>
              <w:top w:val="nil"/>
              <w:left w:val="nil"/>
              <w:bottom w:val="nil"/>
              <w:right w:val="nil"/>
            </w:tcBorders>
            <w:shd w:val="clear" w:color="auto" w:fill="auto"/>
            <w:noWrap/>
            <w:vAlign w:val="center"/>
            <w:hideMark/>
          </w:tcPr>
          <w:p w14:paraId="7C9E6DD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Genmab, Janssen</w:t>
            </w:r>
          </w:p>
        </w:tc>
        <w:tc>
          <w:tcPr>
            <w:tcW w:w="1968" w:type="dxa"/>
            <w:tcBorders>
              <w:top w:val="nil"/>
              <w:left w:val="nil"/>
              <w:bottom w:val="nil"/>
              <w:right w:val="nil"/>
            </w:tcBorders>
            <w:shd w:val="clear" w:color="auto" w:fill="auto"/>
            <w:noWrap/>
            <w:vAlign w:val="center"/>
            <w:hideMark/>
          </w:tcPr>
          <w:p w14:paraId="64E9A06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EGFR, cMET; Human bispecific IgG1</w:t>
            </w:r>
          </w:p>
        </w:tc>
        <w:tc>
          <w:tcPr>
            <w:tcW w:w="3174" w:type="dxa"/>
            <w:tcBorders>
              <w:top w:val="nil"/>
              <w:left w:val="nil"/>
              <w:bottom w:val="nil"/>
              <w:right w:val="nil"/>
            </w:tcBorders>
            <w:shd w:val="clear" w:color="auto" w:fill="auto"/>
            <w:noWrap/>
            <w:vAlign w:val="center"/>
            <w:hideMark/>
          </w:tcPr>
          <w:p w14:paraId="71BBAFF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NSCLC w/ EGFR exon 20 insertion mutations</w:t>
            </w:r>
          </w:p>
        </w:tc>
        <w:tc>
          <w:tcPr>
            <w:tcW w:w="1177" w:type="dxa"/>
            <w:tcBorders>
              <w:top w:val="nil"/>
              <w:left w:val="nil"/>
              <w:bottom w:val="nil"/>
              <w:right w:val="nil"/>
            </w:tcBorders>
            <w:shd w:val="clear" w:color="auto" w:fill="auto"/>
            <w:noWrap/>
            <w:vAlign w:val="center"/>
            <w:hideMark/>
          </w:tcPr>
          <w:p w14:paraId="485B609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2021 (US); 2021(EU)</w:t>
            </w:r>
          </w:p>
        </w:tc>
        <w:tc>
          <w:tcPr>
            <w:tcW w:w="2662" w:type="dxa"/>
            <w:tcBorders>
              <w:top w:val="nil"/>
              <w:left w:val="nil"/>
              <w:bottom w:val="nil"/>
              <w:right w:val="nil"/>
            </w:tcBorders>
            <w:shd w:val="clear" w:color="auto" w:fill="auto"/>
            <w:vAlign w:val="center"/>
            <w:hideMark/>
          </w:tcPr>
          <w:p w14:paraId="749464A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CHRYSALIS: ORR was 40%, median PFS was 8.3 months; </w:t>
            </w:r>
            <w:r w:rsidRPr="00E1130C">
              <w:rPr>
                <w:rFonts w:ascii="Arial" w:eastAsia="Times New Roman" w:hAnsi="Arial" w:cs="Arial"/>
                <w:color w:val="000000"/>
                <w:sz w:val="16"/>
                <w:szCs w:val="16"/>
                <w:lang w:val="en-HK" w:eastAsia="zh-CN"/>
              </w:rPr>
              <w:lastRenderedPageBreak/>
              <w:t xml:space="preserve">MARIPOSA-2 study: PFS: Amivantamab+chemo vs amivantamab–lazertinib–chemotherapy versus chemotherapy: 6.3 and 8.3 versus 4.2 months; ORR: 64% and 63% versus 36%. </w:t>
            </w:r>
          </w:p>
        </w:tc>
      </w:tr>
      <w:tr w:rsidR="00E1130C" w:rsidRPr="00E1130C" w14:paraId="67A45E57" w14:textId="77777777" w:rsidTr="008B22FD">
        <w:trPr>
          <w:trHeight w:val="408"/>
        </w:trPr>
        <w:tc>
          <w:tcPr>
            <w:tcW w:w="1399" w:type="dxa"/>
            <w:tcBorders>
              <w:top w:val="nil"/>
              <w:left w:val="nil"/>
              <w:bottom w:val="nil"/>
              <w:right w:val="nil"/>
            </w:tcBorders>
            <w:shd w:val="clear" w:color="auto" w:fill="auto"/>
            <w:noWrap/>
            <w:vAlign w:val="center"/>
            <w:hideMark/>
          </w:tcPr>
          <w:p w14:paraId="2895CBD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lastRenderedPageBreak/>
              <w:t>Ramucirumab</w:t>
            </w:r>
          </w:p>
        </w:tc>
        <w:tc>
          <w:tcPr>
            <w:tcW w:w="1924" w:type="dxa"/>
            <w:tcBorders>
              <w:top w:val="nil"/>
              <w:left w:val="nil"/>
              <w:bottom w:val="nil"/>
              <w:right w:val="nil"/>
            </w:tcBorders>
            <w:shd w:val="clear" w:color="auto" w:fill="auto"/>
            <w:noWrap/>
            <w:vAlign w:val="center"/>
            <w:hideMark/>
          </w:tcPr>
          <w:p w14:paraId="15B9F70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Cyramza</w:t>
            </w:r>
          </w:p>
        </w:tc>
        <w:tc>
          <w:tcPr>
            <w:tcW w:w="1230" w:type="dxa"/>
            <w:tcBorders>
              <w:top w:val="nil"/>
              <w:left w:val="nil"/>
              <w:bottom w:val="nil"/>
              <w:right w:val="nil"/>
            </w:tcBorders>
            <w:shd w:val="clear" w:color="auto" w:fill="auto"/>
            <w:noWrap/>
            <w:vAlign w:val="center"/>
            <w:hideMark/>
          </w:tcPr>
          <w:p w14:paraId="1A45E3E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Dyax, Eli Lilly</w:t>
            </w:r>
          </w:p>
        </w:tc>
        <w:tc>
          <w:tcPr>
            <w:tcW w:w="1968" w:type="dxa"/>
            <w:tcBorders>
              <w:top w:val="nil"/>
              <w:left w:val="nil"/>
              <w:bottom w:val="nil"/>
              <w:right w:val="nil"/>
            </w:tcBorders>
            <w:shd w:val="clear" w:color="auto" w:fill="auto"/>
            <w:noWrap/>
            <w:vAlign w:val="center"/>
            <w:hideMark/>
          </w:tcPr>
          <w:p w14:paraId="0644655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VEGFR2; Human IgG1</w:t>
            </w:r>
          </w:p>
        </w:tc>
        <w:tc>
          <w:tcPr>
            <w:tcW w:w="3174" w:type="dxa"/>
            <w:tcBorders>
              <w:top w:val="nil"/>
              <w:left w:val="nil"/>
              <w:bottom w:val="nil"/>
              <w:right w:val="nil"/>
            </w:tcBorders>
            <w:shd w:val="clear" w:color="auto" w:fill="auto"/>
            <w:noWrap/>
            <w:vAlign w:val="center"/>
            <w:hideMark/>
          </w:tcPr>
          <w:p w14:paraId="08F0875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Metastatic gastric cancer, gastrooesophageal junction adenocarcinoma, colorectal cancer, hepatocellular carcinoma, NSCLC</w:t>
            </w:r>
          </w:p>
        </w:tc>
        <w:tc>
          <w:tcPr>
            <w:tcW w:w="1177" w:type="dxa"/>
            <w:tcBorders>
              <w:top w:val="nil"/>
              <w:left w:val="nil"/>
              <w:bottom w:val="nil"/>
              <w:right w:val="nil"/>
            </w:tcBorders>
            <w:shd w:val="clear" w:color="auto" w:fill="auto"/>
            <w:noWrap/>
            <w:vAlign w:val="center"/>
            <w:hideMark/>
          </w:tcPr>
          <w:p w14:paraId="0E84A1B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2014 (US); 2014(EU)</w:t>
            </w:r>
          </w:p>
        </w:tc>
        <w:tc>
          <w:tcPr>
            <w:tcW w:w="2662" w:type="dxa"/>
            <w:tcBorders>
              <w:top w:val="nil"/>
              <w:left w:val="nil"/>
              <w:bottom w:val="nil"/>
              <w:right w:val="nil"/>
            </w:tcBorders>
            <w:shd w:val="clear" w:color="auto" w:fill="auto"/>
            <w:vAlign w:val="center"/>
            <w:hideMark/>
          </w:tcPr>
          <w:p w14:paraId="113CE18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RAINBOW study for gastric cancer: median OS: 9·6 months (Ramucirumab+chemo) vs 7.4months (placebo+chemo); REGARD study:5·2 months (Ramucirumab+chemo) vs 3.8mon (placebo+chemo)</w:t>
            </w:r>
          </w:p>
        </w:tc>
      </w:tr>
      <w:tr w:rsidR="00E1130C" w:rsidRPr="00E1130C" w14:paraId="43CB4775" w14:textId="77777777" w:rsidTr="008B22FD">
        <w:trPr>
          <w:trHeight w:val="408"/>
        </w:trPr>
        <w:tc>
          <w:tcPr>
            <w:tcW w:w="1399" w:type="dxa"/>
            <w:tcBorders>
              <w:top w:val="nil"/>
              <w:left w:val="nil"/>
              <w:bottom w:val="nil"/>
              <w:right w:val="nil"/>
            </w:tcBorders>
            <w:shd w:val="clear" w:color="auto" w:fill="auto"/>
            <w:noWrap/>
            <w:vAlign w:val="center"/>
            <w:hideMark/>
          </w:tcPr>
          <w:p w14:paraId="27C4243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Bevacizumab</w:t>
            </w:r>
          </w:p>
        </w:tc>
        <w:tc>
          <w:tcPr>
            <w:tcW w:w="1924" w:type="dxa"/>
            <w:tcBorders>
              <w:top w:val="nil"/>
              <w:left w:val="nil"/>
              <w:bottom w:val="nil"/>
              <w:right w:val="nil"/>
            </w:tcBorders>
            <w:shd w:val="clear" w:color="auto" w:fill="auto"/>
            <w:noWrap/>
            <w:vAlign w:val="center"/>
            <w:hideMark/>
          </w:tcPr>
          <w:p w14:paraId="2AAD5DE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Avastin</w:t>
            </w:r>
          </w:p>
        </w:tc>
        <w:tc>
          <w:tcPr>
            <w:tcW w:w="1230" w:type="dxa"/>
            <w:tcBorders>
              <w:top w:val="nil"/>
              <w:left w:val="nil"/>
              <w:bottom w:val="nil"/>
              <w:right w:val="nil"/>
            </w:tcBorders>
            <w:shd w:val="clear" w:color="auto" w:fill="auto"/>
            <w:noWrap/>
            <w:vAlign w:val="center"/>
            <w:hideMark/>
          </w:tcPr>
          <w:p w14:paraId="57F8CC5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7EC4533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VEGF; Humanized IgG1</w:t>
            </w:r>
          </w:p>
        </w:tc>
        <w:tc>
          <w:tcPr>
            <w:tcW w:w="3174" w:type="dxa"/>
            <w:tcBorders>
              <w:top w:val="nil"/>
              <w:left w:val="nil"/>
              <w:bottom w:val="nil"/>
              <w:right w:val="nil"/>
            </w:tcBorders>
            <w:shd w:val="clear" w:color="auto" w:fill="auto"/>
            <w:noWrap/>
            <w:vAlign w:val="center"/>
            <w:hideMark/>
          </w:tcPr>
          <w:p w14:paraId="4CB9398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Colorectal cancer, non-small cell lung</w:t>
            </w:r>
            <w:r w:rsidRPr="00E1130C">
              <w:rPr>
                <w:rFonts w:ascii="Arial" w:eastAsia="Times New Roman" w:hAnsi="Arial" w:cs="Arial"/>
                <w:color w:val="000000"/>
                <w:sz w:val="16"/>
                <w:szCs w:val="16"/>
                <w:lang w:val="en-HK" w:eastAsia="zh-CN"/>
              </w:rPr>
              <w:br/>
              <w:t>cancer, HER2− breast cancer</w:t>
            </w:r>
          </w:p>
        </w:tc>
        <w:tc>
          <w:tcPr>
            <w:tcW w:w="1177" w:type="dxa"/>
            <w:tcBorders>
              <w:top w:val="nil"/>
              <w:left w:val="nil"/>
              <w:bottom w:val="nil"/>
              <w:right w:val="nil"/>
            </w:tcBorders>
            <w:shd w:val="clear" w:color="auto" w:fill="auto"/>
            <w:noWrap/>
            <w:vAlign w:val="center"/>
            <w:hideMark/>
          </w:tcPr>
          <w:p w14:paraId="78DFB92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2004 (US); 2005(EU)</w:t>
            </w:r>
          </w:p>
        </w:tc>
        <w:tc>
          <w:tcPr>
            <w:tcW w:w="2662" w:type="dxa"/>
            <w:tcBorders>
              <w:top w:val="nil"/>
              <w:left w:val="nil"/>
              <w:bottom w:val="nil"/>
              <w:right w:val="nil"/>
            </w:tcBorders>
            <w:shd w:val="clear" w:color="auto" w:fill="auto"/>
            <w:vAlign w:val="center"/>
            <w:hideMark/>
          </w:tcPr>
          <w:p w14:paraId="39CE8B85" w14:textId="345DDF45"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Second-line Study E3200 study for mCRC: 13.0 months (Avastin + FOLFOX4) vs 10.8 months (FOLFOX4 alone);</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 xml:space="preserve">second-line TML study: 11.2 months (Avastin + FOLFOX4) vs 9.8 months (FOLFOX4 alone) </w:t>
            </w:r>
          </w:p>
        </w:tc>
      </w:tr>
      <w:tr w:rsidR="00E1130C" w:rsidRPr="00E1130C" w14:paraId="0B47DBC7" w14:textId="77777777" w:rsidTr="008B22FD">
        <w:trPr>
          <w:trHeight w:val="204"/>
        </w:trPr>
        <w:tc>
          <w:tcPr>
            <w:tcW w:w="1399" w:type="dxa"/>
            <w:tcBorders>
              <w:top w:val="nil"/>
              <w:left w:val="nil"/>
              <w:bottom w:val="nil"/>
              <w:right w:val="nil"/>
            </w:tcBorders>
            <w:shd w:val="clear" w:color="auto" w:fill="auto"/>
            <w:noWrap/>
            <w:vAlign w:val="center"/>
            <w:hideMark/>
          </w:tcPr>
          <w:p w14:paraId="68811AA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Rituximab</w:t>
            </w:r>
          </w:p>
        </w:tc>
        <w:tc>
          <w:tcPr>
            <w:tcW w:w="1924" w:type="dxa"/>
            <w:tcBorders>
              <w:top w:val="nil"/>
              <w:left w:val="nil"/>
              <w:bottom w:val="nil"/>
              <w:right w:val="nil"/>
            </w:tcBorders>
            <w:shd w:val="clear" w:color="auto" w:fill="auto"/>
            <w:noWrap/>
            <w:vAlign w:val="center"/>
            <w:hideMark/>
          </w:tcPr>
          <w:p w14:paraId="3BE99AD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MabThera/Rituxan</w:t>
            </w:r>
          </w:p>
        </w:tc>
        <w:tc>
          <w:tcPr>
            <w:tcW w:w="1230" w:type="dxa"/>
            <w:tcBorders>
              <w:top w:val="nil"/>
              <w:left w:val="nil"/>
              <w:bottom w:val="nil"/>
              <w:right w:val="nil"/>
            </w:tcBorders>
            <w:shd w:val="clear" w:color="auto" w:fill="auto"/>
            <w:noWrap/>
            <w:vAlign w:val="center"/>
            <w:hideMark/>
          </w:tcPr>
          <w:p w14:paraId="0BE6203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166DDBD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Chimeric IgG1</w:t>
            </w:r>
          </w:p>
        </w:tc>
        <w:tc>
          <w:tcPr>
            <w:tcW w:w="3174" w:type="dxa"/>
            <w:tcBorders>
              <w:top w:val="nil"/>
              <w:left w:val="nil"/>
              <w:bottom w:val="nil"/>
              <w:right w:val="nil"/>
            </w:tcBorders>
            <w:shd w:val="clear" w:color="auto" w:fill="auto"/>
            <w:noWrap/>
            <w:vAlign w:val="center"/>
            <w:hideMark/>
          </w:tcPr>
          <w:p w14:paraId="0F9740A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follicular lymphoma, diffuse large B-cell lymphoma and chronic lymphocytic leukaemia</w:t>
            </w:r>
          </w:p>
        </w:tc>
        <w:tc>
          <w:tcPr>
            <w:tcW w:w="1177" w:type="dxa"/>
            <w:tcBorders>
              <w:top w:val="nil"/>
              <w:left w:val="nil"/>
              <w:bottom w:val="nil"/>
              <w:right w:val="nil"/>
            </w:tcBorders>
            <w:shd w:val="clear" w:color="auto" w:fill="auto"/>
            <w:noWrap/>
            <w:vAlign w:val="center"/>
            <w:hideMark/>
          </w:tcPr>
          <w:p w14:paraId="38987BC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1997 (US); 1998(EU)</w:t>
            </w:r>
          </w:p>
        </w:tc>
        <w:tc>
          <w:tcPr>
            <w:tcW w:w="2662" w:type="dxa"/>
            <w:tcBorders>
              <w:top w:val="nil"/>
              <w:left w:val="nil"/>
              <w:bottom w:val="nil"/>
              <w:right w:val="nil"/>
            </w:tcBorders>
            <w:shd w:val="clear" w:color="auto" w:fill="auto"/>
            <w:vAlign w:val="center"/>
            <w:hideMark/>
          </w:tcPr>
          <w:p w14:paraId="4CD10F61" w14:textId="3CE172E9"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CCL8 trial: PFS: 37.7 months; REACH:</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PFS: 20.6months, OS:52months</w:t>
            </w:r>
          </w:p>
        </w:tc>
      </w:tr>
      <w:tr w:rsidR="00E1130C" w:rsidRPr="00E1130C" w14:paraId="37617FA3" w14:textId="77777777" w:rsidTr="008B22FD">
        <w:trPr>
          <w:trHeight w:val="204"/>
        </w:trPr>
        <w:tc>
          <w:tcPr>
            <w:tcW w:w="1399" w:type="dxa"/>
            <w:tcBorders>
              <w:top w:val="nil"/>
              <w:left w:val="nil"/>
              <w:bottom w:val="nil"/>
              <w:right w:val="nil"/>
            </w:tcBorders>
            <w:shd w:val="clear" w:color="auto" w:fill="auto"/>
            <w:noWrap/>
            <w:vAlign w:val="center"/>
            <w:hideMark/>
          </w:tcPr>
          <w:p w14:paraId="5EC7051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Obinutuzumab</w:t>
            </w:r>
          </w:p>
        </w:tc>
        <w:tc>
          <w:tcPr>
            <w:tcW w:w="1924" w:type="dxa"/>
            <w:tcBorders>
              <w:top w:val="nil"/>
              <w:left w:val="nil"/>
              <w:bottom w:val="nil"/>
              <w:right w:val="nil"/>
            </w:tcBorders>
            <w:shd w:val="clear" w:color="auto" w:fill="auto"/>
            <w:noWrap/>
            <w:vAlign w:val="center"/>
            <w:hideMark/>
          </w:tcPr>
          <w:p w14:paraId="141BD64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Gazyva/Gazyvaro</w:t>
            </w:r>
          </w:p>
        </w:tc>
        <w:tc>
          <w:tcPr>
            <w:tcW w:w="1230" w:type="dxa"/>
            <w:tcBorders>
              <w:top w:val="nil"/>
              <w:left w:val="nil"/>
              <w:bottom w:val="nil"/>
              <w:right w:val="nil"/>
            </w:tcBorders>
            <w:shd w:val="clear" w:color="auto" w:fill="auto"/>
            <w:noWrap/>
            <w:vAlign w:val="center"/>
            <w:hideMark/>
          </w:tcPr>
          <w:p w14:paraId="0AF7D96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615C111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Humanized IgG1; Glycoengineered</w:t>
            </w:r>
          </w:p>
        </w:tc>
        <w:tc>
          <w:tcPr>
            <w:tcW w:w="3174" w:type="dxa"/>
            <w:tcBorders>
              <w:top w:val="nil"/>
              <w:left w:val="nil"/>
              <w:bottom w:val="nil"/>
              <w:right w:val="nil"/>
            </w:tcBorders>
            <w:shd w:val="clear" w:color="auto" w:fill="auto"/>
            <w:noWrap/>
            <w:vAlign w:val="center"/>
            <w:hideMark/>
          </w:tcPr>
          <w:p w14:paraId="2407B26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Chronic lymphocytic leukemia,follicular lymphoma</w:t>
            </w:r>
          </w:p>
        </w:tc>
        <w:tc>
          <w:tcPr>
            <w:tcW w:w="1177" w:type="dxa"/>
            <w:tcBorders>
              <w:top w:val="nil"/>
              <w:left w:val="nil"/>
              <w:bottom w:val="nil"/>
              <w:right w:val="nil"/>
            </w:tcBorders>
            <w:shd w:val="clear" w:color="auto" w:fill="auto"/>
            <w:noWrap/>
            <w:vAlign w:val="center"/>
            <w:hideMark/>
          </w:tcPr>
          <w:p w14:paraId="56543BF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2013 (US); 2014(EU)</w:t>
            </w:r>
          </w:p>
        </w:tc>
        <w:tc>
          <w:tcPr>
            <w:tcW w:w="2662" w:type="dxa"/>
            <w:tcBorders>
              <w:top w:val="nil"/>
              <w:left w:val="nil"/>
              <w:bottom w:val="nil"/>
              <w:right w:val="nil"/>
            </w:tcBorders>
            <w:shd w:val="clear" w:color="auto" w:fill="auto"/>
            <w:vAlign w:val="center"/>
            <w:hideMark/>
          </w:tcPr>
          <w:p w14:paraId="788C3F3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GALLIUM trial: 7-year PFS rates of 63.4% (obinutuzumab+chemo) vs 55.7% (rituximab+chemo), OS: 88.5% vs 87.2%.</w:t>
            </w:r>
          </w:p>
        </w:tc>
      </w:tr>
      <w:tr w:rsidR="00E1130C" w:rsidRPr="00E1130C" w14:paraId="65CE6387" w14:textId="77777777" w:rsidTr="008B22FD">
        <w:trPr>
          <w:trHeight w:val="204"/>
        </w:trPr>
        <w:tc>
          <w:tcPr>
            <w:tcW w:w="1399" w:type="dxa"/>
            <w:tcBorders>
              <w:top w:val="nil"/>
              <w:left w:val="nil"/>
              <w:bottom w:val="nil"/>
              <w:right w:val="nil"/>
            </w:tcBorders>
            <w:shd w:val="clear" w:color="auto" w:fill="auto"/>
            <w:noWrap/>
            <w:vAlign w:val="center"/>
            <w:hideMark/>
          </w:tcPr>
          <w:p w14:paraId="326A70A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Ofatumumab</w:t>
            </w:r>
          </w:p>
        </w:tc>
        <w:tc>
          <w:tcPr>
            <w:tcW w:w="1924" w:type="dxa"/>
            <w:tcBorders>
              <w:top w:val="nil"/>
              <w:left w:val="nil"/>
              <w:bottom w:val="nil"/>
              <w:right w:val="nil"/>
            </w:tcBorders>
            <w:shd w:val="clear" w:color="auto" w:fill="auto"/>
            <w:noWrap/>
            <w:vAlign w:val="center"/>
            <w:hideMark/>
          </w:tcPr>
          <w:p w14:paraId="3870616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Arzerra</w:t>
            </w:r>
          </w:p>
        </w:tc>
        <w:tc>
          <w:tcPr>
            <w:tcW w:w="1230" w:type="dxa"/>
            <w:tcBorders>
              <w:top w:val="nil"/>
              <w:left w:val="nil"/>
              <w:bottom w:val="nil"/>
              <w:right w:val="nil"/>
            </w:tcBorders>
            <w:shd w:val="clear" w:color="auto" w:fill="auto"/>
            <w:noWrap/>
            <w:vAlign w:val="center"/>
            <w:hideMark/>
          </w:tcPr>
          <w:p w14:paraId="4A548E3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Genmab, Novartis</w:t>
            </w:r>
          </w:p>
        </w:tc>
        <w:tc>
          <w:tcPr>
            <w:tcW w:w="1968" w:type="dxa"/>
            <w:tcBorders>
              <w:top w:val="nil"/>
              <w:left w:val="nil"/>
              <w:bottom w:val="nil"/>
              <w:right w:val="nil"/>
            </w:tcBorders>
            <w:shd w:val="clear" w:color="auto" w:fill="auto"/>
            <w:noWrap/>
            <w:vAlign w:val="center"/>
            <w:hideMark/>
          </w:tcPr>
          <w:p w14:paraId="28E1CFB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Human IgG1</w:t>
            </w:r>
          </w:p>
        </w:tc>
        <w:tc>
          <w:tcPr>
            <w:tcW w:w="3174" w:type="dxa"/>
            <w:tcBorders>
              <w:top w:val="nil"/>
              <w:left w:val="nil"/>
              <w:bottom w:val="nil"/>
              <w:right w:val="nil"/>
            </w:tcBorders>
            <w:shd w:val="clear" w:color="auto" w:fill="auto"/>
            <w:noWrap/>
            <w:vAlign w:val="center"/>
            <w:hideMark/>
          </w:tcPr>
          <w:p w14:paraId="79EA8E9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Chronic lymphocytic leukemia</w:t>
            </w:r>
          </w:p>
        </w:tc>
        <w:tc>
          <w:tcPr>
            <w:tcW w:w="1177" w:type="dxa"/>
            <w:tcBorders>
              <w:top w:val="nil"/>
              <w:left w:val="nil"/>
              <w:bottom w:val="nil"/>
              <w:right w:val="nil"/>
            </w:tcBorders>
            <w:shd w:val="clear" w:color="auto" w:fill="auto"/>
            <w:noWrap/>
            <w:vAlign w:val="center"/>
            <w:hideMark/>
          </w:tcPr>
          <w:p w14:paraId="366D6BB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2009 (US); 2010(EU)</w:t>
            </w:r>
          </w:p>
        </w:tc>
        <w:tc>
          <w:tcPr>
            <w:tcW w:w="2662" w:type="dxa"/>
            <w:tcBorders>
              <w:top w:val="nil"/>
              <w:left w:val="nil"/>
              <w:bottom w:val="nil"/>
              <w:right w:val="nil"/>
            </w:tcBorders>
            <w:shd w:val="clear" w:color="auto" w:fill="auto"/>
            <w:vAlign w:val="center"/>
            <w:hideMark/>
          </w:tcPr>
          <w:p w14:paraId="1ECAD15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Discontinued</w:t>
            </w:r>
          </w:p>
        </w:tc>
      </w:tr>
      <w:tr w:rsidR="00E1130C" w:rsidRPr="00E1130C" w14:paraId="32532142" w14:textId="77777777" w:rsidTr="008B22FD">
        <w:trPr>
          <w:trHeight w:val="204"/>
        </w:trPr>
        <w:tc>
          <w:tcPr>
            <w:tcW w:w="1399" w:type="dxa"/>
            <w:tcBorders>
              <w:top w:val="nil"/>
              <w:left w:val="nil"/>
              <w:bottom w:val="nil"/>
              <w:right w:val="nil"/>
            </w:tcBorders>
            <w:shd w:val="clear" w:color="auto" w:fill="auto"/>
            <w:noWrap/>
            <w:vAlign w:val="center"/>
            <w:hideMark/>
          </w:tcPr>
          <w:p w14:paraId="39CD193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Ibritumomab tiuxetan</w:t>
            </w:r>
          </w:p>
        </w:tc>
        <w:tc>
          <w:tcPr>
            <w:tcW w:w="1924" w:type="dxa"/>
            <w:tcBorders>
              <w:top w:val="nil"/>
              <w:left w:val="nil"/>
              <w:bottom w:val="nil"/>
              <w:right w:val="nil"/>
            </w:tcBorders>
            <w:shd w:val="clear" w:color="auto" w:fill="auto"/>
            <w:noWrap/>
            <w:vAlign w:val="center"/>
            <w:hideMark/>
          </w:tcPr>
          <w:p w14:paraId="0C4D57C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Zevalin</w:t>
            </w:r>
          </w:p>
        </w:tc>
        <w:tc>
          <w:tcPr>
            <w:tcW w:w="1230" w:type="dxa"/>
            <w:tcBorders>
              <w:top w:val="nil"/>
              <w:left w:val="nil"/>
              <w:bottom w:val="nil"/>
              <w:right w:val="nil"/>
            </w:tcBorders>
            <w:shd w:val="clear" w:color="auto" w:fill="auto"/>
            <w:noWrap/>
            <w:vAlign w:val="center"/>
            <w:hideMark/>
          </w:tcPr>
          <w:p w14:paraId="0E2C5BD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Biogen, Acrotech</w:t>
            </w:r>
          </w:p>
        </w:tc>
        <w:tc>
          <w:tcPr>
            <w:tcW w:w="1968" w:type="dxa"/>
            <w:tcBorders>
              <w:top w:val="nil"/>
              <w:left w:val="nil"/>
              <w:bottom w:val="nil"/>
              <w:right w:val="nil"/>
            </w:tcBorders>
            <w:shd w:val="clear" w:color="auto" w:fill="auto"/>
            <w:noWrap/>
            <w:vAlign w:val="center"/>
            <w:hideMark/>
          </w:tcPr>
          <w:p w14:paraId="56CCCB1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Murine IgG1</w:t>
            </w:r>
          </w:p>
        </w:tc>
        <w:tc>
          <w:tcPr>
            <w:tcW w:w="3174" w:type="dxa"/>
            <w:tcBorders>
              <w:top w:val="nil"/>
              <w:left w:val="nil"/>
              <w:bottom w:val="nil"/>
              <w:right w:val="nil"/>
            </w:tcBorders>
            <w:shd w:val="clear" w:color="auto" w:fill="auto"/>
            <w:noWrap/>
            <w:vAlign w:val="center"/>
            <w:hideMark/>
          </w:tcPr>
          <w:p w14:paraId="0998AFE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Non-Hodgkin lymphoma</w:t>
            </w:r>
          </w:p>
        </w:tc>
        <w:tc>
          <w:tcPr>
            <w:tcW w:w="1177" w:type="dxa"/>
            <w:tcBorders>
              <w:top w:val="nil"/>
              <w:left w:val="nil"/>
              <w:bottom w:val="nil"/>
              <w:right w:val="nil"/>
            </w:tcBorders>
            <w:shd w:val="clear" w:color="auto" w:fill="auto"/>
            <w:noWrap/>
            <w:vAlign w:val="center"/>
            <w:hideMark/>
          </w:tcPr>
          <w:p w14:paraId="41A0729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2002 (US); 2004 (EU)</w:t>
            </w:r>
          </w:p>
        </w:tc>
        <w:tc>
          <w:tcPr>
            <w:tcW w:w="2662" w:type="dxa"/>
            <w:tcBorders>
              <w:top w:val="nil"/>
              <w:left w:val="nil"/>
              <w:bottom w:val="nil"/>
              <w:right w:val="nil"/>
            </w:tcBorders>
            <w:shd w:val="clear" w:color="auto" w:fill="auto"/>
            <w:vAlign w:val="center"/>
            <w:hideMark/>
          </w:tcPr>
          <w:p w14:paraId="43586CC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ORR:80% (ibritumomab tiuxetan) vs 56% (rituximab), PFS: 11.2months versus 10.1 months</w:t>
            </w:r>
          </w:p>
        </w:tc>
      </w:tr>
      <w:tr w:rsidR="00E1130C" w:rsidRPr="00E1130C" w14:paraId="35B7B6EF" w14:textId="77777777" w:rsidTr="008B22FD">
        <w:trPr>
          <w:trHeight w:val="204"/>
        </w:trPr>
        <w:tc>
          <w:tcPr>
            <w:tcW w:w="1399" w:type="dxa"/>
            <w:tcBorders>
              <w:top w:val="nil"/>
              <w:left w:val="nil"/>
              <w:bottom w:val="nil"/>
              <w:right w:val="nil"/>
            </w:tcBorders>
            <w:shd w:val="clear" w:color="auto" w:fill="auto"/>
            <w:noWrap/>
            <w:vAlign w:val="center"/>
            <w:hideMark/>
          </w:tcPr>
          <w:p w14:paraId="3A2FB59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Tositumomab-I131</w:t>
            </w:r>
          </w:p>
        </w:tc>
        <w:tc>
          <w:tcPr>
            <w:tcW w:w="1924" w:type="dxa"/>
            <w:tcBorders>
              <w:top w:val="nil"/>
              <w:left w:val="nil"/>
              <w:bottom w:val="nil"/>
              <w:right w:val="nil"/>
            </w:tcBorders>
            <w:shd w:val="clear" w:color="auto" w:fill="auto"/>
            <w:noWrap/>
            <w:vAlign w:val="center"/>
            <w:hideMark/>
          </w:tcPr>
          <w:p w14:paraId="53557EA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Bexxar</w:t>
            </w:r>
          </w:p>
        </w:tc>
        <w:tc>
          <w:tcPr>
            <w:tcW w:w="1230" w:type="dxa"/>
            <w:tcBorders>
              <w:top w:val="nil"/>
              <w:left w:val="nil"/>
              <w:bottom w:val="nil"/>
              <w:right w:val="nil"/>
            </w:tcBorders>
            <w:shd w:val="clear" w:color="auto" w:fill="auto"/>
            <w:noWrap/>
            <w:vAlign w:val="center"/>
            <w:hideMark/>
          </w:tcPr>
          <w:p w14:paraId="11E893A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Corixa</w:t>
            </w:r>
          </w:p>
        </w:tc>
        <w:tc>
          <w:tcPr>
            <w:tcW w:w="1968" w:type="dxa"/>
            <w:tcBorders>
              <w:top w:val="nil"/>
              <w:left w:val="nil"/>
              <w:bottom w:val="nil"/>
              <w:right w:val="nil"/>
            </w:tcBorders>
            <w:shd w:val="clear" w:color="auto" w:fill="auto"/>
            <w:noWrap/>
            <w:vAlign w:val="center"/>
            <w:hideMark/>
          </w:tcPr>
          <w:p w14:paraId="22743B7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Murine IgG2a</w:t>
            </w:r>
          </w:p>
        </w:tc>
        <w:tc>
          <w:tcPr>
            <w:tcW w:w="3174" w:type="dxa"/>
            <w:tcBorders>
              <w:top w:val="nil"/>
              <w:left w:val="nil"/>
              <w:bottom w:val="nil"/>
              <w:right w:val="nil"/>
            </w:tcBorders>
            <w:shd w:val="clear" w:color="auto" w:fill="auto"/>
            <w:noWrap/>
            <w:vAlign w:val="center"/>
            <w:hideMark/>
          </w:tcPr>
          <w:p w14:paraId="601B067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Non-Hodgkin lymphoma</w:t>
            </w:r>
          </w:p>
        </w:tc>
        <w:tc>
          <w:tcPr>
            <w:tcW w:w="1177" w:type="dxa"/>
            <w:tcBorders>
              <w:top w:val="nil"/>
              <w:left w:val="nil"/>
              <w:bottom w:val="nil"/>
              <w:right w:val="nil"/>
            </w:tcBorders>
            <w:shd w:val="clear" w:color="auto" w:fill="auto"/>
            <w:noWrap/>
            <w:vAlign w:val="center"/>
            <w:hideMark/>
          </w:tcPr>
          <w:p w14:paraId="07D5190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2003 (US); NA(EU)</w:t>
            </w:r>
          </w:p>
        </w:tc>
        <w:tc>
          <w:tcPr>
            <w:tcW w:w="2662" w:type="dxa"/>
            <w:tcBorders>
              <w:top w:val="nil"/>
              <w:left w:val="nil"/>
              <w:bottom w:val="nil"/>
              <w:right w:val="nil"/>
            </w:tcBorders>
            <w:shd w:val="clear" w:color="auto" w:fill="auto"/>
            <w:vAlign w:val="center"/>
            <w:hideMark/>
          </w:tcPr>
          <w:p w14:paraId="152E8BD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Discontinued</w:t>
            </w:r>
          </w:p>
        </w:tc>
      </w:tr>
      <w:tr w:rsidR="00E1130C" w:rsidRPr="00E1130C" w14:paraId="0AE63832" w14:textId="77777777" w:rsidTr="008B22FD">
        <w:trPr>
          <w:trHeight w:val="204"/>
        </w:trPr>
        <w:tc>
          <w:tcPr>
            <w:tcW w:w="1399" w:type="dxa"/>
            <w:tcBorders>
              <w:top w:val="nil"/>
              <w:left w:val="nil"/>
              <w:bottom w:val="nil"/>
              <w:right w:val="nil"/>
            </w:tcBorders>
            <w:shd w:val="clear" w:color="auto" w:fill="auto"/>
            <w:noWrap/>
            <w:vAlign w:val="center"/>
            <w:hideMark/>
          </w:tcPr>
          <w:p w14:paraId="63F1C40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Mosunetuzumab</w:t>
            </w:r>
          </w:p>
        </w:tc>
        <w:tc>
          <w:tcPr>
            <w:tcW w:w="1924" w:type="dxa"/>
            <w:tcBorders>
              <w:top w:val="nil"/>
              <w:left w:val="nil"/>
              <w:bottom w:val="nil"/>
              <w:right w:val="nil"/>
            </w:tcBorders>
            <w:shd w:val="clear" w:color="auto" w:fill="auto"/>
            <w:noWrap/>
            <w:vAlign w:val="center"/>
            <w:hideMark/>
          </w:tcPr>
          <w:p w14:paraId="4CF9BB7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Lunsumio</w:t>
            </w:r>
          </w:p>
        </w:tc>
        <w:tc>
          <w:tcPr>
            <w:tcW w:w="1230" w:type="dxa"/>
            <w:tcBorders>
              <w:top w:val="nil"/>
              <w:left w:val="nil"/>
              <w:bottom w:val="nil"/>
              <w:right w:val="nil"/>
            </w:tcBorders>
            <w:shd w:val="clear" w:color="auto" w:fill="auto"/>
            <w:noWrap/>
            <w:vAlign w:val="center"/>
            <w:hideMark/>
          </w:tcPr>
          <w:p w14:paraId="2398F72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3E4D8A5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CD3; Humanized bispecific IgG1</w:t>
            </w:r>
          </w:p>
        </w:tc>
        <w:tc>
          <w:tcPr>
            <w:tcW w:w="3174" w:type="dxa"/>
            <w:tcBorders>
              <w:top w:val="nil"/>
              <w:left w:val="nil"/>
              <w:bottom w:val="nil"/>
              <w:right w:val="nil"/>
            </w:tcBorders>
            <w:shd w:val="clear" w:color="auto" w:fill="auto"/>
            <w:noWrap/>
            <w:vAlign w:val="center"/>
            <w:hideMark/>
          </w:tcPr>
          <w:p w14:paraId="3FC15E9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Follicular lymphoma</w:t>
            </w:r>
          </w:p>
        </w:tc>
        <w:tc>
          <w:tcPr>
            <w:tcW w:w="1177" w:type="dxa"/>
            <w:tcBorders>
              <w:top w:val="nil"/>
              <w:left w:val="nil"/>
              <w:bottom w:val="nil"/>
              <w:right w:val="nil"/>
            </w:tcBorders>
            <w:shd w:val="clear" w:color="auto" w:fill="auto"/>
            <w:noWrap/>
            <w:vAlign w:val="center"/>
            <w:hideMark/>
          </w:tcPr>
          <w:p w14:paraId="78575E2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2022(US); 2022(EU)</w:t>
            </w:r>
          </w:p>
        </w:tc>
        <w:tc>
          <w:tcPr>
            <w:tcW w:w="2662" w:type="dxa"/>
            <w:tcBorders>
              <w:top w:val="nil"/>
              <w:left w:val="nil"/>
              <w:bottom w:val="nil"/>
              <w:right w:val="nil"/>
            </w:tcBorders>
            <w:shd w:val="clear" w:color="auto" w:fill="auto"/>
            <w:vAlign w:val="center"/>
            <w:hideMark/>
          </w:tcPr>
          <w:p w14:paraId="4AC5374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ORR:80%, CRR:60%</w:t>
            </w:r>
          </w:p>
        </w:tc>
      </w:tr>
      <w:tr w:rsidR="00E1130C" w:rsidRPr="00E1130C" w14:paraId="7503582C" w14:textId="77777777" w:rsidTr="008B22FD">
        <w:trPr>
          <w:trHeight w:val="204"/>
        </w:trPr>
        <w:tc>
          <w:tcPr>
            <w:tcW w:w="1399" w:type="dxa"/>
            <w:tcBorders>
              <w:top w:val="nil"/>
              <w:left w:val="nil"/>
              <w:bottom w:val="nil"/>
              <w:right w:val="nil"/>
            </w:tcBorders>
            <w:shd w:val="clear" w:color="auto" w:fill="auto"/>
            <w:noWrap/>
            <w:vAlign w:val="center"/>
            <w:hideMark/>
          </w:tcPr>
          <w:p w14:paraId="3D069FB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Moxetumomab pasudotox</w:t>
            </w:r>
          </w:p>
        </w:tc>
        <w:tc>
          <w:tcPr>
            <w:tcW w:w="1924" w:type="dxa"/>
            <w:tcBorders>
              <w:top w:val="nil"/>
              <w:left w:val="nil"/>
              <w:bottom w:val="nil"/>
              <w:right w:val="nil"/>
            </w:tcBorders>
            <w:shd w:val="clear" w:color="auto" w:fill="auto"/>
            <w:noWrap/>
            <w:vAlign w:val="center"/>
            <w:hideMark/>
          </w:tcPr>
          <w:p w14:paraId="422B241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Lumoxiti</w:t>
            </w:r>
          </w:p>
        </w:tc>
        <w:tc>
          <w:tcPr>
            <w:tcW w:w="1230" w:type="dxa"/>
            <w:tcBorders>
              <w:top w:val="nil"/>
              <w:left w:val="nil"/>
              <w:bottom w:val="nil"/>
              <w:right w:val="nil"/>
            </w:tcBorders>
            <w:shd w:val="clear" w:color="auto" w:fill="auto"/>
            <w:noWrap/>
            <w:vAlign w:val="center"/>
            <w:hideMark/>
          </w:tcPr>
          <w:p w14:paraId="0C14B86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Innate Pharma, AstraZeneca</w:t>
            </w:r>
          </w:p>
        </w:tc>
        <w:tc>
          <w:tcPr>
            <w:tcW w:w="1968" w:type="dxa"/>
            <w:tcBorders>
              <w:top w:val="nil"/>
              <w:left w:val="nil"/>
              <w:bottom w:val="nil"/>
              <w:right w:val="nil"/>
            </w:tcBorders>
            <w:shd w:val="clear" w:color="auto" w:fill="auto"/>
            <w:noWrap/>
            <w:vAlign w:val="center"/>
            <w:hideMark/>
          </w:tcPr>
          <w:p w14:paraId="11F2779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CD22; Murine IgG1 dsFv immunotoxin</w:t>
            </w:r>
          </w:p>
        </w:tc>
        <w:tc>
          <w:tcPr>
            <w:tcW w:w="3174" w:type="dxa"/>
            <w:tcBorders>
              <w:top w:val="nil"/>
              <w:left w:val="nil"/>
              <w:bottom w:val="nil"/>
              <w:right w:val="nil"/>
            </w:tcBorders>
            <w:shd w:val="clear" w:color="auto" w:fill="auto"/>
            <w:noWrap/>
            <w:vAlign w:val="center"/>
            <w:hideMark/>
          </w:tcPr>
          <w:p w14:paraId="1DE3D77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Hairy cell leukemia</w:t>
            </w:r>
          </w:p>
        </w:tc>
        <w:tc>
          <w:tcPr>
            <w:tcW w:w="1177" w:type="dxa"/>
            <w:tcBorders>
              <w:top w:val="nil"/>
              <w:left w:val="nil"/>
              <w:bottom w:val="nil"/>
              <w:right w:val="nil"/>
            </w:tcBorders>
            <w:shd w:val="clear" w:color="auto" w:fill="auto"/>
            <w:noWrap/>
            <w:vAlign w:val="center"/>
            <w:hideMark/>
          </w:tcPr>
          <w:p w14:paraId="48CCEB3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2018 (US); 2021(EU)</w:t>
            </w:r>
          </w:p>
        </w:tc>
        <w:tc>
          <w:tcPr>
            <w:tcW w:w="2662" w:type="dxa"/>
            <w:tcBorders>
              <w:top w:val="nil"/>
              <w:left w:val="nil"/>
              <w:bottom w:val="nil"/>
              <w:right w:val="nil"/>
            </w:tcBorders>
            <w:shd w:val="clear" w:color="auto" w:fill="auto"/>
            <w:vAlign w:val="center"/>
            <w:hideMark/>
          </w:tcPr>
          <w:p w14:paraId="786926D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NCT01829711: durable CR rate:36%, CR with HR </w:t>
            </w:r>
            <w:r w:rsidRPr="00E1130C">
              <w:rPr>
                <w:rFonts w:ascii="Arial Regular" w:eastAsia="Times New Roman" w:hAnsi="Arial Regular" w:cs="Arial"/>
                <w:color w:val="000000"/>
                <w:sz w:val="16"/>
                <w:szCs w:val="16"/>
                <w:lang w:val="en-HK" w:eastAsia="zh-CN"/>
              </w:rPr>
              <w:t>≥</w:t>
            </w:r>
            <w:r w:rsidRPr="00E1130C">
              <w:rPr>
                <w:rFonts w:ascii="Arial" w:eastAsia="Times New Roman" w:hAnsi="Arial" w:cs="Arial"/>
                <w:color w:val="000000"/>
                <w:sz w:val="16"/>
                <w:szCs w:val="16"/>
                <w:lang w:val="en-HK" w:eastAsia="zh-CN"/>
              </w:rPr>
              <w:t xml:space="preserve"> 360 days: 33%, and overall CR : 41%. </w:t>
            </w:r>
          </w:p>
        </w:tc>
      </w:tr>
      <w:tr w:rsidR="00E1130C" w:rsidRPr="00E1130C" w14:paraId="482AAF08" w14:textId="77777777" w:rsidTr="008B22FD">
        <w:trPr>
          <w:trHeight w:val="204"/>
        </w:trPr>
        <w:tc>
          <w:tcPr>
            <w:tcW w:w="1399" w:type="dxa"/>
            <w:tcBorders>
              <w:top w:val="nil"/>
              <w:left w:val="nil"/>
              <w:bottom w:val="nil"/>
              <w:right w:val="nil"/>
            </w:tcBorders>
            <w:shd w:val="clear" w:color="auto" w:fill="auto"/>
            <w:noWrap/>
            <w:vAlign w:val="center"/>
            <w:hideMark/>
          </w:tcPr>
          <w:p w14:paraId="1C5A830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Daratumumab </w:t>
            </w:r>
          </w:p>
        </w:tc>
        <w:tc>
          <w:tcPr>
            <w:tcW w:w="1924" w:type="dxa"/>
            <w:tcBorders>
              <w:top w:val="nil"/>
              <w:left w:val="nil"/>
              <w:bottom w:val="nil"/>
              <w:right w:val="nil"/>
            </w:tcBorders>
            <w:shd w:val="clear" w:color="auto" w:fill="auto"/>
            <w:noWrap/>
            <w:vAlign w:val="center"/>
            <w:hideMark/>
          </w:tcPr>
          <w:p w14:paraId="576069F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Darzalex</w:t>
            </w:r>
          </w:p>
        </w:tc>
        <w:tc>
          <w:tcPr>
            <w:tcW w:w="1230" w:type="dxa"/>
            <w:tcBorders>
              <w:top w:val="nil"/>
              <w:left w:val="nil"/>
              <w:bottom w:val="nil"/>
              <w:right w:val="nil"/>
            </w:tcBorders>
            <w:shd w:val="clear" w:color="auto" w:fill="auto"/>
            <w:noWrap/>
            <w:vAlign w:val="center"/>
            <w:hideMark/>
          </w:tcPr>
          <w:p w14:paraId="28CD45A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Genmab, Janssen</w:t>
            </w:r>
          </w:p>
        </w:tc>
        <w:tc>
          <w:tcPr>
            <w:tcW w:w="1968" w:type="dxa"/>
            <w:tcBorders>
              <w:top w:val="nil"/>
              <w:left w:val="nil"/>
              <w:bottom w:val="nil"/>
              <w:right w:val="nil"/>
            </w:tcBorders>
            <w:shd w:val="clear" w:color="auto" w:fill="auto"/>
            <w:noWrap/>
            <w:vAlign w:val="center"/>
            <w:hideMark/>
          </w:tcPr>
          <w:p w14:paraId="65F6D2B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CD38; Human IgG1</w:t>
            </w:r>
          </w:p>
        </w:tc>
        <w:tc>
          <w:tcPr>
            <w:tcW w:w="3174" w:type="dxa"/>
            <w:tcBorders>
              <w:top w:val="nil"/>
              <w:left w:val="nil"/>
              <w:bottom w:val="nil"/>
              <w:right w:val="nil"/>
            </w:tcBorders>
            <w:shd w:val="clear" w:color="auto" w:fill="auto"/>
            <w:noWrap/>
            <w:vAlign w:val="center"/>
            <w:hideMark/>
          </w:tcPr>
          <w:p w14:paraId="48FF952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w:t>
            </w:r>
          </w:p>
        </w:tc>
        <w:tc>
          <w:tcPr>
            <w:tcW w:w="1177" w:type="dxa"/>
            <w:tcBorders>
              <w:top w:val="nil"/>
              <w:left w:val="nil"/>
              <w:bottom w:val="nil"/>
              <w:right w:val="nil"/>
            </w:tcBorders>
            <w:shd w:val="clear" w:color="auto" w:fill="auto"/>
            <w:noWrap/>
            <w:vAlign w:val="center"/>
            <w:hideMark/>
          </w:tcPr>
          <w:p w14:paraId="1009894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2015(US); 2016(EU)</w:t>
            </w:r>
          </w:p>
        </w:tc>
        <w:tc>
          <w:tcPr>
            <w:tcW w:w="2662" w:type="dxa"/>
            <w:tcBorders>
              <w:top w:val="nil"/>
              <w:left w:val="nil"/>
              <w:bottom w:val="nil"/>
              <w:right w:val="nil"/>
            </w:tcBorders>
            <w:shd w:val="clear" w:color="auto" w:fill="auto"/>
            <w:vAlign w:val="center"/>
            <w:hideMark/>
          </w:tcPr>
          <w:p w14:paraId="58E444A7" w14:textId="104B1DA8"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PERSEUS trial: PFS at 4 years: 84% (Daratumumab+chemo) vs 68% (Chemo), CR: 88% vs 70%</w:t>
            </w:r>
          </w:p>
        </w:tc>
      </w:tr>
      <w:tr w:rsidR="00E1130C" w:rsidRPr="00E1130C" w14:paraId="4DC7AA14" w14:textId="77777777" w:rsidTr="008B22FD">
        <w:trPr>
          <w:trHeight w:val="204"/>
        </w:trPr>
        <w:tc>
          <w:tcPr>
            <w:tcW w:w="1399" w:type="dxa"/>
            <w:tcBorders>
              <w:top w:val="nil"/>
              <w:left w:val="nil"/>
              <w:bottom w:val="nil"/>
              <w:right w:val="nil"/>
            </w:tcBorders>
            <w:shd w:val="clear" w:color="auto" w:fill="auto"/>
            <w:noWrap/>
            <w:vAlign w:val="center"/>
            <w:hideMark/>
          </w:tcPr>
          <w:p w14:paraId="2889A31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Isatuximab</w:t>
            </w:r>
          </w:p>
        </w:tc>
        <w:tc>
          <w:tcPr>
            <w:tcW w:w="1924" w:type="dxa"/>
            <w:tcBorders>
              <w:top w:val="nil"/>
              <w:left w:val="nil"/>
              <w:bottom w:val="nil"/>
              <w:right w:val="nil"/>
            </w:tcBorders>
            <w:shd w:val="clear" w:color="auto" w:fill="auto"/>
            <w:noWrap/>
            <w:vAlign w:val="center"/>
            <w:hideMark/>
          </w:tcPr>
          <w:p w14:paraId="43438E3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Sarclissa</w:t>
            </w:r>
          </w:p>
        </w:tc>
        <w:tc>
          <w:tcPr>
            <w:tcW w:w="1230" w:type="dxa"/>
            <w:tcBorders>
              <w:top w:val="nil"/>
              <w:left w:val="nil"/>
              <w:bottom w:val="nil"/>
              <w:right w:val="nil"/>
            </w:tcBorders>
            <w:shd w:val="clear" w:color="auto" w:fill="auto"/>
            <w:noWrap/>
            <w:vAlign w:val="center"/>
            <w:hideMark/>
          </w:tcPr>
          <w:p w14:paraId="11B499E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ImmunoGen, Sanofi</w:t>
            </w:r>
          </w:p>
        </w:tc>
        <w:tc>
          <w:tcPr>
            <w:tcW w:w="1968" w:type="dxa"/>
            <w:tcBorders>
              <w:top w:val="nil"/>
              <w:left w:val="nil"/>
              <w:bottom w:val="nil"/>
              <w:right w:val="nil"/>
            </w:tcBorders>
            <w:shd w:val="clear" w:color="auto" w:fill="auto"/>
            <w:noWrap/>
            <w:vAlign w:val="center"/>
            <w:hideMark/>
          </w:tcPr>
          <w:p w14:paraId="5881AB7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CD38; Chimeric IgG1</w:t>
            </w:r>
          </w:p>
        </w:tc>
        <w:tc>
          <w:tcPr>
            <w:tcW w:w="3174" w:type="dxa"/>
            <w:tcBorders>
              <w:top w:val="nil"/>
              <w:left w:val="nil"/>
              <w:bottom w:val="nil"/>
              <w:right w:val="nil"/>
            </w:tcBorders>
            <w:shd w:val="clear" w:color="auto" w:fill="auto"/>
            <w:noWrap/>
            <w:vAlign w:val="center"/>
            <w:hideMark/>
          </w:tcPr>
          <w:p w14:paraId="019B6E3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w:t>
            </w:r>
          </w:p>
        </w:tc>
        <w:tc>
          <w:tcPr>
            <w:tcW w:w="1177" w:type="dxa"/>
            <w:tcBorders>
              <w:top w:val="nil"/>
              <w:left w:val="nil"/>
              <w:bottom w:val="nil"/>
              <w:right w:val="nil"/>
            </w:tcBorders>
            <w:shd w:val="clear" w:color="auto" w:fill="auto"/>
            <w:noWrap/>
            <w:vAlign w:val="center"/>
            <w:hideMark/>
          </w:tcPr>
          <w:p w14:paraId="42E0DF9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2020(US); 2020(EU)</w:t>
            </w:r>
          </w:p>
        </w:tc>
        <w:tc>
          <w:tcPr>
            <w:tcW w:w="2662" w:type="dxa"/>
            <w:tcBorders>
              <w:top w:val="nil"/>
              <w:left w:val="nil"/>
              <w:bottom w:val="nil"/>
              <w:right w:val="nil"/>
            </w:tcBorders>
            <w:shd w:val="clear" w:color="auto" w:fill="auto"/>
            <w:vAlign w:val="center"/>
            <w:hideMark/>
          </w:tcPr>
          <w:p w14:paraId="47EF98D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GMMG-HD7 trial: minimal residual disease rate: 50.1% (Isatuximab+chemo) versus 35.6% (chemo)</w:t>
            </w:r>
          </w:p>
        </w:tc>
      </w:tr>
      <w:tr w:rsidR="00E1130C" w:rsidRPr="00E1130C" w14:paraId="09C08E21" w14:textId="77777777" w:rsidTr="008B22FD">
        <w:trPr>
          <w:trHeight w:val="204"/>
        </w:trPr>
        <w:tc>
          <w:tcPr>
            <w:tcW w:w="1399" w:type="dxa"/>
            <w:tcBorders>
              <w:top w:val="nil"/>
              <w:left w:val="nil"/>
              <w:bottom w:val="nil"/>
              <w:right w:val="nil"/>
            </w:tcBorders>
            <w:shd w:val="clear" w:color="auto" w:fill="auto"/>
            <w:noWrap/>
            <w:vAlign w:val="center"/>
            <w:hideMark/>
          </w:tcPr>
          <w:p w14:paraId="7FD494A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Alemtuzumab</w:t>
            </w:r>
          </w:p>
        </w:tc>
        <w:tc>
          <w:tcPr>
            <w:tcW w:w="1924" w:type="dxa"/>
            <w:tcBorders>
              <w:top w:val="nil"/>
              <w:left w:val="nil"/>
              <w:bottom w:val="nil"/>
              <w:right w:val="nil"/>
            </w:tcBorders>
            <w:shd w:val="clear" w:color="auto" w:fill="auto"/>
            <w:noWrap/>
            <w:vAlign w:val="center"/>
            <w:hideMark/>
          </w:tcPr>
          <w:p w14:paraId="1957F79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MabCampath/Campath-1H/Lemtrada</w:t>
            </w:r>
          </w:p>
        </w:tc>
        <w:tc>
          <w:tcPr>
            <w:tcW w:w="1230" w:type="dxa"/>
            <w:tcBorders>
              <w:top w:val="nil"/>
              <w:left w:val="nil"/>
              <w:bottom w:val="nil"/>
              <w:right w:val="nil"/>
            </w:tcBorders>
            <w:shd w:val="clear" w:color="auto" w:fill="auto"/>
            <w:noWrap/>
            <w:vAlign w:val="center"/>
            <w:hideMark/>
          </w:tcPr>
          <w:p w14:paraId="5EC2B17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Genzyme (Sanofi)</w:t>
            </w:r>
          </w:p>
        </w:tc>
        <w:tc>
          <w:tcPr>
            <w:tcW w:w="1968" w:type="dxa"/>
            <w:tcBorders>
              <w:top w:val="nil"/>
              <w:left w:val="nil"/>
              <w:bottom w:val="nil"/>
              <w:right w:val="nil"/>
            </w:tcBorders>
            <w:shd w:val="clear" w:color="auto" w:fill="auto"/>
            <w:noWrap/>
            <w:vAlign w:val="center"/>
            <w:hideMark/>
          </w:tcPr>
          <w:p w14:paraId="6E1F69B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CD52; Humanized IgG1</w:t>
            </w:r>
          </w:p>
        </w:tc>
        <w:tc>
          <w:tcPr>
            <w:tcW w:w="3174" w:type="dxa"/>
            <w:tcBorders>
              <w:top w:val="nil"/>
              <w:left w:val="nil"/>
              <w:bottom w:val="nil"/>
              <w:right w:val="nil"/>
            </w:tcBorders>
            <w:shd w:val="clear" w:color="auto" w:fill="auto"/>
            <w:noWrap/>
            <w:vAlign w:val="center"/>
            <w:hideMark/>
          </w:tcPr>
          <w:p w14:paraId="4626730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Chronic myeloid leukemia</w:t>
            </w:r>
          </w:p>
        </w:tc>
        <w:tc>
          <w:tcPr>
            <w:tcW w:w="1177" w:type="dxa"/>
            <w:tcBorders>
              <w:top w:val="nil"/>
              <w:left w:val="nil"/>
              <w:bottom w:val="nil"/>
              <w:right w:val="nil"/>
            </w:tcBorders>
            <w:shd w:val="clear" w:color="auto" w:fill="auto"/>
            <w:noWrap/>
            <w:vAlign w:val="center"/>
            <w:hideMark/>
          </w:tcPr>
          <w:p w14:paraId="4C16E71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2001(US); 2001(EU)</w:t>
            </w:r>
          </w:p>
        </w:tc>
        <w:tc>
          <w:tcPr>
            <w:tcW w:w="2662" w:type="dxa"/>
            <w:tcBorders>
              <w:top w:val="nil"/>
              <w:left w:val="nil"/>
              <w:bottom w:val="nil"/>
              <w:right w:val="nil"/>
            </w:tcBorders>
            <w:shd w:val="clear" w:color="auto" w:fill="auto"/>
            <w:vAlign w:val="center"/>
            <w:hideMark/>
          </w:tcPr>
          <w:p w14:paraId="25AD707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Median PFS:4.7-19.6months, median OS:12-35.8months, overal </w:t>
            </w:r>
            <w:r w:rsidRPr="00E1130C">
              <w:rPr>
                <w:rFonts w:ascii="Arial" w:eastAsia="Times New Roman" w:hAnsi="Arial" w:cs="Arial"/>
                <w:color w:val="000000"/>
                <w:sz w:val="16"/>
                <w:szCs w:val="16"/>
                <w:lang w:val="en-HK" w:eastAsia="zh-CN"/>
              </w:rPr>
              <w:lastRenderedPageBreak/>
              <w:t>response rate: 31-54%, complete response rate: 2-35%.</w:t>
            </w:r>
          </w:p>
        </w:tc>
      </w:tr>
      <w:tr w:rsidR="00E1130C" w:rsidRPr="00E1130C" w14:paraId="5F6657A6" w14:textId="77777777" w:rsidTr="008B22FD">
        <w:trPr>
          <w:trHeight w:val="204"/>
        </w:trPr>
        <w:tc>
          <w:tcPr>
            <w:tcW w:w="1399" w:type="dxa"/>
            <w:tcBorders>
              <w:top w:val="nil"/>
              <w:left w:val="nil"/>
              <w:bottom w:val="nil"/>
              <w:right w:val="nil"/>
            </w:tcBorders>
            <w:shd w:val="clear" w:color="auto" w:fill="auto"/>
            <w:noWrap/>
            <w:vAlign w:val="center"/>
            <w:hideMark/>
          </w:tcPr>
          <w:p w14:paraId="3B1935F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lastRenderedPageBreak/>
              <w:t>Denosumab</w:t>
            </w:r>
          </w:p>
        </w:tc>
        <w:tc>
          <w:tcPr>
            <w:tcW w:w="1924" w:type="dxa"/>
            <w:tcBorders>
              <w:top w:val="nil"/>
              <w:left w:val="nil"/>
              <w:bottom w:val="nil"/>
              <w:right w:val="nil"/>
            </w:tcBorders>
            <w:shd w:val="clear" w:color="auto" w:fill="auto"/>
            <w:noWrap/>
            <w:vAlign w:val="center"/>
            <w:hideMark/>
          </w:tcPr>
          <w:p w14:paraId="51393F5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Xgeva/Prolia</w:t>
            </w:r>
          </w:p>
        </w:tc>
        <w:tc>
          <w:tcPr>
            <w:tcW w:w="1230" w:type="dxa"/>
            <w:tcBorders>
              <w:top w:val="nil"/>
              <w:left w:val="nil"/>
              <w:bottom w:val="nil"/>
              <w:right w:val="nil"/>
            </w:tcBorders>
            <w:shd w:val="clear" w:color="auto" w:fill="auto"/>
            <w:noWrap/>
            <w:vAlign w:val="center"/>
            <w:hideMark/>
          </w:tcPr>
          <w:p w14:paraId="1C3FE64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Amgen</w:t>
            </w:r>
          </w:p>
        </w:tc>
        <w:tc>
          <w:tcPr>
            <w:tcW w:w="1968" w:type="dxa"/>
            <w:tcBorders>
              <w:top w:val="nil"/>
              <w:left w:val="nil"/>
              <w:bottom w:val="nil"/>
              <w:right w:val="nil"/>
            </w:tcBorders>
            <w:shd w:val="clear" w:color="auto" w:fill="auto"/>
            <w:noWrap/>
            <w:vAlign w:val="center"/>
            <w:hideMark/>
          </w:tcPr>
          <w:p w14:paraId="5A727E1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RANKL; human IgG2</w:t>
            </w:r>
          </w:p>
        </w:tc>
        <w:tc>
          <w:tcPr>
            <w:tcW w:w="3174" w:type="dxa"/>
            <w:tcBorders>
              <w:top w:val="nil"/>
              <w:left w:val="nil"/>
              <w:bottom w:val="nil"/>
              <w:right w:val="nil"/>
            </w:tcBorders>
            <w:shd w:val="clear" w:color="auto" w:fill="auto"/>
            <w:noWrap/>
            <w:vAlign w:val="center"/>
            <w:hideMark/>
          </w:tcPr>
          <w:p w14:paraId="755D51E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 or bone metastases from solid tumors</w:t>
            </w:r>
          </w:p>
        </w:tc>
        <w:tc>
          <w:tcPr>
            <w:tcW w:w="1177" w:type="dxa"/>
            <w:tcBorders>
              <w:top w:val="nil"/>
              <w:left w:val="nil"/>
              <w:bottom w:val="nil"/>
              <w:right w:val="nil"/>
            </w:tcBorders>
            <w:shd w:val="clear" w:color="auto" w:fill="auto"/>
            <w:noWrap/>
            <w:vAlign w:val="center"/>
            <w:hideMark/>
          </w:tcPr>
          <w:p w14:paraId="181C520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2010(US); 2010(EU)</w:t>
            </w:r>
          </w:p>
        </w:tc>
        <w:tc>
          <w:tcPr>
            <w:tcW w:w="2662" w:type="dxa"/>
            <w:tcBorders>
              <w:top w:val="nil"/>
              <w:left w:val="nil"/>
              <w:bottom w:val="nil"/>
              <w:right w:val="nil"/>
            </w:tcBorders>
            <w:shd w:val="clear" w:color="auto" w:fill="auto"/>
            <w:vAlign w:val="center"/>
            <w:hideMark/>
          </w:tcPr>
          <w:p w14:paraId="1182BBA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ABCSG-18 trial: 5-year DFS:89.2%, 8-year DFS:80.6%</w:t>
            </w:r>
          </w:p>
        </w:tc>
      </w:tr>
      <w:tr w:rsidR="00E1130C" w:rsidRPr="00E1130C" w14:paraId="39225905" w14:textId="77777777" w:rsidTr="008B22FD">
        <w:trPr>
          <w:trHeight w:val="204"/>
        </w:trPr>
        <w:tc>
          <w:tcPr>
            <w:tcW w:w="1399" w:type="dxa"/>
            <w:tcBorders>
              <w:top w:val="nil"/>
              <w:left w:val="nil"/>
              <w:bottom w:val="nil"/>
              <w:right w:val="nil"/>
            </w:tcBorders>
            <w:shd w:val="clear" w:color="auto" w:fill="auto"/>
            <w:noWrap/>
            <w:vAlign w:val="center"/>
            <w:hideMark/>
          </w:tcPr>
          <w:p w14:paraId="743D74E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Ipilimumab</w:t>
            </w:r>
          </w:p>
        </w:tc>
        <w:tc>
          <w:tcPr>
            <w:tcW w:w="1924" w:type="dxa"/>
            <w:tcBorders>
              <w:top w:val="nil"/>
              <w:left w:val="nil"/>
              <w:bottom w:val="nil"/>
              <w:right w:val="nil"/>
            </w:tcBorders>
            <w:shd w:val="clear" w:color="auto" w:fill="auto"/>
            <w:noWrap/>
            <w:vAlign w:val="center"/>
            <w:hideMark/>
          </w:tcPr>
          <w:p w14:paraId="74BB074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Yervoy</w:t>
            </w:r>
          </w:p>
        </w:tc>
        <w:tc>
          <w:tcPr>
            <w:tcW w:w="1230" w:type="dxa"/>
            <w:tcBorders>
              <w:top w:val="nil"/>
              <w:left w:val="nil"/>
              <w:bottom w:val="nil"/>
              <w:right w:val="nil"/>
            </w:tcBorders>
            <w:shd w:val="clear" w:color="auto" w:fill="auto"/>
            <w:noWrap/>
            <w:vAlign w:val="center"/>
            <w:hideMark/>
          </w:tcPr>
          <w:p w14:paraId="461319B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Medarex</w:t>
            </w:r>
          </w:p>
        </w:tc>
        <w:tc>
          <w:tcPr>
            <w:tcW w:w="1968" w:type="dxa"/>
            <w:tcBorders>
              <w:top w:val="nil"/>
              <w:left w:val="nil"/>
              <w:bottom w:val="nil"/>
              <w:right w:val="nil"/>
            </w:tcBorders>
            <w:shd w:val="clear" w:color="auto" w:fill="auto"/>
            <w:noWrap/>
            <w:vAlign w:val="center"/>
            <w:hideMark/>
          </w:tcPr>
          <w:p w14:paraId="65CE631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CTLA-4; Human IgG1</w:t>
            </w:r>
          </w:p>
        </w:tc>
        <w:tc>
          <w:tcPr>
            <w:tcW w:w="3174" w:type="dxa"/>
            <w:tcBorders>
              <w:top w:val="nil"/>
              <w:left w:val="nil"/>
              <w:bottom w:val="nil"/>
              <w:right w:val="nil"/>
            </w:tcBorders>
            <w:shd w:val="clear" w:color="auto" w:fill="auto"/>
            <w:noWrap/>
            <w:vAlign w:val="center"/>
            <w:hideMark/>
          </w:tcPr>
          <w:p w14:paraId="39BD1D0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Melanoma, renal cell carcinoma, colorectal cancer</w:t>
            </w:r>
          </w:p>
        </w:tc>
        <w:tc>
          <w:tcPr>
            <w:tcW w:w="1177" w:type="dxa"/>
            <w:tcBorders>
              <w:top w:val="nil"/>
              <w:left w:val="nil"/>
              <w:bottom w:val="nil"/>
              <w:right w:val="nil"/>
            </w:tcBorders>
            <w:shd w:val="clear" w:color="auto" w:fill="auto"/>
            <w:noWrap/>
            <w:vAlign w:val="center"/>
            <w:hideMark/>
          </w:tcPr>
          <w:p w14:paraId="270ECEE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2011(US); 2011(EU)</w:t>
            </w:r>
          </w:p>
        </w:tc>
        <w:tc>
          <w:tcPr>
            <w:tcW w:w="2662" w:type="dxa"/>
            <w:tcBorders>
              <w:top w:val="nil"/>
              <w:left w:val="nil"/>
              <w:bottom w:val="nil"/>
              <w:right w:val="nil"/>
            </w:tcBorders>
            <w:shd w:val="clear" w:color="auto" w:fill="auto"/>
            <w:vAlign w:val="center"/>
            <w:hideMark/>
          </w:tcPr>
          <w:p w14:paraId="7E23A94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MDX010-20 trial: median OS: 10months.  CA 184-024 trial:  median OS: 11.2 (Ipilimumab+chemo) vs. 9.1 months (chemo alone); EORTC 1871 trial: PFS : 26.2 months </w:t>
            </w:r>
          </w:p>
        </w:tc>
      </w:tr>
      <w:tr w:rsidR="00E1130C" w:rsidRPr="00E1130C" w14:paraId="151B779E" w14:textId="77777777" w:rsidTr="008B22FD">
        <w:trPr>
          <w:trHeight w:val="204"/>
        </w:trPr>
        <w:tc>
          <w:tcPr>
            <w:tcW w:w="1399" w:type="dxa"/>
            <w:tcBorders>
              <w:top w:val="nil"/>
              <w:left w:val="nil"/>
              <w:bottom w:val="nil"/>
              <w:right w:val="nil"/>
            </w:tcBorders>
            <w:shd w:val="clear" w:color="auto" w:fill="auto"/>
            <w:noWrap/>
            <w:vAlign w:val="center"/>
            <w:hideMark/>
          </w:tcPr>
          <w:p w14:paraId="75BDE64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Tremelimumab</w:t>
            </w:r>
          </w:p>
        </w:tc>
        <w:tc>
          <w:tcPr>
            <w:tcW w:w="1924" w:type="dxa"/>
            <w:tcBorders>
              <w:top w:val="nil"/>
              <w:left w:val="nil"/>
              <w:bottom w:val="nil"/>
              <w:right w:val="nil"/>
            </w:tcBorders>
            <w:shd w:val="clear" w:color="auto" w:fill="auto"/>
            <w:noWrap/>
            <w:vAlign w:val="center"/>
            <w:hideMark/>
          </w:tcPr>
          <w:p w14:paraId="1137833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Imjudo</w:t>
            </w:r>
          </w:p>
        </w:tc>
        <w:tc>
          <w:tcPr>
            <w:tcW w:w="1230" w:type="dxa"/>
            <w:tcBorders>
              <w:top w:val="nil"/>
              <w:left w:val="nil"/>
              <w:bottom w:val="nil"/>
              <w:right w:val="nil"/>
            </w:tcBorders>
            <w:shd w:val="clear" w:color="auto" w:fill="auto"/>
            <w:noWrap/>
            <w:vAlign w:val="center"/>
            <w:hideMark/>
          </w:tcPr>
          <w:p w14:paraId="19B0A32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MedImmune (AstraZeneca)</w:t>
            </w:r>
          </w:p>
        </w:tc>
        <w:tc>
          <w:tcPr>
            <w:tcW w:w="1968" w:type="dxa"/>
            <w:tcBorders>
              <w:top w:val="nil"/>
              <w:left w:val="nil"/>
              <w:bottom w:val="nil"/>
              <w:right w:val="nil"/>
            </w:tcBorders>
            <w:shd w:val="clear" w:color="auto" w:fill="auto"/>
            <w:noWrap/>
            <w:vAlign w:val="center"/>
            <w:hideMark/>
          </w:tcPr>
          <w:p w14:paraId="2870CDE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CTLA-4; Human IgG2A</w:t>
            </w:r>
          </w:p>
        </w:tc>
        <w:tc>
          <w:tcPr>
            <w:tcW w:w="3174" w:type="dxa"/>
            <w:tcBorders>
              <w:top w:val="nil"/>
              <w:left w:val="nil"/>
              <w:bottom w:val="nil"/>
              <w:right w:val="nil"/>
            </w:tcBorders>
            <w:shd w:val="clear" w:color="auto" w:fill="auto"/>
            <w:noWrap/>
            <w:vAlign w:val="center"/>
            <w:hideMark/>
          </w:tcPr>
          <w:p w14:paraId="0A98585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liver cancer</w:t>
            </w:r>
          </w:p>
        </w:tc>
        <w:tc>
          <w:tcPr>
            <w:tcW w:w="1177" w:type="dxa"/>
            <w:tcBorders>
              <w:top w:val="nil"/>
              <w:left w:val="nil"/>
              <w:bottom w:val="nil"/>
              <w:right w:val="nil"/>
            </w:tcBorders>
            <w:shd w:val="clear" w:color="auto" w:fill="auto"/>
            <w:noWrap/>
            <w:vAlign w:val="center"/>
            <w:hideMark/>
          </w:tcPr>
          <w:p w14:paraId="1180A16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2022(US); 2023(EU)</w:t>
            </w:r>
          </w:p>
        </w:tc>
        <w:tc>
          <w:tcPr>
            <w:tcW w:w="2662" w:type="dxa"/>
            <w:tcBorders>
              <w:top w:val="nil"/>
              <w:left w:val="nil"/>
              <w:bottom w:val="nil"/>
              <w:right w:val="nil"/>
            </w:tcBorders>
            <w:shd w:val="clear" w:color="auto" w:fill="auto"/>
            <w:vAlign w:val="center"/>
            <w:hideMark/>
          </w:tcPr>
          <w:p w14:paraId="0EBD741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HIMALAYA trial: OS: 16.43 months (tremelimumab+ durvalumab) vs.16.56 months (durvalumab) vs.13.8 months (sorafenib)</w:t>
            </w:r>
          </w:p>
        </w:tc>
      </w:tr>
      <w:tr w:rsidR="00E1130C" w:rsidRPr="00E1130C" w14:paraId="5CE6503A" w14:textId="77777777" w:rsidTr="008B22FD">
        <w:trPr>
          <w:trHeight w:val="408"/>
        </w:trPr>
        <w:tc>
          <w:tcPr>
            <w:tcW w:w="1399" w:type="dxa"/>
            <w:tcBorders>
              <w:top w:val="nil"/>
              <w:left w:val="nil"/>
              <w:bottom w:val="nil"/>
              <w:right w:val="nil"/>
            </w:tcBorders>
            <w:shd w:val="clear" w:color="auto" w:fill="auto"/>
            <w:noWrap/>
            <w:vAlign w:val="center"/>
            <w:hideMark/>
          </w:tcPr>
          <w:p w14:paraId="59C8930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Nivolumab</w:t>
            </w:r>
          </w:p>
        </w:tc>
        <w:tc>
          <w:tcPr>
            <w:tcW w:w="1924" w:type="dxa"/>
            <w:tcBorders>
              <w:top w:val="nil"/>
              <w:left w:val="nil"/>
              <w:bottom w:val="nil"/>
              <w:right w:val="nil"/>
            </w:tcBorders>
            <w:shd w:val="clear" w:color="auto" w:fill="auto"/>
            <w:noWrap/>
            <w:vAlign w:val="center"/>
            <w:hideMark/>
          </w:tcPr>
          <w:p w14:paraId="7EBD814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Opdivo</w:t>
            </w:r>
          </w:p>
        </w:tc>
        <w:tc>
          <w:tcPr>
            <w:tcW w:w="1230" w:type="dxa"/>
            <w:tcBorders>
              <w:top w:val="nil"/>
              <w:left w:val="nil"/>
              <w:bottom w:val="nil"/>
              <w:right w:val="nil"/>
            </w:tcBorders>
            <w:shd w:val="clear" w:color="auto" w:fill="auto"/>
            <w:noWrap/>
            <w:vAlign w:val="center"/>
            <w:hideMark/>
          </w:tcPr>
          <w:p w14:paraId="471680A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Medarex</w:t>
            </w:r>
          </w:p>
        </w:tc>
        <w:tc>
          <w:tcPr>
            <w:tcW w:w="1968" w:type="dxa"/>
            <w:tcBorders>
              <w:top w:val="nil"/>
              <w:left w:val="nil"/>
              <w:bottom w:val="nil"/>
              <w:right w:val="nil"/>
            </w:tcBorders>
            <w:shd w:val="clear" w:color="auto" w:fill="auto"/>
            <w:noWrap/>
            <w:vAlign w:val="center"/>
            <w:hideMark/>
          </w:tcPr>
          <w:p w14:paraId="45524F2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 IgG4</w:t>
            </w:r>
          </w:p>
        </w:tc>
        <w:tc>
          <w:tcPr>
            <w:tcW w:w="3174" w:type="dxa"/>
            <w:tcBorders>
              <w:top w:val="nil"/>
              <w:left w:val="nil"/>
              <w:bottom w:val="nil"/>
              <w:right w:val="nil"/>
            </w:tcBorders>
            <w:shd w:val="clear" w:color="auto" w:fill="auto"/>
            <w:noWrap/>
            <w:vAlign w:val="center"/>
            <w:hideMark/>
          </w:tcPr>
          <w:p w14:paraId="01B24AE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Melanoma, non-small cell lung cancer, renal cell carcinoma</w:t>
            </w:r>
          </w:p>
        </w:tc>
        <w:tc>
          <w:tcPr>
            <w:tcW w:w="1177" w:type="dxa"/>
            <w:tcBorders>
              <w:top w:val="nil"/>
              <w:left w:val="nil"/>
              <w:bottom w:val="nil"/>
              <w:right w:val="nil"/>
            </w:tcBorders>
            <w:shd w:val="clear" w:color="auto" w:fill="auto"/>
            <w:noWrap/>
            <w:vAlign w:val="center"/>
            <w:hideMark/>
          </w:tcPr>
          <w:p w14:paraId="2FF0565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2014(US); 2015(EU)</w:t>
            </w:r>
          </w:p>
        </w:tc>
        <w:tc>
          <w:tcPr>
            <w:tcW w:w="2662" w:type="dxa"/>
            <w:tcBorders>
              <w:top w:val="nil"/>
              <w:left w:val="nil"/>
              <w:bottom w:val="nil"/>
              <w:right w:val="nil"/>
            </w:tcBorders>
            <w:shd w:val="clear" w:color="auto" w:fill="auto"/>
            <w:vAlign w:val="center"/>
            <w:hideMark/>
          </w:tcPr>
          <w:p w14:paraId="322BFF1A" w14:textId="2CBD635D"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Melanoma RELATIVITY-047: median PFS:4.6months (nivolumab) vs 10.1 months (relatlimab–nivolumab), 1-year PFS: 47.7% vs 36.0%. Lung cancer CheckMate 816: median event-free survival: 31.6 months (nivolumab+chemo) vs 20.8 months (chemo alone). RCC NORA (NCT02940639):</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median OS was 24 months and median PFS was 5.3 months.</w:t>
            </w:r>
          </w:p>
        </w:tc>
      </w:tr>
      <w:tr w:rsidR="00E1130C" w:rsidRPr="00E1130C" w14:paraId="57617776" w14:textId="77777777" w:rsidTr="008B22FD">
        <w:trPr>
          <w:trHeight w:val="204"/>
        </w:trPr>
        <w:tc>
          <w:tcPr>
            <w:tcW w:w="1399" w:type="dxa"/>
            <w:tcBorders>
              <w:top w:val="nil"/>
              <w:left w:val="nil"/>
              <w:bottom w:val="nil"/>
              <w:right w:val="nil"/>
            </w:tcBorders>
            <w:shd w:val="clear" w:color="auto" w:fill="auto"/>
            <w:noWrap/>
            <w:vAlign w:val="center"/>
            <w:hideMark/>
          </w:tcPr>
          <w:p w14:paraId="0AA09B5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Pembrolizumab</w:t>
            </w:r>
          </w:p>
        </w:tc>
        <w:tc>
          <w:tcPr>
            <w:tcW w:w="1924" w:type="dxa"/>
            <w:tcBorders>
              <w:top w:val="nil"/>
              <w:left w:val="nil"/>
              <w:bottom w:val="nil"/>
              <w:right w:val="nil"/>
            </w:tcBorders>
            <w:shd w:val="clear" w:color="auto" w:fill="auto"/>
            <w:noWrap/>
            <w:vAlign w:val="center"/>
            <w:hideMark/>
          </w:tcPr>
          <w:p w14:paraId="4E74ED8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Keytruda</w:t>
            </w:r>
          </w:p>
        </w:tc>
        <w:tc>
          <w:tcPr>
            <w:tcW w:w="1230" w:type="dxa"/>
            <w:tcBorders>
              <w:top w:val="nil"/>
              <w:left w:val="nil"/>
              <w:bottom w:val="nil"/>
              <w:right w:val="nil"/>
            </w:tcBorders>
            <w:shd w:val="clear" w:color="auto" w:fill="auto"/>
            <w:noWrap/>
            <w:vAlign w:val="center"/>
            <w:hideMark/>
          </w:tcPr>
          <w:p w14:paraId="76C9AE2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Merck</w:t>
            </w:r>
          </w:p>
        </w:tc>
        <w:tc>
          <w:tcPr>
            <w:tcW w:w="1968" w:type="dxa"/>
            <w:tcBorders>
              <w:top w:val="nil"/>
              <w:left w:val="nil"/>
              <w:bottom w:val="nil"/>
              <w:right w:val="nil"/>
            </w:tcBorders>
            <w:shd w:val="clear" w:color="auto" w:fill="auto"/>
            <w:noWrap/>
            <w:vAlign w:val="center"/>
            <w:hideMark/>
          </w:tcPr>
          <w:p w14:paraId="322B2B5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Humanized IgG4</w:t>
            </w:r>
          </w:p>
        </w:tc>
        <w:tc>
          <w:tcPr>
            <w:tcW w:w="3174" w:type="dxa"/>
            <w:tcBorders>
              <w:top w:val="nil"/>
              <w:left w:val="nil"/>
              <w:bottom w:val="nil"/>
              <w:right w:val="nil"/>
            </w:tcBorders>
            <w:shd w:val="clear" w:color="auto" w:fill="auto"/>
            <w:noWrap/>
            <w:vAlign w:val="center"/>
            <w:hideMark/>
          </w:tcPr>
          <w:p w14:paraId="3D2B924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Melanoma</w:t>
            </w:r>
          </w:p>
        </w:tc>
        <w:tc>
          <w:tcPr>
            <w:tcW w:w="1177" w:type="dxa"/>
            <w:tcBorders>
              <w:top w:val="nil"/>
              <w:left w:val="nil"/>
              <w:bottom w:val="nil"/>
              <w:right w:val="nil"/>
            </w:tcBorders>
            <w:shd w:val="clear" w:color="auto" w:fill="auto"/>
            <w:noWrap/>
            <w:vAlign w:val="center"/>
            <w:hideMark/>
          </w:tcPr>
          <w:p w14:paraId="4B97CBE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2014(US); 2015(EU)</w:t>
            </w:r>
          </w:p>
        </w:tc>
        <w:tc>
          <w:tcPr>
            <w:tcW w:w="2662" w:type="dxa"/>
            <w:tcBorders>
              <w:top w:val="nil"/>
              <w:left w:val="nil"/>
              <w:bottom w:val="nil"/>
              <w:right w:val="nil"/>
            </w:tcBorders>
            <w:shd w:val="clear" w:color="auto" w:fill="auto"/>
            <w:vAlign w:val="center"/>
            <w:hideMark/>
          </w:tcPr>
          <w:p w14:paraId="1975CDB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 NCT02362594: 5-year rate of RFS: 55.4%, 5-year rate of distant metastasis-free survival:60.6%. KEYNOTE-716:  Median RFS was 37·2 months</w:t>
            </w:r>
          </w:p>
        </w:tc>
      </w:tr>
      <w:tr w:rsidR="00E1130C" w:rsidRPr="00E1130C" w14:paraId="09726EE1" w14:textId="77777777" w:rsidTr="008B22FD">
        <w:trPr>
          <w:trHeight w:val="204"/>
        </w:trPr>
        <w:tc>
          <w:tcPr>
            <w:tcW w:w="1399" w:type="dxa"/>
            <w:tcBorders>
              <w:top w:val="nil"/>
              <w:left w:val="nil"/>
              <w:bottom w:val="nil"/>
              <w:right w:val="nil"/>
            </w:tcBorders>
            <w:shd w:val="clear" w:color="auto" w:fill="auto"/>
            <w:noWrap/>
            <w:vAlign w:val="center"/>
            <w:hideMark/>
          </w:tcPr>
          <w:p w14:paraId="5130DA7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Cemiplimab</w:t>
            </w:r>
          </w:p>
        </w:tc>
        <w:tc>
          <w:tcPr>
            <w:tcW w:w="1924" w:type="dxa"/>
            <w:tcBorders>
              <w:top w:val="nil"/>
              <w:left w:val="nil"/>
              <w:bottom w:val="nil"/>
              <w:right w:val="nil"/>
            </w:tcBorders>
            <w:shd w:val="clear" w:color="auto" w:fill="auto"/>
            <w:noWrap/>
            <w:vAlign w:val="center"/>
            <w:hideMark/>
          </w:tcPr>
          <w:p w14:paraId="5A3AA11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Libtayo</w:t>
            </w:r>
          </w:p>
        </w:tc>
        <w:tc>
          <w:tcPr>
            <w:tcW w:w="1230" w:type="dxa"/>
            <w:tcBorders>
              <w:top w:val="nil"/>
              <w:left w:val="nil"/>
              <w:bottom w:val="nil"/>
              <w:right w:val="nil"/>
            </w:tcBorders>
            <w:shd w:val="clear" w:color="auto" w:fill="auto"/>
            <w:noWrap/>
            <w:vAlign w:val="center"/>
            <w:hideMark/>
          </w:tcPr>
          <w:p w14:paraId="164395C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Regeneron, Sanofi</w:t>
            </w:r>
          </w:p>
        </w:tc>
        <w:tc>
          <w:tcPr>
            <w:tcW w:w="1968" w:type="dxa"/>
            <w:tcBorders>
              <w:top w:val="nil"/>
              <w:left w:val="nil"/>
              <w:bottom w:val="nil"/>
              <w:right w:val="nil"/>
            </w:tcBorders>
            <w:shd w:val="clear" w:color="auto" w:fill="auto"/>
            <w:noWrap/>
            <w:vAlign w:val="center"/>
            <w:hideMark/>
          </w:tcPr>
          <w:p w14:paraId="39D4B3C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 IgG4</w:t>
            </w:r>
          </w:p>
        </w:tc>
        <w:tc>
          <w:tcPr>
            <w:tcW w:w="3174" w:type="dxa"/>
            <w:tcBorders>
              <w:top w:val="nil"/>
              <w:left w:val="nil"/>
              <w:bottom w:val="nil"/>
              <w:right w:val="nil"/>
            </w:tcBorders>
            <w:shd w:val="clear" w:color="auto" w:fill="auto"/>
            <w:noWrap/>
            <w:vAlign w:val="center"/>
            <w:hideMark/>
          </w:tcPr>
          <w:p w14:paraId="3001A8A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Cutaneous squamous cell carcinoma, basal cell carcinoma, non-small cell lung cancer</w:t>
            </w:r>
          </w:p>
        </w:tc>
        <w:tc>
          <w:tcPr>
            <w:tcW w:w="1177" w:type="dxa"/>
            <w:tcBorders>
              <w:top w:val="nil"/>
              <w:left w:val="nil"/>
              <w:bottom w:val="nil"/>
              <w:right w:val="nil"/>
            </w:tcBorders>
            <w:shd w:val="clear" w:color="auto" w:fill="auto"/>
            <w:noWrap/>
            <w:vAlign w:val="center"/>
            <w:hideMark/>
          </w:tcPr>
          <w:p w14:paraId="4AAF832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2018(US); 2019(EU)</w:t>
            </w:r>
          </w:p>
        </w:tc>
        <w:tc>
          <w:tcPr>
            <w:tcW w:w="2662" w:type="dxa"/>
            <w:tcBorders>
              <w:top w:val="nil"/>
              <w:left w:val="nil"/>
              <w:bottom w:val="nil"/>
              <w:right w:val="nil"/>
            </w:tcBorders>
            <w:shd w:val="clear" w:color="auto" w:fill="auto"/>
            <w:vAlign w:val="center"/>
            <w:hideMark/>
          </w:tcPr>
          <w:p w14:paraId="4A4663E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NCT04154943: 51% pathological CR, 13% pathological major response. EMPOWER-Lung 3 (NCT03409614): OS: 21.9 months (Cemiplimab+chemo) vs 13.0 months (chemo)</w:t>
            </w:r>
          </w:p>
        </w:tc>
      </w:tr>
      <w:tr w:rsidR="00E1130C" w:rsidRPr="00E1130C" w14:paraId="454BA4D9" w14:textId="77777777" w:rsidTr="008B22FD">
        <w:trPr>
          <w:trHeight w:val="204"/>
        </w:trPr>
        <w:tc>
          <w:tcPr>
            <w:tcW w:w="1399" w:type="dxa"/>
            <w:tcBorders>
              <w:top w:val="nil"/>
              <w:left w:val="nil"/>
              <w:bottom w:val="nil"/>
              <w:right w:val="nil"/>
            </w:tcBorders>
            <w:shd w:val="clear" w:color="auto" w:fill="auto"/>
            <w:noWrap/>
            <w:vAlign w:val="center"/>
            <w:hideMark/>
          </w:tcPr>
          <w:p w14:paraId="061473C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Dostarlimab</w:t>
            </w:r>
          </w:p>
        </w:tc>
        <w:tc>
          <w:tcPr>
            <w:tcW w:w="1924" w:type="dxa"/>
            <w:tcBorders>
              <w:top w:val="nil"/>
              <w:left w:val="nil"/>
              <w:bottom w:val="nil"/>
              <w:right w:val="nil"/>
            </w:tcBorders>
            <w:shd w:val="clear" w:color="auto" w:fill="auto"/>
            <w:noWrap/>
            <w:vAlign w:val="center"/>
            <w:hideMark/>
          </w:tcPr>
          <w:p w14:paraId="59AB2C9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Jemperli</w:t>
            </w:r>
          </w:p>
        </w:tc>
        <w:tc>
          <w:tcPr>
            <w:tcW w:w="1230" w:type="dxa"/>
            <w:tcBorders>
              <w:top w:val="nil"/>
              <w:left w:val="nil"/>
              <w:bottom w:val="nil"/>
              <w:right w:val="nil"/>
            </w:tcBorders>
            <w:shd w:val="clear" w:color="auto" w:fill="auto"/>
            <w:noWrap/>
            <w:vAlign w:val="center"/>
            <w:hideMark/>
          </w:tcPr>
          <w:p w14:paraId="16DA10F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GSK</w:t>
            </w:r>
          </w:p>
        </w:tc>
        <w:tc>
          <w:tcPr>
            <w:tcW w:w="1968" w:type="dxa"/>
            <w:tcBorders>
              <w:top w:val="nil"/>
              <w:left w:val="nil"/>
              <w:bottom w:val="nil"/>
              <w:right w:val="nil"/>
            </w:tcBorders>
            <w:shd w:val="clear" w:color="auto" w:fill="auto"/>
            <w:noWrap/>
            <w:vAlign w:val="center"/>
            <w:hideMark/>
          </w:tcPr>
          <w:p w14:paraId="46C8CBF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Humanized IgG4</w:t>
            </w:r>
          </w:p>
        </w:tc>
        <w:tc>
          <w:tcPr>
            <w:tcW w:w="3174" w:type="dxa"/>
            <w:tcBorders>
              <w:top w:val="nil"/>
              <w:left w:val="nil"/>
              <w:bottom w:val="nil"/>
              <w:right w:val="nil"/>
            </w:tcBorders>
            <w:shd w:val="clear" w:color="auto" w:fill="auto"/>
            <w:noWrap/>
            <w:vAlign w:val="center"/>
            <w:hideMark/>
          </w:tcPr>
          <w:p w14:paraId="2045711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Endometrial cancer</w:t>
            </w:r>
          </w:p>
        </w:tc>
        <w:tc>
          <w:tcPr>
            <w:tcW w:w="1177" w:type="dxa"/>
            <w:tcBorders>
              <w:top w:val="nil"/>
              <w:left w:val="nil"/>
              <w:bottom w:val="nil"/>
              <w:right w:val="nil"/>
            </w:tcBorders>
            <w:shd w:val="clear" w:color="auto" w:fill="auto"/>
            <w:noWrap/>
            <w:vAlign w:val="center"/>
            <w:hideMark/>
          </w:tcPr>
          <w:p w14:paraId="231129B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2021(US); 2021(EU)</w:t>
            </w:r>
          </w:p>
        </w:tc>
        <w:tc>
          <w:tcPr>
            <w:tcW w:w="2662" w:type="dxa"/>
            <w:tcBorders>
              <w:top w:val="nil"/>
              <w:left w:val="nil"/>
              <w:bottom w:val="nil"/>
              <w:right w:val="nil"/>
            </w:tcBorders>
            <w:shd w:val="clear" w:color="auto" w:fill="auto"/>
            <w:vAlign w:val="center"/>
            <w:hideMark/>
          </w:tcPr>
          <w:p w14:paraId="647A5CE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RUBY/ENGOT-EN6/GOG3031/NSGO: overall 2-year PFS: 36.1% (Dosatarlimab+chemo) vs 18.1% (chemo alone), overall 2-year OS: 71.3% vs 56.0%</w:t>
            </w:r>
          </w:p>
        </w:tc>
      </w:tr>
      <w:tr w:rsidR="00E1130C" w:rsidRPr="00E1130C" w14:paraId="10C934B9" w14:textId="77777777" w:rsidTr="008B22FD">
        <w:trPr>
          <w:trHeight w:val="204"/>
        </w:trPr>
        <w:tc>
          <w:tcPr>
            <w:tcW w:w="1399" w:type="dxa"/>
            <w:tcBorders>
              <w:top w:val="nil"/>
              <w:left w:val="nil"/>
              <w:bottom w:val="nil"/>
              <w:right w:val="nil"/>
            </w:tcBorders>
            <w:shd w:val="clear" w:color="auto" w:fill="auto"/>
            <w:noWrap/>
            <w:vAlign w:val="center"/>
            <w:hideMark/>
          </w:tcPr>
          <w:p w14:paraId="01FFEDE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Tislelizumab</w:t>
            </w:r>
          </w:p>
        </w:tc>
        <w:tc>
          <w:tcPr>
            <w:tcW w:w="1924" w:type="dxa"/>
            <w:tcBorders>
              <w:top w:val="nil"/>
              <w:left w:val="nil"/>
              <w:bottom w:val="nil"/>
              <w:right w:val="nil"/>
            </w:tcBorders>
            <w:shd w:val="clear" w:color="auto" w:fill="auto"/>
            <w:noWrap/>
            <w:vAlign w:val="center"/>
            <w:hideMark/>
          </w:tcPr>
          <w:p w14:paraId="52558A6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TEVIMBRA</w:t>
            </w:r>
          </w:p>
        </w:tc>
        <w:tc>
          <w:tcPr>
            <w:tcW w:w="1230" w:type="dxa"/>
            <w:tcBorders>
              <w:top w:val="nil"/>
              <w:left w:val="nil"/>
              <w:bottom w:val="nil"/>
              <w:right w:val="nil"/>
            </w:tcBorders>
            <w:shd w:val="clear" w:color="auto" w:fill="auto"/>
            <w:noWrap/>
            <w:vAlign w:val="center"/>
            <w:hideMark/>
          </w:tcPr>
          <w:p w14:paraId="36AC98E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BeiGene &amp; Novartis</w:t>
            </w:r>
          </w:p>
        </w:tc>
        <w:tc>
          <w:tcPr>
            <w:tcW w:w="1968" w:type="dxa"/>
            <w:tcBorders>
              <w:top w:val="nil"/>
              <w:left w:val="nil"/>
              <w:bottom w:val="nil"/>
              <w:right w:val="nil"/>
            </w:tcBorders>
            <w:shd w:val="clear" w:color="auto" w:fill="auto"/>
            <w:noWrap/>
            <w:vAlign w:val="center"/>
            <w:hideMark/>
          </w:tcPr>
          <w:p w14:paraId="167362F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Humanized IgG4</w:t>
            </w:r>
          </w:p>
        </w:tc>
        <w:tc>
          <w:tcPr>
            <w:tcW w:w="3174" w:type="dxa"/>
            <w:tcBorders>
              <w:top w:val="nil"/>
              <w:left w:val="nil"/>
              <w:bottom w:val="nil"/>
              <w:right w:val="nil"/>
            </w:tcBorders>
            <w:shd w:val="clear" w:color="auto" w:fill="auto"/>
            <w:noWrap/>
            <w:vAlign w:val="center"/>
            <w:hideMark/>
          </w:tcPr>
          <w:p w14:paraId="63A941C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Esophageal squamous cell carcinoma</w:t>
            </w:r>
          </w:p>
        </w:tc>
        <w:tc>
          <w:tcPr>
            <w:tcW w:w="1177" w:type="dxa"/>
            <w:tcBorders>
              <w:top w:val="nil"/>
              <w:left w:val="nil"/>
              <w:bottom w:val="nil"/>
              <w:right w:val="nil"/>
            </w:tcBorders>
            <w:shd w:val="clear" w:color="auto" w:fill="auto"/>
            <w:noWrap/>
            <w:vAlign w:val="center"/>
            <w:hideMark/>
          </w:tcPr>
          <w:p w14:paraId="6F4E30A8" w14:textId="7899BC80"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Pending</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(US); 2023(EU)</w:t>
            </w:r>
          </w:p>
        </w:tc>
        <w:tc>
          <w:tcPr>
            <w:tcW w:w="2662" w:type="dxa"/>
            <w:tcBorders>
              <w:top w:val="nil"/>
              <w:left w:val="nil"/>
              <w:bottom w:val="nil"/>
              <w:right w:val="nil"/>
            </w:tcBorders>
            <w:shd w:val="clear" w:color="auto" w:fill="auto"/>
            <w:vAlign w:val="center"/>
            <w:hideMark/>
          </w:tcPr>
          <w:p w14:paraId="25AD9F6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RATIONALE-306: median OS: 17·2 months (Tislelizumab+chemo) vs 10·6 months (chemo alone)</w:t>
            </w:r>
          </w:p>
        </w:tc>
      </w:tr>
      <w:tr w:rsidR="00E1130C" w:rsidRPr="00E1130C" w14:paraId="43B9E4C2" w14:textId="77777777" w:rsidTr="008B22FD">
        <w:trPr>
          <w:trHeight w:val="408"/>
        </w:trPr>
        <w:tc>
          <w:tcPr>
            <w:tcW w:w="1399" w:type="dxa"/>
            <w:tcBorders>
              <w:top w:val="nil"/>
              <w:left w:val="nil"/>
              <w:bottom w:val="nil"/>
              <w:right w:val="nil"/>
            </w:tcBorders>
            <w:shd w:val="clear" w:color="auto" w:fill="auto"/>
            <w:noWrap/>
            <w:vAlign w:val="center"/>
            <w:hideMark/>
          </w:tcPr>
          <w:p w14:paraId="11F84BD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lastRenderedPageBreak/>
              <w:t>Toripalimab</w:t>
            </w:r>
          </w:p>
        </w:tc>
        <w:tc>
          <w:tcPr>
            <w:tcW w:w="1924" w:type="dxa"/>
            <w:tcBorders>
              <w:top w:val="nil"/>
              <w:left w:val="nil"/>
              <w:bottom w:val="nil"/>
              <w:right w:val="nil"/>
            </w:tcBorders>
            <w:shd w:val="clear" w:color="auto" w:fill="auto"/>
            <w:noWrap/>
            <w:vAlign w:val="center"/>
            <w:hideMark/>
          </w:tcPr>
          <w:p w14:paraId="7D8143A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LOQTORZI, Tuoyi</w:t>
            </w:r>
          </w:p>
        </w:tc>
        <w:tc>
          <w:tcPr>
            <w:tcW w:w="1230" w:type="dxa"/>
            <w:tcBorders>
              <w:top w:val="nil"/>
              <w:left w:val="nil"/>
              <w:bottom w:val="nil"/>
              <w:right w:val="nil"/>
            </w:tcBorders>
            <w:shd w:val="clear" w:color="auto" w:fill="auto"/>
            <w:noWrap/>
            <w:vAlign w:val="center"/>
            <w:hideMark/>
          </w:tcPr>
          <w:p w14:paraId="630D366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Coherus, Junshi</w:t>
            </w:r>
          </w:p>
        </w:tc>
        <w:tc>
          <w:tcPr>
            <w:tcW w:w="1968" w:type="dxa"/>
            <w:tcBorders>
              <w:top w:val="nil"/>
              <w:left w:val="nil"/>
              <w:bottom w:val="nil"/>
              <w:right w:val="nil"/>
            </w:tcBorders>
            <w:shd w:val="clear" w:color="auto" w:fill="auto"/>
            <w:noWrap/>
            <w:vAlign w:val="center"/>
            <w:hideMark/>
          </w:tcPr>
          <w:p w14:paraId="0CEC29D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Humanized IgG4</w:t>
            </w:r>
          </w:p>
        </w:tc>
        <w:tc>
          <w:tcPr>
            <w:tcW w:w="3174" w:type="dxa"/>
            <w:tcBorders>
              <w:top w:val="nil"/>
              <w:left w:val="nil"/>
              <w:bottom w:val="nil"/>
              <w:right w:val="nil"/>
            </w:tcBorders>
            <w:shd w:val="clear" w:color="auto" w:fill="auto"/>
            <w:noWrap/>
            <w:vAlign w:val="center"/>
            <w:hideMark/>
          </w:tcPr>
          <w:p w14:paraId="5B0DE79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Nasopharyneal carcinoma, esophageal squamous cell carcinoma</w:t>
            </w:r>
          </w:p>
        </w:tc>
        <w:tc>
          <w:tcPr>
            <w:tcW w:w="1177" w:type="dxa"/>
            <w:tcBorders>
              <w:top w:val="nil"/>
              <w:left w:val="nil"/>
              <w:bottom w:val="nil"/>
              <w:right w:val="nil"/>
            </w:tcBorders>
            <w:shd w:val="clear" w:color="auto" w:fill="auto"/>
            <w:noWrap/>
            <w:vAlign w:val="center"/>
            <w:hideMark/>
          </w:tcPr>
          <w:p w14:paraId="3F7A2E1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2023 (US); pending (EU)</w:t>
            </w:r>
          </w:p>
        </w:tc>
        <w:tc>
          <w:tcPr>
            <w:tcW w:w="2662" w:type="dxa"/>
            <w:tcBorders>
              <w:top w:val="nil"/>
              <w:left w:val="nil"/>
              <w:bottom w:val="nil"/>
              <w:right w:val="nil"/>
            </w:tcBorders>
            <w:shd w:val="clear" w:color="auto" w:fill="auto"/>
            <w:vAlign w:val="center"/>
            <w:hideMark/>
          </w:tcPr>
          <w:p w14:paraId="4D474F4C" w14:textId="581315EB"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NCT03581786: median PFS of 11.7 months (Toripalimab+chemo) versus 8.0 months (chemo alone); JUPITER-06: median PFS of 5.7(Toripalimab+chemo) vs 5.5</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months</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(chemo alone), 1-year PFS rates: 27.8% vs 6.1%</w:t>
            </w:r>
          </w:p>
        </w:tc>
      </w:tr>
      <w:tr w:rsidR="00E1130C" w:rsidRPr="00E1130C" w14:paraId="18874C91" w14:textId="77777777" w:rsidTr="008B22FD">
        <w:trPr>
          <w:trHeight w:val="204"/>
        </w:trPr>
        <w:tc>
          <w:tcPr>
            <w:tcW w:w="1399" w:type="dxa"/>
            <w:tcBorders>
              <w:top w:val="nil"/>
              <w:left w:val="nil"/>
              <w:bottom w:val="nil"/>
              <w:right w:val="nil"/>
            </w:tcBorders>
            <w:shd w:val="clear" w:color="auto" w:fill="auto"/>
            <w:noWrap/>
            <w:vAlign w:val="center"/>
            <w:hideMark/>
          </w:tcPr>
          <w:p w14:paraId="4D89D1A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Retifanlimab</w:t>
            </w:r>
          </w:p>
        </w:tc>
        <w:tc>
          <w:tcPr>
            <w:tcW w:w="1924" w:type="dxa"/>
            <w:tcBorders>
              <w:top w:val="nil"/>
              <w:left w:val="nil"/>
              <w:bottom w:val="nil"/>
              <w:right w:val="nil"/>
            </w:tcBorders>
            <w:shd w:val="clear" w:color="auto" w:fill="auto"/>
            <w:noWrap/>
            <w:vAlign w:val="center"/>
            <w:hideMark/>
          </w:tcPr>
          <w:p w14:paraId="3B3BB73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Zynyz</w:t>
            </w:r>
          </w:p>
        </w:tc>
        <w:tc>
          <w:tcPr>
            <w:tcW w:w="1230" w:type="dxa"/>
            <w:tcBorders>
              <w:top w:val="nil"/>
              <w:left w:val="nil"/>
              <w:bottom w:val="nil"/>
              <w:right w:val="nil"/>
            </w:tcBorders>
            <w:shd w:val="clear" w:color="auto" w:fill="auto"/>
            <w:noWrap/>
            <w:vAlign w:val="center"/>
            <w:hideMark/>
          </w:tcPr>
          <w:p w14:paraId="7CF0E63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Incyte</w:t>
            </w:r>
          </w:p>
        </w:tc>
        <w:tc>
          <w:tcPr>
            <w:tcW w:w="1968" w:type="dxa"/>
            <w:tcBorders>
              <w:top w:val="nil"/>
              <w:left w:val="nil"/>
              <w:bottom w:val="nil"/>
              <w:right w:val="nil"/>
            </w:tcBorders>
            <w:shd w:val="clear" w:color="auto" w:fill="auto"/>
            <w:noWrap/>
            <w:vAlign w:val="center"/>
            <w:hideMark/>
          </w:tcPr>
          <w:p w14:paraId="40BCA40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PD-1; Humanized IgG4</w:t>
            </w:r>
          </w:p>
        </w:tc>
        <w:tc>
          <w:tcPr>
            <w:tcW w:w="3174" w:type="dxa"/>
            <w:tcBorders>
              <w:top w:val="nil"/>
              <w:left w:val="nil"/>
              <w:bottom w:val="nil"/>
              <w:right w:val="nil"/>
            </w:tcBorders>
            <w:shd w:val="clear" w:color="auto" w:fill="auto"/>
            <w:noWrap/>
            <w:vAlign w:val="center"/>
            <w:hideMark/>
          </w:tcPr>
          <w:p w14:paraId="1FED3E2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Merkel cell carcinoma</w:t>
            </w:r>
          </w:p>
        </w:tc>
        <w:tc>
          <w:tcPr>
            <w:tcW w:w="1177" w:type="dxa"/>
            <w:tcBorders>
              <w:top w:val="nil"/>
              <w:left w:val="nil"/>
              <w:bottom w:val="nil"/>
              <w:right w:val="nil"/>
            </w:tcBorders>
            <w:shd w:val="clear" w:color="auto" w:fill="auto"/>
            <w:noWrap/>
            <w:vAlign w:val="center"/>
            <w:hideMark/>
          </w:tcPr>
          <w:p w14:paraId="6B75BB4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2023 (US); pending (EU)</w:t>
            </w:r>
          </w:p>
        </w:tc>
        <w:tc>
          <w:tcPr>
            <w:tcW w:w="2662" w:type="dxa"/>
            <w:tcBorders>
              <w:top w:val="nil"/>
              <w:left w:val="nil"/>
              <w:bottom w:val="nil"/>
              <w:right w:val="nil"/>
            </w:tcBorders>
            <w:shd w:val="clear" w:color="auto" w:fill="auto"/>
            <w:vAlign w:val="center"/>
            <w:hideMark/>
          </w:tcPr>
          <w:p w14:paraId="1E9D6DB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POD1UM-201: ORR: 46.2%, DCR: 53.8%</w:t>
            </w:r>
          </w:p>
        </w:tc>
      </w:tr>
      <w:tr w:rsidR="00E1130C" w:rsidRPr="00E1130C" w14:paraId="63AFAEBF" w14:textId="77777777" w:rsidTr="008B22FD">
        <w:trPr>
          <w:trHeight w:val="408"/>
        </w:trPr>
        <w:tc>
          <w:tcPr>
            <w:tcW w:w="1399" w:type="dxa"/>
            <w:tcBorders>
              <w:top w:val="nil"/>
              <w:left w:val="nil"/>
              <w:bottom w:val="nil"/>
              <w:right w:val="nil"/>
            </w:tcBorders>
            <w:shd w:val="clear" w:color="auto" w:fill="auto"/>
            <w:noWrap/>
            <w:vAlign w:val="center"/>
            <w:hideMark/>
          </w:tcPr>
          <w:p w14:paraId="199121E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Atezolizumab</w:t>
            </w:r>
          </w:p>
        </w:tc>
        <w:tc>
          <w:tcPr>
            <w:tcW w:w="1924" w:type="dxa"/>
            <w:tcBorders>
              <w:top w:val="nil"/>
              <w:left w:val="nil"/>
              <w:bottom w:val="nil"/>
              <w:right w:val="nil"/>
            </w:tcBorders>
            <w:shd w:val="clear" w:color="auto" w:fill="auto"/>
            <w:noWrap/>
            <w:vAlign w:val="center"/>
            <w:hideMark/>
          </w:tcPr>
          <w:p w14:paraId="6FCE82D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Tecentriq</w:t>
            </w:r>
          </w:p>
        </w:tc>
        <w:tc>
          <w:tcPr>
            <w:tcW w:w="1230" w:type="dxa"/>
            <w:tcBorders>
              <w:top w:val="nil"/>
              <w:left w:val="nil"/>
              <w:bottom w:val="nil"/>
              <w:right w:val="nil"/>
            </w:tcBorders>
            <w:shd w:val="clear" w:color="auto" w:fill="auto"/>
            <w:noWrap/>
            <w:vAlign w:val="center"/>
            <w:hideMark/>
          </w:tcPr>
          <w:p w14:paraId="607E6FD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6D9536C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PD-L1; Humanized IgG1</w:t>
            </w:r>
          </w:p>
        </w:tc>
        <w:tc>
          <w:tcPr>
            <w:tcW w:w="3174" w:type="dxa"/>
            <w:tcBorders>
              <w:top w:val="nil"/>
              <w:left w:val="nil"/>
              <w:bottom w:val="nil"/>
              <w:right w:val="nil"/>
            </w:tcBorders>
            <w:shd w:val="clear" w:color="auto" w:fill="auto"/>
            <w:noWrap/>
            <w:vAlign w:val="center"/>
            <w:hideMark/>
          </w:tcPr>
          <w:p w14:paraId="1063B94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Bladder cancer, non-small cell lung cancer, triple-neg. breast cancer</w:t>
            </w:r>
          </w:p>
        </w:tc>
        <w:tc>
          <w:tcPr>
            <w:tcW w:w="1177" w:type="dxa"/>
            <w:tcBorders>
              <w:top w:val="nil"/>
              <w:left w:val="nil"/>
              <w:bottom w:val="nil"/>
              <w:right w:val="nil"/>
            </w:tcBorders>
            <w:shd w:val="clear" w:color="auto" w:fill="auto"/>
            <w:noWrap/>
            <w:vAlign w:val="center"/>
            <w:hideMark/>
          </w:tcPr>
          <w:p w14:paraId="5CC6AC6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2017 (US); 2016 (EU)</w:t>
            </w:r>
          </w:p>
        </w:tc>
        <w:tc>
          <w:tcPr>
            <w:tcW w:w="2662" w:type="dxa"/>
            <w:tcBorders>
              <w:top w:val="nil"/>
              <w:left w:val="nil"/>
              <w:bottom w:val="nil"/>
              <w:right w:val="nil"/>
            </w:tcBorders>
            <w:shd w:val="clear" w:color="auto" w:fill="auto"/>
            <w:vAlign w:val="center"/>
            <w:hideMark/>
          </w:tcPr>
          <w:p w14:paraId="4CD0072A" w14:textId="6F3CB97A"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POPLAR: median OS = 12.6 mo (Atezolizumab) versus 9.7 mo (chemo), 4-year OS rates: 14.8% vs 8.1%; OAK: median OS = 13.3 (Atezolizumab) versus 9.8 mo (chemo), 4-year OS rates:15.5% vs 8.7%</w:t>
            </w:r>
          </w:p>
        </w:tc>
      </w:tr>
      <w:tr w:rsidR="00E1130C" w:rsidRPr="00E1130C" w14:paraId="72882285" w14:textId="77777777" w:rsidTr="008B22FD">
        <w:trPr>
          <w:trHeight w:val="204"/>
        </w:trPr>
        <w:tc>
          <w:tcPr>
            <w:tcW w:w="1399" w:type="dxa"/>
            <w:tcBorders>
              <w:top w:val="nil"/>
              <w:left w:val="nil"/>
              <w:bottom w:val="nil"/>
              <w:right w:val="nil"/>
            </w:tcBorders>
            <w:shd w:val="clear" w:color="auto" w:fill="auto"/>
            <w:noWrap/>
            <w:vAlign w:val="center"/>
            <w:hideMark/>
          </w:tcPr>
          <w:p w14:paraId="65CFC31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Avelumab</w:t>
            </w:r>
          </w:p>
        </w:tc>
        <w:tc>
          <w:tcPr>
            <w:tcW w:w="1924" w:type="dxa"/>
            <w:tcBorders>
              <w:top w:val="nil"/>
              <w:left w:val="nil"/>
              <w:bottom w:val="nil"/>
              <w:right w:val="nil"/>
            </w:tcBorders>
            <w:shd w:val="clear" w:color="auto" w:fill="auto"/>
            <w:noWrap/>
            <w:vAlign w:val="center"/>
            <w:hideMark/>
          </w:tcPr>
          <w:p w14:paraId="6E7BD37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Bavencio</w:t>
            </w:r>
          </w:p>
        </w:tc>
        <w:tc>
          <w:tcPr>
            <w:tcW w:w="1230" w:type="dxa"/>
            <w:tcBorders>
              <w:top w:val="nil"/>
              <w:left w:val="nil"/>
              <w:bottom w:val="nil"/>
              <w:right w:val="nil"/>
            </w:tcBorders>
            <w:shd w:val="clear" w:color="auto" w:fill="auto"/>
            <w:noWrap/>
            <w:vAlign w:val="center"/>
            <w:hideMark/>
          </w:tcPr>
          <w:p w14:paraId="1F6C907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EMD Serono, Pfizer</w:t>
            </w:r>
          </w:p>
        </w:tc>
        <w:tc>
          <w:tcPr>
            <w:tcW w:w="1968" w:type="dxa"/>
            <w:tcBorders>
              <w:top w:val="nil"/>
              <w:left w:val="nil"/>
              <w:bottom w:val="nil"/>
              <w:right w:val="nil"/>
            </w:tcBorders>
            <w:shd w:val="clear" w:color="auto" w:fill="auto"/>
            <w:noWrap/>
            <w:vAlign w:val="center"/>
            <w:hideMark/>
          </w:tcPr>
          <w:p w14:paraId="22EDFD9E"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PD-L1; Human IgG1</w:t>
            </w:r>
          </w:p>
        </w:tc>
        <w:tc>
          <w:tcPr>
            <w:tcW w:w="3174" w:type="dxa"/>
            <w:tcBorders>
              <w:top w:val="nil"/>
              <w:left w:val="nil"/>
              <w:bottom w:val="nil"/>
              <w:right w:val="nil"/>
            </w:tcBorders>
            <w:shd w:val="clear" w:color="auto" w:fill="auto"/>
            <w:noWrap/>
            <w:vAlign w:val="center"/>
            <w:hideMark/>
          </w:tcPr>
          <w:p w14:paraId="1F27639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Merkel-cell carcinoma, urothelial carcinoma, renal cell carcinoma</w:t>
            </w:r>
          </w:p>
        </w:tc>
        <w:tc>
          <w:tcPr>
            <w:tcW w:w="1177" w:type="dxa"/>
            <w:tcBorders>
              <w:top w:val="nil"/>
              <w:left w:val="nil"/>
              <w:bottom w:val="nil"/>
              <w:right w:val="nil"/>
            </w:tcBorders>
            <w:shd w:val="clear" w:color="auto" w:fill="auto"/>
            <w:noWrap/>
            <w:vAlign w:val="center"/>
            <w:hideMark/>
          </w:tcPr>
          <w:p w14:paraId="4523DBB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2017 (US); 2017 (EU)</w:t>
            </w:r>
          </w:p>
        </w:tc>
        <w:tc>
          <w:tcPr>
            <w:tcW w:w="2662" w:type="dxa"/>
            <w:tcBorders>
              <w:top w:val="nil"/>
              <w:left w:val="nil"/>
              <w:bottom w:val="nil"/>
              <w:right w:val="nil"/>
            </w:tcBorders>
            <w:shd w:val="clear" w:color="auto" w:fill="auto"/>
            <w:vAlign w:val="center"/>
            <w:hideMark/>
          </w:tcPr>
          <w:p w14:paraId="0BAFCE40" w14:textId="07A466C0"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JAVELIN Bladder 100 (NCT02603432): median OS: 21.4months </w:t>
            </w:r>
          </w:p>
        </w:tc>
      </w:tr>
      <w:tr w:rsidR="00E1130C" w:rsidRPr="00E1130C" w14:paraId="45CC382B" w14:textId="77777777" w:rsidTr="008B22FD">
        <w:trPr>
          <w:trHeight w:val="408"/>
        </w:trPr>
        <w:tc>
          <w:tcPr>
            <w:tcW w:w="1399" w:type="dxa"/>
            <w:tcBorders>
              <w:top w:val="nil"/>
              <w:left w:val="nil"/>
              <w:bottom w:val="nil"/>
              <w:right w:val="nil"/>
            </w:tcBorders>
            <w:shd w:val="clear" w:color="auto" w:fill="auto"/>
            <w:noWrap/>
            <w:vAlign w:val="center"/>
            <w:hideMark/>
          </w:tcPr>
          <w:p w14:paraId="6BA14E2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Durvalumab</w:t>
            </w:r>
          </w:p>
        </w:tc>
        <w:tc>
          <w:tcPr>
            <w:tcW w:w="1924" w:type="dxa"/>
            <w:tcBorders>
              <w:top w:val="nil"/>
              <w:left w:val="nil"/>
              <w:bottom w:val="nil"/>
              <w:right w:val="nil"/>
            </w:tcBorders>
            <w:shd w:val="clear" w:color="auto" w:fill="auto"/>
            <w:noWrap/>
            <w:vAlign w:val="center"/>
            <w:hideMark/>
          </w:tcPr>
          <w:p w14:paraId="263F7E7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Imfinzi</w:t>
            </w:r>
          </w:p>
        </w:tc>
        <w:tc>
          <w:tcPr>
            <w:tcW w:w="1230" w:type="dxa"/>
            <w:tcBorders>
              <w:top w:val="nil"/>
              <w:left w:val="nil"/>
              <w:bottom w:val="nil"/>
              <w:right w:val="nil"/>
            </w:tcBorders>
            <w:shd w:val="clear" w:color="auto" w:fill="auto"/>
            <w:noWrap/>
            <w:vAlign w:val="center"/>
            <w:hideMark/>
          </w:tcPr>
          <w:p w14:paraId="6CE273E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MedImmune</w:t>
            </w:r>
          </w:p>
        </w:tc>
        <w:tc>
          <w:tcPr>
            <w:tcW w:w="1968" w:type="dxa"/>
            <w:tcBorders>
              <w:top w:val="nil"/>
              <w:left w:val="nil"/>
              <w:bottom w:val="nil"/>
              <w:right w:val="nil"/>
            </w:tcBorders>
            <w:shd w:val="clear" w:color="auto" w:fill="auto"/>
            <w:noWrap/>
            <w:vAlign w:val="center"/>
            <w:hideMark/>
          </w:tcPr>
          <w:p w14:paraId="4685C10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PD-L1; Human IgG1</w:t>
            </w:r>
          </w:p>
        </w:tc>
        <w:tc>
          <w:tcPr>
            <w:tcW w:w="3174" w:type="dxa"/>
            <w:tcBorders>
              <w:top w:val="nil"/>
              <w:left w:val="nil"/>
              <w:bottom w:val="nil"/>
              <w:right w:val="nil"/>
            </w:tcBorders>
            <w:shd w:val="clear" w:color="auto" w:fill="auto"/>
            <w:noWrap/>
            <w:vAlign w:val="center"/>
            <w:hideMark/>
          </w:tcPr>
          <w:p w14:paraId="144C296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non-small cell lung cancer and SCLC</w:t>
            </w:r>
          </w:p>
        </w:tc>
        <w:tc>
          <w:tcPr>
            <w:tcW w:w="1177" w:type="dxa"/>
            <w:tcBorders>
              <w:top w:val="nil"/>
              <w:left w:val="nil"/>
              <w:bottom w:val="nil"/>
              <w:right w:val="nil"/>
            </w:tcBorders>
            <w:shd w:val="clear" w:color="auto" w:fill="auto"/>
            <w:noWrap/>
            <w:vAlign w:val="center"/>
            <w:hideMark/>
          </w:tcPr>
          <w:p w14:paraId="48DD1CC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2017 (US); 2018 (EU)</w:t>
            </w:r>
          </w:p>
        </w:tc>
        <w:tc>
          <w:tcPr>
            <w:tcW w:w="2662" w:type="dxa"/>
            <w:tcBorders>
              <w:top w:val="nil"/>
              <w:left w:val="nil"/>
              <w:bottom w:val="nil"/>
              <w:right w:val="nil"/>
            </w:tcBorders>
            <w:shd w:val="clear" w:color="auto" w:fill="auto"/>
            <w:vAlign w:val="center"/>
            <w:hideMark/>
          </w:tcPr>
          <w:p w14:paraId="65A6A9C8" w14:textId="490676BE"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PACIFIC NCT02125461: median OS: 47.5 (durvalumab) v 29.1 months (plancebo), median PFS: 16.9 v 5.6 months, estimated 5-year OS rates:42.9% vs 33.4%, 5-year PFS rates: 33.1% versus 19.0% </w:t>
            </w:r>
          </w:p>
        </w:tc>
      </w:tr>
      <w:tr w:rsidR="00E1130C" w:rsidRPr="00E1130C" w14:paraId="29BDA738" w14:textId="77777777" w:rsidTr="008B22FD">
        <w:trPr>
          <w:trHeight w:val="204"/>
        </w:trPr>
        <w:tc>
          <w:tcPr>
            <w:tcW w:w="1399" w:type="dxa"/>
            <w:tcBorders>
              <w:top w:val="nil"/>
              <w:left w:val="nil"/>
              <w:bottom w:val="nil"/>
              <w:right w:val="nil"/>
            </w:tcBorders>
            <w:shd w:val="clear" w:color="auto" w:fill="auto"/>
            <w:noWrap/>
            <w:vAlign w:val="center"/>
            <w:hideMark/>
          </w:tcPr>
          <w:p w14:paraId="4693B3A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Dinutuximab</w:t>
            </w:r>
          </w:p>
        </w:tc>
        <w:tc>
          <w:tcPr>
            <w:tcW w:w="1924" w:type="dxa"/>
            <w:tcBorders>
              <w:top w:val="nil"/>
              <w:left w:val="nil"/>
              <w:bottom w:val="nil"/>
              <w:right w:val="nil"/>
            </w:tcBorders>
            <w:shd w:val="clear" w:color="auto" w:fill="auto"/>
            <w:noWrap/>
            <w:vAlign w:val="center"/>
            <w:hideMark/>
          </w:tcPr>
          <w:p w14:paraId="2B5F9B9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Qarziba/Unituxin</w:t>
            </w:r>
          </w:p>
        </w:tc>
        <w:tc>
          <w:tcPr>
            <w:tcW w:w="1230" w:type="dxa"/>
            <w:tcBorders>
              <w:top w:val="nil"/>
              <w:left w:val="nil"/>
              <w:bottom w:val="nil"/>
              <w:right w:val="nil"/>
            </w:tcBorders>
            <w:shd w:val="clear" w:color="auto" w:fill="auto"/>
            <w:noWrap/>
            <w:vAlign w:val="center"/>
            <w:hideMark/>
          </w:tcPr>
          <w:p w14:paraId="0DE15AE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United Therapeutics</w:t>
            </w:r>
          </w:p>
        </w:tc>
        <w:tc>
          <w:tcPr>
            <w:tcW w:w="1968" w:type="dxa"/>
            <w:tcBorders>
              <w:top w:val="nil"/>
              <w:left w:val="nil"/>
              <w:bottom w:val="nil"/>
              <w:right w:val="nil"/>
            </w:tcBorders>
            <w:shd w:val="clear" w:color="auto" w:fill="auto"/>
            <w:noWrap/>
            <w:vAlign w:val="center"/>
            <w:hideMark/>
          </w:tcPr>
          <w:p w14:paraId="196948B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GD2; Chimeric IgG1</w:t>
            </w:r>
          </w:p>
        </w:tc>
        <w:tc>
          <w:tcPr>
            <w:tcW w:w="3174" w:type="dxa"/>
            <w:tcBorders>
              <w:top w:val="nil"/>
              <w:left w:val="nil"/>
              <w:bottom w:val="nil"/>
              <w:right w:val="nil"/>
            </w:tcBorders>
            <w:shd w:val="clear" w:color="auto" w:fill="auto"/>
            <w:noWrap/>
            <w:vAlign w:val="center"/>
            <w:hideMark/>
          </w:tcPr>
          <w:p w14:paraId="7716F3B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Neuroblastoma</w:t>
            </w:r>
          </w:p>
        </w:tc>
        <w:tc>
          <w:tcPr>
            <w:tcW w:w="1177" w:type="dxa"/>
            <w:tcBorders>
              <w:top w:val="nil"/>
              <w:left w:val="nil"/>
              <w:bottom w:val="nil"/>
              <w:right w:val="nil"/>
            </w:tcBorders>
            <w:shd w:val="clear" w:color="auto" w:fill="auto"/>
            <w:noWrap/>
            <w:vAlign w:val="center"/>
            <w:hideMark/>
          </w:tcPr>
          <w:p w14:paraId="4691650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2015 (US); 2017 (EU)</w:t>
            </w:r>
          </w:p>
        </w:tc>
        <w:tc>
          <w:tcPr>
            <w:tcW w:w="2662" w:type="dxa"/>
            <w:tcBorders>
              <w:top w:val="nil"/>
              <w:left w:val="nil"/>
              <w:bottom w:val="nil"/>
              <w:right w:val="nil"/>
            </w:tcBorders>
            <w:shd w:val="clear" w:color="auto" w:fill="auto"/>
            <w:vAlign w:val="center"/>
            <w:hideMark/>
          </w:tcPr>
          <w:p w14:paraId="52DE0048" w14:textId="18062A32"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NCT0274342: ORR was 26% and best response rate 37%, 3-year PFS rate and OS rate were 31% and 66% </w:t>
            </w:r>
          </w:p>
        </w:tc>
      </w:tr>
      <w:tr w:rsidR="00E1130C" w:rsidRPr="00E1130C" w14:paraId="36DCD0AD" w14:textId="77777777" w:rsidTr="008B22FD">
        <w:trPr>
          <w:trHeight w:val="204"/>
        </w:trPr>
        <w:tc>
          <w:tcPr>
            <w:tcW w:w="1399" w:type="dxa"/>
            <w:tcBorders>
              <w:top w:val="nil"/>
              <w:left w:val="nil"/>
              <w:bottom w:val="nil"/>
              <w:right w:val="nil"/>
            </w:tcBorders>
            <w:shd w:val="clear" w:color="auto" w:fill="auto"/>
            <w:noWrap/>
            <w:vAlign w:val="center"/>
            <w:hideMark/>
          </w:tcPr>
          <w:p w14:paraId="6BC4D9B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Naxitamab</w:t>
            </w:r>
          </w:p>
        </w:tc>
        <w:tc>
          <w:tcPr>
            <w:tcW w:w="1924" w:type="dxa"/>
            <w:tcBorders>
              <w:top w:val="nil"/>
              <w:left w:val="nil"/>
              <w:bottom w:val="nil"/>
              <w:right w:val="nil"/>
            </w:tcBorders>
            <w:shd w:val="clear" w:color="auto" w:fill="auto"/>
            <w:noWrap/>
            <w:vAlign w:val="center"/>
            <w:hideMark/>
          </w:tcPr>
          <w:p w14:paraId="79E25C6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Danyelza</w:t>
            </w:r>
          </w:p>
        </w:tc>
        <w:tc>
          <w:tcPr>
            <w:tcW w:w="1230" w:type="dxa"/>
            <w:tcBorders>
              <w:top w:val="nil"/>
              <w:left w:val="nil"/>
              <w:bottom w:val="nil"/>
              <w:right w:val="nil"/>
            </w:tcBorders>
            <w:shd w:val="clear" w:color="auto" w:fill="auto"/>
            <w:noWrap/>
            <w:vAlign w:val="center"/>
            <w:hideMark/>
          </w:tcPr>
          <w:p w14:paraId="7BFF204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Y-mAbs</w:t>
            </w:r>
          </w:p>
        </w:tc>
        <w:tc>
          <w:tcPr>
            <w:tcW w:w="1968" w:type="dxa"/>
            <w:tcBorders>
              <w:top w:val="nil"/>
              <w:left w:val="nil"/>
              <w:bottom w:val="nil"/>
              <w:right w:val="nil"/>
            </w:tcBorders>
            <w:shd w:val="clear" w:color="auto" w:fill="auto"/>
            <w:noWrap/>
            <w:vAlign w:val="center"/>
            <w:hideMark/>
          </w:tcPr>
          <w:p w14:paraId="0586F7D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GD2; Humanized IgG1</w:t>
            </w:r>
          </w:p>
        </w:tc>
        <w:tc>
          <w:tcPr>
            <w:tcW w:w="3174" w:type="dxa"/>
            <w:tcBorders>
              <w:top w:val="nil"/>
              <w:left w:val="nil"/>
              <w:bottom w:val="nil"/>
              <w:right w:val="nil"/>
            </w:tcBorders>
            <w:shd w:val="clear" w:color="auto" w:fill="auto"/>
            <w:noWrap/>
            <w:vAlign w:val="center"/>
            <w:hideMark/>
          </w:tcPr>
          <w:p w14:paraId="25DE290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High-risk neuroblastoma</w:t>
            </w:r>
          </w:p>
        </w:tc>
        <w:tc>
          <w:tcPr>
            <w:tcW w:w="1177" w:type="dxa"/>
            <w:tcBorders>
              <w:top w:val="nil"/>
              <w:left w:val="nil"/>
              <w:bottom w:val="nil"/>
              <w:right w:val="nil"/>
            </w:tcBorders>
            <w:shd w:val="clear" w:color="auto" w:fill="auto"/>
            <w:noWrap/>
            <w:vAlign w:val="center"/>
            <w:hideMark/>
          </w:tcPr>
          <w:p w14:paraId="56D7CC8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2020 (US); NA (EU)</w:t>
            </w:r>
          </w:p>
        </w:tc>
        <w:tc>
          <w:tcPr>
            <w:tcW w:w="2662" w:type="dxa"/>
            <w:tcBorders>
              <w:top w:val="nil"/>
              <w:left w:val="nil"/>
              <w:bottom w:val="nil"/>
              <w:right w:val="nil"/>
            </w:tcBorders>
            <w:shd w:val="clear" w:color="auto" w:fill="auto"/>
            <w:vAlign w:val="center"/>
            <w:hideMark/>
          </w:tcPr>
          <w:p w14:paraId="2FCF181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NCT03363373: ORR of 68%</w:t>
            </w:r>
          </w:p>
        </w:tc>
      </w:tr>
      <w:tr w:rsidR="00E1130C" w:rsidRPr="00E1130C" w14:paraId="52441D83" w14:textId="77777777" w:rsidTr="008B22FD">
        <w:trPr>
          <w:trHeight w:val="204"/>
        </w:trPr>
        <w:tc>
          <w:tcPr>
            <w:tcW w:w="1399" w:type="dxa"/>
            <w:tcBorders>
              <w:top w:val="nil"/>
              <w:left w:val="nil"/>
              <w:bottom w:val="nil"/>
              <w:right w:val="nil"/>
            </w:tcBorders>
            <w:shd w:val="clear" w:color="auto" w:fill="auto"/>
            <w:noWrap/>
            <w:vAlign w:val="center"/>
            <w:hideMark/>
          </w:tcPr>
          <w:p w14:paraId="503E42E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Elotuzumab</w:t>
            </w:r>
          </w:p>
        </w:tc>
        <w:tc>
          <w:tcPr>
            <w:tcW w:w="1924" w:type="dxa"/>
            <w:tcBorders>
              <w:top w:val="nil"/>
              <w:left w:val="nil"/>
              <w:bottom w:val="nil"/>
              <w:right w:val="nil"/>
            </w:tcBorders>
            <w:shd w:val="clear" w:color="auto" w:fill="auto"/>
            <w:noWrap/>
            <w:vAlign w:val="center"/>
            <w:hideMark/>
          </w:tcPr>
          <w:p w14:paraId="7F9991B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Empliciti</w:t>
            </w:r>
          </w:p>
        </w:tc>
        <w:tc>
          <w:tcPr>
            <w:tcW w:w="1230" w:type="dxa"/>
            <w:tcBorders>
              <w:top w:val="nil"/>
              <w:left w:val="nil"/>
              <w:bottom w:val="nil"/>
              <w:right w:val="nil"/>
            </w:tcBorders>
            <w:shd w:val="clear" w:color="auto" w:fill="auto"/>
            <w:noWrap/>
            <w:vAlign w:val="center"/>
            <w:hideMark/>
          </w:tcPr>
          <w:p w14:paraId="417959E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Abbvie, BMS</w:t>
            </w:r>
          </w:p>
        </w:tc>
        <w:tc>
          <w:tcPr>
            <w:tcW w:w="1968" w:type="dxa"/>
            <w:tcBorders>
              <w:top w:val="nil"/>
              <w:left w:val="nil"/>
              <w:bottom w:val="nil"/>
              <w:right w:val="nil"/>
            </w:tcBorders>
            <w:shd w:val="clear" w:color="auto" w:fill="auto"/>
            <w:noWrap/>
            <w:vAlign w:val="center"/>
            <w:hideMark/>
          </w:tcPr>
          <w:p w14:paraId="677BB79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SLAMF7; Humanized IgG1</w:t>
            </w:r>
          </w:p>
        </w:tc>
        <w:tc>
          <w:tcPr>
            <w:tcW w:w="3174" w:type="dxa"/>
            <w:tcBorders>
              <w:top w:val="nil"/>
              <w:left w:val="nil"/>
              <w:bottom w:val="nil"/>
              <w:right w:val="nil"/>
            </w:tcBorders>
            <w:shd w:val="clear" w:color="auto" w:fill="auto"/>
            <w:noWrap/>
            <w:vAlign w:val="center"/>
            <w:hideMark/>
          </w:tcPr>
          <w:p w14:paraId="103EAAD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w:t>
            </w:r>
          </w:p>
        </w:tc>
        <w:tc>
          <w:tcPr>
            <w:tcW w:w="1177" w:type="dxa"/>
            <w:tcBorders>
              <w:top w:val="nil"/>
              <w:left w:val="nil"/>
              <w:bottom w:val="nil"/>
              <w:right w:val="nil"/>
            </w:tcBorders>
            <w:shd w:val="clear" w:color="auto" w:fill="auto"/>
            <w:noWrap/>
            <w:vAlign w:val="center"/>
            <w:hideMark/>
          </w:tcPr>
          <w:p w14:paraId="4F2CE08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2015(US); 2016(EU)</w:t>
            </w:r>
          </w:p>
        </w:tc>
        <w:tc>
          <w:tcPr>
            <w:tcW w:w="2662" w:type="dxa"/>
            <w:tcBorders>
              <w:top w:val="nil"/>
              <w:left w:val="nil"/>
              <w:bottom w:val="nil"/>
              <w:right w:val="nil"/>
            </w:tcBorders>
            <w:shd w:val="clear" w:color="auto" w:fill="auto"/>
            <w:vAlign w:val="center"/>
            <w:hideMark/>
          </w:tcPr>
          <w:p w14:paraId="07AEA6D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 ELOQUENT-2 (NCT01239797): median OS= 48.3 (elotuzumab plus lenalidomide/dexamethasone (ERd)) vs 39.6 months (lenalidomide/dexamethasone (Rd))</w:t>
            </w:r>
          </w:p>
        </w:tc>
      </w:tr>
      <w:tr w:rsidR="00E1130C" w:rsidRPr="00E1130C" w14:paraId="72975820" w14:textId="77777777" w:rsidTr="008B22FD">
        <w:trPr>
          <w:trHeight w:val="204"/>
        </w:trPr>
        <w:tc>
          <w:tcPr>
            <w:tcW w:w="1399" w:type="dxa"/>
            <w:tcBorders>
              <w:top w:val="nil"/>
              <w:left w:val="nil"/>
              <w:bottom w:val="nil"/>
              <w:right w:val="nil"/>
            </w:tcBorders>
            <w:shd w:val="clear" w:color="auto" w:fill="auto"/>
            <w:noWrap/>
            <w:vAlign w:val="center"/>
            <w:hideMark/>
          </w:tcPr>
          <w:p w14:paraId="1A2D116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Catumaxomab</w:t>
            </w:r>
          </w:p>
        </w:tc>
        <w:tc>
          <w:tcPr>
            <w:tcW w:w="1924" w:type="dxa"/>
            <w:tcBorders>
              <w:top w:val="nil"/>
              <w:left w:val="nil"/>
              <w:bottom w:val="nil"/>
              <w:right w:val="nil"/>
            </w:tcBorders>
            <w:shd w:val="clear" w:color="auto" w:fill="auto"/>
            <w:noWrap/>
            <w:vAlign w:val="center"/>
            <w:hideMark/>
          </w:tcPr>
          <w:p w14:paraId="4E010B4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Removab</w:t>
            </w:r>
          </w:p>
        </w:tc>
        <w:tc>
          <w:tcPr>
            <w:tcW w:w="1230" w:type="dxa"/>
            <w:tcBorders>
              <w:top w:val="nil"/>
              <w:left w:val="nil"/>
              <w:bottom w:val="nil"/>
              <w:right w:val="nil"/>
            </w:tcBorders>
            <w:shd w:val="clear" w:color="auto" w:fill="auto"/>
            <w:noWrap/>
            <w:vAlign w:val="center"/>
            <w:hideMark/>
          </w:tcPr>
          <w:p w14:paraId="1919CC5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Fresenius, Trion Pharma</w:t>
            </w:r>
          </w:p>
        </w:tc>
        <w:tc>
          <w:tcPr>
            <w:tcW w:w="1968" w:type="dxa"/>
            <w:tcBorders>
              <w:top w:val="nil"/>
              <w:left w:val="nil"/>
              <w:bottom w:val="nil"/>
              <w:right w:val="nil"/>
            </w:tcBorders>
            <w:shd w:val="clear" w:color="auto" w:fill="auto"/>
            <w:noWrap/>
            <w:vAlign w:val="center"/>
            <w:hideMark/>
          </w:tcPr>
          <w:p w14:paraId="0DC074D5" w14:textId="2117F5DF"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EPCAM/CD3;</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Rat/mouse bispecific mAb</w:t>
            </w:r>
          </w:p>
        </w:tc>
        <w:tc>
          <w:tcPr>
            <w:tcW w:w="3174" w:type="dxa"/>
            <w:tcBorders>
              <w:top w:val="nil"/>
              <w:left w:val="nil"/>
              <w:bottom w:val="nil"/>
              <w:right w:val="nil"/>
            </w:tcBorders>
            <w:shd w:val="clear" w:color="auto" w:fill="auto"/>
            <w:noWrap/>
            <w:vAlign w:val="center"/>
            <w:hideMark/>
          </w:tcPr>
          <w:p w14:paraId="2B4EB95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Malignant ascites</w:t>
            </w:r>
          </w:p>
        </w:tc>
        <w:tc>
          <w:tcPr>
            <w:tcW w:w="1177" w:type="dxa"/>
            <w:tcBorders>
              <w:top w:val="nil"/>
              <w:left w:val="nil"/>
              <w:bottom w:val="nil"/>
              <w:right w:val="nil"/>
            </w:tcBorders>
            <w:shd w:val="clear" w:color="auto" w:fill="auto"/>
            <w:noWrap/>
            <w:vAlign w:val="center"/>
            <w:hideMark/>
          </w:tcPr>
          <w:p w14:paraId="06290DA9" w14:textId="3F8D8B78"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NA (US); 2009 review</w:t>
            </w:r>
            <w:r w:rsidR="00E47DBB">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(EU)</w:t>
            </w:r>
          </w:p>
        </w:tc>
        <w:tc>
          <w:tcPr>
            <w:tcW w:w="2662" w:type="dxa"/>
            <w:tcBorders>
              <w:top w:val="nil"/>
              <w:left w:val="nil"/>
              <w:bottom w:val="nil"/>
              <w:right w:val="nil"/>
            </w:tcBorders>
            <w:shd w:val="clear" w:color="auto" w:fill="auto"/>
            <w:vAlign w:val="center"/>
            <w:hideMark/>
          </w:tcPr>
          <w:p w14:paraId="6FFDB1B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Discontinued</w:t>
            </w:r>
          </w:p>
        </w:tc>
      </w:tr>
      <w:tr w:rsidR="00E1130C" w:rsidRPr="00E1130C" w14:paraId="7D31B791" w14:textId="77777777" w:rsidTr="008B22FD">
        <w:trPr>
          <w:trHeight w:val="204"/>
        </w:trPr>
        <w:tc>
          <w:tcPr>
            <w:tcW w:w="1399" w:type="dxa"/>
            <w:tcBorders>
              <w:top w:val="nil"/>
              <w:left w:val="nil"/>
              <w:bottom w:val="nil"/>
              <w:right w:val="nil"/>
            </w:tcBorders>
            <w:shd w:val="clear" w:color="auto" w:fill="auto"/>
            <w:noWrap/>
            <w:vAlign w:val="center"/>
            <w:hideMark/>
          </w:tcPr>
          <w:p w14:paraId="331CA8B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Tafasitamab</w:t>
            </w:r>
          </w:p>
        </w:tc>
        <w:tc>
          <w:tcPr>
            <w:tcW w:w="1924" w:type="dxa"/>
            <w:tcBorders>
              <w:top w:val="nil"/>
              <w:left w:val="nil"/>
              <w:bottom w:val="nil"/>
              <w:right w:val="nil"/>
            </w:tcBorders>
            <w:shd w:val="clear" w:color="auto" w:fill="auto"/>
            <w:noWrap/>
            <w:vAlign w:val="center"/>
            <w:hideMark/>
          </w:tcPr>
          <w:p w14:paraId="6D80DC9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Monjuvi, Minjuvi</w:t>
            </w:r>
          </w:p>
        </w:tc>
        <w:tc>
          <w:tcPr>
            <w:tcW w:w="1230" w:type="dxa"/>
            <w:tcBorders>
              <w:top w:val="nil"/>
              <w:left w:val="nil"/>
              <w:bottom w:val="nil"/>
              <w:right w:val="nil"/>
            </w:tcBorders>
            <w:shd w:val="clear" w:color="auto" w:fill="auto"/>
            <w:noWrap/>
            <w:vAlign w:val="center"/>
            <w:hideMark/>
          </w:tcPr>
          <w:p w14:paraId="039AF5C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MorphoSys, Incyte</w:t>
            </w:r>
          </w:p>
        </w:tc>
        <w:tc>
          <w:tcPr>
            <w:tcW w:w="1968" w:type="dxa"/>
            <w:tcBorders>
              <w:top w:val="nil"/>
              <w:left w:val="nil"/>
              <w:bottom w:val="nil"/>
              <w:right w:val="nil"/>
            </w:tcBorders>
            <w:shd w:val="clear" w:color="auto" w:fill="auto"/>
            <w:noWrap/>
            <w:vAlign w:val="center"/>
            <w:hideMark/>
          </w:tcPr>
          <w:p w14:paraId="6AD3AF3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CD19; Humanized IgG1</w:t>
            </w:r>
          </w:p>
        </w:tc>
        <w:tc>
          <w:tcPr>
            <w:tcW w:w="3174" w:type="dxa"/>
            <w:tcBorders>
              <w:top w:val="nil"/>
              <w:left w:val="nil"/>
              <w:bottom w:val="nil"/>
              <w:right w:val="nil"/>
            </w:tcBorders>
            <w:shd w:val="clear" w:color="auto" w:fill="auto"/>
            <w:noWrap/>
            <w:vAlign w:val="center"/>
            <w:hideMark/>
          </w:tcPr>
          <w:p w14:paraId="55F63F6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Diffuse large B-cell lymphoma</w:t>
            </w:r>
          </w:p>
        </w:tc>
        <w:tc>
          <w:tcPr>
            <w:tcW w:w="1177" w:type="dxa"/>
            <w:tcBorders>
              <w:top w:val="nil"/>
              <w:left w:val="nil"/>
              <w:bottom w:val="nil"/>
              <w:right w:val="nil"/>
            </w:tcBorders>
            <w:shd w:val="clear" w:color="auto" w:fill="auto"/>
            <w:noWrap/>
            <w:vAlign w:val="center"/>
            <w:hideMark/>
          </w:tcPr>
          <w:p w14:paraId="62EB2BA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2020(US); 2021(EU)</w:t>
            </w:r>
          </w:p>
        </w:tc>
        <w:tc>
          <w:tcPr>
            <w:tcW w:w="2662" w:type="dxa"/>
            <w:tcBorders>
              <w:top w:val="nil"/>
              <w:left w:val="nil"/>
              <w:bottom w:val="nil"/>
              <w:right w:val="nil"/>
            </w:tcBorders>
            <w:shd w:val="clear" w:color="auto" w:fill="auto"/>
            <w:vAlign w:val="center"/>
            <w:hideMark/>
          </w:tcPr>
          <w:p w14:paraId="72F6B2AE" w14:textId="342C4320"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NCT02399085:  median duration of response was 43.9 months, the median OS was 33.5 months and the median PFS was 11.6 months</w:t>
            </w:r>
          </w:p>
        </w:tc>
      </w:tr>
      <w:tr w:rsidR="00E1130C" w:rsidRPr="00E1130C" w14:paraId="743AFFD7" w14:textId="77777777" w:rsidTr="008B22FD">
        <w:trPr>
          <w:trHeight w:val="408"/>
        </w:trPr>
        <w:tc>
          <w:tcPr>
            <w:tcW w:w="1399" w:type="dxa"/>
            <w:tcBorders>
              <w:top w:val="nil"/>
              <w:left w:val="nil"/>
              <w:bottom w:val="nil"/>
              <w:right w:val="nil"/>
            </w:tcBorders>
            <w:shd w:val="clear" w:color="auto" w:fill="auto"/>
            <w:noWrap/>
            <w:vAlign w:val="center"/>
            <w:hideMark/>
          </w:tcPr>
          <w:p w14:paraId="775C275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Blinatumomab</w:t>
            </w:r>
          </w:p>
        </w:tc>
        <w:tc>
          <w:tcPr>
            <w:tcW w:w="1924" w:type="dxa"/>
            <w:tcBorders>
              <w:top w:val="nil"/>
              <w:left w:val="nil"/>
              <w:bottom w:val="nil"/>
              <w:right w:val="nil"/>
            </w:tcBorders>
            <w:shd w:val="clear" w:color="auto" w:fill="auto"/>
            <w:noWrap/>
            <w:vAlign w:val="center"/>
            <w:hideMark/>
          </w:tcPr>
          <w:p w14:paraId="255E239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Blincyto</w:t>
            </w:r>
          </w:p>
        </w:tc>
        <w:tc>
          <w:tcPr>
            <w:tcW w:w="1230" w:type="dxa"/>
            <w:tcBorders>
              <w:top w:val="nil"/>
              <w:left w:val="nil"/>
              <w:bottom w:val="nil"/>
              <w:right w:val="nil"/>
            </w:tcBorders>
            <w:shd w:val="clear" w:color="auto" w:fill="auto"/>
            <w:noWrap/>
            <w:vAlign w:val="center"/>
            <w:hideMark/>
          </w:tcPr>
          <w:p w14:paraId="278798B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Micromet (Amgen)</w:t>
            </w:r>
          </w:p>
        </w:tc>
        <w:tc>
          <w:tcPr>
            <w:tcW w:w="1968" w:type="dxa"/>
            <w:tcBorders>
              <w:top w:val="nil"/>
              <w:left w:val="nil"/>
              <w:bottom w:val="nil"/>
              <w:right w:val="nil"/>
            </w:tcBorders>
            <w:shd w:val="clear" w:color="auto" w:fill="auto"/>
            <w:noWrap/>
            <w:vAlign w:val="center"/>
            <w:hideMark/>
          </w:tcPr>
          <w:p w14:paraId="17F9936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CD19, CD3; Murine bispecific tandem scFv</w:t>
            </w:r>
          </w:p>
        </w:tc>
        <w:tc>
          <w:tcPr>
            <w:tcW w:w="3174" w:type="dxa"/>
            <w:tcBorders>
              <w:top w:val="nil"/>
              <w:left w:val="nil"/>
              <w:bottom w:val="nil"/>
              <w:right w:val="nil"/>
            </w:tcBorders>
            <w:shd w:val="clear" w:color="auto" w:fill="auto"/>
            <w:noWrap/>
            <w:vAlign w:val="center"/>
            <w:hideMark/>
          </w:tcPr>
          <w:p w14:paraId="5C9956E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Acute lymphoblastic leukemia</w:t>
            </w:r>
          </w:p>
        </w:tc>
        <w:tc>
          <w:tcPr>
            <w:tcW w:w="1177" w:type="dxa"/>
            <w:tcBorders>
              <w:top w:val="nil"/>
              <w:left w:val="nil"/>
              <w:bottom w:val="nil"/>
              <w:right w:val="nil"/>
            </w:tcBorders>
            <w:shd w:val="clear" w:color="auto" w:fill="auto"/>
            <w:noWrap/>
            <w:vAlign w:val="center"/>
            <w:hideMark/>
          </w:tcPr>
          <w:p w14:paraId="01A7860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2014(US); 2015 (EU)</w:t>
            </w:r>
          </w:p>
        </w:tc>
        <w:tc>
          <w:tcPr>
            <w:tcW w:w="2662" w:type="dxa"/>
            <w:tcBorders>
              <w:top w:val="nil"/>
              <w:left w:val="nil"/>
              <w:bottom w:val="nil"/>
              <w:right w:val="nil"/>
            </w:tcBorders>
            <w:shd w:val="clear" w:color="auto" w:fill="auto"/>
            <w:vAlign w:val="center"/>
            <w:hideMark/>
          </w:tcPr>
          <w:p w14:paraId="12CD978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TOWER(NCT02013167): median OS: 7.7 months vs 4.0 months (chemo); ALCANTARA (NCT02000427): CR: 36%. </w:t>
            </w:r>
            <w:r w:rsidRPr="00E1130C">
              <w:rPr>
                <w:rFonts w:ascii="Arial" w:eastAsia="Times New Roman" w:hAnsi="Arial" w:cs="Arial"/>
                <w:color w:val="000000"/>
                <w:sz w:val="16"/>
                <w:szCs w:val="16"/>
                <w:lang w:val="en-HK" w:eastAsia="zh-CN"/>
              </w:rPr>
              <w:lastRenderedPageBreak/>
              <w:t>MT103-205 (NCT01471782): CR 39%. BLAST (NCT01207388): 78% minimal/residual disease rate.</w:t>
            </w:r>
          </w:p>
        </w:tc>
      </w:tr>
      <w:tr w:rsidR="00E1130C" w:rsidRPr="00E1130C" w14:paraId="44E4D493" w14:textId="77777777" w:rsidTr="008B22FD">
        <w:trPr>
          <w:trHeight w:val="204"/>
        </w:trPr>
        <w:tc>
          <w:tcPr>
            <w:tcW w:w="1399" w:type="dxa"/>
            <w:tcBorders>
              <w:top w:val="nil"/>
              <w:left w:val="nil"/>
              <w:bottom w:val="nil"/>
              <w:right w:val="nil"/>
            </w:tcBorders>
            <w:shd w:val="clear" w:color="auto" w:fill="auto"/>
            <w:noWrap/>
            <w:vAlign w:val="center"/>
            <w:hideMark/>
          </w:tcPr>
          <w:p w14:paraId="1675D2B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lastRenderedPageBreak/>
              <w:t>Olaratumab</w:t>
            </w:r>
          </w:p>
        </w:tc>
        <w:tc>
          <w:tcPr>
            <w:tcW w:w="1924" w:type="dxa"/>
            <w:tcBorders>
              <w:top w:val="nil"/>
              <w:left w:val="nil"/>
              <w:bottom w:val="nil"/>
              <w:right w:val="nil"/>
            </w:tcBorders>
            <w:shd w:val="clear" w:color="auto" w:fill="auto"/>
            <w:noWrap/>
            <w:vAlign w:val="center"/>
            <w:hideMark/>
          </w:tcPr>
          <w:p w14:paraId="4122164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Lartruvo</w:t>
            </w:r>
          </w:p>
        </w:tc>
        <w:tc>
          <w:tcPr>
            <w:tcW w:w="1230" w:type="dxa"/>
            <w:tcBorders>
              <w:top w:val="nil"/>
              <w:left w:val="nil"/>
              <w:bottom w:val="nil"/>
              <w:right w:val="nil"/>
            </w:tcBorders>
            <w:shd w:val="clear" w:color="auto" w:fill="auto"/>
            <w:noWrap/>
            <w:vAlign w:val="center"/>
            <w:hideMark/>
          </w:tcPr>
          <w:p w14:paraId="53BE043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Eli Lilly</w:t>
            </w:r>
          </w:p>
        </w:tc>
        <w:tc>
          <w:tcPr>
            <w:tcW w:w="1968" w:type="dxa"/>
            <w:tcBorders>
              <w:top w:val="nil"/>
              <w:left w:val="nil"/>
              <w:bottom w:val="nil"/>
              <w:right w:val="nil"/>
            </w:tcBorders>
            <w:shd w:val="clear" w:color="auto" w:fill="auto"/>
            <w:noWrap/>
            <w:vAlign w:val="center"/>
            <w:hideMark/>
          </w:tcPr>
          <w:p w14:paraId="3BB4FBC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PDGRFα; Human IgG1</w:t>
            </w:r>
          </w:p>
        </w:tc>
        <w:tc>
          <w:tcPr>
            <w:tcW w:w="3174" w:type="dxa"/>
            <w:tcBorders>
              <w:top w:val="nil"/>
              <w:left w:val="nil"/>
              <w:bottom w:val="nil"/>
              <w:right w:val="nil"/>
            </w:tcBorders>
            <w:shd w:val="clear" w:color="auto" w:fill="auto"/>
            <w:noWrap/>
            <w:vAlign w:val="center"/>
            <w:hideMark/>
          </w:tcPr>
          <w:p w14:paraId="292B47C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Soft tissue sarcoma</w:t>
            </w:r>
          </w:p>
        </w:tc>
        <w:tc>
          <w:tcPr>
            <w:tcW w:w="1177" w:type="dxa"/>
            <w:tcBorders>
              <w:top w:val="nil"/>
              <w:left w:val="nil"/>
              <w:bottom w:val="nil"/>
              <w:right w:val="nil"/>
            </w:tcBorders>
            <w:shd w:val="clear" w:color="auto" w:fill="auto"/>
            <w:noWrap/>
            <w:vAlign w:val="center"/>
            <w:hideMark/>
          </w:tcPr>
          <w:p w14:paraId="7C6C576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2016(US); 2016(EU)</w:t>
            </w:r>
          </w:p>
        </w:tc>
        <w:tc>
          <w:tcPr>
            <w:tcW w:w="2662" w:type="dxa"/>
            <w:tcBorders>
              <w:top w:val="nil"/>
              <w:left w:val="nil"/>
              <w:bottom w:val="nil"/>
              <w:right w:val="nil"/>
            </w:tcBorders>
            <w:shd w:val="clear" w:color="auto" w:fill="auto"/>
            <w:vAlign w:val="center"/>
            <w:hideMark/>
          </w:tcPr>
          <w:p w14:paraId="636215A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Discontinued</w:t>
            </w:r>
          </w:p>
        </w:tc>
      </w:tr>
      <w:tr w:rsidR="00E1130C" w:rsidRPr="00E1130C" w14:paraId="065401AB" w14:textId="77777777" w:rsidTr="008B22FD">
        <w:trPr>
          <w:trHeight w:val="204"/>
        </w:trPr>
        <w:tc>
          <w:tcPr>
            <w:tcW w:w="1399" w:type="dxa"/>
            <w:tcBorders>
              <w:top w:val="nil"/>
              <w:left w:val="nil"/>
              <w:bottom w:val="nil"/>
              <w:right w:val="nil"/>
            </w:tcBorders>
            <w:shd w:val="clear" w:color="auto" w:fill="auto"/>
            <w:noWrap/>
            <w:vAlign w:val="center"/>
            <w:hideMark/>
          </w:tcPr>
          <w:p w14:paraId="19BBD46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Mogamulizumab</w:t>
            </w:r>
          </w:p>
        </w:tc>
        <w:tc>
          <w:tcPr>
            <w:tcW w:w="1924" w:type="dxa"/>
            <w:tcBorders>
              <w:top w:val="nil"/>
              <w:left w:val="nil"/>
              <w:bottom w:val="nil"/>
              <w:right w:val="nil"/>
            </w:tcBorders>
            <w:shd w:val="clear" w:color="auto" w:fill="auto"/>
            <w:noWrap/>
            <w:vAlign w:val="center"/>
            <w:hideMark/>
          </w:tcPr>
          <w:p w14:paraId="55CF8A4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Poteligeo</w:t>
            </w:r>
          </w:p>
        </w:tc>
        <w:tc>
          <w:tcPr>
            <w:tcW w:w="1230" w:type="dxa"/>
            <w:tcBorders>
              <w:top w:val="nil"/>
              <w:left w:val="nil"/>
              <w:bottom w:val="nil"/>
              <w:right w:val="nil"/>
            </w:tcBorders>
            <w:shd w:val="clear" w:color="auto" w:fill="auto"/>
            <w:noWrap/>
            <w:vAlign w:val="center"/>
            <w:hideMark/>
          </w:tcPr>
          <w:p w14:paraId="15F93F2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Kyowa Kirin</w:t>
            </w:r>
          </w:p>
        </w:tc>
        <w:tc>
          <w:tcPr>
            <w:tcW w:w="1968" w:type="dxa"/>
            <w:tcBorders>
              <w:top w:val="nil"/>
              <w:left w:val="nil"/>
              <w:bottom w:val="nil"/>
              <w:right w:val="nil"/>
            </w:tcBorders>
            <w:shd w:val="clear" w:color="auto" w:fill="auto"/>
            <w:noWrap/>
            <w:vAlign w:val="center"/>
            <w:hideMark/>
          </w:tcPr>
          <w:p w14:paraId="15F8A83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CCR4; Humanized IgG1</w:t>
            </w:r>
          </w:p>
        </w:tc>
        <w:tc>
          <w:tcPr>
            <w:tcW w:w="3174" w:type="dxa"/>
            <w:tcBorders>
              <w:top w:val="nil"/>
              <w:left w:val="nil"/>
              <w:bottom w:val="nil"/>
              <w:right w:val="nil"/>
            </w:tcBorders>
            <w:shd w:val="clear" w:color="auto" w:fill="auto"/>
            <w:noWrap/>
            <w:vAlign w:val="center"/>
            <w:hideMark/>
          </w:tcPr>
          <w:p w14:paraId="7F591E4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Cutaneous T cell lymphoma</w:t>
            </w:r>
          </w:p>
        </w:tc>
        <w:tc>
          <w:tcPr>
            <w:tcW w:w="1177" w:type="dxa"/>
            <w:tcBorders>
              <w:top w:val="nil"/>
              <w:left w:val="nil"/>
              <w:bottom w:val="nil"/>
              <w:right w:val="nil"/>
            </w:tcBorders>
            <w:shd w:val="clear" w:color="auto" w:fill="auto"/>
            <w:noWrap/>
            <w:vAlign w:val="center"/>
            <w:hideMark/>
          </w:tcPr>
          <w:p w14:paraId="18EBE97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2018(US); 2018(EU)</w:t>
            </w:r>
          </w:p>
        </w:tc>
        <w:tc>
          <w:tcPr>
            <w:tcW w:w="2662" w:type="dxa"/>
            <w:tcBorders>
              <w:top w:val="nil"/>
              <w:left w:val="nil"/>
              <w:bottom w:val="nil"/>
              <w:right w:val="nil"/>
            </w:tcBorders>
            <w:shd w:val="clear" w:color="auto" w:fill="auto"/>
            <w:vAlign w:val="center"/>
            <w:hideMark/>
          </w:tcPr>
          <w:p w14:paraId="2D67E8A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 NCT01728805: ORR: 28.0% (Mogamulizumab) versus 4.8% (vorinostat), PFS: 7.7 months vs 3.1 months</w:t>
            </w:r>
          </w:p>
        </w:tc>
      </w:tr>
      <w:tr w:rsidR="00E1130C" w:rsidRPr="00E1130C" w14:paraId="1B0E6F78" w14:textId="77777777" w:rsidTr="008B22FD">
        <w:trPr>
          <w:trHeight w:val="204"/>
        </w:trPr>
        <w:tc>
          <w:tcPr>
            <w:tcW w:w="1399" w:type="dxa"/>
            <w:tcBorders>
              <w:top w:val="nil"/>
              <w:left w:val="nil"/>
              <w:bottom w:val="nil"/>
              <w:right w:val="nil"/>
            </w:tcBorders>
            <w:shd w:val="clear" w:color="auto" w:fill="auto"/>
            <w:noWrap/>
            <w:vAlign w:val="center"/>
            <w:hideMark/>
          </w:tcPr>
          <w:p w14:paraId="5FD0B1C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Tebentafusp</w:t>
            </w:r>
          </w:p>
        </w:tc>
        <w:tc>
          <w:tcPr>
            <w:tcW w:w="1924" w:type="dxa"/>
            <w:tcBorders>
              <w:top w:val="nil"/>
              <w:left w:val="nil"/>
              <w:bottom w:val="nil"/>
              <w:right w:val="nil"/>
            </w:tcBorders>
            <w:shd w:val="clear" w:color="auto" w:fill="auto"/>
            <w:noWrap/>
            <w:vAlign w:val="center"/>
            <w:hideMark/>
          </w:tcPr>
          <w:p w14:paraId="6441AD2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Kimmtrak</w:t>
            </w:r>
          </w:p>
        </w:tc>
        <w:tc>
          <w:tcPr>
            <w:tcW w:w="1230" w:type="dxa"/>
            <w:tcBorders>
              <w:top w:val="nil"/>
              <w:left w:val="nil"/>
              <w:bottom w:val="nil"/>
              <w:right w:val="nil"/>
            </w:tcBorders>
            <w:shd w:val="clear" w:color="auto" w:fill="auto"/>
            <w:noWrap/>
            <w:vAlign w:val="center"/>
            <w:hideMark/>
          </w:tcPr>
          <w:p w14:paraId="469DC84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Immunocore</w:t>
            </w:r>
          </w:p>
        </w:tc>
        <w:tc>
          <w:tcPr>
            <w:tcW w:w="1968" w:type="dxa"/>
            <w:tcBorders>
              <w:top w:val="nil"/>
              <w:left w:val="nil"/>
              <w:bottom w:val="nil"/>
              <w:right w:val="nil"/>
            </w:tcBorders>
            <w:shd w:val="clear" w:color="auto" w:fill="auto"/>
            <w:noWrap/>
            <w:vAlign w:val="center"/>
            <w:hideMark/>
          </w:tcPr>
          <w:p w14:paraId="2E1839D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gp100, CD3; Bispecific immunoconjugate (TCR-scFv)</w:t>
            </w:r>
          </w:p>
        </w:tc>
        <w:tc>
          <w:tcPr>
            <w:tcW w:w="3174" w:type="dxa"/>
            <w:tcBorders>
              <w:top w:val="nil"/>
              <w:left w:val="nil"/>
              <w:bottom w:val="nil"/>
              <w:right w:val="nil"/>
            </w:tcBorders>
            <w:shd w:val="clear" w:color="auto" w:fill="auto"/>
            <w:noWrap/>
            <w:vAlign w:val="center"/>
            <w:hideMark/>
          </w:tcPr>
          <w:p w14:paraId="726F808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Metastatic uveal melanoma</w:t>
            </w:r>
          </w:p>
        </w:tc>
        <w:tc>
          <w:tcPr>
            <w:tcW w:w="1177" w:type="dxa"/>
            <w:tcBorders>
              <w:top w:val="nil"/>
              <w:left w:val="nil"/>
              <w:bottom w:val="nil"/>
              <w:right w:val="nil"/>
            </w:tcBorders>
            <w:shd w:val="clear" w:color="auto" w:fill="auto"/>
            <w:noWrap/>
            <w:vAlign w:val="center"/>
            <w:hideMark/>
          </w:tcPr>
          <w:p w14:paraId="3AA1FD2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2022(US); 2022(EU)</w:t>
            </w:r>
          </w:p>
        </w:tc>
        <w:tc>
          <w:tcPr>
            <w:tcW w:w="2662" w:type="dxa"/>
            <w:tcBorders>
              <w:top w:val="nil"/>
              <w:left w:val="nil"/>
              <w:bottom w:val="nil"/>
              <w:right w:val="nil"/>
            </w:tcBorders>
            <w:shd w:val="clear" w:color="auto" w:fill="auto"/>
            <w:vAlign w:val="center"/>
            <w:hideMark/>
          </w:tcPr>
          <w:p w14:paraId="737999CE" w14:textId="74FED0F0"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Median OS: 21.6 months, ORR: 11%, Median PFS: 3.4 months. </w:t>
            </w:r>
          </w:p>
        </w:tc>
      </w:tr>
      <w:tr w:rsidR="00E1130C" w:rsidRPr="00E1130C" w14:paraId="67C730C8" w14:textId="77777777" w:rsidTr="008B22FD">
        <w:trPr>
          <w:trHeight w:val="204"/>
        </w:trPr>
        <w:tc>
          <w:tcPr>
            <w:tcW w:w="1399" w:type="dxa"/>
            <w:tcBorders>
              <w:top w:val="nil"/>
              <w:left w:val="nil"/>
              <w:bottom w:val="nil"/>
              <w:right w:val="nil"/>
            </w:tcBorders>
            <w:shd w:val="clear" w:color="auto" w:fill="auto"/>
            <w:noWrap/>
            <w:vAlign w:val="center"/>
            <w:hideMark/>
          </w:tcPr>
          <w:p w14:paraId="13D71D5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Teclistamab</w:t>
            </w:r>
          </w:p>
        </w:tc>
        <w:tc>
          <w:tcPr>
            <w:tcW w:w="1924" w:type="dxa"/>
            <w:tcBorders>
              <w:top w:val="nil"/>
              <w:left w:val="nil"/>
              <w:bottom w:val="nil"/>
              <w:right w:val="nil"/>
            </w:tcBorders>
            <w:shd w:val="clear" w:color="auto" w:fill="auto"/>
            <w:noWrap/>
            <w:vAlign w:val="center"/>
            <w:hideMark/>
          </w:tcPr>
          <w:p w14:paraId="3E8D8F2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TECVAYLI</w:t>
            </w:r>
          </w:p>
        </w:tc>
        <w:tc>
          <w:tcPr>
            <w:tcW w:w="1230" w:type="dxa"/>
            <w:tcBorders>
              <w:top w:val="nil"/>
              <w:left w:val="nil"/>
              <w:bottom w:val="nil"/>
              <w:right w:val="nil"/>
            </w:tcBorders>
            <w:shd w:val="clear" w:color="auto" w:fill="auto"/>
            <w:noWrap/>
            <w:vAlign w:val="center"/>
            <w:hideMark/>
          </w:tcPr>
          <w:p w14:paraId="57B9073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Jannsen</w:t>
            </w:r>
          </w:p>
        </w:tc>
        <w:tc>
          <w:tcPr>
            <w:tcW w:w="1968" w:type="dxa"/>
            <w:tcBorders>
              <w:top w:val="nil"/>
              <w:left w:val="nil"/>
              <w:bottom w:val="nil"/>
              <w:right w:val="nil"/>
            </w:tcBorders>
            <w:shd w:val="clear" w:color="auto" w:fill="auto"/>
            <w:noWrap/>
            <w:vAlign w:val="center"/>
            <w:hideMark/>
          </w:tcPr>
          <w:p w14:paraId="70565FC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BCMA, CD3; Humanized bispecific IgG4</w:t>
            </w:r>
          </w:p>
        </w:tc>
        <w:tc>
          <w:tcPr>
            <w:tcW w:w="3174" w:type="dxa"/>
            <w:tcBorders>
              <w:top w:val="nil"/>
              <w:left w:val="nil"/>
              <w:bottom w:val="nil"/>
              <w:right w:val="nil"/>
            </w:tcBorders>
            <w:shd w:val="clear" w:color="auto" w:fill="auto"/>
            <w:noWrap/>
            <w:vAlign w:val="center"/>
            <w:hideMark/>
          </w:tcPr>
          <w:p w14:paraId="3CA477B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w:t>
            </w:r>
          </w:p>
        </w:tc>
        <w:tc>
          <w:tcPr>
            <w:tcW w:w="1177" w:type="dxa"/>
            <w:tcBorders>
              <w:top w:val="nil"/>
              <w:left w:val="nil"/>
              <w:bottom w:val="nil"/>
              <w:right w:val="nil"/>
            </w:tcBorders>
            <w:shd w:val="clear" w:color="auto" w:fill="auto"/>
            <w:noWrap/>
            <w:vAlign w:val="center"/>
            <w:hideMark/>
          </w:tcPr>
          <w:p w14:paraId="0C9139B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2022(US); 2022(EU)</w:t>
            </w:r>
          </w:p>
        </w:tc>
        <w:tc>
          <w:tcPr>
            <w:tcW w:w="2662" w:type="dxa"/>
            <w:tcBorders>
              <w:top w:val="nil"/>
              <w:left w:val="nil"/>
              <w:bottom w:val="nil"/>
              <w:right w:val="nil"/>
            </w:tcBorders>
            <w:shd w:val="clear" w:color="auto" w:fill="auto"/>
            <w:vAlign w:val="center"/>
            <w:hideMark/>
          </w:tcPr>
          <w:p w14:paraId="3A5EF41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ORR: 63.0%, MRD-negative rate:46%, median PFS: 11.3 months</w:t>
            </w:r>
          </w:p>
        </w:tc>
      </w:tr>
      <w:tr w:rsidR="00E1130C" w:rsidRPr="00E1130C" w14:paraId="2501C99A" w14:textId="77777777" w:rsidTr="008B22FD">
        <w:trPr>
          <w:trHeight w:val="204"/>
        </w:trPr>
        <w:tc>
          <w:tcPr>
            <w:tcW w:w="1399" w:type="dxa"/>
            <w:tcBorders>
              <w:top w:val="nil"/>
              <w:left w:val="nil"/>
              <w:bottom w:val="nil"/>
              <w:right w:val="nil"/>
            </w:tcBorders>
            <w:shd w:val="clear" w:color="auto" w:fill="auto"/>
            <w:noWrap/>
            <w:vAlign w:val="center"/>
            <w:hideMark/>
          </w:tcPr>
          <w:p w14:paraId="5FA7505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Elranatamab</w:t>
            </w:r>
          </w:p>
        </w:tc>
        <w:tc>
          <w:tcPr>
            <w:tcW w:w="1924" w:type="dxa"/>
            <w:tcBorders>
              <w:top w:val="nil"/>
              <w:left w:val="nil"/>
              <w:bottom w:val="nil"/>
              <w:right w:val="nil"/>
            </w:tcBorders>
            <w:shd w:val="clear" w:color="auto" w:fill="auto"/>
            <w:noWrap/>
            <w:vAlign w:val="center"/>
            <w:hideMark/>
          </w:tcPr>
          <w:p w14:paraId="30C29BE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Elrexfio</w:t>
            </w:r>
          </w:p>
        </w:tc>
        <w:tc>
          <w:tcPr>
            <w:tcW w:w="1230" w:type="dxa"/>
            <w:tcBorders>
              <w:top w:val="nil"/>
              <w:left w:val="nil"/>
              <w:bottom w:val="nil"/>
              <w:right w:val="nil"/>
            </w:tcBorders>
            <w:shd w:val="clear" w:color="auto" w:fill="auto"/>
            <w:noWrap/>
            <w:vAlign w:val="center"/>
            <w:hideMark/>
          </w:tcPr>
          <w:p w14:paraId="34E30B5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Pfizer </w:t>
            </w:r>
          </w:p>
        </w:tc>
        <w:tc>
          <w:tcPr>
            <w:tcW w:w="1968" w:type="dxa"/>
            <w:tcBorders>
              <w:top w:val="nil"/>
              <w:left w:val="nil"/>
              <w:bottom w:val="nil"/>
              <w:right w:val="nil"/>
            </w:tcBorders>
            <w:shd w:val="clear" w:color="auto" w:fill="auto"/>
            <w:noWrap/>
            <w:vAlign w:val="center"/>
            <w:hideMark/>
          </w:tcPr>
          <w:p w14:paraId="0537B59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BCMA, CD3; Humanized IgG2</w:t>
            </w:r>
          </w:p>
        </w:tc>
        <w:tc>
          <w:tcPr>
            <w:tcW w:w="3174" w:type="dxa"/>
            <w:tcBorders>
              <w:top w:val="nil"/>
              <w:left w:val="nil"/>
              <w:bottom w:val="nil"/>
              <w:right w:val="nil"/>
            </w:tcBorders>
            <w:shd w:val="clear" w:color="auto" w:fill="auto"/>
            <w:noWrap/>
            <w:vAlign w:val="center"/>
            <w:hideMark/>
          </w:tcPr>
          <w:p w14:paraId="453E54A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w:t>
            </w:r>
          </w:p>
        </w:tc>
        <w:tc>
          <w:tcPr>
            <w:tcW w:w="1177" w:type="dxa"/>
            <w:tcBorders>
              <w:top w:val="nil"/>
              <w:left w:val="nil"/>
              <w:bottom w:val="nil"/>
              <w:right w:val="nil"/>
            </w:tcBorders>
            <w:shd w:val="clear" w:color="auto" w:fill="auto"/>
            <w:noWrap/>
            <w:vAlign w:val="center"/>
            <w:hideMark/>
          </w:tcPr>
          <w:p w14:paraId="0342224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2023 (US); 2023(EU)</w:t>
            </w:r>
          </w:p>
        </w:tc>
        <w:tc>
          <w:tcPr>
            <w:tcW w:w="2662" w:type="dxa"/>
            <w:tcBorders>
              <w:top w:val="nil"/>
              <w:left w:val="nil"/>
              <w:bottom w:val="nil"/>
              <w:right w:val="nil"/>
            </w:tcBorders>
            <w:shd w:val="clear" w:color="auto" w:fill="auto"/>
            <w:vAlign w:val="center"/>
            <w:hideMark/>
          </w:tcPr>
          <w:p w14:paraId="1B29933A" w14:textId="6EA28E81" w:rsidR="00E1130C" w:rsidRPr="00E1130C" w:rsidRDefault="00000000" w:rsidP="00DB0820">
            <w:pPr>
              <w:rPr>
                <w:rFonts w:ascii="Arial" w:eastAsia="Times New Roman" w:hAnsi="Arial" w:cs="Arial"/>
                <w:color w:val="000000"/>
                <w:sz w:val="16"/>
                <w:szCs w:val="16"/>
                <w:lang w:val="en-HK" w:eastAsia="zh-CN"/>
              </w:rPr>
            </w:pPr>
            <w:hyperlink r:id="rId9" w:history="1">
              <w:r w:rsidR="00E1130C" w:rsidRPr="00E1130C">
                <w:rPr>
                  <w:rFonts w:ascii="Arial" w:eastAsia="Times New Roman" w:hAnsi="Arial" w:cs="Arial"/>
                  <w:color w:val="000000"/>
                  <w:sz w:val="16"/>
                  <w:szCs w:val="16"/>
                  <w:lang w:val="en-HK" w:eastAsia="zh-CN"/>
                </w:rPr>
                <w:t xml:space="preserve">NCT04649359: ORR of 61.0%; 35.0% </w:t>
              </w:r>
              <w:r w:rsidR="00E1130C" w:rsidRPr="00E1130C">
                <w:rPr>
                  <w:rFonts w:ascii="Arial Regular" w:eastAsia="Times New Roman" w:hAnsi="Arial Regular" w:cs="Arial"/>
                  <w:color w:val="000000"/>
                  <w:sz w:val="16"/>
                  <w:szCs w:val="16"/>
                  <w:lang w:val="en-HK" w:eastAsia="zh-CN"/>
                </w:rPr>
                <w:t>≥</w:t>
              </w:r>
              <w:r w:rsidR="00E1130C" w:rsidRPr="00E1130C">
                <w:rPr>
                  <w:rFonts w:ascii="Arial" w:eastAsia="Times New Roman" w:hAnsi="Arial" w:cs="Arial"/>
                  <w:color w:val="000000"/>
                  <w:sz w:val="16"/>
                  <w:szCs w:val="16"/>
                  <w:lang w:val="en-HK" w:eastAsia="zh-CN"/>
                </w:rPr>
                <w:t>CR.</w:t>
              </w:r>
            </w:hyperlink>
          </w:p>
        </w:tc>
      </w:tr>
      <w:tr w:rsidR="00E1130C" w:rsidRPr="00E1130C" w14:paraId="79F8AFDC" w14:textId="77777777" w:rsidTr="008B22FD">
        <w:trPr>
          <w:trHeight w:val="204"/>
        </w:trPr>
        <w:tc>
          <w:tcPr>
            <w:tcW w:w="1399" w:type="dxa"/>
            <w:tcBorders>
              <w:top w:val="nil"/>
              <w:left w:val="nil"/>
              <w:bottom w:val="nil"/>
              <w:right w:val="nil"/>
            </w:tcBorders>
            <w:shd w:val="clear" w:color="auto" w:fill="auto"/>
            <w:noWrap/>
            <w:vAlign w:val="center"/>
            <w:hideMark/>
          </w:tcPr>
          <w:p w14:paraId="509FE5E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Talquetamab</w:t>
            </w:r>
          </w:p>
        </w:tc>
        <w:tc>
          <w:tcPr>
            <w:tcW w:w="1924" w:type="dxa"/>
            <w:tcBorders>
              <w:top w:val="nil"/>
              <w:left w:val="nil"/>
              <w:bottom w:val="nil"/>
              <w:right w:val="nil"/>
            </w:tcBorders>
            <w:shd w:val="clear" w:color="auto" w:fill="auto"/>
            <w:noWrap/>
            <w:vAlign w:val="center"/>
            <w:hideMark/>
          </w:tcPr>
          <w:p w14:paraId="214370F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TALVEY</w:t>
            </w:r>
          </w:p>
        </w:tc>
        <w:tc>
          <w:tcPr>
            <w:tcW w:w="1230" w:type="dxa"/>
            <w:tcBorders>
              <w:top w:val="nil"/>
              <w:left w:val="nil"/>
              <w:bottom w:val="nil"/>
              <w:right w:val="nil"/>
            </w:tcBorders>
            <w:shd w:val="clear" w:color="auto" w:fill="auto"/>
            <w:noWrap/>
            <w:vAlign w:val="center"/>
            <w:hideMark/>
          </w:tcPr>
          <w:p w14:paraId="33506C7F"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Janssen</w:t>
            </w:r>
          </w:p>
        </w:tc>
        <w:tc>
          <w:tcPr>
            <w:tcW w:w="1968" w:type="dxa"/>
            <w:tcBorders>
              <w:top w:val="nil"/>
              <w:left w:val="nil"/>
              <w:bottom w:val="nil"/>
              <w:right w:val="nil"/>
            </w:tcBorders>
            <w:shd w:val="clear" w:color="auto" w:fill="auto"/>
            <w:noWrap/>
            <w:vAlign w:val="center"/>
            <w:hideMark/>
          </w:tcPr>
          <w:p w14:paraId="2F5F1EA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 protein-coupled receptor 5D, CD3; Humanized IgG4 bispecific</w:t>
            </w:r>
          </w:p>
        </w:tc>
        <w:tc>
          <w:tcPr>
            <w:tcW w:w="3174" w:type="dxa"/>
            <w:tcBorders>
              <w:top w:val="nil"/>
              <w:left w:val="nil"/>
              <w:bottom w:val="nil"/>
              <w:right w:val="nil"/>
            </w:tcBorders>
            <w:shd w:val="clear" w:color="auto" w:fill="auto"/>
            <w:noWrap/>
            <w:vAlign w:val="center"/>
            <w:hideMark/>
          </w:tcPr>
          <w:p w14:paraId="6F27B05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Multiple myeloma</w:t>
            </w:r>
          </w:p>
        </w:tc>
        <w:tc>
          <w:tcPr>
            <w:tcW w:w="1177" w:type="dxa"/>
            <w:tcBorders>
              <w:top w:val="nil"/>
              <w:left w:val="nil"/>
              <w:bottom w:val="nil"/>
              <w:right w:val="nil"/>
            </w:tcBorders>
            <w:shd w:val="clear" w:color="auto" w:fill="auto"/>
            <w:noWrap/>
            <w:vAlign w:val="center"/>
            <w:hideMark/>
          </w:tcPr>
          <w:p w14:paraId="60A4612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2023 (US); 2023(EU)</w:t>
            </w:r>
          </w:p>
        </w:tc>
        <w:tc>
          <w:tcPr>
            <w:tcW w:w="2662" w:type="dxa"/>
            <w:tcBorders>
              <w:top w:val="nil"/>
              <w:left w:val="nil"/>
              <w:bottom w:val="nil"/>
              <w:right w:val="nil"/>
            </w:tcBorders>
            <w:shd w:val="clear" w:color="auto" w:fill="auto"/>
            <w:vAlign w:val="center"/>
            <w:hideMark/>
          </w:tcPr>
          <w:p w14:paraId="1D30F376" w14:textId="6D41ECDD"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NCT04586426:</w:t>
            </w:r>
            <w:r w:rsidR="00AB1828">
              <w:rPr>
                <w:rFonts w:ascii="Arial" w:hAnsi="Arial" w:cs="Arial" w:hint="eastAsia"/>
                <w:color w:val="000000"/>
                <w:sz w:val="16"/>
                <w:szCs w:val="16"/>
                <w:lang w:val="en-HK" w:eastAsia="zh-CN"/>
              </w:rPr>
              <w:t xml:space="preserve"> </w:t>
            </w:r>
            <w:r w:rsidRPr="00E1130C">
              <w:rPr>
                <w:rFonts w:ascii="Arial" w:eastAsia="Times New Roman" w:hAnsi="Arial" w:cs="Arial"/>
                <w:color w:val="000000"/>
                <w:sz w:val="16"/>
                <w:szCs w:val="16"/>
                <w:lang w:val="en-HK" w:eastAsia="zh-CN"/>
              </w:rPr>
              <w:t>ORR was 84%.</w:t>
            </w:r>
          </w:p>
        </w:tc>
      </w:tr>
      <w:tr w:rsidR="00E1130C" w:rsidRPr="00E1130C" w14:paraId="3C913D34" w14:textId="77777777" w:rsidTr="008B22FD">
        <w:trPr>
          <w:trHeight w:val="204"/>
        </w:trPr>
        <w:tc>
          <w:tcPr>
            <w:tcW w:w="1399" w:type="dxa"/>
            <w:tcBorders>
              <w:top w:val="nil"/>
              <w:left w:val="nil"/>
              <w:bottom w:val="nil"/>
              <w:right w:val="nil"/>
            </w:tcBorders>
            <w:shd w:val="clear" w:color="auto" w:fill="auto"/>
            <w:noWrap/>
            <w:vAlign w:val="center"/>
            <w:hideMark/>
          </w:tcPr>
          <w:p w14:paraId="547F7B6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Epcoritamab</w:t>
            </w:r>
          </w:p>
        </w:tc>
        <w:tc>
          <w:tcPr>
            <w:tcW w:w="1924" w:type="dxa"/>
            <w:tcBorders>
              <w:top w:val="nil"/>
              <w:left w:val="nil"/>
              <w:bottom w:val="nil"/>
              <w:right w:val="nil"/>
            </w:tcBorders>
            <w:shd w:val="clear" w:color="auto" w:fill="auto"/>
            <w:noWrap/>
            <w:vAlign w:val="center"/>
            <w:hideMark/>
          </w:tcPr>
          <w:p w14:paraId="39AD778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EPKINLY</w:t>
            </w:r>
          </w:p>
        </w:tc>
        <w:tc>
          <w:tcPr>
            <w:tcW w:w="1230" w:type="dxa"/>
            <w:tcBorders>
              <w:top w:val="nil"/>
              <w:left w:val="nil"/>
              <w:bottom w:val="nil"/>
              <w:right w:val="nil"/>
            </w:tcBorders>
            <w:shd w:val="clear" w:color="auto" w:fill="auto"/>
            <w:noWrap/>
            <w:vAlign w:val="center"/>
            <w:hideMark/>
          </w:tcPr>
          <w:p w14:paraId="4ECF6BD4"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AbbVie, Genmab</w:t>
            </w:r>
          </w:p>
        </w:tc>
        <w:tc>
          <w:tcPr>
            <w:tcW w:w="1968" w:type="dxa"/>
            <w:tcBorders>
              <w:top w:val="nil"/>
              <w:left w:val="nil"/>
              <w:bottom w:val="nil"/>
              <w:right w:val="nil"/>
            </w:tcBorders>
            <w:shd w:val="clear" w:color="auto" w:fill="auto"/>
            <w:noWrap/>
            <w:vAlign w:val="center"/>
            <w:hideMark/>
          </w:tcPr>
          <w:p w14:paraId="0668928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CD3; Bispecific humanized IgG1</w:t>
            </w:r>
          </w:p>
        </w:tc>
        <w:tc>
          <w:tcPr>
            <w:tcW w:w="3174" w:type="dxa"/>
            <w:tcBorders>
              <w:top w:val="nil"/>
              <w:left w:val="nil"/>
              <w:bottom w:val="nil"/>
              <w:right w:val="nil"/>
            </w:tcBorders>
            <w:shd w:val="clear" w:color="auto" w:fill="auto"/>
            <w:noWrap/>
            <w:vAlign w:val="center"/>
            <w:hideMark/>
          </w:tcPr>
          <w:p w14:paraId="74CA688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Diffuse large B cell lymphoma</w:t>
            </w:r>
          </w:p>
        </w:tc>
        <w:tc>
          <w:tcPr>
            <w:tcW w:w="1177" w:type="dxa"/>
            <w:tcBorders>
              <w:top w:val="nil"/>
              <w:left w:val="nil"/>
              <w:bottom w:val="nil"/>
              <w:right w:val="nil"/>
            </w:tcBorders>
            <w:shd w:val="clear" w:color="auto" w:fill="auto"/>
            <w:noWrap/>
            <w:vAlign w:val="center"/>
            <w:hideMark/>
          </w:tcPr>
          <w:p w14:paraId="141936A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2023 (US); 2023(EU)</w:t>
            </w:r>
          </w:p>
        </w:tc>
        <w:tc>
          <w:tcPr>
            <w:tcW w:w="2662" w:type="dxa"/>
            <w:tcBorders>
              <w:top w:val="nil"/>
              <w:left w:val="nil"/>
              <w:bottom w:val="nil"/>
              <w:right w:val="nil"/>
            </w:tcBorders>
            <w:shd w:val="clear" w:color="auto" w:fill="auto"/>
            <w:vAlign w:val="center"/>
            <w:hideMark/>
          </w:tcPr>
          <w:p w14:paraId="265240E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NCT03625037: ORR was 63.1% and CRR was 38.9%</w:t>
            </w:r>
          </w:p>
        </w:tc>
      </w:tr>
      <w:tr w:rsidR="00E1130C" w:rsidRPr="00E1130C" w14:paraId="6D1D2541" w14:textId="77777777" w:rsidTr="008B22FD">
        <w:trPr>
          <w:trHeight w:val="204"/>
        </w:trPr>
        <w:tc>
          <w:tcPr>
            <w:tcW w:w="1399" w:type="dxa"/>
            <w:tcBorders>
              <w:top w:val="nil"/>
              <w:left w:val="nil"/>
              <w:bottom w:val="nil"/>
              <w:right w:val="nil"/>
            </w:tcBorders>
            <w:shd w:val="clear" w:color="auto" w:fill="auto"/>
            <w:noWrap/>
            <w:vAlign w:val="center"/>
            <w:hideMark/>
          </w:tcPr>
          <w:p w14:paraId="2AE5D8D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Glofitamab</w:t>
            </w:r>
          </w:p>
        </w:tc>
        <w:tc>
          <w:tcPr>
            <w:tcW w:w="1924" w:type="dxa"/>
            <w:tcBorders>
              <w:top w:val="nil"/>
              <w:left w:val="nil"/>
              <w:bottom w:val="nil"/>
              <w:right w:val="nil"/>
            </w:tcBorders>
            <w:shd w:val="clear" w:color="auto" w:fill="auto"/>
            <w:noWrap/>
            <w:vAlign w:val="center"/>
            <w:hideMark/>
          </w:tcPr>
          <w:p w14:paraId="4EBBBD7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Columvi</w:t>
            </w:r>
          </w:p>
        </w:tc>
        <w:tc>
          <w:tcPr>
            <w:tcW w:w="1230" w:type="dxa"/>
            <w:tcBorders>
              <w:top w:val="nil"/>
              <w:left w:val="nil"/>
              <w:bottom w:val="nil"/>
              <w:right w:val="nil"/>
            </w:tcBorders>
            <w:shd w:val="clear" w:color="auto" w:fill="auto"/>
            <w:noWrap/>
            <w:vAlign w:val="center"/>
            <w:hideMark/>
          </w:tcPr>
          <w:p w14:paraId="13605B8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Roche</w:t>
            </w:r>
          </w:p>
        </w:tc>
        <w:tc>
          <w:tcPr>
            <w:tcW w:w="1968" w:type="dxa"/>
            <w:tcBorders>
              <w:top w:val="nil"/>
              <w:left w:val="nil"/>
              <w:bottom w:val="nil"/>
              <w:right w:val="nil"/>
            </w:tcBorders>
            <w:shd w:val="clear" w:color="auto" w:fill="auto"/>
            <w:noWrap/>
            <w:vAlign w:val="center"/>
            <w:hideMark/>
          </w:tcPr>
          <w:p w14:paraId="72A3B64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CD20, CD3e; Bispecific 2+1 IgG1 CrossMab</w:t>
            </w:r>
          </w:p>
        </w:tc>
        <w:tc>
          <w:tcPr>
            <w:tcW w:w="3174" w:type="dxa"/>
            <w:tcBorders>
              <w:top w:val="nil"/>
              <w:left w:val="nil"/>
              <w:bottom w:val="nil"/>
              <w:right w:val="nil"/>
            </w:tcBorders>
            <w:shd w:val="clear" w:color="auto" w:fill="auto"/>
            <w:noWrap/>
            <w:vAlign w:val="center"/>
            <w:hideMark/>
          </w:tcPr>
          <w:p w14:paraId="0D9403FB"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Diffuse large B cell lymphoma</w:t>
            </w:r>
          </w:p>
        </w:tc>
        <w:tc>
          <w:tcPr>
            <w:tcW w:w="1177" w:type="dxa"/>
            <w:tcBorders>
              <w:top w:val="nil"/>
              <w:left w:val="nil"/>
              <w:bottom w:val="nil"/>
              <w:right w:val="nil"/>
            </w:tcBorders>
            <w:shd w:val="clear" w:color="auto" w:fill="auto"/>
            <w:noWrap/>
            <w:vAlign w:val="center"/>
            <w:hideMark/>
          </w:tcPr>
          <w:p w14:paraId="02696D5C"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2023 (US); 2023(EU)</w:t>
            </w:r>
          </w:p>
        </w:tc>
        <w:tc>
          <w:tcPr>
            <w:tcW w:w="2662" w:type="dxa"/>
            <w:tcBorders>
              <w:top w:val="nil"/>
              <w:left w:val="nil"/>
              <w:bottom w:val="nil"/>
              <w:right w:val="nil"/>
            </w:tcBorders>
            <w:shd w:val="clear" w:color="auto" w:fill="auto"/>
            <w:vAlign w:val="center"/>
            <w:hideMark/>
          </w:tcPr>
          <w:p w14:paraId="2195063D" w14:textId="1528B9D2"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NCT03075696: 39% CR, 12-month PFS was 37%</w:t>
            </w:r>
          </w:p>
        </w:tc>
      </w:tr>
      <w:tr w:rsidR="00E1130C" w:rsidRPr="00E1130C" w14:paraId="66C6EEA1" w14:textId="77777777" w:rsidTr="008B22FD">
        <w:trPr>
          <w:trHeight w:val="204"/>
        </w:trPr>
        <w:tc>
          <w:tcPr>
            <w:tcW w:w="1399" w:type="dxa"/>
            <w:tcBorders>
              <w:top w:val="nil"/>
              <w:left w:val="nil"/>
              <w:bottom w:val="nil"/>
              <w:right w:val="nil"/>
            </w:tcBorders>
            <w:shd w:val="clear" w:color="auto" w:fill="auto"/>
            <w:noWrap/>
            <w:vAlign w:val="center"/>
            <w:hideMark/>
          </w:tcPr>
          <w:p w14:paraId="122B3051"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Relatlimab</w:t>
            </w:r>
          </w:p>
        </w:tc>
        <w:tc>
          <w:tcPr>
            <w:tcW w:w="1924" w:type="dxa"/>
            <w:tcBorders>
              <w:top w:val="nil"/>
              <w:left w:val="nil"/>
              <w:bottom w:val="nil"/>
              <w:right w:val="nil"/>
            </w:tcBorders>
            <w:shd w:val="clear" w:color="auto" w:fill="auto"/>
            <w:noWrap/>
            <w:vAlign w:val="center"/>
            <w:hideMark/>
          </w:tcPr>
          <w:p w14:paraId="1DE95717"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Opdualag (relatlimab + nivolumab combo)</w:t>
            </w:r>
          </w:p>
        </w:tc>
        <w:tc>
          <w:tcPr>
            <w:tcW w:w="1230" w:type="dxa"/>
            <w:tcBorders>
              <w:top w:val="nil"/>
              <w:left w:val="nil"/>
              <w:bottom w:val="nil"/>
              <w:right w:val="nil"/>
            </w:tcBorders>
            <w:shd w:val="clear" w:color="auto" w:fill="auto"/>
            <w:noWrap/>
            <w:vAlign w:val="center"/>
            <w:hideMark/>
          </w:tcPr>
          <w:p w14:paraId="1BBEC1A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Opdualag, Bristol-Myers Squibb</w:t>
            </w:r>
          </w:p>
        </w:tc>
        <w:tc>
          <w:tcPr>
            <w:tcW w:w="1968" w:type="dxa"/>
            <w:tcBorders>
              <w:top w:val="nil"/>
              <w:left w:val="nil"/>
              <w:bottom w:val="nil"/>
              <w:right w:val="nil"/>
            </w:tcBorders>
            <w:shd w:val="clear" w:color="auto" w:fill="auto"/>
            <w:noWrap/>
            <w:vAlign w:val="center"/>
            <w:hideMark/>
          </w:tcPr>
          <w:p w14:paraId="00181BA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LAG-3; Human IgG4</w:t>
            </w:r>
          </w:p>
        </w:tc>
        <w:tc>
          <w:tcPr>
            <w:tcW w:w="3174" w:type="dxa"/>
            <w:tcBorders>
              <w:top w:val="nil"/>
              <w:left w:val="nil"/>
              <w:bottom w:val="nil"/>
              <w:right w:val="nil"/>
            </w:tcBorders>
            <w:shd w:val="clear" w:color="auto" w:fill="auto"/>
            <w:noWrap/>
            <w:vAlign w:val="center"/>
            <w:hideMark/>
          </w:tcPr>
          <w:p w14:paraId="37E8C1E9"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Melanoma</w:t>
            </w:r>
          </w:p>
        </w:tc>
        <w:tc>
          <w:tcPr>
            <w:tcW w:w="1177" w:type="dxa"/>
            <w:tcBorders>
              <w:top w:val="nil"/>
              <w:left w:val="nil"/>
              <w:bottom w:val="nil"/>
              <w:right w:val="nil"/>
            </w:tcBorders>
            <w:shd w:val="clear" w:color="auto" w:fill="auto"/>
            <w:noWrap/>
            <w:vAlign w:val="center"/>
            <w:hideMark/>
          </w:tcPr>
          <w:p w14:paraId="7763D9FD"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2022(US); 2022(EU)</w:t>
            </w:r>
          </w:p>
        </w:tc>
        <w:tc>
          <w:tcPr>
            <w:tcW w:w="2662" w:type="dxa"/>
            <w:tcBorders>
              <w:top w:val="nil"/>
              <w:left w:val="nil"/>
              <w:bottom w:val="nil"/>
              <w:right w:val="nil"/>
            </w:tcBorders>
            <w:shd w:val="clear" w:color="auto" w:fill="auto"/>
            <w:vAlign w:val="center"/>
            <w:hideMark/>
          </w:tcPr>
          <w:p w14:paraId="4CAEBE4A"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 xml:space="preserve">Melanoma RELATIVITY-047: median PFS:4.6months (nivolumab) vs 10.1 months (relatlimab–nivolumab), 1-year PFS: 47.7% vs 36.0%. </w:t>
            </w:r>
          </w:p>
        </w:tc>
      </w:tr>
      <w:tr w:rsidR="00E1130C" w:rsidRPr="00E1130C" w14:paraId="1FDE5784" w14:textId="77777777" w:rsidTr="008B22FD">
        <w:trPr>
          <w:trHeight w:val="204"/>
        </w:trPr>
        <w:tc>
          <w:tcPr>
            <w:tcW w:w="1399" w:type="dxa"/>
            <w:tcBorders>
              <w:top w:val="nil"/>
              <w:left w:val="nil"/>
              <w:bottom w:val="single" w:sz="4" w:space="0" w:color="auto"/>
              <w:right w:val="nil"/>
            </w:tcBorders>
            <w:shd w:val="clear" w:color="auto" w:fill="auto"/>
            <w:noWrap/>
            <w:vAlign w:val="center"/>
            <w:hideMark/>
          </w:tcPr>
          <w:p w14:paraId="78BD76D8"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Edrecolomab</w:t>
            </w:r>
          </w:p>
        </w:tc>
        <w:tc>
          <w:tcPr>
            <w:tcW w:w="1924" w:type="dxa"/>
            <w:tcBorders>
              <w:top w:val="nil"/>
              <w:left w:val="nil"/>
              <w:bottom w:val="single" w:sz="4" w:space="0" w:color="auto"/>
              <w:right w:val="nil"/>
            </w:tcBorders>
            <w:shd w:val="clear" w:color="auto" w:fill="auto"/>
            <w:noWrap/>
            <w:vAlign w:val="center"/>
            <w:hideMark/>
          </w:tcPr>
          <w:p w14:paraId="17852CF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Panorex</w:t>
            </w:r>
          </w:p>
        </w:tc>
        <w:tc>
          <w:tcPr>
            <w:tcW w:w="1230" w:type="dxa"/>
            <w:tcBorders>
              <w:top w:val="nil"/>
              <w:left w:val="nil"/>
              <w:bottom w:val="single" w:sz="4" w:space="0" w:color="auto"/>
              <w:right w:val="nil"/>
            </w:tcBorders>
            <w:shd w:val="clear" w:color="auto" w:fill="auto"/>
            <w:noWrap/>
            <w:vAlign w:val="center"/>
            <w:hideMark/>
          </w:tcPr>
          <w:p w14:paraId="6B19BF63"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Unknown</w:t>
            </w:r>
          </w:p>
        </w:tc>
        <w:tc>
          <w:tcPr>
            <w:tcW w:w="1968" w:type="dxa"/>
            <w:tcBorders>
              <w:top w:val="nil"/>
              <w:left w:val="nil"/>
              <w:bottom w:val="single" w:sz="4" w:space="0" w:color="auto"/>
              <w:right w:val="nil"/>
            </w:tcBorders>
            <w:shd w:val="clear" w:color="auto" w:fill="auto"/>
            <w:noWrap/>
            <w:vAlign w:val="center"/>
            <w:hideMark/>
          </w:tcPr>
          <w:p w14:paraId="55D02EC0"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EpCAM; Murine IgG2a</w:t>
            </w:r>
          </w:p>
        </w:tc>
        <w:tc>
          <w:tcPr>
            <w:tcW w:w="3174" w:type="dxa"/>
            <w:tcBorders>
              <w:top w:val="nil"/>
              <w:left w:val="nil"/>
              <w:bottom w:val="single" w:sz="4" w:space="0" w:color="auto"/>
              <w:right w:val="nil"/>
            </w:tcBorders>
            <w:shd w:val="clear" w:color="auto" w:fill="auto"/>
            <w:noWrap/>
            <w:vAlign w:val="center"/>
            <w:hideMark/>
          </w:tcPr>
          <w:p w14:paraId="2E9E6A45"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Colorectal cancer</w:t>
            </w:r>
          </w:p>
        </w:tc>
        <w:tc>
          <w:tcPr>
            <w:tcW w:w="1177" w:type="dxa"/>
            <w:tcBorders>
              <w:top w:val="nil"/>
              <w:left w:val="nil"/>
              <w:bottom w:val="single" w:sz="4" w:space="0" w:color="auto"/>
              <w:right w:val="nil"/>
            </w:tcBorders>
            <w:shd w:val="clear" w:color="auto" w:fill="auto"/>
            <w:noWrap/>
            <w:vAlign w:val="center"/>
            <w:hideMark/>
          </w:tcPr>
          <w:p w14:paraId="0E5FAFD6"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NA (US); 1995* (EU)</w:t>
            </w:r>
          </w:p>
        </w:tc>
        <w:tc>
          <w:tcPr>
            <w:tcW w:w="2662" w:type="dxa"/>
            <w:tcBorders>
              <w:top w:val="nil"/>
              <w:left w:val="nil"/>
              <w:bottom w:val="single" w:sz="4" w:space="0" w:color="auto"/>
              <w:right w:val="nil"/>
            </w:tcBorders>
            <w:shd w:val="clear" w:color="auto" w:fill="auto"/>
            <w:vAlign w:val="center"/>
            <w:hideMark/>
          </w:tcPr>
          <w:p w14:paraId="07E96542" w14:textId="77777777" w:rsidR="00E1130C" w:rsidRPr="00E1130C" w:rsidRDefault="00E1130C" w:rsidP="00DB0820">
            <w:pPr>
              <w:rPr>
                <w:rFonts w:ascii="Arial" w:eastAsia="Times New Roman" w:hAnsi="Arial" w:cs="Arial"/>
                <w:color w:val="000000"/>
                <w:sz w:val="16"/>
                <w:szCs w:val="16"/>
                <w:lang w:val="en-HK" w:eastAsia="zh-CN"/>
              </w:rPr>
            </w:pPr>
            <w:r w:rsidRPr="00E1130C">
              <w:rPr>
                <w:rFonts w:ascii="Arial" w:eastAsia="Times New Roman" w:hAnsi="Arial" w:cs="Arial"/>
                <w:color w:val="000000"/>
                <w:sz w:val="16"/>
                <w:szCs w:val="16"/>
                <w:lang w:val="en-HK" w:eastAsia="zh-CN"/>
              </w:rPr>
              <w:t>Discontinued</w:t>
            </w:r>
          </w:p>
        </w:tc>
      </w:tr>
      <w:tr w:rsidR="00E1130C" w:rsidRPr="00E1130C" w14:paraId="5EAE37F9" w14:textId="77777777" w:rsidTr="008B22FD">
        <w:trPr>
          <w:trHeight w:val="204"/>
        </w:trPr>
        <w:tc>
          <w:tcPr>
            <w:tcW w:w="13534" w:type="dxa"/>
            <w:gridSpan w:val="7"/>
            <w:tcBorders>
              <w:top w:val="single" w:sz="4" w:space="0" w:color="auto"/>
              <w:left w:val="nil"/>
              <w:bottom w:val="nil"/>
              <w:right w:val="nil"/>
            </w:tcBorders>
            <w:shd w:val="clear" w:color="auto" w:fill="auto"/>
            <w:noWrap/>
            <w:vAlign w:val="center"/>
            <w:hideMark/>
          </w:tcPr>
          <w:p w14:paraId="5BC5D1D0" w14:textId="12EDC40B" w:rsidR="00733856" w:rsidRPr="00F50FCF" w:rsidRDefault="00733856" w:rsidP="00DB0820">
            <w:pPr>
              <w:rPr>
                <w:color w:val="000000"/>
                <w:sz w:val="16"/>
                <w:szCs w:val="16"/>
                <w:lang w:val="en-HK" w:eastAsia="zh-CN"/>
              </w:rPr>
            </w:pPr>
          </w:p>
          <w:p w14:paraId="2FD021D2" w14:textId="2E3253CE" w:rsidR="00E1130C" w:rsidRPr="00E1130C" w:rsidRDefault="00E1130C" w:rsidP="00DB0820">
            <w:pPr>
              <w:rPr>
                <w:rFonts w:eastAsia="Times New Roman"/>
                <w:color w:val="000000"/>
                <w:sz w:val="16"/>
                <w:szCs w:val="16"/>
                <w:lang w:val="en-HK" w:eastAsia="zh-CN"/>
              </w:rPr>
            </w:pPr>
            <w:r w:rsidRPr="00E1130C">
              <w:rPr>
                <w:rFonts w:eastAsia="Times New Roman"/>
                <w:color w:val="000000"/>
                <w:sz w:val="16"/>
                <w:szCs w:val="16"/>
                <w:lang w:val="en-HK" w:eastAsia="zh-CN"/>
              </w:rPr>
              <w:t>Notes: ORR: overall response rate; CRR: complete response rate; CR: complete response; PFS: progression-free survival; OS: overall survival; DFS: disease-free survival; RFS: recurrence-free survival; CBR: clinical benefit rate; mCRC: metastatic colonrectal cancer; Disease control rate: DCR; MRD: minimal residual disease</w:t>
            </w:r>
          </w:p>
        </w:tc>
      </w:tr>
      <w:tr w:rsidR="00E1130C" w:rsidRPr="00E1130C" w14:paraId="2B887114" w14:textId="77777777" w:rsidTr="008B22FD">
        <w:trPr>
          <w:trHeight w:val="204"/>
        </w:trPr>
        <w:tc>
          <w:tcPr>
            <w:tcW w:w="3323" w:type="dxa"/>
            <w:gridSpan w:val="2"/>
            <w:tcBorders>
              <w:top w:val="nil"/>
              <w:left w:val="nil"/>
              <w:bottom w:val="nil"/>
              <w:right w:val="nil"/>
            </w:tcBorders>
            <w:shd w:val="clear" w:color="auto" w:fill="auto"/>
            <w:noWrap/>
            <w:vAlign w:val="center"/>
            <w:hideMark/>
          </w:tcPr>
          <w:p w14:paraId="5CA63E9F" w14:textId="77777777" w:rsidR="00E1130C" w:rsidRPr="00E1130C" w:rsidRDefault="00E1130C" w:rsidP="00DB0820">
            <w:pPr>
              <w:rPr>
                <w:rFonts w:eastAsia="Times New Roman"/>
                <w:color w:val="000000"/>
                <w:sz w:val="16"/>
                <w:szCs w:val="16"/>
                <w:lang w:val="en-HK" w:eastAsia="zh-CN"/>
              </w:rPr>
            </w:pPr>
            <w:r w:rsidRPr="00E1130C">
              <w:rPr>
                <w:rFonts w:eastAsia="Times New Roman"/>
                <w:color w:val="000000"/>
                <w:sz w:val="16"/>
                <w:szCs w:val="16"/>
                <w:lang w:val="en-HK" w:eastAsia="zh-CN"/>
              </w:rPr>
              <w:t>Data source: https://www.antibodysociety.org.</w:t>
            </w:r>
          </w:p>
        </w:tc>
        <w:tc>
          <w:tcPr>
            <w:tcW w:w="1230" w:type="dxa"/>
            <w:tcBorders>
              <w:top w:val="nil"/>
              <w:left w:val="nil"/>
              <w:bottom w:val="nil"/>
              <w:right w:val="nil"/>
            </w:tcBorders>
            <w:shd w:val="clear" w:color="auto" w:fill="auto"/>
            <w:noWrap/>
            <w:vAlign w:val="center"/>
            <w:hideMark/>
          </w:tcPr>
          <w:p w14:paraId="70BD3A91" w14:textId="77777777" w:rsidR="00E1130C" w:rsidRPr="00E1130C" w:rsidRDefault="00E1130C" w:rsidP="00DB0820">
            <w:pPr>
              <w:rPr>
                <w:rFonts w:eastAsia="Times New Roman"/>
                <w:color w:val="000000"/>
                <w:sz w:val="16"/>
                <w:szCs w:val="16"/>
                <w:lang w:val="en-HK" w:eastAsia="zh-CN"/>
              </w:rPr>
            </w:pPr>
          </w:p>
        </w:tc>
        <w:tc>
          <w:tcPr>
            <w:tcW w:w="1968" w:type="dxa"/>
            <w:tcBorders>
              <w:top w:val="nil"/>
              <w:left w:val="nil"/>
              <w:bottom w:val="nil"/>
              <w:right w:val="nil"/>
            </w:tcBorders>
            <w:shd w:val="clear" w:color="auto" w:fill="auto"/>
            <w:noWrap/>
            <w:vAlign w:val="center"/>
            <w:hideMark/>
          </w:tcPr>
          <w:p w14:paraId="267CC097" w14:textId="77777777" w:rsidR="00E1130C" w:rsidRPr="00E1130C" w:rsidRDefault="00E1130C" w:rsidP="00DB0820">
            <w:pPr>
              <w:rPr>
                <w:rFonts w:eastAsia="Times New Roman"/>
                <w:sz w:val="20"/>
                <w:lang w:val="en-HK" w:eastAsia="zh-CN"/>
              </w:rPr>
            </w:pPr>
          </w:p>
        </w:tc>
        <w:tc>
          <w:tcPr>
            <w:tcW w:w="3174" w:type="dxa"/>
            <w:tcBorders>
              <w:top w:val="nil"/>
              <w:left w:val="nil"/>
              <w:bottom w:val="nil"/>
              <w:right w:val="nil"/>
            </w:tcBorders>
            <w:shd w:val="clear" w:color="auto" w:fill="auto"/>
            <w:noWrap/>
            <w:vAlign w:val="center"/>
            <w:hideMark/>
          </w:tcPr>
          <w:p w14:paraId="1AF53AB2" w14:textId="77777777" w:rsidR="00E1130C" w:rsidRPr="00E1130C" w:rsidRDefault="00E1130C" w:rsidP="00DB0820">
            <w:pPr>
              <w:rPr>
                <w:rFonts w:eastAsia="Times New Roman"/>
                <w:sz w:val="20"/>
                <w:lang w:val="en-HK" w:eastAsia="zh-CN"/>
              </w:rPr>
            </w:pPr>
          </w:p>
        </w:tc>
        <w:tc>
          <w:tcPr>
            <w:tcW w:w="1177" w:type="dxa"/>
            <w:tcBorders>
              <w:top w:val="nil"/>
              <w:left w:val="nil"/>
              <w:bottom w:val="nil"/>
              <w:right w:val="nil"/>
            </w:tcBorders>
            <w:shd w:val="clear" w:color="auto" w:fill="auto"/>
            <w:noWrap/>
            <w:vAlign w:val="center"/>
            <w:hideMark/>
          </w:tcPr>
          <w:p w14:paraId="4CD99056" w14:textId="77777777" w:rsidR="00E1130C" w:rsidRPr="00E1130C" w:rsidRDefault="00E1130C" w:rsidP="00DB0820">
            <w:pPr>
              <w:rPr>
                <w:rFonts w:eastAsia="Times New Roman"/>
                <w:sz w:val="20"/>
                <w:lang w:val="en-HK" w:eastAsia="zh-CN"/>
              </w:rPr>
            </w:pPr>
          </w:p>
        </w:tc>
        <w:tc>
          <w:tcPr>
            <w:tcW w:w="2662" w:type="dxa"/>
            <w:tcBorders>
              <w:top w:val="nil"/>
              <w:left w:val="nil"/>
              <w:bottom w:val="nil"/>
              <w:right w:val="nil"/>
            </w:tcBorders>
            <w:shd w:val="clear" w:color="auto" w:fill="auto"/>
            <w:vAlign w:val="center"/>
            <w:hideMark/>
          </w:tcPr>
          <w:p w14:paraId="51830CA2" w14:textId="77777777" w:rsidR="00E1130C" w:rsidRPr="00E1130C" w:rsidRDefault="00E1130C" w:rsidP="00DB0820">
            <w:pPr>
              <w:rPr>
                <w:rFonts w:eastAsia="Times New Roman"/>
                <w:sz w:val="20"/>
                <w:lang w:val="en-HK" w:eastAsia="zh-CN"/>
              </w:rPr>
            </w:pPr>
          </w:p>
        </w:tc>
      </w:tr>
    </w:tbl>
    <w:p w14:paraId="0DE756E1" w14:textId="77777777" w:rsidR="008B22FD" w:rsidRDefault="008B22FD">
      <w:r>
        <w:br w:type="page"/>
      </w:r>
    </w:p>
    <w:tbl>
      <w:tblPr>
        <w:tblW w:w="13534" w:type="dxa"/>
        <w:tblLook w:val="04A0" w:firstRow="1" w:lastRow="0" w:firstColumn="1" w:lastColumn="0" w:noHBand="0" w:noVBand="1"/>
      </w:tblPr>
      <w:tblGrid>
        <w:gridCol w:w="3323"/>
        <w:gridCol w:w="1230"/>
        <w:gridCol w:w="1968"/>
        <w:gridCol w:w="3174"/>
        <w:gridCol w:w="1177"/>
        <w:gridCol w:w="2662"/>
      </w:tblGrid>
      <w:tr w:rsidR="008B22FD" w:rsidRPr="00E1130C" w14:paraId="57C3E4CB" w14:textId="77777777" w:rsidTr="008B22FD">
        <w:trPr>
          <w:trHeight w:val="204"/>
        </w:trPr>
        <w:tc>
          <w:tcPr>
            <w:tcW w:w="3323" w:type="dxa"/>
            <w:tcBorders>
              <w:top w:val="nil"/>
              <w:left w:val="nil"/>
              <w:bottom w:val="nil"/>
              <w:right w:val="nil"/>
            </w:tcBorders>
            <w:shd w:val="clear" w:color="auto" w:fill="auto"/>
            <w:noWrap/>
            <w:vAlign w:val="center"/>
          </w:tcPr>
          <w:p w14:paraId="26FCE0E0" w14:textId="112D3217" w:rsidR="008B22FD" w:rsidRPr="00E1130C" w:rsidRDefault="008B22FD" w:rsidP="00DB0820">
            <w:pPr>
              <w:rPr>
                <w:rFonts w:eastAsia="Times New Roman"/>
                <w:color w:val="000000"/>
                <w:sz w:val="16"/>
                <w:szCs w:val="16"/>
                <w:lang w:val="en-HK" w:eastAsia="zh-CN"/>
              </w:rPr>
            </w:pPr>
          </w:p>
        </w:tc>
        <w:tc>
          <w:tcPr>
            <w:tcW w:w="1230" w:type="dxa"/>
            <w:tcBorders>
              <w:top w:val="nil"/>
              <w:left w:val="nil"/>
              <w:bottom w:val="nil"/>
              <w:right w:val="nil"/>
            </w:tcBorders>
            <w:shd w:val="clear" w:color="auto" w:fill="auto"/>
            <w:noWrap/>
            <w:vAlign w:val="center"/>
          </w:tcPr>
          <w:p w14:paraId="4E4BACF1" w14:textId="77777777" w:rsidR="008B22FD" w:rsidRPr="00E1130C" w:rsidRDefault="008B22FD" w:rsidP="00DB0820">
            <w:pPr>
              <w:rPr>
                <w:rFonts w:eastAsia="Times New Roman"/>
                <w:color w:val="000000"/>
                <w:sz w:val="16"/>
                <w:szCs w:val="16"/>
                <w:lang w:val="en-HK" w:eastAsia="zh-CN"/>
              </w:rPr>
            </w:pPr>
          </w:p>
        </w:tc>
        <w:tc>
          <w:tcPr>
            <w:tcW w:w="1968" w:type="dxa"/>
            <w:tcBorders>
              <w:top w:val="nil"/>
              <w:left w:val="nil"/>
              <w:bottom w:val="nil"/>
              <w:right w:val="nil"/>
            </w:tcBorders>
            <w:shd w:val="clear" w:color="auto" w:fill="auto"/>
            <w:noWrap/>
            <w:vAlign w:val="center"/>
          </w:tcPr>
          <w:p w14:paraId="483682E6" w14:textId="77777777" w:rsidR="008B22FD" w:rsidRPr="00E1130C" w:rsidRDefault="008B22FD" w:rsidP="00DB0820">
            <w:pPr>
              <w:rPr>
                <w:rFonts w:eastAsia="Times New Roman"/>
                <w:sz w:val="20"/>
                <w:lang w:val="en-HK" w:eastAsia="zh-CN"/>
              </w:rPr>
            </w:pPr>
          </w:p>
        </w:tc>
        <w:tc>
          <w:tcPr>
            <w:tcW w:w="3174" w:type="dxa"/>
            <w:tcBorders>
              <w:top w:val="nil"/>
              <w:left w:val="nil"/>
              <w:bottom w:val="nil"/>
              <w:right w:val="nil"/>
            </w:tcBorders>
            <w:shd w:val="clear" w:color="auto" w:fill="auto"/>
            <w:noWrap/>
            <w:vAlign w:val="center"/>
          </w:tcPr>
          <w:p w14:paraId="6E489A3A" w14:textId="77777777" w:rsidR="008B22FD" w:rsidRPr="00E1130C" w:rsidRDefault="008B22FD" w:rsidP="00DB0820">
            <w:pPr>
              <w:rPr>
                <w:rFonts w:eastAsia="Times New Roman"/>
                <w:sz w:val="20"/>
                <w:lang w:val="en-HK" w:eastAsia="zh-CN"/>
              </w:rPr>
            </w:pPr>
          </w:p>
        </w:tc>
        <w:tc>
          <w:tcPr>
            <w:tcW w:w="1177" w:type="dxa"/>
            <w:tcBorders>
              <w:top w:val="nil"/>
              <w:left w:val="nil"/>
              <w:bottom w:val="nil"/>
              <w:right w:val="nil"/>
            </w:tcBorders>
            <w:shd w:val="clear" w:color="auto" w:fill="auto"/>
            <w:noWrap/>
            <w:vAlign w:val="center"/>
          </w:tcPr>
          <w:p w14:paraId="725199C1" w14:textId="77777777" w:rsidR="008B22FD" w:rsidRPr="00E1130C" w:rsidRDefault="008B22FD" w:rsidP="00DB0820">
            <w:pPr>
              <w:rPr>
                <w:rFonts w:eastAsia="Times New Roman"/>
                <w:sz w:val="20"/>
                <w:lang w:val="en-HK" w:eastAsia="zh-CN"/>
              </w:rPr>
            </w:pPr>
          </w:p>
        </w:tc>
        <w:tc>
          <w:tcPr>
            <w:tcW w:w="2662" w:type="dxa"/>
            <w:tcBorders>
              <w:top w:val="nil"/>
              <w:left w:val="nil"/>
              <w:bottom w:val="nil"/>
              <w:right w:val="nil"/>
            </w:tcBorders>
            <w:shd w:val="clear" w:color="auto" w:fill="auto"/>
            <w:vAlign w:val="center"/>
          </w:tcPr>
          <w:p w14:paraId="3F847687" w14:textId="77777777" w:rsidR="008B22FD" w:rsidRPr="00E1130C" w:rsidRDefault="008B22FD" w:rsidP="00DB0820">
            <w:pPr>
              <w:rPr>
                <w:rFonts w:eastAsia="Times New Roman"/>
                <w:sz w:val="20"/>
                <w:lang w:val="en-HK" w:eastAsia="zh-CN"/>
              </w:rPr>
            </w:pPr>
          </w:p>
        </w:tc>
      </w:tr>
    </w:tbl>
    <w:p w14:paraId="605B1901" w14:textId="3FD8B4CA" w:rsidR="00015F74" w:rsidRDefault="00015F74" w:rsidP="00B9440A">
      <w:pPr>
        <w:pStyle w:val="SMHeading"/>
        <w:rPr>
          <w:lang w:eastAsia="zh-CN"/>
        </w:rPr>
      </w:pPr>
      <w:r>
        <w:t>Table S2.</w:t>
      </w:r>
      <w:r w:rsidR="00E51AFD">
        <w:rPr>
          <w:rFonts w:hint="eastAsia"/>
          <w:lang w:eastAsia="zh-CN"/>
        </w:rPr>
        <w:t xml:space="preserve"> </w:t>
      </w:r>
      <w:r w:rsidR="00257A68" w:rsidRPr="00257A68">
        <w:rPr>
          <w:lang w:eastAsia="zh-CN"/>
        </w:rPr>
        <w:t xml:space="preserve">Summarized </w:t>
      </w:r>
      <w:r w:rsidR="00257A68">
        <w:rPr>
          <w:rFonts w:hint="eastAsia"/>
          <w:lang w:eastAsia="zh-CN"/>
        </w:rPr>
        <w:t>mRNA</w:t>
      </w:r>
      <w:r w:rsidR="00257A68" w:rsidRPr="00257A68">
        <w:rPr>
          <w:lang w:eastAsia="zh-CN"/>
        </w:rPr>
        <w:t xml:space="preserve"> candidates under clinical investigation for the treatment of cancer</w:t>
      </w:r>
    </w:p>
    <w:tbl>
      <w:tblPr>
        <w:tblW w:w="13958" w:type="dxa"/>
        <w:tblLook w:val="04A0" w:firstRow="1" w:lastRow="0" w:firstColumn="1" w:lastColumn="0" w:noHBand="0" w:noVBand="1"/>
      </w:tblPr>
      <w:tblGrid>
        <w:gridCol w:w="861"/>
        <w:gridCol w:w="1354"/>
        <w:gridCol w:w="1483"/>
        <w:gridCol w:w="1377"/>
        <w:gridCol w:w="591"/>
        <w:gridCol w:w="2048"/>
        <w:gridCol w:w="1574"/>
        <w:gridCol w:w="1152"/>
        <w:gridCol w:w="1006"/>
        <w:gridCol w:w="1006"/>
        <w:gridCol w:w="740"/>
        <w:gridCol w:w="766"/>
      </w:tblGrid>
      <w:tr w:rsidR="000A6EBE" w:rsidRPr="000A6EBE" w14:paraId="1FA4801D" w14:textId="77777777" w:rsidTr="00AB1828">
        <w:trPr>
          <w:trHeight w:val="360"/>
        </w:trPr>
        <w:tc>
          <w:tcPr>
            <w:tcW w:w="861" w:type="dxa"/>
            <w:tcBorders>
              <w:top w:val="single" w:sz="4" w:space="0" w:color="auto"/>
              <w:left w:val="nil"/>
              <w:bottom w:val="single" w:sz="4" w:space="0" w:color="auto"/>
              <w:right w:val="nil"/>
            </w:tcBorders>
            <w:shd w:val="clear" w:color="auto" w:fill="auto"/>
            <w:noWrap/>
            <w:vAlign w:val="center"/>
            <w:hideMark/>
          </w:tcPr>
          <w:p w14:paraId="428726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 Number</w:t>
            </w:r>
          </w:p>
        </w:tc>
        <w:tc>
          <w:tcPr>
            <w:tcW w:w="1354" w:type="dxa"/>
            <w:tcBorders>
              <w:top w:val="single" w:sz="4" w:space="0" w:color="auto"/>
              <w:left w:val="nil"/>
              <w:bottom w:val="single" w:sz="4" w:space="0" w:color="auto"/>
              <w:right w:val="nil"/>
            </w:tcBorders>
            <w:shd w:val="clear" w:color="auto" w:fill="auto"/>
            <w:noWrap/>
            <w:vAlign w:val="center"/>
            <w:hideMark/>
          </w:tcPr>
          <w:p w14:paraId="55CC06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Title</w:t>
            </w:r>
          </w:p>
        </w:tc>
        <w:tc>
          <w:tcPr>
            <w:tcW w:w="1483" w:type="dxa"/>
            <w:tcBorders>
              <w:top w:val="single" w:sz="4" w:space="0" w:color="auto"/>
              <w:left w:val="nil"/>
              <w:bottom w:val="single" w:sz="4" w:space="0" w:color="auto"/>
              <w:right w:val="nil"/>
            </w:tcBorders>
            <w:shd w:val="clear" w:color="auto" w:fill="auto"/>
            <w:noWrap/>
            <w:vAlign w:val="center"/>
            <w:hideMark/>
          </w:tcPr>
          <w:p w14:paraId="0F237DA1"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Study Status</w:t>
            </w:r>
          </w:p>
        </w:tc>
        <w:tc>
          <w:tcPr>
            <w:tcW w:w="1689" w:type="dxa"/>
            <w:tcBorders>
              <w:top w:val="single" w:sz="4" w:space="0" w:color="auto"/>
              <w:left w:val="nil"/>
              <w:bottom w:val="single" w:sz="4" w:space="0" w:color="auto"/>
              <w:right w:val="nil"/>
            </w:tcBorders>
            <w:shd w:val="clear" w:color="auto" w:fill="auto"/>
            <w:noWrap/>
            <w:vAlign w:val="center"/>
            <w:hideMark/>
          </w:tcPr>
          <w:p w14:paraId="5F974461"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Brief Summary</w:t>
            </w:r>
          </w:p>
        </w:tc>
        <w:tc>
          <w:tcPr>
            <w:tcW w:w="279" w:type="dxa"/>
            <w:tcBorders>
              <w:top w:val="single" w:sz="4" w:space="0" w:color="auto"/>
              <w:left w:val="nil"/>
              <w:bottom w:val="single" w:sz="4" w:space="0" w:color="auto"/>
              <w:right w:val="nil"/>
            </w:tcBorders>
            <w:shd w:val="clear" w:color="auto" w:fill="auto"/>
            <w:noWrap/>
            <w:vAlign w:val="center"/>
            <w:hideMark/>
          </w:tcPr>
          <w:p w14:paraId="49273499"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Study Results</w:t>
            </w:r>
          </w:p>
        </w:tc>
        <w:tc>
          <w:tcPr>
            <w:tcW w:w="2048" w:type="dxa"/>
            <w:tcBorders>
              <w:top w:val="single" w:sz="4" w:space="0" w:color="auto"/>
              <w:left w:val="nil"/>
              <w:bottom w:val="single" w:sz="4" w:space="0" w:color="auto"/>
              <w:right w:val="nil"/>
            </w:tcBorders>
            <w:shd w:val="clear" w:color="auto" w:fill="auto"/>
            <w:noWrap/>
            <w:vAlign w:val="center"/>
            <w:hideMark/>
          </w:tcPr>
          <w:p w14:paraId="0019B8FD"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Conditions</w:t>
            </w:r>
          </w:p>
        </w:tc>
        <w:tc>
          <w:tcPr>
            <w:tcW w:w="1574" w:type="dxa"/>
            <w:tcBorders>
              <w:top w:val="single" w:sz="4" w:space="0" w:color="auto"/>
              <w:left w:val="nil"/>
              <w:bottom w:val="single" w:sz="4" w:space="0" w:color="auto"/>
              <w:right w:val="nil"/>
            </w:tcBorders>
            <w:shd w:val="clear" w:color="auto" w:fill="auto"/>
            <w:noWrap/>
            <w:vAlign w:val="center"/>
            <w:hideMark/>
          </w:tcPr>
          <w:p w14:paraId="75DA687F"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Interventions</w:t>
            </w:r>
          </w:p>
        </w:tc>
        <w:tc>
          <w:tcPr>
            <w:tcW w:w="1152" w:type="dxa"/>
            <w:tcBorders>
              <w:top w:val="single" w:sz="4" w:space="0" w:color="auto"/>
              <w:left w:val="nil"/>
              <w:bottom w:val="single" w:sz="4" w:space="0" w:color="auto"/>
              <w:right w:val="nil"/>
            </w:tcBorders>
            <w:shd w:val="clear" w:color="auto" w:fill="auto"/>
            <w:noWrap/>
            <w:vAlign w:val="center"/>
            <w:hideMark/>
          </w:tcPr>
          <w:p w14:paraId="56E7BEE2"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Sponsor</w:t>
            </w:r>
          </w:p>
        </w:tc>
        <w:tc>
          <w:tcPr>
            <w:tcW w:w="1006" w:type="dxa"/>
            <w:tcBorders>
              <w:top w:val="single" w:sz="4" w:space="0" w:color="auto"/>
              <w:left w:val="nil"/>
              <w:bottom w:val="single" w:sz="4" w:space="0" w:color="auto"/>
              <w:right w:val="nil"/>
            </w:tcBorders>
            <w:shd w:val="clear" w:color="auto" w:fill="auto"/>
            <w:noWrap/>
            <w:vAlign w:val="center"/>
            <w:hideMark/>
          </w:tcPr>
          <w:p w14:paraId="1392B733"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Phases</w:t>
            </w:r>
          </w:p>
        </w:tc>
        <w:tc>
          <w:tcPr>
            <w:tcW w:w="1006" w:type="dxa"/>
            <w:tcBorders>
              <w:top w:val="single" w:sz="4" w:space="0" w:color="auto"/>
              <w:left w:val="nil"/>
              <w:bottom w:val="single" w:sz="4" w:space="0" w:color="auto"/>
              <w:right w:val="nil"/>
            </w:tcBorders>
            <w:shd w:val="clear" w:color="auto" w:fill="auto"/>
            <w:noWrap/>
            <w:vAlign w:val="center"/>
            <w:hideMark/>
          </w:tcPr>
          <w:p w14:paraId="7E8AE3DC"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Study Type</w:t>
            </w:r>
          </w:p>
        </w:tc>
        <w:tc>
          <w:tcPr>
            <w:tcW w:w="740" w:type="dxa"/>
            <w:tcBorders>
              <w:top w:val="single" w:sz="4" w:space="0" w:color="auto"/>
              <w:left w:val="nil"/>
              <w:bottom w:val="single" w:sz="4" w:space="0" w:color="auto"/>
              <w:right w:val="nil"/>
            </w:tcBorders>
            <w:shd w:val="clear" w:color="auto" w:fill="auto"/>
            <w:noWrap/>
            <w:vAlign w:val="center"/>
            <w:hideMark/>
          </w:tcPr>
          <w:p w14:paraId="315461F0"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Start Date</w:t>
            </w:r>
          </w:p>
        </w:tc>
        <w:tc>
          <w:tcPr>
            <w:tcW w:w="766" w:type="dxa"/>
            <w:tcBorders>
              <w:top w:val="single" w:sz="4" w:space="0" w:color="auto"/>
              <w:left w:val="nil"/>
              <w:bottom w:val="single" w:sz="4" w:space="0" w:color="auto"/>
              <w:right w:val="nil"/>
            </w:tcBorders>
            <w:shd w:val="clear" w:color="auto" w:fill="auto"/>
            <w:noWrap/>
            <w:vAlign w:val="center"/>
            <w:hideMark/>
          </w:tcPr>
          <w:p w14:paraId="0D3E0723" w14:textId="77777777" w:rsidR="000A6EBE" w:rsidRPr="000A6EBE" w:rsidRDefault="000A6EBE" w:rsidP="000A6EBE">
            <w:pPr>
              <w:rPr>
                <w:rFonts w:ascii="Aptos Narrow" w:eastAsia="Times New Roman" w:hAnsi="Aptos Narrow"/>
                <w:color w:val="000000"/>
                <w:sz w:val="18"/>
                <w:szCs w:val="18"/>
                <w:lang w:val="en-HK" w:eastAsia="zh-CN"/>
              </w:rPr>
            </w:pPr>
            <w:r w:rsidRPr="000A6EBE">
              <w:rPr>
                <w:rFonts w:ascii="Aptos Narrow" w:eastAsia="Times New Roman" w:hAnsi="Aptos Narrow"/>
                <w:color w:val="000000"/>
                <w:sz w:val="18"/>
                <w:szCs w:val="18"/>
                <w:lang w:val="en-HK" w:eastAsia="zh-CN"/>
              </w:rPr>
              <w:t>Annotation</w:t>
            </w:r>
          </w:p>
        </w:tc>
      </w:tr>
      <w:tr w:rsidR="000A6EBE" w:rsidRPr="000A6EBE" w14:paraId="4F29A267" w14:textId="77777777" w:rsidTr="00AB1828">
        <w:trPr>
          <w:trHeight w:val="360"/>
        </w:trPr>
        <w:tc>
          <w:tcPr>
            <w:tcW w:w="861" w:type="dxa"/>
            <w:tcBorders>
              <w:top w:val="nil"/>
              <w:left w:val="nil"/>
              <w:bottom w:val="nil"/>
              <w:right w:val="nil"/>
            </w:tcBorders>
            <w:shd w:val="clear" w:color="auto" w:fill="auto"/>
            <w:noWrap/>
            <w:vAlign w:val="center"/>
            <w:hideMark/>
          </w:tcPr>
          <w:p w14:paraId="04D3AD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NCT06079346</w:t>
            </w:r>
          </w:p>
        </w:tc>
        <w:tc>
          <w:tcPr>
            <w:tcW w:w="1354" w:type="dxa"/>
            <w:tcBorders>
              <w:top w:val="nil"/>
              <w:left w:val="nil"/>
              <w:bottom w:val="nil"/>
              <w:right w:val="nil"/>
            </w:tcBorders>
            <w:shd w:val="clear" w:color="auto" w:fill="auto"/>
            <w:noWrap/>
            <w:vAlign w:val="center"/>
            <w:hideMark/>
          </w:tcPr>
          <w:p w14:paraId="47B1271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OT-101 With mFOLFIRINOX in Patients With Advanced and Unresectable or Metastatic Pancreatic Cancer</w:t>
            </w:r>
          </w:p>
        </w:tc>
        <w:tc>
          <w:tcPr>
            <w:tcW w:w="1483" w:type="dxa"/>
            <w:tcBorders>
              <w:top w:val="nil"/>
              <w:left w:val="nil"/>
              <w:bottom w:val="nil"/>
              <w:right w:val="nil"/>
            </w:tcBorders>
            <w:shd w:val="clear" w:color="auto" w:fill="auto"/>
            <w:noWrap/>
            <w:vAlign w:val="center"/>
            <w:hideMark/>
          </w:tcPr>
          <w:p w14:paraId="72352D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7D1E0A1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goal of this clinical study is to compare the efficacy and safety of OT-101 in combination with mFOLFIRINOX (folinic acid, 5-FU, irinotecan, oxaliplatin) to mFOLFIRINOX alone in patients with advanced and unresectable or metastatic pancreatic cancer.</w:t>
            </w:r>
          </w:p>
        </w:tc>
        <w:tc>
          <w:tcPr>
            <w:tcW w:w="279" w:type="dxa"/>
            <w:tcBorders>
              <w:top w:val="nil"/>
              <w:left w:val="nil"/>
              <w:bottom w:val="nil"/>
              <w:right w:val="nil"/>
            </w:tcBorders>
            <w:shd w:val="clear" w:color="auto" w:fill="auto"/>
            <w:noWrap/>
            <w:vAlign w:val="center"/>
            <w:hideMark/>
          </w:tcPr>
          <w:p w14:paraId="047608D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F3F17D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Pancreatic Ductal Adenocarcinoma</w:t>
            </w:r>
          </w:p>
        </w:tc>
        <w:tc>
          <w:tcPr>
            <w:tcW w:w="1574" w:type="dxa"/>
            <w:tcBorders>
              <w:top w:val="nil"/>
              <w:left w:val="nil"/>
              <w:bottom w:val="nil"/>
              <w:right w:val="nil"/>
            </w:tcBorders>
            <w:shd w:val="clear" w:color="auto" w:fill="auto"/>
            <w:noWrap/>
            <w:vAlign w:val="center"/>
            <w:hideMark/>
          </w:tcPr>
          <w:p w14:paraId="72839D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OT-101|DRUG: mFOLFIRINOX</w:t>
            </w:r>
          </w:p>
        </w:tc>
        <w:tc>
          <w:tcPr>
            <w:tcW w:w="1152" w:type="dxa"/>
            <w:tcBorders>
              <w:top w:val="nil"/>
              <w:left w:val="nil"/>
              <w:bottom w:val="nil"/>
              <w:right w:val="nil"/>
            </w:tcBorders>
            <w:shd w:val="clear" w:color="auto" w:fill="auto"/>
            <w:noWrap/>
            <w:vAlign w:val="center"/>
            <w:hideMark/>
          </w:tcPr>
          <w:p w14:paraId="3E2DE4A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Oncotelic Inc.</w:t>
            </w:r>
          </w:p>
        </w:tc>
        <w:tc>
          <w:tcPr>
            <w:tcW w:w="1006" w:type="dxa"/>
            <w:tcBorders>
              <w:top w:val="nil"/>
              <w:left w:val="nil"/>
              <w:bottom w:val="nil"/>
              <w:right w:val="nil"/>
            </w:tcBorders>
            <w:shd w:val="clear" w:color="auto" w:fill="auto"/>
            <w:noWrap/>
            <w:vAlign w:val="center"/>
            <w:hideMark/>
          </w:tcPr>
          <w:p w14:paraId="01A9B32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PHASE2|PHASE3</w:t>
            </w:r>
          </w:p>
        </w:tc>
        <w:tc>
          <w:tcPr>
            <w:tcW w:w="1006" w:type="dxa"/>
            <w:tcBorders>
              <w:top w:val="nil"/>
              <w:left w:val="nil"/>
              <w:bottom w:val="nil"/>
              <w:right w:val="nil"/>
            </w:tcBorders>
            <w:shd w:val="clear" w:color="auto" w:fill="auto"/>
            <w:noWrap/>
            <w:vAlign w:val="center"/>
            <w:hideMark/>
          </w:tcPr>
          <w:p w14:paraId="664AF33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461CEE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01/05/2024</w:t>
            </w:r>
          </w:p>
        </w:tc>
        <w:tc>
          <w:tcPr>
            <w:tcW w:w="766" w:type="dxa"/>
            <w:tcBorders>
              <w:top w:val="nil"/>
              <w:left w:val="nil"/>
              <w:bottom w:val="nil"/>
              <w:right w:val="nil"/>
            </w:tcBorders>
            <w:shd w:val="clear" w:color="auto" w:fill="auto"/>
            <w:noWrap/>
            <w:vAlign w:val="center"/>
            <w:hideMark/>
          </w:tcPr>
          <w:p w14:paraId="174BB9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7E33E01" w14:textId="77777777" w:rsidTr="00AB1828">
        <w:trPr>
          <w:trHeight w:val="360"/>
        </w:trPr>
        <w:tc>
          <w:tcPr>
            <w:tcW w:w="861" w:type="dxa"/>
            <w:tcBorders>
              <w:top w:val="nil"/>
              <w:left w:val="nil"/>
              <w:bottom w:val="nil"/>
              <w:right w:val="nil"/>
            </w:tcBorders>
            <w:shd w:val="clear" w:color="auto" w:fill="auto"/>
            <w:noWrap/>
            <w:vAlign w:val="center"/>
            <w:hideMark/>
          </w:tcPr>
          <w:p w14:paraId="0B481E5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NCT06307431</w:t>
            </w:r>
          </w:p>
        </w:tc>
        <w:tc>
          <w:tcPr>
            <w:tcW w:w="1354" w:type="dxa"/>
            <w:tcBorders>
              <w:top w:val="nil"/>
              <w:left w:val="nil"/>
              <w:bottom w:val="nil"/>
              <w:right w:val="nil"/>
            </w:tcBorders>
            <w:shd w:val="clear" w:color="auto" w:fill="auto"/>
            <w:noWrap/>
            <w:vAlign w:val="center"/>
            <w:hideMark/>
          </w:tcPr>
          <w:p w14:paraId="68BFB5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Adjuvant V940 and Pembrolizumab in Renal Cell Carcinoma (V940-004)</w:t>
            </w:r>
          </w:p>
        </w:tc>
        <w:tc>
          <w:tcPr>
            <w:tcW w:w="1483" w:type="dxa"/>
            <w:tcBorders>
              <w:top w:val="nil"/>
              <w:left w:val="nil"/>
              <w:bottom w:val="nil"/>
              <w:right w:val="nil"/>
            </w:tcBorders>
            <w:shd w:val="clear" w:color="auto" w:fill="auto"/>
            <w:noWrap/>
            <w:vAlign w:val="center"/>
            <w:hideMark/>
          </w:tcPr>
          <w:p w14:paraId="1D96A8E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37DACE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primary objective of the study is to compare V940 plus pembrolizumab to placebo plus pembrolizumab with respect to disease-free survival (DFS) as assessed by the investigator. The primary hypothesis is that V940 plus pembrolizumab is superior to placebo plus </w:t>
            </w:r>
            <w:r w:rsidRPr="000A6EBE">
              <w:rPr>
                <w:rFonts w:ascii="Aptos Narrow" w:eastAsia="Times New Roman" w:hAnsi="Aptos Narrow"/>
                <w:color w:val="000000"/>
                <w:sz w:val="16"/>
                <w:szCs w:val="16"/>
                <w:lang w:val="en-HK" w:eastAsia="zh-CN"/>
              </w:rPr>
              <w:lastRenderedPageBreak/>
              <w:t>pembrolizumab with respect to DFS.</w:t>
            </w:r>
          </w:p>
        </w:tc>
        <w:tc>
          <w:tcPr>
            <w:tcW w:w="279" w:type="dxa"/>
            <w:tcBorders>
              <w:top w:val="nil"/>
              <w:left w:val="nil"/>
              <w:bottom w:val="nil"/>
              <w:right w:val="nil"/>
            </w:tcBorders>
            <w:shd w:val="clear" w:color="auto" w:fill="auto"/>
            <w:noWrap/>
            <w:vAlign w:val="center"/>
            <w:hideMark/>
          </w:tcPr>
          <w:p w14:paraId="60311F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787D14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Renal Cell Carcinoma</w:t>
            </w:r>
          </w:p>
        </w:tc>
        <w:tc>
          <w:tcPr>
            <w:tcW w:w="1574" w:type="dxa"/>
            <w:tcBorders>
              <w:top w:val="nil"/>
              <w:left w:val="nil"/>
              <w:bottom w:val="nil"/>
              <w:right w:val="nil"/>
            </w:tcBorders>
            <w:shd w:val="clear" w:color="auto" w:fill="auto"/>
            <w:noWrap/>
            <w:vAlign w:val="center"/>
            <w:hideMark/>
          </w:tcPr>
          <w:p w14:paraId="10748F8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V940|BIOLOGICAL: Pembrolizumab|BIOLOGICAL: Placebo</w:t>
            </w:r>
          </w:p>
        </w:tc>
        <w:tc>
          <w:tcPr>
            <w:tcW w:w="1152" w:type="dxa"/>
            <w:tcBorders>
              <w:top w:val="nil"/>
              <w:left w:val="nil"/>
              <w:bottom w:val="nil"/>
              <w:right w:val="nil"/>
            </w:tcBorders>
            <w:shd w:val="clear" w:color="auto" w:fill="auto"/>
            <w:noWrap/>
            <w:vAlign w:val="center"/>
            <w:hideMark/>
          </w:tcPr>
          <w:p w14:paraId="62B1DA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Merck Sharp &amp; Dohme LLC</w:t>
            </w:r>
          </w:p>
        </w:tc>
        <w:tc>
          <w:tcPr>
            <w:tcW w:w="1006" w:type="dxa"/>
            <w:tcBorders>
              <w:top w:val="nil"/>
              <w:left w:val="nil"/>
              <w:bottom w:val="nil"/>
              <w:right w:val="nil"/>
            </w:tcBorders>
            <w:shd w:val="clear" w:color="auto" w:fill="auto"/>
            <w:noWrap/>
            <w:vAlign w:val="center"/>
            <w:hideMark/>
          </w:tcPr>
          <w:p w14:paraId="5C2762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6DF204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8A4748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22/04/2024</w:t>
            </w:r>
          </w:p>
        </w:tc>
        <w:tc>
          <w:tcPr>
            <w:tcW w:w="766" w:type="dxa"/>
            <w:tcBorders>
              <w:top w:val="nil"/>
              <w:left w:val="nil"/>
              <w:bottom w:val="nil"/>
              <w:right w:val="nil"/>
            </w:tcBorders>
            <w:shd w:val="clear" w:color="auto" w:fill="auto"/>
            <w:noWrap/>
            <w:vAlign w:val="center"/>
            <w:hideMark/>
          </w:tcPr>
          <w:p w14:paraId="58163B0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878FEE9" w14:textId="77777777" w:rsidTr="00AB1828">
        <w:trPr>
          <w:trHeight w:val="360"/>
        </w:trPr>
        <w:tc>
          <w:tcPr>
            <w:tcW w:w="861" w:type="dxa"/>
            <w:tcBorders>
              <w:top w:val="nil"/>
              <w:left w:val="nil"/>
              <w:bottom w:val="nil"/>
              <w:right w:val="nil"/>
            </w:tcBorders>
            <w:shd w:val="clear" w:color="auto" w:fill="auto"/>
            <w:noWrap/>
            <w:vAlign w:val="center"/>
            <w:hideMark/>
          </w:tcPr>
          <w:p w14:paraId="13CE8A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NCT06295809</w:t>
            </w:r>
          </w:p>
        </w:tc>
        <w:tc>
          <w:tcPr>
            <w:tcW w:w="1354" w:type="dxa"/>
            <w:tcBorders>
              <w:top w:val="nil"/>
              <w:left w:val="nil"/>
              <w:bottom w:val="nil"/>
              <w:right w:val="nil"/>
            </w:tcBorders>
            <w:shd w:val="clear" w:color="auto" w:fill="auto"/>
            <w:noWrap/>
            <w:vAlign w:val="center"/>
            <w:hideMark/>
          </w:tcPr>
          <w:p w14:paraId="75A8E2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(Neo)Adjuvant V940 and Pembrolizumab in Cutaneous Squamous Cell Carcinoma (V940-007)</w:t>
            </w:r>
          </w:p>
        </w:tc>
        <w:tc>
          <w:tcPr>
            <w:tcW w:w="1483" w:type="dxa"/>
            <w:tcBorders>
              <w:top w:val="nil"/>
              <w:left w:val="nil"/>
              <w:bottom w:val="nil"/>
              <w:right w:val="nil"/>
            </w:tcBorders>
            <w:shd w:val="clear" w:color="auto" w:fill="auto"/>
            <w:noWrap/>
            <w:vAlign w:val="center"/>
            <w:hideMark/>
          </w:tcPr>
          <w:p w14:paraId="6B16B74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6180F6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two-part (Phase 2/Phase 3) study of V940, an individualized neoantigen therapy (INT), plus pembrolizumab in participants with locally resectable advanced cutaneous squamous cell carcinoma (LA cSCC). Phase 2 has three arms V940 plus pembrolizumab given as neoadjuvant and adjuvant treatment with standard of care (SOC), standard of care (surgical resection with/without adjuvant radiation therapy (RT) only at investigator's discretion) and pembrolizumab monotherapy given as neoadjuvant and adjuvant treatment with SOC. This phase will assess the safety and efficacy of V940 in combination with pembrolizumab </w:t>
            </w:r>
            <w:r w:rsidRPr="000A6EBE">
              <w:rPr>
                <w:rFonts w:ascii="Aptos Narrow" w:eastAsia="Times New Roman" w:hAnsi="Aptos Narrow"/>
                <w:color w:val="000000"/>
                <w:sz w:val="16"/>
                <w:szCs w:val="16"/>
                <w:lang w:val="en-HK" w:eastAsia="zh-CN"/>
              </w:rPr>
              <w:lastRenderedPageBreak/>
              <w:t>as neoadjuvant and adjuvant therapy in participants with resectable LA cSCC as compared to standard of care SOC only. The primary hypothesis is that V940 plus pembrolizumab with SOC is superior to SOC only with respect to event free survival (EFS) as assessed by the investigator. Phase 3 expansion will be determined by prespecified Go-No-Go decision in which 412 additional participants will be randomized to V940 plus pembrolizumab with SOC and SOC only, without changing the inclusion/exclusion criteria for the additional enrollment or study endpoints.</w:t>
            </w:r>
          </w:p>
        </w:tc>
        <w:tc>
          <w:tcPr>
            <w:tcW w:w="279" w:type="dxa"/>
            <w:tcBorders>
              <w:top w:val="nil"/>
              <w:left w:val="nil"/>
              <w:bottom w:val="nil"/>
              <w:right w:val="nil"/>
            </w:tcBorders>
            <w:shd w:val="clear" w:color="auto" w:fill="auto"/>
            <w:noWrap/>
            <w:vAlign w:val="center"/>
            <w:hideMark/>
          </w:tcPr>
          <w:p w14:paraId="2B806E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908AE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Carcinoma, Squamous Cell|Skin Neoplasms</w:t>
            </w:r>
          </w:p>
        </w:tc>
        <w:tc>
          <w:tcPr>
            <w:tcW w:w="1574" w:type="dxa"/>
            <w:tcBorders>
              <w:top w:val="nil"/>
              <w:left w:val="nil"/>
              <w:bottom w:val="nil"/>
              <w:right w:val="nil"/>
            </w:tcBorders>
            <w:shd w:val="clear" w:color="auto" w:fill="auto"/>
            <w:noWrap/>
            <w:vAlign w:val="center"/>
            <w:hideMark/>
          </w:tcPr>
          <w:p w14:paraId="5D1B165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Pembrolizumab|BIOLOGICAL: V940|PROCEDURE: Surgery</w:t>
            </w:r>
          </w:p>
        </w:tc>
        <w:tc>
          <w:tcPr>
            <w:tcW w:w="1152" w:type="dxa"/>
            <w:tcBorders>
              <w:top w:val="nil"/>
              <w:left w:val="nil"/>
              <w:bottom w:val="nil"/>
              <w:right w:val="nil"/>
            </w:tcBorders>
            <w:shd w:val="clear" w:color="auto" w:fill="auto"/>
            <w:noWrap/>
            <w:vAlign w:val="center"/>
            <w:hideMark/>
          </w:tcPr>
          <w:p w14:paraId="7334666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Merck Sharp &amp; Dohme LLC</w:t>
            </w:r>
          </w:p>
        </w:tc>
        <w:tc>
          <w:tcPr>
            <w:tcW w:w="1006" w:type="dxa"/>
            <w:tcBorders>
              <w:top w:val="nil"/>
              <w:left w:val="nil"/>
              <w:bottom w:val="nil"/>
              <w:right w:val="nil"/>
            </w:tcBorders>
            <w:shd w:val="clear" w:color="auto" w:fill="auto"/>
            <w:noWrap/>
            <w:vAlign w:val="center"/>
            <w:hideMark/>
          </w:tcPr>
          <w:p w14:paraId="3C49B8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PHASE2|PHASE3</w:t>
            </w:r>
          </w:p>
        </w:tc>
        <w:tc>
          <w:tcPr>
            <w:tcW w:w="1006" w:type="dxa"/>
            <w:tcBorders>
              <w:top w:val="nil"/>
              <w:left w:val="nil"/>
              <w:bottom w:val="nil"/>
              <w:right w:val="nil"/>
            </w:tcBorders>
            <w:shd w:val="clear" w:color="auto" w:fill="auto"/>
            <w:noWrap/>
            <w:vAlign w:val="center"/>
            <w:hideMark/>
          </w:tcPr>
          <w:p w14:paraId="733588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7D245E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18/04/2024</w:t>
            </w:r>
          </w:p>
        </w:tc>
        <w:tc>
          <w:tcPr>
            <w:tcW w:w="766" w:type="dxa"/>
            <w:tcBorders>
              <w:top w:val="nil"/>
              <w:left w:val="nil"/>
              <w:bottom w:val="nil"/>
              <w:right w:val="nil"/>
            </w:tcBorders>
            <w:shd w:val="clear" w:color="auto" w:fill="auto"/>
            <w:noWrap/>
            <w:vAlign w:val="center"/>
            <w:hideMark/>
          </w:tcPr>
          <w:p w14:paraId="08CFD70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2AC0A8D" w14:textId="77777777" w:rsidTr="00AB1828">
        <w:trPr>
          <w:trHeight w:val="360"/>
        </w:trPr>
        <w:tc>
          <w:tcPr>
            <w:tcW w:w="861" w:type="dxa"/>
            <w:tcBorders>
              <w:top w:val="nil"/>
              <w:left w:val="nil"/>
              <w:bottom w:val="nil"/>
              <w:right w:val="nil"/>
            </w:tcBorders>
            <w:shd w:val="clear" w:color="auto" w:fill="auto"/>
            <w:noWrap/>
            <w:vAlign w:val="center"/>
            <w:hideMark/>
          </w:tcPr>
          <w:p w14:paraId="44D802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NCT06305767</w:t>
            </w:r>
          </w:p>
        </w:tc>
        <w:tc>
          <w:tcPr>
            <w:tcW w:w="1354" w:type="dxa"/>
            <w:tcBorders>
              <w:top w:val="nil"/>
              <w:left w:val="nil"/>
              <w:bottom w:val="nil"/>
              <w:right w:val="nil"/>
            </w:tcBorders>
            <w:shd w:val="clear" w:color="auto" w:fill="auto"/>
            <w:noWrap/>
            <w:vAlign w:val="center"/>
            <w:hideMark/>
          </w:tcPr>
          <w:p w14:paraId="2DE656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 Study of Pembrolizumab (MK-3475) Plus V940 in Participants With Bladder Cancer Post-Radical </w:t>
            </w:r>
            <w:r w:rsidRPr="000A6EBE">
              <w:rPr>
                <w:rFonts w:ascii="Aptos Narrow" w:eastAsia="Times New Roman" w:hAnsi="Aptos Narrow"/>
                <w:color w:val="000000"/>
                <w:sz w:val="16"/>
                <w:szCs w:val="16"/>
                <w:lang w:val="en-HK" w:eastAsia="zh-CN"/>
              </w:rPr>
              <w:lastRenderedPageBreak/>
              <w:t>Resection (V940-005)</w:t>
            </w:r>
          </w:p>
        </w:tc>
        <w:tc>
          <w:tcPr>
            <w:tcW w:w="1483" w:type="dxa"/>
            <w:tcBorders>
              <w:top w:val="nil"/>
              <w:left w:val="nil"/>
              <w:bottom w:val="nil"/>
              <w:right w:val="nil"/>
            </w:tcBorders>
            <w:shd w:val="clear" w:color="auto" w:fill="auto"/>
            <w:noWrap/>
            <w:vAlign w:val="center"/>
            <w:hideMark/>
          </w:tcPr>
          <w:p w14:paraId="788E7BD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NOT_YET_RECRUITING</w:t>
            </w:r>
          </w:p>
        </w:tc>
        <w:tc>
          <w:tcPr>
            <w:tcW w:w="1689" w:type="dxa"/>
            <w:tcBorders>
              <w:top w:val="nil"/>
              <w:left w:val="nil"/>
              <w:bottom w:val="nil"/>
              <w:right w:val="nil"/>
            </w:tcBorders>
            <w:shd w:val="clear" w:color="auto" w:fill="auto"/>
            <w:noWrap/>
            <w:vAlign w:val="center"/>
            <w:hideMark/>
          </w:tcPr>
          <w:p w14:paraId="0D311A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study is to assess the safety and efficacy of V940 in combination with pembrolizumab </w:t>
            </w:r>
            <w:r w:rsidRPr="000A6EBE">
              <w:rPr>
                <w:rFonts w:ascii="Aptos Narrow" w:eastAsia="Times New Roman" w:hAnsi="Aptos Narrow"/>
                <w:color w:val="000000"/>
                <w:sz w:val="16"/>
                <w:szCs w:val="16"/>
                <w:lang w:val="en-HK" w:eastAsia="zh-CN"/>
              </w:rPr>
              <w:lastRenderedPageBreak/>
              <w:t>(MK-3475) compared to pembrolizumab alone as an adjuvant treatment for participants with pathologic high-risk muscle-invasive urothelial carcinoma (MIUC) after radical resection. The primary study hypothesis is that V940 in combination with pembrolizumab results in a superior disease-free survival (DFS) as assessed by the investigator compared to pembrolizumab alone in participants with high-risk MIUC after radical resection.</w:t>
            </w:r>
          </w:p>
        </w:tc>
        <w:tc>
          <w:tcPr>
            <w:tcW w:w="279" w:type="dxa"/>
            <w:tcBorders>
              <w:top w:val="nil"/>
              <w:left w:val="nil"/>
              <w:bottom w:val="nil"/>
              <w:right w:val="nil"/>
            </w:tcBorders>
            <w:shd w:val="clear" w:color="auto" w:fill="auto"/>
            <w:noWrap/>
            <w:vAlign w:val="center"/>
            <w:hideMark/>
          </w:tcPr>
          <w:p w14:paraId="2FD394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306C5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Bladder Cancer</w:t>
            </w:r>
          </w:p>
        </w:tc>
        <w:tc>
          <w:tcPr>
            <w:tcW w:w="1574" w:type="dxa"/>
            <w:tcBorders>
              <w:top w:val="nil"/>
              <w:left w:val="nil"/>
              <w:bottom w:val="nil"/>
              <w:right w:val="nil"/>
            </w:tcBorders>
            <w:shd w:val="clear" w:color="auto" w:fill="auto"/>
            <w:noWrap/>
            <w:vAlign w:val="center"/>
            <w:hideMark/>
          </w:tcPr>
          <w:p w14:paraId="15D211C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Pembrolizumab|BIOLOGICAL: V940|OTHER: Placebo</w:t>
            </w:r>
          </w:p>
        </w:tc>
        <w:tc>
          <w:tcPr>
            <w:tcW w:w="1152" w:type="dxa"/>
            <w:tcBorders>
              <w:top w:val="nil"/>
              <w:left w:val="nil"/>
              <w:bottom w:val="nil"/>
              <w:right w:val="nil"/>
            </w:tcBorders>
            <w:shd w:val="clear" w:color="auto" w:fill="auto"/>
            <w:noWrap/>
            <w:vAlign w:val="center"/>
            <w:hideMark/>
          </w:tcPr>
          <w:p w14:paraId="370054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Merck Sharp &amp; Dohme LLC</w:t>
            </w:r>
          </w:p>
        </w:tc>
        <w:tc>
          <w:tcPr>
            <w:tcW w:w="1006" w:type="dxa"/>
            <w:tcBorders>
              <w:top w:val="nil"/>
              <w:left w:val="nil"/>
              <w:bottom w:val="nil"/>
              <w:right w:val="nil"/>
            </w:tcBorders>
            <w:shd w:val="clear" w:color="auto" w:fill="auto"/>
            <w:noWrap/>
            <w:vAlign w:val="center"/>
            <w:hideMark/>
          </w:tcPr>
          <w:p w14:paraId="22A884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35F2EE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3B9F15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08/04/2024</w:t>
            </w:r>
          </w:p>
        </w:tc>
        <w:tc>
          <w:tcPr>
            <w:tcW w:w="766" w:type="dxa"/>
            <w:tcBorders>
              <w:top w:val="nil"/>
              <w:left w:val="nil"/>
              <w:bottom w:val="nil"/>
              <w:right w:val="nil"/>
            </w:tcBorders>
            <w:shd w:val="clear" w:color="auto" w:fill="auto"/>
            <w:noWrap/>
            <w:vAlign w:val="center"/>
            <w:hideMark/>
          </w:tcPr>
          <w:p w14:paraId="4F6CF9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294586D" w14:textId="77777777" w:rsidTr="00AB1828">
        <w:trPr>
          <w:trHeight w:val="360"/>
        </w:trPr>
        <w:tc>
          <w:tcPr>
            <w:tcW w:w="861" w:type="dxa"/>
            <w:tcBorders>
              <w:top w:val="nil"/>
              <w:left w:val="nil"/>
              <w:bottom w:val="nil"/>
              <w:right w:val="nil"/>
            </w:tcBorders>
            <w:shd w:val="clear" w:color="auto" w:fill="auto"/>
            <w:noWrap/>
            <w:vAlign w:val="center"/>
            <w:hideMark/>
          </w:tcPr>
          <w:p w14:paraId="3D1D8A6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NCT06309485</w:t>
            </w:r>
          </w:p>
        </w:tc>
        <w:tc>
          <w:tcPr>
            <w:tcW w:w="1354" w:type="dxa"/>
            <w:tcBorders>
              <w:top w:val="nil"/>
              <w:left w:val="nil"/>
              <w:bottom w:val="nil"/>
              <w:right w:val="nil"/>
            </w:tcBorders>
            <w:shd w:val="clear" w:color="auto" w:fill="auto"/>
            <w:noWrap/>
            <w:vAlign w:val="center"/>
            <w:hideMark/>
          </w:tcPr>
          <w:p w14:paraId="315380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2 Study of WGI-0301 in Combination With Sorafenib for Advanced HCC</w:t>
            </w:r>
          </w:p>
        </w:tc>
        <w:tc>
          <w:tcPr>
            <w:tcW w:w="1483" w:type="dxa"/>
            <w:tcBorders>
              <w:top w:val="nil"/>
              <w:left w:val="nil"/>
              <w:bottom w:val="nil"/>
              <w:right w:val="nil"/>
            </w:tcBorders>
            <w:shd w:val="clear" w:color="auto" w:fill="auto"/>
            <w:noWrap/>
            <w:vAlign w:val="center"/>
            <w:hideMark/>
          </w:tcPr>
          <w:p w14:paraId="6B7CAF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296BCA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study is to determine the MTD of WGI-0301 in combination with Sorafenib for advanced Hepatocellular Carcinoma (HCC) and assess its safety and efficacy in adults with advanced unresectable HCC who have previously </w:t>
            </w:r>
            <w:r w:rsidRPr="000A6EBE">
              <w:rPr>
                <w:rFonts w:ascii="Aptos Narrow" w:eastAsia="Times New Roman" w:hAnsi="Aptos Narrow"/>
                <w:color w:val="000000"/>
                <w:sz w:val="16"/>
                <w:szCs w:val="16"/>
                <w:lang w:val="en-HK" w:eastAsia="zh-CN"/>
              </w:rPr>
              <w:lastRenderedPageBreak/>
              <w:t>received PD-1 / PD-L1 immune checkpoint inhibitors.</w:t>
            </w:r>
          </w:p>
        </w:tc>
        <w:tc>
          <w:tcPr>
            <w:tcW w:w="279" w:type="dxa"/>
            <w:tcBorders>
              <w:top w:val="nil"/>
              <w:left w:val="nil"/>
              <w:bottom w:val="nil"/>
              <w:right w:val="nil"/>
            </w:tcBorders>
            <w:shd w:val="clear" w:color="auto" w:fill="auto"/>
            <w:noWrap/>
            <w:vAlign w:val="center"/>
            <w:hideMark/>
          </w:tcPr>
          <w:p w14:paraId="27417D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689E8F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Hepatocellular Carcinoma (HCC)</w:t>
            </w:r>
          </w:p>
        </w:tc>
        <w:tc>
          <w:tcPr>
            <w:tcW w:w="1574" w:type="dxa"/>
            <w:tcBorders>
              <w:top w:val="nil"/>
              <w:left w:val="nil"/>
              <w:bottom w:val="nil"/>
              <w:right w:val="nil"/>
            </w:tcBorders>
            <w:shd w:val="clear" w:color="auto" w:fill="auto"/>
            <w:noWrap/>
            <w:vAlign w:val="center"/>
            <w:hideMark/>
          </w:tcPr>
          <w:p w14:paraId="43BBE23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WGI-0301 at MTD/RP2D dose IV infusion, QW|DRUG: WGI-0301 at MTD/RP2D -1 dose IV infusion, QW|DRUG: Sorafenib 400 mg PO, BID continuously|DRUG: Sorafenib 400 mg PO, BID</w:t>
            </w:r>
          </w:p>
        </w:tc>
        <w:tc>
          <w:tcPr>
            <w:tcW w:w="1152" w:type="dxa"/>
            <w:tcBorders>
              <w:top w:val="nil"/>
              <w:left w:val="nil"/>
              <w:bottom w:val="nil"/>
              <w:right w:val="nil"/>
            </w:tcBorders>
            <w:shd w:val="clear" w:color="auto" w:fill="auto"/>
            <w:noWrap/>
            <w:vAlign w:val="center"/>
            <w:hideMark/>
          </w:tcPr>
          <w:p w14:paraId="19E31E1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Zhejiang Haichang Biotech Co., Ltd.</w:t>
            </w:r>
          </w:p>
        </w:tc>
        <w:tc>
          <w:tcPr>
            <w:tcW w:w="1006" w:type="dxa"/>
            <w:tcBorders>
              <w:top w:val="nil"/>
              <w:left w:val="nil"/>
              <w:bottom w:val="nil"/>
              <w:right w:val="nil"/>
            </w:tcBorders>
            <w:shd w:val="clear" w:color="auto" w:fill="auto"/>
            <w:noWrap/>
            <w:vAlign w:val="center"/>
            <w:hideMark/>
          </w:tcPr>
          <w:p w14:paraId="39055F3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1E21E6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582140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01/04/2024</w:t>
            </w:r>
          </w:p>
        </w:tc>
        <w:tc>
          <w:tcPr>
            <w:tcW w:w="766" w:type="dxa"/>
            <w:tcBorders>
              <w:top w:val="nil"/>
              <w:left w:val="nil"/>
              <w:bottom w:val="nil"/>
              <w:right w:val="nil"/>
            </w:tcBorders>
            <w:shd w:val="clear" w:color="auto" w:fill="auto"/>
            <w:noWrap/>
            <w:vAlign w:val="center"/>
            <w:hideMark/>
          </w:tcPr>
          <w:p w14:paraId="3A470B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9D764AA" w14:textId="77777777" w:rsidTr="00AB1828">
        <w:trPr>
          <w:trHeight w:val="360"/>
        </w:trPr>
        <w:tc>
          <w:tcPr>
            <w:tcW w:w="861" w:type="dxa"/>
            <w:tcBorders>
              <w:top w:val="nil"/>
              <w:left w:val="nil"/>
              <w:bottom w:val="nil"/>
              <w:right w:val="nil"/>
            </w:tcBorders>
            <w:shd w:val="clear" w:color="auto" w:fill="auto"/>
            <w:noWrap/>
            <w:vAlign w:val="center"/>
            <w:hideMark/>
          </w:tcPr>
          <w:p w14:paraId="20112C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NCT06249048</w:t>
            </w:r>
          </w:p>
        </w:tc>
        <w:tc>
          <w:tcPr>
            <w:tcW w:w="1354" w:type="dxa"/>
            <w:tcBorders>
              <w:top w:val="nil"/>
              <w:left w:val="nil"/>
              <w:bottom w:val="nil"/>
              <w:right w:val="nil"/>
            </w:tcBorders>
            <w:shd w:val="clear" w:color="auto" w:fill="auto"/>
            <w:noWrap/>
            <w:vAlign w:val="center"/>
            <w:hideMark/>
          </w:tcPr>
          <w:p w14:paraId="4DEEDC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IT STX-001 in Patients With Advanced Solid Tumors as Monotherapy or in Combination With Pembrolizumab</w:t>
            </w:r>
          </w:p>
        </w:tc>
        <w:tc>
          <w:tcPr>
            <w:tcW w:w="1483" w:type="dxa"/>
            <w:tcBorders>
              <w:top w:val="nil"/>
              <w:left w:val="nil"/>
              <w:bottom w:val="nil"/>
              <w:right w:val="nil"/>
            </w:tcBorders>
            <w:shd w:val="clear" w:color="auto" w:fill="auto"/>
            <w:noWrap/>
            <w:vAlign w:val="center"/>
            <w:hideMark/>
          </w:tcPr>
          <w:p w14:paraId="5F8192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08CCBF3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1/2, Open-label, Multi-center, First-in-human Study of the Safety, Tolerability, Pharmacokinetics, Pharmacodynamics and Anti-tumor Activity of STX-001 Delivered by Intratumoral Injection in Patients with Advanced Solid Tumors as a Monotherapy or in Combination with Pembrolizumab</w:t>
            </w:r>
          </w:p>
        </w:tc>
        <w:tc>
          <w:tcPr>
            <w:tcW w:w="279" w:type="dxa"/>
            <w:tcBorders>
              <w:top w:val="nil"/>
              <w:left w:val="nil"/>
              <w:bottom w:val="nil"/>
              <w:right w:val="nil"/>
            </w:tcBorders>
            <w:shd w:val="clear" w:color="auto" w:fill="auto"/>
            <w:noWrap/>
            <w:vAlign w:val="center"/>
            <w:hideMark/>
          </w:tcPr>
          <w:p w14:paraId="31CF4C5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8B046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Solid Tumor</w:t>
            </w:r>
          </w:p>
        </w:tc>
        <w:tc>
          <w:tcPr>
            <w:tcW w:w="1574" w:type="dxa"/>
            <w:tcBorders>
              <w:top w:val="nil"/>
              <w:left w:val="nil"/>
              <w:bottom w:val="nil"/>
              <w:right w:val="nil"/>
            </w:tcBorders>
            <w:shd w:val="clear" w:color="auto" w:fill="auto"/>
            <w:noWrap/>
            <w:vAlign w:val="center"/>
            <w:hideMark/>
          </w:tcPr>
          <w:p w14:paraId="1D7C2D2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STX-001|BIOLOGICAL: Keytruda</w:t>
            </w:r>
          </w:p>
        </w:tc>
        <w:tc>
          <w:tcPr>
            <w:tcW w:w="1152" w:type="dxa"/>
            <w:tcBorders>
              <w:top w:val="nil"/>
              <w:left w:val="nil"/>
              <w:bottom w:val="nil"/>
              <w:right w:val="nil"/>
            </w:tcBorders>
            <w:shd w:val="clear" w:color="auto" w:fill="auto"/>
            <w:noWrap/>
            <w:vAlign w:val="center"/>
            <w:hideMark/>
          </w:tcPr>
          <w:p w14:paraId="3FDCEF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Strand Therapeutics Inc.</w:t>
            </w:r>
          </w:p>
        </w:tc>
        <w:tc>
          <w:tcPr>
            <w:tcW w:w="1006" w:type="dxa"/>
            <w:tcBorders>
              <w:top w:val="nil"/>
              <w:left w:val="nil"/>
              <w:bottom w:val="nil"/>
              <w:right w:val="nil"/>
            </w:tcBorders>
            <w:shd w:val="clear" w:color="auto" w:fill="auto"/>
            <w:noWrap/>
            <w:vAlign w:val="center"/>
            <w:hideMark/>
          </w:tcPr>
          <w:p w14:paraId="19CECD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2DAECC1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5D97736"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01/04/2024</w:t>
            </w:r>
          </w:p>
        </w:tc>
        <w:tc>
          <w:tcPr>
            <w:tcW w:w="766" w:type="dxa"/>
            <w:tcBorders>
              <w:top w:val="nil"/>
              <w:left w:val="nil"/>
              <w:bottom w:val="nil"/>
              <w:right w:val="nil"/>
            </w:tcBorders>
            <w:shd w:val="clear" w:color="auto" w:fill="auto"/>
            <w:noWrap/>
            <w:vAlign w:val="center"/>
            <w:hideMark/>
          </w:tcPr>
          <w:p w14:paraId="22BF241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4E2ABA82" w14:textId="77777777" w:rsidTr="00AB1828">
        <w:trPr>
          <w:trHeight w:val="360"/>
        </w:trPr>
        <w:tc>
          <w:tcPr>
            <w:tcW w:w="861" w:type="dxa"/>
            <w:tcBorders>
              <w:top w:val="nil"/>
              <w:left w:val="nil"/>
              <w:bottom w:val="nil"/>
              <w:right w:val="nil"/>
            </w:tcBorders>
            <w:shd w:val="clear" w:color="auto" w:fill="auto"/>
            <w:noWrap/>
            <w:vAlign w:val="center"/>
            <w:hideMark/>
          </w:tcPr>
          <w:p w14:paraId="773D81F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NCT06301321</w:t>
            </w:r>
          </w:p>
        </w:tc>
        <w:tc>
          <w:tcPr>
            <w:tcW w:w="1354" w:type="dxa"/>
            <w:tcBorders>
              <w:top w:val="nil"/>
              <w:left w:val="nil"/>
              <w:bottom w:val="nil"/>
              <w:right w:val="nil"/>
            </w:tcBorders>
            <w:shd w:val="clear" w:color="auto" w:fill="auto"/>
            <w:noWrap/>
            <w:vAlign w:val="center"/>
            <w:hideMark/>
          </w:tcPr>
          <w:p w14:paraId="0DB06B2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Evaluation and Comparison of BCR-ABL p210 mRNA Transcripts (%IS Unit) Results Between Dr. PCRBCR-ABL1 Major IS Detection Kit (Optolane) and QXDxBCR-ABL %IS Kit (Bio-Rad) in Chronic Myeloid Leukemia Patients</w:t>
            </w:r>
          </w:p>
        </w:tc>
        <w:tc>
          <w:tcPr>
            <w:tcW w:w="1483" w:type="dxa"/>
            <w:tcBorders>
              <w:top w:val="nil"/>
              <w:left w:val="nil"/>
              <w:bottom w:val="nil"/>
              <w:right w:val="nil"/>
            </w:tcBorders>
            <w:shd w:val="clear" w:color="auto" w:fill="auto"/>
            <w:noWrap/>
            <w:vAlign w:val="center"/>
            <w:hideMark/>
          </w:tcPr>
          <w:p w14:paraId="440C73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2CC6C3C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Today, there are many commercial kits for detecting BCR-ABL fusion transcripts. The QXDxBCR-ABL %IS kit (Bio-Rad, Hercules, CA, USA) is the first ddPCR-based in vitro diagnostics (IVD) product with the US Food and Drug Administration clearance and European Conformity (CE) mark which launched in 2017. Dr. PCRBCR-ABL1 Major IS </w:t>
            </w:r>
            <w:r w:rsidRPr="000A6EBE">
              <w:rPr>
                <w:rFonts w:ascii="Aptos Narrow" w:eastAsia="Times New Roman" w:hAnsi="Aptos Narrow"/>
                <w:color w:val="000000"/>
                <w:sz w:val="16"/>
                <w:szCs w:val="16"/>
                <w:lang w:val="en-HK" w:eastAsia="zh-CN"/>
              </w:rPr>
              <w:lastRenderedPageBreak/>
              <w:t>Detection Kit (Optolane, South Korea) is one of CE-IVD commercial kits based on digital RT-PCR. Both commercial kits are digital PCR-based, also evaluated their correlation, pros and cons in order for users to select a reagents kit that are appropriate for themselves.</w:t>
            </w:r>
          </w:p>
        </w:tc>
        <w:tc>
          <w:tcPr>
            <w:tcW w:w="279" w:type="dxa"/>
            <w:tcBorders>
              <w:top w:val="nil"/>
              <w:left w:val="nil"/>
              <w:bottom w:val="nil"/>
              <w:right w:val="nil"/>
            </w:tcBorders>
            <w:shd w:val="clear" w:color="auto" w:fill="auto"/>
            <w:noWrap/>
            <w:vAlign w:val="center"/>
            <w:hideMark/>
          </w:tcPr>
          <w:p w14:paraId="60525E5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3622" w:type="dxa"/>
            <w:gridSpan w:val="2"/>
            <w:tcBorders>
              <w:top w:val="nil"/>
              <w:left w:val="nil"/>
              <w:bottom w:val="nil"/>
              <w:right w:val="nil"/>
            </w:tcBorders>
            <w:shd w:val="clear" w:color="auto" w:fill="auto"/>
            <w:noWrap/>
            <w:vAlign w:val="center"/>
            <w:hideMark/>
          </w:tcPr>
          <w:p w14:paraId="52FB469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Chronic Myelogenous Leukemia</w:t>
            </w:r>
          </w:p>
        </w:tc>
        <w:tc>
          <w:tcPr>
            <w:tcW w:w="2158" w:type="dxa"/>
            <w:gridSpan w:val="2"/>
            <w:tcBorders>
              <w:top w:val="nil"/>
              <w:left w:val="nil"/>
              <w:bottom w:val="nil"/>
              <w:right w:val="nil"/>
            </w:tcBorders>
            <w:shd w:val="clear" w:color="auto" w:fill="auto"/>
            <w:noWrap/>
            <w:vAlign w:val="center"/>
            <w:hideMark/>
          </w:tcPr>
          <w:p w14:paraId="0CD0E8A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Siriraj Hospital</w:t>
            </w:r>
          </w:p>
        </w:tc>
        <w:tc>
          <w:tcPr>
            <w:tcW w:w="1006" w:type="dxa"/>
            <w:tcBorders>
              <w:top w:val="nil"/>
              <w:left w:val="nil"/>
              <w:bottom w:val="nil"/>
              <w:right w:val="nil"/>
            </w:tcBorders>
            <w:shd w:val="clear" w:color="auto" w:fill="auto"/>
            <w:noWrap/>
            <w:vAlign w:val="center"/>
            <w:hideMark/>
          </w:tcPr>
          <w:p w14:paraId="457A0C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7640A52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20/03/2024</w:t>
            </w:r>
          </w:p>
        </w:tc>
        <w:tc>
          <w:tcPr>
            <w:tcW w:w="766" w:type="dxa"/>
            <w:tcBorders>
              <w:top w:val="nil"/>
              <w:left w:val="nil"/>
              <w:bottom w:val="nil"/>
              <w:right w:val="nil"/>
            </w:tcBorders>
            <w:shd w:val="clear" w:color="auto" w:fill="auto"/>
            <w:noWrap/>
            <w:vAlign w:val="center"/>
            <w:hideMark/>
          </w:tcPr>
          <w:p w14:paraId="290C0B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41B2362" w14:textId="77777777" w:rsidTr="00AB1828">
        <w:trPr>
          <w:trHeight w:val="360"/>
        </w:trPr>
        <w:tc>
          <w:tcPr>
            <w:tcW w:w="861" w:type="dxa"/>
            <w:tcBorders>
              <w:top w:val="nil"/>
              <w:left w:val="nil"/>
              <w:bottom w:val="nil"/>
              <w:right w:val="nil"/>
            </w:tcBorders>
            <w:shd w:val="clear" w:color="auto" w:fill="auto"/>
            <w:noWrap/>
            <w:vAlign w:val="center"/>
            <w:hideMark/>
          </w:tcPr>
          <w:p w14:paraId="5841E23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NCT06297941</w:t>
            </w:r>
          </w:p>
        </w:tc>
        <w:tc>
          <w:tcPr>
            <w:tcW w:w="1354" w:type="dxa"/>
            <w:tcBorders>
              <w:top w:val="nil"/>
              <w:left w:val="nil"/>
              <w:bottom w:val="nil"/>
              <w:right w:val="nil"/>
            </w:tcBorders>
            <w:shd w:val="clear" w:color="auto" w:fill="auto"/>
            <w:noWrap/>
            <w:vAlign w:val="center"/>
            <w:hideMark/>
          </w:tcPr>
          <w:p w14:paraId="728F714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REM-422 in Patients With AML or Higher Risk MDS</w:t>
            </w:r>
          </w:p>
        </w:tc>
        <w:tc>
          <w:tcPr>
            <w:tcW w:w="1483" w:type="dxa"/>
            <w:tcBorders>
              <w:top w:val="nil"/>
              <w:left w:val="nil"/>
              <w:bottom w:val="nil"/>
              <w:right w:val="nil"/>
            </w:tcBorders>
            <w:shd w:val="clear" w:color="auto" w:fill="auto"/>
            <w:noWrap/>
            <w:vAlign w:val="center"/>
            <w:hideMark/>
          </w:tcPr>
          <w:p w14:paraId="03F8A35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749EA9C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goal of this study is to determine the safety and antitumor effects of REM-422, a MYB mRNA degrader, in people with Higher Risk MDS and relapsed/refractory AML</w:t>
            </w:r>
          </w:p>
        </w:tc>
        <w:tc>
          <w:tcPr>
            <w:tcW w:w="279" w:type="dxa"/>
            <w:tcBorders>
              <w:top w:val="nil"/>
              <w:left w:val="nil"/>
              <w:bottom w:val="nil"/>
              <w:right w:val="nil"/>
            </w:tcBorders>
            <w:shd w:val="clear" w:color="auto" w:fill="auto"/>
            <w:noWrap/>
            <w:vAlign w:val="center"/>
            <w:hideMark/>
          </w:tcPr>
          <w:p w14:paraId="05E31B9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4A65EF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Myelodysplastic Syndromes|Higher Risk Myelodysplastic Syndromes|Acute Myeloid Leukemia|Acute Myeloid Leukemia Refractory</w:t>
            </w:r>
          </w:p>
        </w:tc>
        <w:tc>
          <w:tcPr>
            <w:tcW w:w="1574" w:type="dxa"/>
            <w:tcBorders>
              <w:top w:val="nil"/>
              <w:left w:val="nil"/>
              <w:bottom w:val="nil"/>
              <w:right w:val="nil"/>
            </w:tcBorders>
            <w:shd w:val="clear" w:color="auto" w:fill="auto"/>
            <w:noWrap/>
            <w:vAlign w:val="center"/>
            <w:hideMark/>
          </w:tcPr>
          <w:p w14:paraId="2D965E9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REM-422</w:t>
            </w:r>
          </w:p>
        </w:tc>
        <w:tc>
          <w:tcPr>
            <w:tcW w:w="1152" w:type="dxa"/>
            <w:tcBorders>
              <w:top w:val="nil"/>
              <w:left w:val="nil"/>
              <w:bottom w:val="nil"/>
              <w:right w:val="nil"/>
            </w:tcBorders>
            <w:shd w:val="clear" w:color="auto" w:fill="auto"/>
            <w:noWrap/>
            <w:vAlign w:val="center"/>
            <w:hideMark/>
          </w:tcPr>
          <w:p w14:paraId="7CB84C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Remix Therapeutics</w:t>
            </w:r>
          </w:p>
        </w:tc>
        <w:tc>
          <w:tcPr>
            <w:tcW w:w="1006" w:type="dxa"/>
            <w:tcBorders>
              <w:top w:val="nil"/>
              <w:left w:val="nil"/>
              <w:bottom w:val="nil"/>
              <w:right w:val="nil"/>
            </w:tcBorders>
            <w:shd w:val="clear" w:color="auto" w:fill="auto"/>
            <w:noWrap/>
            <w:vAlign w:val="center"/>
            <w:hideMark/>
          </w:tcPr>
          <w:p w14:paraId="4564756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39F8D7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A79805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15/03/2024</w:t>
            </w:r>
          </w:p>
        </w:tc>
        <w:tc>
          <w:tcPr>
            <w:tcW w:w="766" w:type="dxa"/>
            <w:tcBorders>
              <w:top w:val="nil"/>
              <w:left w:val="nil"/>
              <w:bottom w:val="nil"/>
              <w:right w:val="nil"/>
            </w:tcBorders>
            <w:shd w:val="clear" w:color="auto" w:fill="auto"/>
            <w:noWrap/>
            <w:vAlign w:val="center"/>
            <w:hideMark/>
          </w:tcPr>
          <w:p w14:paraId="423E890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D10B514" w14:textId="77777777" w:rsidTr="00AB1828">
        <w:trPr>
          <w:trHeight w:val="360"/>
        </w:trPr>
        <w:tc>
          <w:tcPr>
            <w:tcW w:w="861" w:type="dxa"/>
            <w:tcBorders>
              <w:top w:val="nil"/>
              <w:left w:val="nil"/>
              <w:bottom w:val="nil"/>
              <w:right w:val="nil"/>
            </w:tcBorders>
            <w:shd w:val="clear" w:color="auto" w:fill="auto"/>
            <w:noWrap/>
            <w:vAlign w:val="center"/>
            <w:hideMark/>
          </w:tcPr>
          <w:p w14:paraId="50296B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NCT06273553</w:t>
            </w:r>
          </w:p>
        </w:tc>
        <w:tc>
          <w:tcPr>
            <w:tcW w:w="1354" w:type="dxa"/>
            <w:tcBorders>
              <w:top w:val="nil"/>
              <w:left w:val="nil"/>
              <w:bottom w:val="nil"/>
              <w:right w:val="nil"/>
            </w:tcBorders>
            <w:shd w:val="clear" w:color="auto" w:fill="auto"/>
            <w:noWrap/>
            <w:vAlign w:val="center"/>
            <w:hideMark/>
          </w:tcPr>
          <w:p w14:paraId="5FFAB75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in Subjects With Human Papillomavirus 16 or 18 Associated Cervical Intraepithelial Neoplasia Grade 2 or 3</w:t>
            </w:r>
          </w:p>
        </w:tc>
        <w:tc>
          <w:tcPr>
            <w:tcW w:w="1483" w:type="dxa"/>
            <w:tcBorders>
              <w:top w:val="nil"/>
              <w:left w:val="nil"/>
              <w:bottom w:val="nil"/>
              <w:right w:val="nil"/>
            </w:tcBorders>
            <w:shd w:val="clear" w:color="auto" w:fill="auto"/>
            <w:noWrap/>
            <w:vAlign w:val="center"/>
            <w:hideMark/>
          </w:tcPr>
          <w:p w14:paraId="305864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4A0F22D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to evaluate the safety, tolerability, immunogenicity, and efficacy of RG002 Injection in subjects with HPV16/18 associated Cervical Intraepithelial Neoplasia Grade 2 or 3(CIN2/3).</w:t>
            </w:r>
          </w:p>
        </w:tc>
        <w:tc>
          <w:tcPr>
            <w:tcW w:w="279" w:type="dxa"/>
            <w:tcBorders>
              <w:top w:val="nil"/>
              <w:left w:val="nil"/>
              <w:bottom w:val="nil"/>
              <w:right w:val="nil"/>
            </w:tcBorders>
            <w:shd w:val="clear" w:color="auto" w:fill="auto"/>
            <w:noWrap/>
            <w:vAlign w:val="center"/>
            <w:hideMark/>
          </w:tcPr>
          <w:p w14:paraId="41B98B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0632E3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Human Papillomavirus Associated Intraepithelial Neoplasia|Cervical Intraepithelial Neoplasia Grade 2/3|Human Papillomavirus Type 16 Infection|Human Papillomavirus Type 18 Infection</w:t>
            </w:r>
          </w:p>
        </w:tc>
        <w:tc>
          <w:tcPr>
            <w:tcW w:w="1574" w:type="dxa"/>
            <w:tcBorders>
              <w:top w:val="nil"/>
              <w:left w:val="nil"/>
              <w:bottom w:val="nil"/>
              <w:right w:val="nil"/>
            </w:tcBorders>
            <w:shd w:val="clear" w:color="auto" w:fill="auto"/>
            <w:noWrap/>
            <w:vAlign w:val="center"/>
            <w:hideMark/>
          </w:tcPr>
          <w:p w14:paraId="695BBD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RG002 injection</w:t>
            </w:r>
          </w:p>
        </w:tc>
        <w:tc>
          <w:tcPr>
            <w:tcW w:w="1152" w:type="dxa"/>
            <w:tcBorders>
              <w:top w:val="nil"/>
              <w:left w:val="nil"/>
              <w:bottom w:val="nil"/>
              <w:right w:val="nil"/>
            </w:tcBorders>
            <w:shd w:val="clear" w:color="auto" w:fill="auto"/>
            <w:noWrap/>
            <w:vAlign w:val="center"/>
            <w:hideMark/>
          </w:tcPr>
          <w:p w14:paraId="7F91C22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RinuaGene Biotechnology Co., Ltd.</w:t>
            </w:r>
          </w:p>
        </w:tc>
        <w:tc>
          <w:tcPr>
            <w:tcW w:w="1006" w:type="dxa"/>
            <w:tcBorders>
              <w:top w:val="nil"/>
              <w:left w:val="nil"/>
              <w:bottom w:val="nil"/>
              <w:right w:val="nil"/>
            </w:tcBorders>
            <w:shd w:val="clear" w:color="auto" w:fill="auto"/>
            <w:noWrap/>
            <w:vAlign w:val="center"/>
            <w:hideMark/>
          </w:tcPr>
          <w:p w14:paraId="15D22D9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3B2B77A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D9B442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01/03/2024</w:t>
            </w:r>
          </w:p>
        </w:tc>
        <w:tc>
          <w:tcPr>
            <w:tcW w:w="766" w:type="dxa"/>
            <w:tcBorders>
              <w:top w:val="nil"/>
              <w:left w:val="nil"/>
              <w:bottom w:val="nil"/>
              <w:right w:val="nil"/>
            </w:tcBorders>
            <w:shd w:val="clear" w:color="auto" w:fill="auto"/>
            <w:noWrap/>
            <w:vAlign w:val="center"/>
            <w:hideMark/>
          </w:tcPr>
          <w:p w14:paraId="18923BE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65CF504" w14:textId="77777777" w:rsidTr="00AB1828">
        <w:trPr>
          <w:trHeight w:val="360"/>
        </w:trPr>
        <w:tc>
          <w:tcPr>
            <w:tcW w:w="861" w:type="dxa"/>
            <w:tcBorders>
              <w:top w:val="nil"/>
              <w:left w:val="nil"/>
              <w:bottom w:val="nil"/>
              <w:right w:val="nil"/>
            </w:tcBorders>
            <w:shd w:val="clear" w:color="auto" w:fill="auto"/>
            <w:noWrap/>
            <w:vAlign w:val="center"/>
            <w:hideMark/>
          </w:tcPr>
          <w:p w14:paraId="44FFA7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NCT05660408</w:t>
            </w:r>
          </w:p>
        </w:tc>
        <w:tc>
          <w:tcPr>
            <w:tcW w:w="1354" w:type="dxa"/>
            <w:tcBorders>
              <w:top w:val="nil"/>
              <w:left w:val="nil"/>
              <w:bottom w:val="nil"/>
              <w:right w:val="nil"/>
            </w:tcBorders>
            <w:shd w:val="clear" w:color="auto" w:fill="auto"/>
            <w:noWrap/>
            <w:vAlign w:val="center"/>
            <w:hideMark/>
          </w:tcPr>
          <w:p w14:paraId="1ED8B7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RNA-lipid Particle (RNA-LP) Vaccines for Recurrent Pulmonary Osteosarcoma (OSA)</w:t>
            </w:r>
          </w:p>
        </w:tc>
        <w:tc>
          <w:tcPr>
            <w:tcW w:w="1483" w:type="dxa"/>
            <w:tcBorders>
              <w:top w:val="nil"/>
              <w:left w:val="nil"/>
              <w:bottom w:val="nil"/>
              <w:right w:val="nil"/>
            </w:tcBorders>
            <w:shd w:val="clear" w:color="auto" w:fill="auto"/>
            <w:noWrap/>
            <w:vAlign w:val="center"/>
            <w:hideMark/>
          </w:tcPr>
          <w:p w14:paraId="7B0B96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vAlign w:val="center"/>
            <w:hideMark/>
          </w:tcPr>
          <w:p w14:paraId="06AAFB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investigators have shown that intravenous administration of tumor mRNA loaded lipid particles (LPs) localizes primarily to lung, transfect antigen presenting cells (APCs) and lead to an activated T cell response for induction of anti-tumor immunity. In contrast to other formulations, RNA-LPs recruit multiple arms of the immune system (i.e. innate/adaptive), and remodel the systemic/intratumoral immune milieu, which remain potent barriers for vaccine, cellular, and checkpoint inhibiting immunotherapies. After only a single RNA-LP vaccine, the bulk of systemic and intratumoral dendritic cells (DCs) in mice display an activated phenotype; these activated DCs (harvested from </w:t>
            </w:r>
            <w:r w:rsidRPr="000A6EBE">
              <w:rPr>
                <w:rFonts w:ascii="Aptos Narrow" w:eastAsia="Times New Roman" w:hAnsi="Aptos Narrow"/>
                <w:color w:val="000000"/>
                <w:sz w:val="16"/>
                <w:szCs w:val="16"/>
                <w:lang w:val="en-HK" w:eastAsia="zh-CN"/>
              </w:rPr>
              <w:lastRenderedPageBreak/>
              <w:t>tumors) expand antigen specific T cell immunity. In immunologically resistant pulmonary osteosacroma murine tumor models (i.e. K7M2), RNA-LPs induce robust anti-tumor efficacy in settings where immune checkpoint inhibitors (i.e. anti-PD-L1 therapy) do not confer therapeutic benefit. We have already demonstrated safety of RNA-LPs in acute/chronic murine toxicity studies, and in client-owned canine trial.</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In this study, we will investigate the safety and immunologic activity of RNA-LP vaccine in patients with recurrent pulmonary osteosarcoma.</w:t>
            </w:r>
          </w:p>
        </w:tc>
        <w:tc>
          <w:tcPr>
            <w:tcW w:w="279" w:type="dxa"/>
            <w:tcBorders>
              <w:top w:val="nil"/>
              <w:left w:val="nil"/>
              <w:bottom w:val="nil"/>
              <w:right w:val="nil"/>
            </w:tcBorders>
            <w:shd w:val="clear" w:color="auto" w:fill="auto"/>
            <w:noWrap/>
            <w:vAlign w:val="center"/>
            <w:hideMark/>
          </w:tcPr>
          <w:p w14:paraId="687CC7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6038A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Pulmonary Osteosarcoma</w:t>
            </w:r>
          </w:p>
        </w:tc>
        <w:tc>
          <w:tcPr>
            <w:tcW w:w="1574" w:type="dxa"/>
            <w:tcBorders>
              <w:top w:val="nil"/>
              <w:left w:val="nil"/>
              <w:bottom w:val="nil"/>
              <w:right w:val="nil"/>
            </w:tcBorders>
            <w:shd w:val="clear" w:color="auto" w:fill="auto"/>
            <w:noWrap/>
            <w:vAlign w:val="center"/>
            <w:hideMark/>
          </w:tcPr>
          <w:p w14:paraId="20F021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RNA-LP vaccine</w:t>
            </w:r>
          </w:p>
        </w:tc>
        <w:tc>
          <w:tcPr>
            <w:tcW w:w="1152" w:type="dxa"/>
            <w:tcBorders>
              <w:top w:val="nil"/>
              <w:left w:val="nil"/>
              <w:bottom w:val="nil"/>
              <w:right w:val="nil"/>
            </w:tcBorders>
            <w:shd w:val="clear" w:color="auto" w:fill="auto"/>
            <w:noWrap/>
            <w:vAlign w:val="center"/>
            <w:hideMark/>
          </w:tcPr>
          <w:p w14:paraId="373A70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Florida</w:t>
            </w:r>
          </w:p>
        </w:tc>
        <w:tc>
          <w:tcPr>
            <w:tcW w:w="1006" w:type="dxa"/>
            <w:tcBorders>
              <w:top w:val="nil"/>
              <w:left w:val="nil"/>
              <w:bottom w:val="nil"/>
              <w:right w:val="nil"/>
            </w:tcBorders>
            <w:shd w:val="clear" w:color="auto" w:fill="auto"/>
            <w:noWrap/>
            <w:vAlign w:val="center"/>
            <w:hideMark/>
          </w:tcPr>
          <w:p w14:paraId="57F9A2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1ED0935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2B11A0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01/03/2024</w:t>
            </w:r>
          </w:p>
        </w:tc>
        <w:tc>
          <w:tcPr>
            <w:tcW w:w="766" w:type="dxa"/>
            <w:tcBorders>
              <w:top w:val="nil"/>
              <w:left w:val="nil"/>
              <w:bottom w:val="nil"/>
              <w:right w:val="nil"/>
            </w:tcBorders>
            <w:shd w:val="clear" w:color="auto" w:fill="auto"/>
            <w:noWrap/>
            <w:vAlign w:val="center"/>
            <w:hideMark/>
          </w:tcPr>
          <w:p w14:paraId="1F40DC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A3C67EA" w14:textId="77777777" w:rsidTr="00AB1828">
        <w:trPr>
          <w:trHeight w:val="360"/>
        </w:trPr>
        <w:tc>
          <w:tcPr>
            <w:tcW w:w="861" w:type="dxa"/>
            <w:tcBorders>
              <w:top w:val="nil"/>
              <w:left w:val="nil"/>
              <w:bottom w:val="nil"/>
              <w:right w:val="nil"/>
            </w:tcBorders>
            <w:shd w:val="clear" w:color="auto" w:fill="auto"/>
            <w:noWrap/>
            <w:vAlign w:val="center"/>
            <w:hideMark/>
          </w:tcPr>
          <w:p w14:paraId="07305C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NCT05264974</w:t>
            </w:r>
          </w:p>
        </w:tc>
        <w:tc>
          <w:tcPr>
            <w:tcW w:w="1354" w:type="dxa"/>
            <w:tcBorders>
              <w:top w:val="nil"/>
              <w:left w:val="nil"/>
              <w:bottom w:val="nil"/>
              <w:right w:val="nil"/>
            </w:tcBorders>
            <w:shd w:val="clear" w:color="auto" w:fill="auto"/>
            <w:noWrap/>
            <w:vAlign w:val="center"/>
            <w:hideMark/>
          </w:tcPr>
          <w:p w14:paraId="65667B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Novel RNA-nanoparticle Vaccine for the Treatment of Early Melanoma </w:t>
            </w:r>
            <w:r w:rsidRPr="000A6EBE">
              <w:rPr>
                <w:rFonts w:ascii="Aptos Narrow" w:eastAsia="Times New Roman" w:hAnsi="Aptos Narrow"/>
                <w:color w:val="000000"/>
                <w:sz w:val="16"/>
                <w:szCs w:val="16"/>
                <w:lang w:val="en-HK" w:eastAsia="zh-CN"/>
              </w:rPr>
              <w:lastRenderedPageBreak/>
              <w:t>Recurrence Following Adjuvant Anti-PD-1 Antibody Therapy</w:t>
            </w:r>
          </w:p>
        </w:tc>
        <w:tc>
          <w:tcPr>
            <w:tcW w:w="1483" w:type="dxa"/>
            <w:tcBorders>
              <w:top w:val="nil"/>
              <w:left w:val="nil"/>
              <w:bottom w:val="nil"/>
              <w:right w:val="nil"/>
            </w:tcBorders>
            <w:shd w:val="clear" w:color="auto" w:fill="auto"/>
            <w:noWrap/>
            <w:vAlign w:val="center"/>
            <w:hideMark/>
          </w:tcPr>
          <w:p w14:paraId="2798C2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RECRUITING</w:t>
            </w:r>
          </w:p>
        </w:tc>
        <w:tc>
          <w:tcPr>
            <w:tcW w:w="1689" w:type="dxa"/>
            <w:tcBorders>
              <w:top w:val="nil"/>
              <w:left w:val="nil"/>
              <w:bottom w:val="nil"/>
              <w:right w:val="nil"/>
            </w:tcBorders>
            <w:shd w:val="clear" w:color="auto" w:fill="auto"/>
            <w:noWrap/>
            <w:vAlign w:val="center"/>
            <w:hideMark/>
          </w:tcPr>
          <w:p w14:paraId="2A7D099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goal of this phase I trial is to evaluate the toxicity and feasibility of a </w:t>
            </w:r>
            <w:r w:rsidRPr="000A6EBE">
              <w:rPr>
                <w:rFonts w:ascii="Aptos Narrow" w:eastAsia="Times New Roman" w:hAnsi="Aptos Narrow"/>
                <w:color w:val="000000"/>
                <w:sz w:val="16"/>
                <w:szCs w:val="16"/>
                <w:lang w:val="en-HK" w:eastAsia="zh-CN"/>
              </w:rPr>
              <w:lastRenderedPageBreak/>
              <w:t>tumor-specific RNA-NP vaccine in patients with stage IIB-IV melanoma who have progressed on anti-PD1 (a-PD1) adjuvant therapy.</w:t>
            </w:r>
          </w:p>
        </w:tc>
        <w:tc>
          <w:tcPr>
            <w:tcW w:w="279" w:type="dxa"/>
            <w:tcBorders>
              <w:top w:val="nil"/>
              <w:left w:val="nil"/>
              <w:bottom w:val="nil"/>
              <w:right w:val="nil"/>
            </w:tcBorders>
            <w:shd w:val="clear" w:color="auto" w:fill="auto"/>
            <w:noWrap/>
            <w:vAlign w:val="center"/>
            <w:hideMark/>
          </w:tcPr>
          <w:p w14:paraId="19E61A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B90E4B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70A3633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total tumor mRNA loaded DOTAP liposome vaccine</w:t>
            </w:r>
          </w:p>
        </w:tc>
        <w:tc>
          <w:tcPr>
            <w:tcW w:w="1152" w:type="dxa"/>
            <w:tcBorders>
              <w:top w:val="nil"/>
              <w:left w:val="nil"/>
              <w:bottom w:val="nil"/>
              <w:right w:val="nil"/>
            </w:tcBorders>
            <w:shd w:val="clear" w:color="auto" w:fill="auto"/>
            <w:noWrap/>
            <w:vAlign w:val="center"/>
            <w:hideMark/>
          </w:tcPr>
          <w:p w14:paraId="47226F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Florida</w:t>
            </w:r>
          </w:p>
        </w:tc>
        <w:tc>
          <w:tcPr>
            <w:tcW w:w="1006" w:type="dxa"/>
            <w:tcBorders>
              <w:top w:val="nil"/>
              <w:left w:val="nil"/>
              <w:bottom w:val="nil"/>
              <w:right w:val="nil"/>
            </w:tcBorders>
            <w:shd w:val="clear" w:color="auto" w:fill="auto"/>
            <w:noWrap/>
            <w:vAlign w:val="center"/>
            <w:hideMark/>
          </w:tcPr>
          <w:p w14:paraId="0F2138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892845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7ECC59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01/02/2024</w:t>
            </w:r>
          </w:p>
        </w:tc>
        <w:tc>
          <w:tcPr>
            <w:tcW w:w="766" w:type="dxa"/>
            <w:tcBorders>
              <w:top w:val="nil"/>
              <w:left w:val="nil"/>
              <w:bottom w:val="nil"/>
              <w:right w:val="nil"/>
            </w:tcBorders>
            <w:shd w:val="clear" w:color="auto" w:fill="auto"/>
            <w:noWrap/>
            <w:vAlign w:val="center"/>
            <w:hideMark/>
          </w:tcPr>
          <w:p w14:paraId="516427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3FCF0C4" w14:textId="77777777" w:rsidTr="00AB1828">
        <w:trPr>
          <w:trHeight w:val="360"/>
        </w:trPr>
        <w:tc>
          <w:tcPr>
            <w:tcW w:w="861" w:type="dxa"/>
            <w:tcBorders>
              <w:top w:val="nil"/>
              <w:left w:val="nil"/>
              <w:bottom w:val="nil"/>
              <w:right w:val="nil"/>
            </w:tcBorders>
            <w:shd w:val="clear" w:color="auto" w:fill="auto"/>
            <w:noWrap/>
            <w:vAlign w:val="center"/>
            <w:hideMark/>
          </w:tcPr>
          <w:p w14:paraId="4A6B253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NCT06141369</w:t>
            </w:r>
          </w:p>
        </w:tc>
        <w:tc>
          <w:tcPr>
            <w:tcW w:w="1354" w:type="dxa"/>
            <w:tcBorders>
              <w:top w:val="nil"/>
              <w:left w:val="nil"/>
              <w:bottom w:val="nil"/>
              <w:right w:val="nil"/>
            </w:tcBorders>
            <w:shd w:val="clear" w:color="auto" w:fill="auto"/>
            <w:noWrap/>
            <w:vAlign w:val="center"/>
            <w:hideMark/>
          </w:tcPr>
          <w:p w14:paraId="0B7FAB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Treatment of Advanced Endocrine Tumor With Iindividualized mRNA Neoantigen Vaccine (mRNA-0523-L001)</w:t>
            </w:r>
          </w:p>
        </w:tc>
        <w:tc>
          <w:tcPr>
            <w:tcW w:w="1483" w:type="dxa"/>
            <w:tcBorders>
              <w:top w:val="nil"/>
              <w:left w:val="nil"/>
              <w:bottom w:val="nil"/>
              <w:right w:val="nil"/>
            </w:tcBorders>
            <w:shd w:val="clear" w:color="auto" w:fill="auto"/>
            <w:noWrap/>
            <w:vAlign w:val="center"/>
            <w:hideMark/>
          </w:tcPr>
          <w:p w14:paraId="3BE0B63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36BB1D3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Treatment of advanced endocrine tumors, including adrenal corticocarcnioma (ACC), medullary thyroid carcinoma (MTC), thymic neuroendocrine tumor and pancreatic neuroendocrine tumor is challenging. Previous genomic profiling studies showed they presented a number of somatic mutations. The tumors Individualized mRNA neoantigen vaccine provide a promising solution since a significant portion of these tumors showed high quality of tumor specific neoantigen. The primary objective is to observe and evaluate the </w:t>
            </w:r>
            <w:r w:rsidRPr="000A6EBE">
              <w:rPr>
                <w:rFonts w:ascii="Aptos Narrow" w:eastAsia="Times New Roman" w:hAnsi="Aptos Narrow"/>
                <w:color w:val="000000"/>
                <w:sz w:val="16"/>
                <w:szCs w:val="16"/>
                <w:lang w:val="en-HK" w:eastAsia="zh-CN"/>
              </w:rPr>
              <w:lastRenderedPageBreak/>
              <w:t>safety and tolerability of individualized mRNA neoantigen vaccine (mRNA-0523-L001) for the treatment of advanced endocrine tumors, failure of standard treatment or no standard treatment currently available. The secondary objective is to observe the preliminary efficacy of mRNA-0523-L001 for the treatment of advanced endocrine tumors, failure of standard treatment or no standard treatment currently available, including:</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1. Neoantigen-specific CD4+ and CD8+ T lymphocyte responses induced by mRNA-0523-L001;</w:t>
            </w:r>
            <w:r w:rsidRPr="000A6EBE">
              <w:rPr>
                <w:rFonts w:ascii="Aptos Narrow" w:eastAsia="Times New Roman" w:hAnsi="Aptos Narrow"/>
                <w:color w:val="000000"/>
                <w:sz w:val="16"/>
                <w:szCs w:val="16"/>
                <w:lang w:val="en-HK" w:eastAsia="zh-CN"/>
              </w:rPr>
              <w:br/>
              <w:t xml:space="preserve">2. Objective response rate (ORR) and disease control </w:t>
            </w:r>
            <w:r w:rsidRPr="000A6EBE">
              <w:rPr>
                <w:rFonts w:ascii="Aptos Narrow" w:eastAsia="Times New Roman" w:hAnsi="Aptos Narrow"/>
                <w:color w:val="000000"/>
                <w:sz w:val="16"/>
                <w:szCs w:val="16"/>
                <w:lang w:val="en-HK" w:eastAsia="zh-CN"/>
              </w:rPr>
              <w:lastRenderedPageBreak/>
              <w:t>rate (DCR) of tumors;</w:t>
            </w:r>
            <w:r w:rsidRPr="000A6EBE">
              <w:rPr>
                <w:rFonts w:ascii="Aptos Narrow" w:eastAsia="Times New Roman" w:hAnsi="Aptos Narrow"/>
                <w:color w:val="000000"/>
                <w:sz w:val="16"/>
                <w:szCs w:val="16"/>
                <w:lang w:val="en-HK" w:eastAsia="zh-CN"/>
              </w:rPr>
              <w:br/>
              <w:t>3. Progression-free survival (PFS).</w:t>
            </w:r>
          </w:p>
        </w:tc>
        <w:tc>
          <w:tcPr>
            <w:tcW w:w="279" w:type="dxa"/>
            <w:tcBorders>
              <w:top w:val="nil"/>
              <w:left w:val="nil"/>
              <w:bottom w:val="nil"/>
              <w:right w:val="nil"/>
            </w:tcBorders>
            <w:shd w:val="clear" w:color="auto" w:fill="auto"/>
            <w:noWrap/>
            <w:vAlign w:val="center"/>
            <w:hideMark/>
          </w:tcPr>
          <w:p w14:paraId="435DB5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D042C9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Adrenal Cortical Carcinoma|Medullary Thyroid Cancer|Thymic Neuroendocrine Carcinoma|Pancreatic Neuroendocrine Tumor</w:t>
            </w:r>
          </w:p>
        </w:tc>
        <w:tc>
          <w:tcPr>
            <w:tcW w:w="1574" w:type="dxa"/>
            <w:tcBorders>
              <w:top w:val="nil"/>
              <w:left w:val="nil"/>
              <w:bottom w:val="nil"/>
              <w:right w:val="nil"/>
            </w:tcBorders>
            <w:shd w:val="clear" w:color="auto" w:fill="auto"/>
            <w:noWrap/>
            <w:vAlign w:val="center"/>
            <w:hideMark/>
          </w:tcPr>
          <w:p w14:paraId="2430963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individualized mRNA neoantigen vaccine (mRNA-0523-L001)</w:t>
            </w:r>
          </w:p>
        </w:tc>
        <w:tc>
          <w:tcPr>
            <w:tcW w:w="1152" w:type="dxa"/>
            <w:tcBorders>
              <w:top w:val="nil"/>
              <w:left w:val="nil"/>
              <w:bottom w:val="nil"/>
              <w:right w:val="nil"/>
            </w:tcBorders>
            <w:shd w:val="clear" w:color="auto" w:fill="auto"/>
            <w:noWrap/>
            <w:vAlign w:val="center"/>
            <w:hideMark/>
          </w:tcPr>
          <w:p w14:paraId="76FECC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Shanghai Jiao Tong University School of Medicine</w:t>
            </w:r>
          </w:p>
        </w:tc>
        <w:tc>
          <w:tcPr>
            <w:tcW w:w="1006" w:type="dxa"/>
            <w:tcBorders>
              <w:top w:val="nil"/>
              <w:left w:val="nil"/>
              <w:bottom w:val="nil"/>
              <w:right w:val="nil"/>
            </w:tcBorders>
            <w:shd w:val="clear" w:color="auto" w:fill="auto"/>
            <w:noWrap/>
            <w:vAlign w:val="center"/>
            <w:hideMark/>
          </w:tcPr>
          <w:p w14:paraId="27E947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3B59B73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BD7969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13/01/2024</w:t>
            </w:r>
          </w:p>
        </w:tc>
        <w:tc>
          <w:tcPr>
            <w:tcW w:w="766" w:type="dxa"/>
            <w:tcBorders>
              <w:top w:val="nil"/>
              <w:left w:val="nil"/>
              <w:bottom w:val="nil"/>
              <w:right w:val="nil"/>
            </w:tcBorders>
            <w:shd w:val="clear" w:color="auto" w:fill="auto"/>
            <w:noWrap/>
            <w:vAlign w:val="center"/>
            <w:hideMark/>
          </w:tcPr>
          <w:p w14:paraId="18B933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6ABE892D" w14:textId="77777777" w:rsidTr="00AB1828">
        <w:trPr>
          <w:trHeight w:val="360"/>
        </w:trPr>
        <w:tc>
          <w:tcPr>
            <w:tcW w:w="861" w:type="dxa"/>
            <w:tcBorders>
              <w:top w:val="nil"/>
              <w:left w:val="nil"/>
              <w:bottom w:val="nil"/>
              <w:right w:val="nil"/>
            </w:tcBorders>
            <w:shd w:val="clear" w:color="auto" w:fill="auto"/>
            <w:noWrap/>
            <w:vAlign w:val="center"/>
            <w:hideMark/>
          </w:tcPr>
          <w:p w14:paraId="69AD38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NCT06195384</w:t>
            </w:r>
          </w:p>
        </w:tc>
        <w:tc>
          <w:tcPr>
            <w:tcW w:w="1354" w:type="dxa"/>
            <w:tcBorders>
              <w:top w:val="nil"/>
              <w:left w:val="nil"/>
              <w:bottom w:val="nil"/>
              <w:right w:val="nil"/>
            </w:tcBorders>
            <w:shd w:val="clear" w:color="auto" w:fill="auto"/>
            <w:noWrap/>
            <w:vAlign w:val="center"/>
            <w:hideMark/>
          </w:tcPr>
          <w:p w14:paraId="355FD05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Anti-cancer Neoantigen mRNA Vaccine to Treat Solid Tumors</w:t>
            </w:r>
          </w:p>
        </w:tc>
        <w:tc>
          <w:tcPr>
            <w:tcW w:w="1483" w:type="dxa"/>
            <w:tcBorders>
              <w:top w:val="nil"/>
              <w:left w:val="nil"/>
              <w:bottom w:val="nil"/>
              <w:right w:val="nil"/>
            </w:tcBorders>
            <w:shd w:val="clear" w:color="auto" w:fill="auto"/>
            <w:noWrap/>
            <w:vAlign w:val="center"/>
            <w:hideMark/>
          </w:tcPr>
          <w:p w14:paraId="37C8864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22D32DA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WES and RAN-seq will be performed to identify and verify neoantigens and appropriate mRNA sequences will be verified, manufactured and protected for vaccine production by multiple in vitro and in vivo studies. Clinical studies will be performed to test anti-cancer function of the mRNA vaccine for immunotherapy of human cancer patients. In this phase I study, the safety, tolerance, and preliminary efficacy of the mRNA vaccine immunotherapy on human cancers will firstly be evaluated.</w:t>
            </w:r>
          </w:p>
        </w:tc>
        <w:tc>
          <w:tcPr>
            <w:tcW w:w="279" w:type="dxa"/>
            <w:tcBorders>
              <w:top w:val="nil"/>
              <w:left w:val="nil"/>
              <w:bottom w:val="nil"/>
              <w:right w:val="nil"/>
            </w:tcBorders>
            <w:shd w:val="clear" w:color="auto" w:fill="auto"/>
            <w:noWrap/>
            <w:vAlign w:val="center"/>
            <w:hideMark/>
          </w:tcPr>
          <w:p w14:paraId="1A8A2D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2112FB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 Adult</w:t>
            </w:r>
          </w:p>
        </w:tc>
        <w:tc>
          <w:tcPr>
            <w:tcW w:w="1574" w:type="dxa"/>
            <w:tcBorders>
              <w:top w:val="nil"/>
              <w:left w:val="nil"/>
              <w:bottom w:val="nil"/>
              <w:right w:val="nil"/>
            </w:tcBorders>
            <w:shd w:val="clear" w:color="auto" w:fill="auto"/>
            <w:noWrap/>
            <w:vAlign w:val="center"/>
            <w:hideMark/>
          </w:tcPr>
          <w:p w14:paraId="2860966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Neoantigen mRNA Vaccine</w:t>
            </w:r>
          </w:p>
        </w:tc>
        <w:tc>
          <w:tcPr>
            <w:tcW w:w="1152" w:type="dxa"/>
            <w:tcBorders>
              <w:top w:val="nil"/>
              <w:left w:val="nil"/>
              <w:bottom w:val="nil"/>
              <w:right w:val="nil"/>
            </w:tcBorders>
            <w:shd w:val="clear" w:color="auto" w:fill="auto"/>
            <w:noWrap/>
            <w:vAlign w:val="center"/>
            <w:hideMark/>
          </w:tcPr>
          <w:p w14:paraId="1C7627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Second Affiliated Hospital of Guangzhou Medical University</w:t>
            </w:r>
          </w:p>
        </w:tc>
        <w:tc>
          <w:tcPr>
            <w:tcW w:w="1006" w:type="dxa"/>
            <w:tcBorders>
              <w:top w:val="nil"/>
              <w:left w:val="nil"/>
              <w:bottom w:val="nil"/>
              <w:right w:val="nil"/>
            </w:tcBorders>
            <w:shd w:val="clear" w:color="auto" w:fill="auto"/>
            <w:noWrap/>
            <w:vAlign w:val="center"/>
            <w:hideMark/>
          </w:tcPr>
          <w:p w14:paraId="7BC555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C605F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83ADE7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01/01/2024</w:t>
            </w:r>
          </w:p>
        </w:tc>
        <w:tc>
          <w:tcPr>
            <w:tcW w:w="766" w:type="dxa"/>
            <w:tcBorders>
              <w:top w:val="nil"/>
              <w:left w:val="nil"/>
              <w:bottom w:val="nil"/>
              <w:right w:val="nil"/>
            </w:tcBorders>
            <w:shd w:val="clear" w:color="auto" w:fill="auto"/>
            <w:noWrap/>
            <w:vAlign w:val="center"/>
            <w:hideMark/>
          </w:tcPr>
          <w:p w14:paraId="0574BE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5E44F75F" w14:textId="77777777" w:rsidTr="00AB1828">
        <w:trPr>
          <w:trHeight w:val="360"/>
        </w:trPr>
        <w:tc>
          <w:tcPr>
            <w:tcW w:w="861" w:type="dxa"/>
            <w:tcBorders>
              <w:top w:val="nil"/>
              <w:left w:val="nil"/>
              <w:bottom w:val="nil"/>
              <w:right w:val="nil"/>
            </w:tcBorders>
            <w:shd w:val="clear" w:color="auto" w:fill="auto"/>
            <w:noWrap/>
            <w:vAlign w:val="center"/>
            <w:hideMark/>
          </w:tcPr>
          <w:p w14:paraId="2AA1636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NCT06156267</w:t>
            </w:r>
          </w:p>
        </w:tc>
        <w:tc>
          <w:tcPr>
            <w:tcW w:w="1354" w:type="dxa"/>
            <w:tcBorders>
              <w:top w:val="nil"/>
              <w:left w:val="nil"/>
              <w:bottom w:val="nil"/>
              <w:right w:val="nil"/>
            </w:tcBorders>
            <w:shd w:val="clear" w:color="auto" w:fill="auto"/>
            <w:noWrap/>
            <w:vAlign w:val="center"/>
            <w:hideMark/>
          </w:tcPr>
          <w:p w14:paraId="0C6F61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Study of Personalized Tumour Vaccines and a PD-L1 Blocker in Patients With Surgically Resected </w:t>
            </w:r>
            <w:r w:rsidRPr="000A6EBE">
              <w:rPr>
                <w:rFonts w:ascii="Aptos Narrow" w:eastAsia="Times New Roman" w:hAnsi="Aptos Narrow"/>
                <w:color w:val="000000"/>
                <w:sz w:val="16"/>
                <w:szCs w:val="16"/>
                <w:lang w:val="en-HK" w:eastAsia="zh-CN"/>
              </w:rPr>
              <w:lastRenderedPageBreak/>
              <w:t>Pancreatic Adenocarcino</w:t>
            </w:r>
          </w:p>
        </w:tc>
        <w:tc>
          <w:tcPr>
            <w:tcW w:w="1483" w:type="dxa"/>
            <w:tcBorders>
              <w:top w:val="nil"/>
              <w:left w:val="nil"/>
              <w:bottom w:val="nil"/>
              <w:right w:val="nil"/>
            </w:tcBorders>
            <w:shd w:val="clear" w:color="auto" w:fill="auto"/>
            <w:noWrap/>
            <w:vAlign w:val="center"/>
            <w:hideMark/>
          </w:tcPr>
          <w:p w14:paraId="27F77C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NOT_YET_RECRUITING</w:t>
            </w:r>
          </w:p>
        </w:tc>
        <w:tc>
          <w:tcPr>
            <w:tcW w:w="1689" w:type="dxa"/>
            <w:tcBorders>
              <w:top w:val="nil"/>
              <w:left w:val="nil"/>
              <w:bottom w:val="nil"/>
              <w:right w:val="nil"/>
            </w:tcBorders>
            <w:shd w:val="clear" w:color="auto" w:fill="auto"/>
            <w:noWrap/>
            <w:vAlign w:val="center"/>
            <w:hideMark/>
          </w:tcPr>
          <w:p w14:paraId="5C6F8E5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phase 1, open-label study to evaluate the safety and tolerability of neoantigen personalized mRNA tumour vaccine </w:t>
            </w:r>
            <w:r w:rsidRPr="000A6EBE">
              <w:rPr>
                <w:rFonts w:ascii="Aptos Narrow" w:eastAsia="Times New Roman" w:hAnsi="Aptos Narrow"/>
                <w:color w:val="000000"/>
                <w:sz w:val="16"/>
                <w:szCs w:val="16"/>
                <w:lang w:val="en-HK" w:eastAsia="zh-CN"/>
              </w:rPr>
              <w:lastRenderedPageBreak/>
              <w:t>combined with Adebrelimab (a PD-L1 humanized monoclonal antibody) in patients with surgically resected pancreatic adenocarcinoma.</w:t>
            </w:r>
          </w:p>
        </w:tc>
        <w:tc>
          <w:tcPr>
            <w:tcW w:w="279" w:type="dxa"/>
            <w:tcBorders>
              <w:top w:val="nil"/>
              <w:left w:val="nil"/>
              <w:bottom w:val="nil"/>
              <w:right w:val="nil"/>
            </w:tcBorders>
            <w:shd w:val="clear" w:color="auto" w:fill="auto"/>
            <w:noWrap/>
            <w:vAlign w:val="center"/>
            <w:hideMark/>
          </w:tcPr>
          <w:p w14:paraId="3EB586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4F62B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Pancreatic Cancer</w:t>
            </w:r>
          </w:p>
        </w:tc>
        <w:tc>
          <w:tcPr>
            <w:tcW w:w="1574" w:type="dxa"/>
            <w:tcBorders>
              <w:top w:val="nil"/>
              <w:left w:val="nil"/>
              <w:bottom w:val="nil"/>
              <w:right w:val="nil"/>
            </w:tcBorders>
            <w:shd w:val="clear" w:color="auto" w:fill="auto"/>
            <w:noWrap/>
            <w:vAlign w:val="center"/>
            <w:hideMark/>
          </w:tcPr>
          <w:p w14:paraId="02F66E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Adebrelimab|DRUG: mRNA tumor vaccines</w:t>
            </w:r>
          </w:p>
        </w:tc>
        <w:tc>
          <w:tcPr>
            <w:tcW w:w="1152" w:type="dxa"/>
            <w:tcBorders>
              <w:top w:val="nil"/>
              <w:left w:val="nil"/>
              <w:bottom w:val="nil"/>
              <w:right w:val="nil"/>
            </w:tcBorders>
            <w:shd w:val="clear" w:color="auto" w:fill="auto"/>
            <w:noWrap/>
            <w:vAlign w:val="center"/>
            <w:hideMark/>
          </w:tcPr>
          <w:p w14:paraId="4303B2F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Fudan University</w:t>
            </w:r>
          </w:p>
        </w:tc>
        <w:tc>
          <w:tcPr>
            <w:tcW w:w="1006" w:type="dxa"/>
            <w:tcBorders>
              <w:top w:val="nil"/>
              <w:left w:val="nil"/>
              <w:bottom w:val="nil"/>
              <w:right w:val="nil"/>
            </w:tcBorders>
            <w:shd w:val="clear" w:color="auto" w:fill="auto"/>
            <w:noWrap/>
            <w:vAlign w:val="center"/>
            <w:hideMark/>
          </w:tcPr>
          <w:p w14:paraId="7FF560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EARLY_PHASE1</w:t>
            </w:r>
          </w:p>
        </w:tc>
        <w:tc>
          <w:tcPr>
            <w:tcW w:w="1006" w:type="dxa"/>
            <w:tcBorders>
              <w:top w:val="nil"/>
              <w:left w:val="nil"/>
              <w:bottom w:val="nil"/>
              <w:right w:val="nil"/>
            </w:tcBorders>
            <w:shd w:val="clear" w:color="auto" w:fill="auto"/>
            <w:noWrap/>
            <w:vAlign w:val="center"/>
            <w:hideMark/>
          </w:tcPr>
          <w:p w14:paraId="0390B7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1DF6754"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01/01/2024</w:t>
            </w:r>
          </w:p>
        </w:tc>
        <w:tc>
          <w:tcPr>
            <w:tcW w:w="766" w:type="dxa"/>
            <w:tcBorders>
              <w:top w:val="nil"/>
              <w:left w:val="nil"/>
              <w:bottom w:val="nil"/>
              <w:right w:val="nil"/>
            </w:tcBorders>
            <w:shd w:val="clear" w:color="auto" w:fill="auto"/>
            <w:noWrap/>
            <w:vAlign w:val="center"/>
            <w:hideMark/>
          </w:tcPr>
          <w:p w14:paraId="528BF50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520D2ABC" w14:textId="77777777" w:rsidTr="00AB1828">
        <w:trPr>
          <w:trHeight w:val="360"/>
        </w:trPr>
        <w:tc>
          <w:tcPr>
            <w:tcW w:w="861" w:type="dxa"/>
            <w:tcBorders>
              <w:top w:val="nil"/>
              <w:left w:val="nil"/>
              <w:bottom w:val="nil"/>
              <w:right w:val="nil"/>
            </w:tcBorders>
            <w:shd w:val="clear" w:color="auto" w:fill="auto"/>
            <w:noWrap/>
            <w:vAlign w:val="center"/>
            <w:hideMark/>
          </w:tcPr>
          <w:p w14:paraId="16D2D6D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NCT06256055</w:t>
            </w:r>
          </w:p>
        </w:tc>
        <w:tc>
          <w:tcPr>
            <w:tcW w:w="1354" w:type="dxa"/>
            <w:tcBorders>
              <w:top w:val="nil"/>
              <w:left w:val="nil"/>
              <w:bottom w:val="nil"/>
              <w:right w:val="nil"/>
            </w:tcBorders>
            <w:shd w:val="clear" w:color="auto" w:fill="auto"/>
            <w:noWrap/>
            <w:vAlign w:val="center"/>
            <w:hideMark/>
          </w:tcPr>
          <w:p w14:paraId="318811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1 Study of UCMYM802 Injection in Mesothelin-positive Advanced Malignant Solid Tumors</w:t>
            </w:r>
          </w:p>
        </w:tc>
        <w:tc>
          <w:tcPr>
            <w:tcW w:w="1483" w:type="dxa"/>
            <w:tcBorders>
              <w:top w:val="nil"/>
              <w:left w:val="nil"/>
              <w:bottom w:val="nil"/>
              <w:right w:val="nil"/>
            </w:tcBorders>
            <w:shd w:val="clear" w:color="auto" w:fill="auto"/>
            <w:noWrap/>
            <w:vAlign w:val="center"/>
            <w:hideMark/>
          </w:tcPr>
          <w:p w14:paraId="4C24908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31CA81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first-in-human, single-arm, open-label, dose escalation clinical study to evaluate the safety, tolerability, pharmacokinetic and pharmacodynamic characteristics, immunogenicity and preliminary efficacy of UCMYM802 (Circular mRNA encoding Anti-Mesothelin CAR-T) injection in patients with Mesothelin-positive advanced malignant solid tumors.</w:t>
            </w:r>
          </w:p>
        </w:tc>
        <w:tc>
          <w:tcPr>
            <w:tcW w:w="279" w:type="dxa"/>
            <w:tcBorders>
              <w:top w:val="nil"/>
              <w:left w:val="nil"/>
              <w:bottom w:val="nil"/>
              <w:right w:val="nil"/>
            </w:tcBorders>
            <w:shd w:val="clear" w:color="auto" w:fill="auto"/>
            <w:noWrap/>
            <w:vAlign w:val="center"/>
            <w:hideMark/>
          </w:tcPr>
          <w:p w14:paraId="40C9D91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A9AF1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Mesothelioma|Colorectal Cancer|Bile Duct Cancer|Rectal Cancer|Ovary Cancer|Pancreatic Cancer|Breast Cancer Female</w:t>
            </w:r>
          </w:p>
        </w:tc>
        <w:tc>
          <w:tcPr>
            <w:tcW w:w="1574" w:type="dxa"/>
            <w:tcBorders>
              <w:top w:val="nil"/>
              <w:left w:val="nil"/>
              <w:bottom w:val="nil"/>
              <w:right w:val="nil"/>
            </w:tcBorders>
            <w:shd w:val="clear" w:color="auto" w:fill="auto"/>
            <w:noWrap/>
            <w:vAlign w:val="center"/>
            <w:hideMark/>
          </w:tcPr>
          <w:p w14:paraId="452F654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UCMYM802 Injection</w:t>
            </w:r>
          </w:p>
        </w:tc>
        <w:tc>
          <w:tcPr>
            <w:tcW w:w="1152" w:type="dxa"/>
            <w:tcBorders>
              <w:top w:val="nil"/>
              <w:left w:val="nil"/>
              <w:bottom w:val="nil"/>
              <w:right w:val="nil"/>
            </w:tcBorders>
            <w:shd w:val="clear" w:color="auto" w:fill="auto"/>
            <w:noWrap/>
            <w:vAlign w:val="center"/>
            <w:hideMark/>
          </w:tcPr>
          <w:p w14:paraId="464E6F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UTC Therapeutics Inc.</w:t>
            </w:r>
          </w:p>
        </w:tc>
        <w:tc>
          <w:tcPr>
            <w:tcW w:w="1006" w:type="dxa"/>
            <w:tcBorders>
              <w:top w:val="nil"/>
              <w:left w:val="nil"/>
              <w:bottom w:val="nil"/>
              <w:right w:val="nil"/>
            </w:tcBorders>
            <w:shd w:val="clear" w:color="auto" w:fill="auto"/>
            <w:noWrap/>
            <w:vAlign w:val="center"/>
            <w:hideMark/>
          </w:tcPr>
          <w:p w14:paraId="4A0BE54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5674C5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6E7F83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01/01/2024</w:t>
            </w:r>
          </w:p>
        </w:tc>
        <w:tc>
          <w:tcPr>
            <w:tcW w:w="766" w:type="dxa"/>
            <w:tcBorders>
              <w:top w:val="nil"/>
              <w:left w:val="nil"/>
              <w:bottom w:val="nil"/>
              <w:right w:val="nil"/>
            </w:tcBorders>
            <w:shd w:val="clear" w:color="auto" w:fill="auto"/>
            <w:noWrap/>
            <w:vAlign w:val="center"/>
            <w:hideMark/>
          </w:tcPr>
          <w:p w14:paraId="2C2993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78E726F" w14:textId="77777777" w:rsidTr="00AB1828">
        <w:trPr>
          <w:trHeight w:val="360"/>
        </w:trPr>
        <w:tc>
          <w:tcPr>
            <w:tcW w:w="861" w:type="dxa"/>
            <w:tcBorders>
              <w:top w:val="nil"/>
              <w:left w:val="nil"/>
              <w:bottom w:val="nil"/>
              <w:right w:val="nil"/>
            </w:tcBorders>
            <w:shd w:val="clear" w:color="auto" w:fill="auto"/>
            <w:noWrap/>
            <w:vAlign w:val="center"/>
            <w:hideMark/>
          </w:tcPr>
          <w:p w14:paraId="5E2D4A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NCT06118086</w:t>
            </w:r>
          </w:p>
        </w:tc>
        <w:tc>
          <w:tcPr>
            <w:tcW w:w="1354" w:type="dxa"/>
            <w:tcBorders>
              <w:top w:val="nil"/>
              <w:left w:val="nil"/>
              <w:bottom w:val="nil"/>
              <w:right w:val="nil"/>
            </w:tcBorders>
            <w:shd w:val="clear" w:color="auto" w:fill="auto"/>
            <w:noWrap/>
            <w:vAlign w:val="center"/>
            <w:hideMark/>
          </w:tcPr>
          <w:p w14:paraId="0A9CB3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REM-422 in Patients With Recurrent or Metastatic Adenoid Cystic Carcinoma</w:t>
            </w:r>
          </w:p>
        </w:tc>
        <w:tc>
          <w:tcPr>
            <w:tcW w:w="1483" w:type="dxa"/>
            <w:tcBorders>
              <w:top w:val="nil"/>
              <w:left w:val="nil"/>
              <w:bottom w:val="nil"/>
              <w:right w:val="nil"/>
            </w:tcBorders>
            <w:shd w:val="clear" w:color="auto" w:fill="auto"/>
            <w:noWrap/>
            <w:vAlign w:val="center"/>
            <w:hideMark/>
          </w:tcPr>
          <w:p w14:paraId="38A7EB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1CFF43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goal of this study is to determine the safety and antitumor effects of REM-422, a MYB mRNA degrader, in people with advanced </w:t>
            </w:r>
            <w:r w:rsidRPr="000A6EBE">
              <w:rPr>
                <w:rFonts w:ascii="Aptos Narrow" w:eastAsia="Times New Roman" w:hAnsi="Aptos Narrow"/>
                <w:color w:val="000000"/>
                <w:sz w:val="16"/>
                <w:szCs w:val="16"/>
                <w:lang w:val="en-HK" w:eastAsia="zh-CN"/>
              </w:rPr>
              <w:lastRenderedPageBreak/>
              <w:t>Adenoid Cystic Carcinoma (ACC)</w:t>
            </w:r>
          </w:p>
        </w:tc>
        <w:tc>
          <w:tcPr>
            <w:tcW w:w="279" w:type="dxa"/>
            <w:tcBorders>
              <w:top w:val="nil"/>
              <w:left w:val="nil"/>
              <w:bottom w:val="nil"/>
              <w:right w:val="nil"/>
            </w:tcBorders>
            <w:shd w:val="clear" w:color="auto" w:fill="auto"/>
            <w:noWrap/>
            <w:vAlign w:val="center"/>
            <w:hideMark/>
          </w:tcPr>
          <w:p w14:paraId="07D091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76CDA0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Adenoid Cystic Carcinoma|Metastatic Adenoid Cystic Carcinoma|Recurrent Adenoid Cystic Carcinoma</w:t>
            </w:r>
          </w:p>
        </w:tc>
        <w:tc>
          <w:tcPr>
            <w:tcW w:w="1574" w:type="dxa"/>
            <w:tcBorders>
              <w:top w:val="nil"/>
              <w:left w:val="nil"/>
              <w:bottom w:val="nil"/>
              <w:right w:val="nil"/>
            </w:tcBorders>
            <w:shd w:val="clear" w:color="auto" w:fill="auto"/>
            <w:noWrap/>
            <w:vAlign w:val="center"/>
            <w:hideMark/>
          </w:tcPr>
          <w:p w14:paraId="55F5893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REM-422</w:t>
            </w:r>
          </w:p>
        </w:tc>
        <w:tc>
          <w:tcPr>
            <w:tcW w:w="1152" w:type="dxa"/>
            <w:tcBorders>
              <w:top w:val="nil"/>
              <w:left w:val="nil"/>
              <w:bottom w:val="nil"/>
              <w:right w:val="nil"/>
            </w:tcBorders>
            <w:shd w:val="clear" w:color="auto" w:fill="auto"/>
            <w:noWrap/>
            <w:vAlign w:val="center"/>
            <w:hideMark/>
          </w:tcPr>
          <w:p w14:paraId="479E36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Remix Therapeutics</w:t>
            </w:r>
          </w:p>
        </w:tc>
        <w:tc>
          <w:tcPr>
            <w:tcW w:w="1006" w:type="dxa"/>
            <w:tcBorders>
              <w:top w:val="nil"/>
              <w:left w:val="nil"/>
              <w:bottom w:val="nil"/>
              <w:right w:val="nil"/>
            </w:tcBorders>
            <w:shd w:val="clear" w:color="auto" w:fill="auto"/>
            <w:noWrap/>
            <w:vAlign w:val="center"/>
            <w:hideMark/>
          </w:tcPr>
          <w:p w14:paraId="1B9DFB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6B916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5AF9E6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20/12/2023</w:t>
            </w:r>
          </w:p>
        </w:tc>
        <w:tc>
          <w:tcPr>
            <w:tcW w:w="766" w:type="dxa"/>
            <w:tcBorders>
              <w:top w:val="nil"/>
              <w:left w:val="nil"/>
              <w:bottom w:val="nil"/>
              <w:right w:val="nil"/>
            </w:tcBorders>
            <w:shd w:val="clear" w:color="auto" w:fill="auto"/>
            <w:noWrap/>
            <w:vAlign w:val="center"/>
            <w:hideMark/>
          </w:tcPr>
          <w:p w14:paraId="4D5D18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D9D5D18" w14:textId="77777777" w:rsidTr="00AB1828">
        <w:trPr>
          <w:trHeight w:val="360"/>
        </w:trPr>
        <w:tc>
          <w:tcPr>
            <w:tcW w:w="861" w:type="dxa"/>
            <w:tcBorders>
              <w:top w:val="nil"/>
              <w:left w:val="nil"/>
              <w:bottom w:val="nil"/>
              <w:right w:val="nil"/>
            </w:tcBorders>
            <w:shd w:val="clear" w:color="auto" w:fill="auto"/>
            <w:noWrap/>
            <w:vAlign w:val="center"/>
            <w:hideMark/>
          </w:tcPr>
          <w:p w14:paraId="7EC8B1A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NCT06077760</w:t>
            </w:r>
          </w:p>
        </w:tc>
        <w:tc>
          <w:tcPr>
            <w:tcW w:w="1354" w:type="dxa"/>
            <w:tcBorders>
              <w:top w:val="nil"/>
              <w:left w:val="nil"/>
              <w:bottom w:val="nil"/>
              <w:right w:val="nil"/>
            </w:tcBorders>
            <w:shd w:val="clear" w:color="auto" w:fill="auto"/>
            <w:noWrap/>
            <w:vAlign w:val="center"/>
            <w:hideMark/>
          </w:tcPr>
          <w:p w14:paraId="7453A5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V940 Plus Pembrolizumab (MK-3475) Versus Placebo Plus Pembrolizumab in Participants With Non-small Cell Lung Cancer (V940-002)</w:t>
            </w:r>
          </w:p>
        </w:tc>
        <w:tc>
          <w:tcPr>
            <w:tcW w:w="1483" w:type="dxa"/>
            <w:tcBorders>
              <w:top w:val="nil"/>
              <w:left w:val="nil"/>
              <w:bottom w:val="nil"/>
              <w:right w:val="nil"/>
            </w:tcBorders>
            <w:shd w:val="clear" w:color="auto" w:fill="auto"/>
            <w:noWrap/>
            <w:vAlign w:val="center"/>
            <w:hideMark/>
          </w:tcPr>
          <w:p w14:paraId="480450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6893CC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goal of this study is to evaluate V940 plus pembrolizumab versus placebo plus pembrolizumab for the adjuvant treatment of completely resected (R0) Stage II, IIIA, IIIB (with nodal involvement \[N2\]) non-small cell lung cancer (NSCLC). The primary hypothesis is that V940 plus pembrolizumab is superior to placebo plus pembrolizumab with respect to disease-free survival (DFS) as assessed by the investigator.</w:t>
            </w:r>
          </w:p>
        </w:tc>
        <w:tc>
          <w:tcPr>
            <w:tcW w:w="279" w:type="dxa"/>
            <w:tcBorders>
              <w:top w:val="nil"/>
              <w:left w:val="nil"/>
              <w:bottom w:val="nil"/>
              <w:right w:val="nil"/>
            </w:tcBorders>
            <w:shd w:val="clear" w:color="auto" w:fill="auto"/>
            <w:noWrap/>
            <w:vAlign w:val="center"/>
            <w:hideMark/>
          </w:tcPr>
          <w:p w14:paraId="090EA9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27966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Non-small Cell Lung Cancer</w:t>
            </w:r>
          </w:p>
        </w:tc>
        <w:tc>
          <w:tcPr>
            <w:tcW w:w="1574" w:type="dxa"/>
            <w:tcBorders>
              <w:top w:val="nil"/>
              <w:left w:val="nil"/>
              <w:bottom w:val="nil"/>
              <w:right w:val="nil"/>
            </w:tcBorders>
            <w:shd w:val="clear" w:color="auto" w:fill="auto"/>
            <w:noWrap/>
            <w:vAlign w:val="center"/>
            <w:hideMark/>
          </w:tcPr>
          <w:p w14:paraId="56609D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V940|BIOLOGICAL: Pembrolizumab|OTHER: Placebo</w:t>
            </w:r>
          </w:p>
        </w:tc>
        <w:tc>
          <w:tcPr>
            <w:tcW w:w="1152" w:type="dxa"/>
            <w:tcBorders>
              <w:top w:val="nil"/>
              <w:left w:val="nil"/>
              <w:bottom w:val="nil"/>
              <w:right w:val="nil"/>
            </w:tcBorders>
            <w:shd w:val="clear" w:color="auto" w:fill="auto"/>
            <w:noWrap/>
            <w:vAlign w:val="center"/>
            <w:hideMark/>
          </w:tcPr>
          <w:p w14:paraId="538C9C0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Merck Sharp &amp; Dohme LLC</w:t>
            </w:r>
          </w:p>
        </w:tc>
        <w:tc>
          <w:tcPr>
            <w:tcW w:w="1006" w:type="dxa"/>
            <w:tcBorders>
              <w:top w:val="nil"/>
              <w:left w:val="nil"/>
              <w:bottom w:val="nil"/>
              <w:right w:val="nil"/>
            </w:tcBorders>
            <w:shd w:val="clear" w:color="auto" w:fill="auto"/>
            <w:noWrap/>
            <w:vAlign w:val="center"/>
            <w:hideMark/>
          </w:tcPr>
          <w:p w14:paraId="544AB79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PHASE3</w:t>
            </w:r>
          </w:p>
        </w:tc>
        <w:tc>
          <w:tcPr>
            <w:tcW w:w="1006" w:type="dxa"/>
            <w:tcBorders>
              <w:top w:val="nil"/>
              <w:left w:val="nil"/>
              <w:bottom w:val="nil"/>
              <w:right w:val="nil"/>
            </w:tcBorders>
            <w:shd w:val="clear" w:color="auto" w:fill="auto"/>
            <w:noWrap/>
            <w:vAlign w:val="center"/>
            <w:hideMark/>
          </w:tcPr>
          <w:p w14:paraId="51732A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A45697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06/12/2023</w:t>
            </w:r>
          </w:p>
        </w:tc>
        <w:tc>
          <w:tcPr>
            <w:tcW w:w="766" w:type="dxa"/>
            <w:tcBorders>
              <w:top w:val="nil"/>
              <w:left w:val="nil"/>
              <w:bottom w:val="nil"/>
              <w:right w:val="nil"/>
            </w:tcBorders>
            <w:shd w:val="clear" w:color="auto" w:fill="auto"/>
            <w:noWrap/>
            <w:vAlign w:val="center"/>
            <w:hideMark/>
          </w:tcPr>
          <w:p w14:paraId="63EC5C4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B8EDA2C" w14:textId="77777777" w:rsidTr="00AB1828">
        <w:trPr>
          <w:trHeight w:val="360"/>
        </w:trPr>
        <w:tc>
          <w:tcPr>
            <w:tcW w:w="861" w:type="dxa"/>
            <w:tcBorders>
              <w:top w:val="nil"/>
              <w:left w:val="nil"/>
              <w:bottom w:val="nil"/>
              <w:right w:val="nil"/>
            </w:tcBorders>
            <w:shd w:val="clear" w:color="auto" w:fill="auto"/>
            <w:noWrap/>
            <w:vAlign w:val="center"/>
            <w:hideMark/>
          </w:tcPr>
          <w:p w14:paraId="1909563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NCT05889195</w:t>
            </w:r>
          </w:p>
        </w:tc>
        <w:tc>
          <w:tcPr>
            <w:tcW w:w="1354" w:type="dxa"/>
            <w:tcBorders>
              <w:top w:val="nil"/>
              <w:left w:val="nil"/>
              <w:bottom w:val="nil"/>
              <w:right w:val="nil"/>
            </w:tcBorders>
            <w:shd w:val="clear" w:color="auto" w:fill="auto"/>
            <w:noWrap/>
            <w:vAlign w:val="center"/>
            <w:hideMark/>
          </w:tcPr>
          <w:p w14:paraId="163E00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Detection and Risk Stratification in Veterans Presenting With Microscopic Hematuria</w:t>
            </w:r>
          </w:p>
        </w:tc>
        <w:tc>
          <w:tcPr>
            <w:tcW w:w="1483" w:type="dxa"/>
            <w:tcBorders>
              <w:top w:val="nil"/>
              <w:left w:val="nil"/>
              <w:bottom w:val="nil"/>
              <w:right w:val="nil"/>
            </w:tcBorders>
            <w:shd w:val="clear" w:color="auto" w:fill="auto"/>
            <w:noWrap/>
            <w:vAlign w:val="center"/>
            <w:hideMark/>
          </w:tcPr>
          <w:p w14:paraId="63AC04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59260F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It is of current debate whether the use of invasive (referring to a process that requires insertion into the body) standard of care procedures such as a cystoscopy which is a procedure to look inside the bladder using a thin </w:t>
            </w:r>
            <w:r w:rsidRPr="000A6EBE">
              <w:rPr>
                <w:rFonts w:ascii="Aptos Narrow" w:eastAsia="Times New Roman" w:hAnsi="Aptos Narrow"/>
                <w:color w:val="000000"/>
                <w:sz w:val="16"/>
                <w:szCs w:val="16"/>
                <w:lang w:val="en-HK" w:eastAsia="zh-CN"/>
              </w:rPr>
              <w:lastRenderedPageBreak/>
              <w:t xml:space="preserve">camera called a cystoscope, is appropriate for use in patients with microscopic hematuria or blood in urine invisible to the naked eye. This is because the risk of disease (bladder cancer - urothelial carcinoma) is relatively low in this population group, approximately 3%. Invasive procedures such as a cystoscopy comes with anxiety and pain, in addition to other potential side effects. This has resulted in low admittance in urology clinics for cystoscopy with hematuria (blood in urine) patients. Therefore, there is a need for a more simple, non-invasive test that can accurately detect the presence or absence of disease (urothelial carcinoma) in patients with microscopic hematuria. There </w:t>
            </w:r>
            <w:r w:rsidRPr="000A6EBE">
              <w:rPr>
                <w:rFonts w:ascii="Aptos Narrow" w:eastAsia="Times New Roman" w:hAnsi="Aptos Narrow"/>
                <w:color w:val="000000"/>
                <w:sz w:val="16"/>
                <w:szCs w:val="16"/>
                <w:lang w:val="en-HK" w:eastAsia="zh-CN"/>
              </w:rPr>
              <w:lastRenderedPageBreak/>
              <w:t>is a potential role Cxbladder, a non-invasive, urine based test, can fill this role.</w:t>
            </w:r>
          </w:p>
        </w:tc>
        <w:tc>
          <w:tcPr>
            <w:tcW w:w="279" w:type="dxa"/>
            <w:tcBorders>
              <w:top w:val="nil"/>
              <w:left w:val="nil"/>
              <w:bottom w:val="nil"/>
              <w:right w:val="nil"/>
            </w:tcBorders>
            <w:shd w:val="clear" w:color="auto" w:fill="auto"/>
            <w:noWrap/>
            <w:vAlign w:val="center"/>
            <w:hideMark/>
          </w:tcPr>
          <w:p w14:paraId="242C47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1ACFE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Urothelial Carcinoma</w:t>
            </w:r>
          </w:p>
        </w:tc>
        <w:tc>
          <w:tcPr>
            <w:tcW w:w="1574" w:type="dxa"/>
            <w:tcBorders>
              <w:top w:val="nil"/>
              <w:left w:val="nil"/>
              <w:bottom w:val="nil"/>
              <w:right w:val="nil"/>
            </w:tcBorders>
            <w:shd w:val="clear" w:color="auto" w:fill="auto"/>
            <w:noWrap/>
            <w:vAlign w:val="center"/>
            <w:hideMark/>
          </w:tcPr>
          <w:p w14:paraId="74AA831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DIAGNOSTIC_TEST: Cxbladder urine test</w:t>
            </w:r>
          </w:p>
        </w:tc>
        <w:tc>
          <w:tcPr>
            <w:tcW w:w="2158" w:type="dxa"/>
            <w:gridSpan w:val="2"/>
            <w:tcBorders>
              <w:top w:val="nil"/>
              <w:left w:val="nil"/>
              <w:bottom w:val="nil"/>
              <w:right w:val="nil"/>
            </w:tcBorders>
            <w:shd w:val="clear" w:color="auto" w:fill="auto"/>
            <w:noWrap/>
            <w:vAlign w:val="center"/>
            <w:hideMark/>
          </w:tcPr>
          <w:p w14:paraId="4C7469E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Pacific Edge Limited</w:t>
            </w:r>
          </w:p>
        </w:tc>
        <w:tc>
          <w:tcPr>
            <w:tcW w:w="1006" w:type="dxa"/>
            <w:tcBorders>
              <w:top w:val="nil"/>
              <w:left w:val="nil"/>
              <w:bottom w:val="nil"/>
              <w:right w:val="nil"/>
            </w:tcBorders>
            <w:shd w:val="clear" w:color="auto" w:fill="auto"/>
            <w:noWrap/>
            <w:vAlign w:val="center"/>
            <w:hideMark/>
          </w:tcPr>
          <w:p w14:paraId="29101E6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6A6A706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02/11/2023</w:t>
            </w:r>
          </w:p>
        </w:tc>
        <w:tc>
          <w:tcPr>
            <w:tcW w:w="766" w:type="dxa"/>
            <w:tcBorders>
              <w:top w:val="nil"/>
              <w:left w:val="nil"/>
              <w:bottom w:val="nil"/>
              <w:right w:val="nil"/>
            </w:tcBorders>
            <w:shd w:val="clear" w:color="auto" w:fill="auto"/>
            <w:noWrap/>
            <w:vAlign w:val="center"/>
            <w:hideMark/>
          </w:tcPr>
          <w:p w14:paraId="1067720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41030C94" w14:textId="77777777" w:rsidTr="00AB1828">
        <w:trPr>
          <w:trHeight w:val="360"/>
        </w:trPr>
        <w:tc>
          <w:tcPr>
            <w:tcW w:w="861" w:type="dxa"/>
            <w:tcBorders>
              <w:top w:val="nil"/>
              <w:left w:val="nil"/>
              <w:bottom w:val="nil"/>
              <w:right w:val="nil"/>
            </w:tcBorders>
            <w:shd w:val="clear" w:color="auto" w:fill="auto"/>
            <w:noWrap/>
            <w:vAlign w:val="center"/>
            <w:hideMark/>
          </w:tcPr>
          <w:p w14:paraId="6254C3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NCT05799612</w:t>
            </w:r>
          </w:p>
        </w:tc>
        <w:tc>
          <w:tcPr>
            <w:tcW w:w="1354" w:type="dxa"/>
            <w:tcBorders>
              <w:top w:val="nil"/>
              <w:left w:val="nil"/>
              <w:bottom w:val="nil"/>
              <w:right w:val="nil"/>
            </w:tcBorders>
            <w:shd w:val="clear" w:color="auto" w:fill="auto"/>
            <w:noWrap/>
            <w:vAlign w:val="center"/>
            <w:hideMark/>
          </w:tcPr>
          <w:p w14:paraId="68DAB0D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I Study of TH1 Dendritic Cell Immunotherapy for the Treatment of Cutaneous Angiosarcoma</w:t>
            </w:r>
          </w:p>
        </w:tc>
        <w:tc>
          <w:tcPr>
            <w:tcW w:w="1483" w:type="dxa"/>
            <w:tcBorders>
              <w:top w:val="nil"/>
              <w:left w:val="nil"/>
              <w:bottom w:val="nil"/>
              <w:right w:val="nil"/>
            </w:tcBorders>
            <w:shd w:val="clear" w:color="auto" w:fill="auto"/>
            <w:noWrap/>
            <w:vAlign w:val="center"/>
            <w:hideMark/>
          </w:tcPr>
          <w:p w14:paraId="28BE62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2ACCE62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To find the highest tolerable dose of an mRNA vaccine that can be safely given to patients with cutaneous angiosarcoma</w:t>
            </w:r>
          </w:p>
        </w:tc>
        <w:tc>
          <w:tcPr>
            <w:tcW w:w="279" w:type="dxa"/>
            <w:tcBorders>
              <w:top w:val="nil"/>
              <w:left w:val="nil"/>
              <w:bottom w:val="nil"/>
              <w:right w:val="nil"/>
            </w:tcBorders>
            <w:shd w:val="clear" w:color="auto" w:fill="auto"/>
            <w:noWrap/>
            <w:vAlign w:val="center"/>
            <w:hideMark/>
          </w:tcPr>
          <w:p w14:paraId="11A748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9A3B5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Angiosarcoma</w:t>
            </w:r>
          </w:p>
        </w:tc>
        <w:tc>
          <w:tcPr>
            <w:tcW w:w="1574" w:type="dxa"/>
            <w:tcBorders>
              <w:top w:val="nil"/>
              <w:left w:val="nil"/>
              <w:bottom w:val="nil"/>
              <w:right w:val="nil"/>
            </w:tcBorders>
            <w:shd w:val="clear" w:color="auto" w:fill="auto"/>
            <w:noWrap/>
            <w:vAlign w:val="center"/>
            <w:hideMark/>
          </w:tcPr>
          <w:p w14:paraId="786C7B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Paclitaxel|BIOLOGICAL: mRNA plus Lysate-loaded Dendritic Cell Vaccine|DRUG: PEGYLATED-INTERFERON ALPHA-2A|DRUG: Filgrastim</w:t>
            </w:r>
          </w:p>
        </w:tc>
        <w:tc>
          <w:tcPr>
            <w:tcW w:w="1152" w:type="dxa"/>
            <w:tcBorders>
              <w:top w:val="nil"/>
              <w:left w:val="nil"/>
              <w:bottom w:val="nil"/>
              <w:right w:val="nil"/>
            </w:tcBorders>
            <w:shd w:val="clear" w:color="auto" w:fill="auto"/>
            <w:noWrap/>
            <w:vAlign w:val="center"/>
            <w:hideMark/>
          </w:tcPr>
          <w:p w14:paraId="74DB886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M.D. Anderson Cancer Center</w:t>
            </w:r>
          </w:p>
        </w:tc>
        <w:tc>
          <w:tcPr>
            <w:tcW w:w="1006" w:type="dxa"/>
            <w:tcBorders>
              <w:top w:val="nil"/>
              <w:left w:val="nil"/>
              <w:bottom w:val="nil"/>
              <w:right w:val="nil"/>
            </w:tcBorders>
            <w:shd w:val="clear" w:color="auto" w:fill="auto"/>
            <w:noWrap/>
            <w:vAlign w:val="center"/>
            <w:hideMark/>
          </w:tcPr>
          <w:p w14:paraId="250D4F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ABB71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3ED943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30/09/2023</w:t>
            </w:r>
          </w:p>
        </w:tc>
        <w:tc>
          <w:tcPr>
            <w:tcW w:w="766" w:type="dxa"/>
            <w:tcBorders>
              <w:top w:val="nil"/>
              <w:left w:val="nil"/>
              <w:bottom w:val="nil"/>
              <w:right w:val="nil"/>
            </w:tcBorders>
            <w:shd w:val="clear" w:color="auto" w:fill="auto"/>
            <w:noWrap/>
            <w:vAlign w:val="center"/>
            <w:hideMark/>
          </w:tcPr>
          <w:p w14:paraId="5C5B98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5392CFA" w14:textId="77777777" w:rsidTr="00AB1828">
        <w:trPr>
          <w:trHeight w:val="360"/>
        </w:trPr>
        <w:tc>
          <w:tcPr>
            <w:tcW w:w="861" w:type="dxa"/>
            <w:tcBorders>
              <w:top w:val="nil"/>
              <w:left w:val="nil"/>
              <w:bottom w:val="nil"/>
              <w:right w:val="nil"/>
            </w:tcBorders>
            <w:shd w:val="clear" w:color="auto" w:fill="auto"/>
            <w:noWrap/>
            <w:vAlign w:val="center"/>
            <w:hideMark/>
          </w:tcPr>
          <w:p w14:paraId="2D0664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NCT06088004</w:t>
            </w:r>
          </w:p>
        </w:tc>
        <w:tc>
          <w:tcPr>
            <w:tcW w:w="1354" w:type="dxa"/>
            <w:tcBorders>
              <w:top w:val="nil"/>
              <w:left w:val="nil"/>
              <w:bottom w:val="nil"/>
              <w:right w:val="nil"/>
            </w:tcBorders>
            <w:shd w:val="clear" w:color="auto" w:fill="auto"/>
            <w:noWrap/>
            <w:vAlign w:val="center"/>
            <w:hideMark/>
          </w:tcPr>
          <w:p w14:paraId="694A81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to Evaluate ABO2011 Monotherapy in Advanced Solid Tumors</w:t>
            </w:r>
          </w:p>
        </w:tc>
        <w:tc>
          <w:tcPr>
            <w:tcW w:w="1483" w:type="dxa"/>
            <w:tcBorders>
              <w:top w:val="nil"/>
              <w:left w:val="nil"/>
              <w:bottom w:val="nil"/>
              <w:right w:val="nil"/>
            </w:tcBorders>
            <w:shd w:val="clear" w:color="auto" w:fill="auto"/>
            <w:noWrap/>
            <w:vAlign w:val="center"/>
            <w:hideMark/>
          </w:tcPr>
          <w:p w14:paraId="6A5427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ENROLLING_BY_INVITATION</w:t>
            </w:r>
          </w:p>
        </w:tc>
        <w:tc>
          <w:tcPr>
            <w:tcW w:w="1689" w:type="dxa"/>
            <w:tcBorders>
              <w:top w:val="nil"/>
              <w:left w:val="nil"/>
              <w:bottom w:val="nil"/>
              <w:right w:val="nil"/>
            </w:tcBorders>
            <w:shd w:val="clear" w:color="auto" w:fill="auto"/>
            <w:noWrap/>
            <w:vAlign w:val="center"/>
            <w:hideMark/>
          </w:tcPr>
          <w:p w14:paraId="397308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his is an open-label, single-arm, dose-escalation, and dose-expansion clinical study to evaluate the safety, tolerability, PK/PD, and preliminary efficacy of ABO2011 monotherapy in patients with advanced solid tumors who have progressed or metastasized after systemic standard of treatment.</w:t>
            </w:r>
          </w:p>
        </w:tc>
        <w:tc>
          <w:tcPr>
            <w:tcW w:w="279" w:type="dxa"/>
            <w:tcBorders>
              <w:top w:val="nil"/>
              <w:left w:val="nil"/>
              <w:bottom w:val="nil"/>
              <w:right w:val="nil"/>
            </w:tcBorders>
            <w:shd w:val="clear" w:color="auto" w:fill="auto"/>
            <w:noWrap/>
            <w:vAlign w:val="center"/>
            <w:hideMark/>
          </w:tcPr>
          <w:p w14:paraId="0D0915A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09122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 Adult</w:t>
            </w:r>
          </w:p>
        </w:tc>
        <w:tc>
          <w:tcPr>
            <w:tcW w:w="1574" w:type="dxa"/>
            <w:tcBorders>
              <w:top w:val="nil"/>
              <w:left w:val="nil"/>
              <w:bottom w:val="nil"/>
              <w:right w:val="nil"/>
            </w:tcBorders>
            <w:shd w:val="clear" w:color="auto" w:fill="auto"/>
            <w:noWrap/>
            <w:vAlign w:val="center"/>
            <w:hideMark/>
          </w:tcPr>
          <w:p w14:paraId="4AE0B43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ABO2011 Injection</w:t>
            </w:r>
          </w:p>
        </w:tc>
        <w:tc>
          <w:tcPr>
            <w:tcW w:w="1152" w:type="dxa"/>
            <w:tcBorders>
              <w:top w:val="nil"/>
              <w:left w:val="nil"/>
              <w:bottom w:val="nil"/>
              <w:right w:val="nil"/>
            </w:tcBorders>
            <w:shd w:val="clear" w:color="auto" w:fill="auto"/>
            <w:noWrap/>
            <w:vAlign w:val="center"/>
            <w:hideMark/>
          </w:tcPr>
          <w:p w14:paraId="296F493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Suzhou Abogen Biosciences Co., Ltd.</w:t>
            </w:r>
          </w:p>
        </w:tc>
        <w:tc>
          <w:tcPr>
            <w:tcW w:w="1006" w:type="dxa"/>
            <w:tcBorders>
              <w:top w:val="nil"/>
              <w:left w:val="nil"/>
              <w:bottom w:val="nil"/>
              <w:right w:val="nil"/>
            </w:tcBorders>
            <w:shd w:val="clear" w:color="auto" w:fill="auto"/>
            <w:noWrap/>
            <w:vAlign w:val="center"/>
            <w:hideMark/>
          </w:tcPr>
          <w:p w14:paraId="2D57F6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2297951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C3E727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28/09/2023</w:t>
            </w:r>
          </w:p>
        </w:tc>
        <w:tc>
          <w:tcPr>
            <w:tcW w:w="766" w:type="dxa"/>
            <w:tcBorders>
              <w:top w:val="nil"/>
              <w:left w:val="nil"/>
              <w:bottom w:val="nil"/>
              <w:right w:val="nil"/>
            </w:tcBorders>
            <w:shd w:val="clear" w:color="auto" w:fill="auto"/>
            <w:noWrap/>
            <w:vAlign w:val="center"/>
            <w:hideMark/>
          </w:tcPr>
          <w:p w14:paraId="72BAD9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1871D06" w14:textId="77777777" w:rsidTr="00AB1828">
        <w:trPr>
          <w:trHeight w:val="360"/>
        </w:trPr>
        <w:tc>
          <w:tcPr>
            <w:tcW w:w="861" w:type="dxa"/>
            <w:tcBorders>
              <w:top w:val="nil"/>
              <w:left w:val="nil"/>
              <w:bottom w:val="nil"/>
              <w:right w:val="nil"/>
            </w:tcBorders>
            <w:shd w:val="clear" w:color="auto" w:fill="auto"/>
            <w:noWrap/>
            <w:vAlign w:val="center"/>
            <w:hideMark/>
          </w:tcPr>
          <w:p w14:paraId="7D7F273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NCT06026774</w:t>
            </w:r>
          </w:p>
        </w:tc>
        <w:tc>
          <w:tcPr>
            <w:tcW w:w="1354" w:type="dxa"/>
            <w:tcBorders>
              <w:top w:val="nil"/>
              <w:left w:val="nil"/>
              <w:bottom w:val="nil"/>
              <w:right w:val="nil"/>
            </w:tcBorders>
            <w:shd w:val="clear" w:color="auto" w:fill="auto"/>
            <w:noWrap/>
            <w:vAlign w:val="center"/>
            <w:hideMark/>
          </w:tcPr>
          <w:p w14:paraId="120F81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Personalized mRNA Vaccine Encoding Neoantigen in Subjects With Resected Digestive System Neoplasms</w:t>
            </w:r>
          </w:p>
        </w:tc>
        <w:tc>
          <w:tcPr>
            <w:tcW w:w="1483" w:type="dxa"/>
            <w:tcBorders>
              <w:top w:val="nil"/>
              <w:left w:val="nil"/>
              <w:bottom w:val="nil"/>
              <w:right w:val="nil"/>
            </w:tcBorders>
            <w:shd w:val="clear" w:color="auto" w:fill="auto"/>
            <w:noWrap/>
            <w:vAlign w:val="center"/>
            <w:hideMark/>
          </w:tcPr>
          <w:p w14:paraId="77F0B1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67D1DD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study is to assess the safety, feasibility, and efficacy of personalized mRNA vaccine iNeo-Vac-R01 with standard adjuvant therapy in subjects with </w:t>
            </w:r>
            <w:r w:rsidRPr="000A6EBE">
              <w:rPr>
                <w:rFonts w:ascii="Aptos Narrow" w:eastAsia="Times New Roman" w:hAnsi="Aptos Narrow"/>
                <w:color w:val="000000"/>
                <w:sz w:val="16"/>
                <w:szCs w:val="16"/>
                <w:lang w:val="en-HK" w:eastAsia="zh-CN"/>
              </w:rPr>
              <w:lastRenderedPageBreak/>
              <w:t>surgically resected digestive system neoplasms.</w:t>
            </w:r>
          </w:p>
        </w:tc>
        <w:tc>
          <w:tcPr>
            <w:tcW w:w="279" w:type="dxa"/>
            <w:tcBorders>
              <w:top w:val="nil"/>
              <w:left w:val="nil"/>
              <w:bottom w:val="nil"/>
              <w:right w:val="nil"/>
            </w:tcBorders>
            <w:shd w:val="clear" w:color="auto" w:fill="auto"/>
            <w:noWrap/>
            <w:vAlign w:val="center"/>
            <w:hideMark/>
          </w:tcPr>
          <w:p w14:paraId="7922131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B43BC6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Digestive System Neoplasms</w:t>
            </w:r>
          </w:p>
        </w:tc>
        <w:tc>
          <w:tcPr>
            <w:tcW w:w="1574" w:type="dxa"/>
            <w:tcBorders>
              <w:top w:val="nil"/>
              <w:left w:val="nil"/>
              <w:bottom w:val="nil"/>
              <w:right w:val="nil"/>
            </w:tcBorders>
            <w:shd w:val="clear" w:color="auto" w:fill="auto"/>
            <w:noWrap/>
            <w:vAlign w:val="center"/>
            <w:hideMark/>
          </w:tcPr>
          <w:p w14:paraId="609F0A3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iNeo-Vac-R01 in combination with standard adjuvant therapy</w:t>
            </w:r>
          </w:p>
        </w:tc>
        <w:tc>
          <w:tcPr>
            <w:tcW w:w="1152" w:type="dxa"/>
            <w:tcBorders>
              <w:top w:val="nil"/>
              <w:left w:val="nil"/>
              <w:bottom w:val="nil"/>
              <w:right w:val="nil"/>
            </w:tcBorders>
            <w:shd w:val="clear" w:color="auto" w:fill="auto"/>
            <w:noWrap/>
            <w:vAlign w:val="center"/>
            <w:hideMark/>
          </w:tcPr>
          <w:p w14:paraId="5056C6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Sir Run Run Shaw Hospital</w:t>
            </w:r>
          </w:p>
        </w:tc>
        <w:tc>
          <w:tcPr>
            <w:tcW w:w="1006" w:type="dxa"/>
            <w:tcBorders>
              <w:top w:val="nil"/>
              <w:left w:val="nil"/>
              <w:bottom w:val="nil"/>
              <w:right w:val="nil"/>
            </w:tcBorders>
            <w:shd w:val="clear" w:color="auto" w:fill="auto"/>
            <w:noWrap/>
            <w:vAlign w:val="center"/>
            <w:hideMark/>
          </w:tcPr>
          <w:p w14:paraId="2C10C2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A073D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2D14AB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08/09/2023</w:t>
            </w:r>
          </w:p>
        </w:tc>
        <w:tc>
          <w:tcPr>
            <w:tcW w:w="766" w:type="dxa"/>
            <w:tcBorders>
              <w:top w:val="nil"/>
              <w:left w:val="nil"/>
              <w:bottom w:val="nil"/>
              <w:right w:val="nil"/>
            </w:tcBorders>
            <w:shd w:val="clear" w:color="auto" w:fill="auto"/>
            <w:noWrap/>
            <w:vAlign w:val="center"/>
            <w:hideMark/>
          </w:tcPr>
          <w:p w14:paraId="522C88C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70E3F03A" w14:textId="77777777" w:rsidTr="00AB1828">
        <w:trPr>
          <w:trHeight w:val="360"/>
        </w:trPr>
        <w:tc>
          <w:tcPr>
            <w:tcW w:w="861" w:type="dxa"/>
            <w:tcBorders>
              <w:top w:val="nil"/>
              <w:left w:val="nil"/>
              <w:bottom w:val="nil"/>
              <w:right w:val="nil"/>
            </w:tcBorders>
            <w:shd w:val="clear" w:color="auto" w:fill="auto"/>
            <w:noWrap/>
            <w:vAlign w:val="center"/>
            <w:hideMark/>
          </w:tcPr>
          <w:p w14:paraId="077118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NCT06019702</w:t>
            </w:r>
          </w:p>
        </w:tc>
        <w:tc>
          <w:tcPr>
            <w:tcW w:w="1354" w:type="dxa"/>
            <w:tcBorders>
              <w:top w:val="nil"/>
              <w:left w:val="nil"/>
              <w:bottom w:val="nil"/>
              <w:right w:val="nil"/>
            </w:tcBorders>
            <w:shd w:val="clear" w:color="auto" w:fill="auto"/>
            <w:noWrap/>
            <w:vAlign w:val="center"/>
            <w:hideMark/>
          </w:tcPr>
          <w:p w14:paraId="18C74A2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Personalized mRNA Vaccine Encoding Neoantigen Alone in Subjects With Advanced Digestive System Neoplasms</w:t>
            </w:r>
          </w:p>
        </w:tc>
        <w:tc>
          <w:tcPr>
            <w:tcW w:w="1483" w:type="dxa"/>
            <w:tcBorders>
              <w:top w:val="nil"/>
              <w:left w:val="nil"/>
              <w:bottom w:val="nil"/>
              <w:right w:val="nil"/>
            </w:tcBorders>
            <w:shd w:val="clear" w:color="auto" w:fill="auto"/>
            <w:noWrap/>
            <w:vAlign w:val="center"/>
            <w:hideMark/>
          </w:tcPr>
          <w:p w14:paraId="3074F3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11AFDD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assess the safety, feasibility, and efficacy of personalized mRNA vaccine iNeo-Vac-R01 alone in subjects with advanced digestive system neoplasms.</w:t>
            </w:r>
          </w:p>
        </w:tc>
        <w:tc>
          <w:tcPr>
            <w:tcW w:w="279" w:type="dxa"/>
            <w:tcBorders>
              <w:top w:val="nil"/>
              <w:left w:val="nil"/>
              <w:bottom w:val="nil"/>
              <w:right w:val="nil"/>
            </w:tcBorders>
            <w:shd w:val="clear" w:color="auto" w:fill="auto"/>
            <w:noWrap/>
            <w:vAlign w:val="center"/>
            <w:hideMark/>
          </w:tcPr>
          <w:p w14:paraId="22D19F0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ECF222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Digestive System Neoplasms</w:t>
            </w:r>
          </w:p>
        </w:tc>
        <w:tc>
          <w:tcPr>
            <w:tcW w:w="1574" w:type="dxa"/>
            <w:tcBorders>
              <w:top w:val="nil"/>
              <w:left w:val="nil"/>
              <w:bottom w:val="nil"/>
              <w:right w:val="nil"/>
            </w:tcBorders>
            <w:shd w:val="clear" w:color="auto" w:fill="auto"/>
            <w:noWrap/>
            <w:vAlign w:val="center"/>
            <w:hideMark/>
          </w:tcPr>
          <w:p w14:paraId="4B5E95C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iNeo-Vac-R01</w:t>
            </w:r>
          </w:p>
        </w:tc>
        <w:tc>
          <w:tcPr>
            <w:tcW w:w="1152" w:type="dxa"/>
            <w:tcBorders>
              <w:top w:val="nil"/>
              <w:left w:val="nil"/>
              <w:bottom w:val="nil"/>
              <w:right w:val="nil"/>
            </w:tcBorders>
            <w:shd w:val="clear" w:color="auto" w:fill="auto"/>
            <w:noWrap/>
            <w:vAlign w:val="center"/>
            <w:hideMark/>
          </w:tcPr>
          <w:p w14:paraId="06A5AC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Sir Run Run Shaw Hospital</w:t>
            </w:r>
          </w:p>
        </w:tc>
        <w:tc>
          <w:tcPr>
            <w:tcW w:w="1006" w:type="dxa"/>
            <w:tcBorders>
              <w:top w:val="nil"/>
              <w:left w:val="nil"/>
              <w:bottom w:val="nil"/>
              <w:right w:val="nil"/>
            </w:tcBorders>
            <w:shd w:val="clear" w:color="auto" w:fill="auto"/>
            <w:noWrap/>
            <w:vAlign w:val="center"/>
            <w:hideMark/>
          </w:tcPr>
          <w:p w14:paraId="1CDA21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773F2C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D9C09E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08/09/2023</w:t>
            </w:r>
          </w:p>
        </w:tc>
        <w:tc>
          <w:tcPr>
            <w:tcW w:w="766" w:type="dxa"/>
            <w:tcBorders>
              <w:top w:val="nil"/>
              <w:left w:val="nil"/>
              <w:bottom w:val="nil"/>
              <w:right w:val="nil"/>
            </w:tcBorders>
            <w:shd w:val="clear" w:color="auto" w:fill="auto"/>
            <w:noWrap/>
            <w:vAlign w:val="center"/>
            <w:hideMark/>
          </w:tcPr>
          <w:p w14:paraId="76352B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6433DD27" w14:textId="77777777" w:rsidTr="00AB1828">
        <w:trPr>
          <w:trHeight w:val="360"/>
        </w:trPr>
        <w:tc>
          <w:tcPr>
            <w:tcW w:w="861" w:type="dxa"/>
            <w:tcBorders>
              <w:top w:val="nil"/>
              <w:left w:val="nil"/>
              <w:bottom w:val="nil"/>
              <w:right w:val="nil"/>
            </w:tcBorders>
            <w:shd w:val="clear" w:color="auto" w:fill="auto"/>
            <w:noWrap/>
            <w:vAlign w:val="center"/>
            <w:hideMark/>
          </w:tcPr>
          <w:p w14:paraId="7383D1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NCT06026800</w:t>
            </w:r>
          </w:p>
        </w:tc>
        <w:tc>
          <w:tcPr>
            <w:tcW w:w="1354" w:type="dxa"/>
            <w:tcBorders>
              <w:top w:val="nil"/>
              <w:left w:val="nil"/>
              <w:bottom w:val="nil"/>
              <w:right w:val="nil"/>
            </w:tcBorders>
            <w:shd w:val="clear" w:color="auto" w:fill="auto"/>
            <w:noWrap/>
            <w:vAlign w:val="center"/>
            <w:hideMark/>
          </w:tcPr>
          <w:p w14:paraId="22F9281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Personalized mRNA Vaccine Encoding Neoantigen in Combination With Standard First-line Treatment in Subjects With Advanced Digestive System Neoplasms</w:t>
            </w:r>
          </w:p>
        </w:tc>
        <w:tc>
          <w:tcPr>
            <w:tcW w:w="1483" w:type="dxa"/>
            <w:tcBorders>
              <w:top w:val="nil"/>
              <w:left w:val="nil"/>
              <w:bottom w:val="nil"/>
              <w:right w:val="nil"/>
            </w:tcBorders>
            <w:shd w:val="clear" w:color="auto" w:fill="auto"/>
            <w:noWrap/>
            <w:vAlign w:val="center"/>
            <w:hideMark/>
          </w:tcPr>
          <w:p w14:paraId="4B84A2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3A56EF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assess the safety, feasibility, and efficacy of personalized mRNA vaccine iNeo-Vac-R01 in combination with first-line treatment in subjects with advanced digestive system neoplasms.</w:t>
            </w:r>
          </w:p>
        </w:tc>
        <w:tc>
          <w:tcPr>
            <w:tcW w:w="279" w:type="dxa"/>
            <w:tcBorders>
              <w:top w:val="nil"/>
              <w:left w:val="nil"/>
              <w:bottom w:val="nil"/>
              <w:right w:val="nil"/>
            </w:tcBorders>
            <w:shd w:val="clear" w:color="auto" w:fill="auto"/>
            <w:noWrap/>
            <w:vAlign w:val="center"/>
            <w:hideMark/>
          </w:tcPr>
          <w:p w14:paraId="343F653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F1B9E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Digestive System Neoplasms</w:t>
            </w:r>
          </w:p>
        </w:tc>
        <w:tc>
          <w:tcPr>
            <w:tcW w:w="1574" w:type="dxa"/>
            <w:tcBorders>
              <w:top w:val="nil"/>
              <w:left w:val="nil"/>
              <w:bottom w:val="nil"/>
              <w:right w:val="nil"/>
            </w:tcBorders>
            <w:shd w:val="clear" w:color="auto" w:fill="auto"/>
            <w:noWrap/>
            <w:vAlign w:val="center"/>
            <w:hideMark/>
          </w:tcPr>
          <w:p w14:paraId="619FE0F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iNeo-Vac-R01</w:t>
            </w:r>
          </w:p>
        </w:tc>
        <w:tc>
          <w:tcPr>
            <w:tcW w:w="1152" w:type="dxa"/>
            <w:tcBorders>
              <w:top w:val="nil"/>
              <w:left w:val="nil"/>
              <w:bottom w:val="nil"/>
              <w:right w:val="nil"/>
            </w:tcBorders>
            <w:shd w:val="clear" w:color="auto" w:fill="auto"/>
            <w:noWrap/>
            <w:vAlign w:val="center"/>
            <w:hideMark/>
          </w:tcPr>
          <w:p w14:paraId="4D875D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Sir Run Run Shaw Hospital</w:t>
            </w:r>
          </w:p>
        </w:tc>
        <w:tc>
          <w:tcPr>
            <w:tcW w:w="1006" w:type="dxa"/>
            <w:tcBorders>
              <w:top w:val="nil"/>
              <w:left w:val="nil"/>
              <w:bottom w:val="nil"/>
              <w:right w:val="nil"/>
            </w:tcBorders>
            <w:shd w:val="clear" w:color="auto" w:fill="auto"/>
            <w:noWrap/>
            <w:vAlign w:val="center"/>
            <w:hideMark/>
          </w:tcPr>
          <w:p w14:paraId="5D29EA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2C0559C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4520BB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08/09/2023</w:t>
            </w:r>
          </w:p>
        </w:tc>
        <w:tc>
          <w:tcPr>
            <w:tcW w:w="766" w:type="dxa"/>
            <w:tcBorders>
              <w:top w:val="nil"/>
              <w:left w:val="nil"/>
              <w:bottom w:val="nil"/>
              <w:right w:val="nil"/>
            </w:tcBorders>
            <w:shd w:val="clear" w:color="auto" w:fill="auto"/>
            <w:noWrap/>
            <w:vAlign w:val="center"/>
            <w:hideMark/>
          </w:tcPr>
          <w:p w14:paraId="3A9794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584BD09C" w14:textId="77777777" w:rsidTr="00AB1828">
        <w:trPr>
          <w:trHeight w:val="360"/>
        </w:trPr>
        <w:tc>
          <w:tcPr>
            <w:tcW w:w="861" w:type="dxa"/>
            <w:tcBorders>
              <w:top w:val="nil"/>
              <w:left w:val="nil"/>
              <w:bottom w:val="nil"/>
              <w:right w:val="nil"/>
            </w:tcBorders>
            <w:shd w:val="clear" w:color="auto" w:fill="auto"/>
            <w:noWrap/>
            <w:vAlign w:val="center"/>
            <w:hideMark/>
          </w:tcPr>
          <w:p w14:paraId="34B7FD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NCT05969041</w:t>
            </w:r>
          </w:p>
        </w:tc>
        <w:tc>
          <w:tcPr>
            <w:tcW w:w="1354" w:type="dxa"/>
            <w:tcBorders>
              <w:top w:val="nil"/>
              <w:left w:val="nil"/>
              <w:bottom w:val="nil"/>
              <w:right w:val="nil"/>
            </w:tcBorders>
            <w:shd w:val="clear" w:color="auto" w:fill="auto"/>
            <w:noWrap/>
            <w:vAlign w:val="center"/>
            <w:hideMark/>
          </w:tcPr>
          <w:p w14:paraId="119288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MT-302 in Adults With Advanced or Metastatic Epithelial Tumors</w:t>
            </w:r>
          </w:p>
        </w:tc>
        <w:tc>
          <w:tcPr>
            <w:tcW w:w="1483" w:type="dxa"/>
            <w:tcBorders>
              <w:top w:val="nil"/>
              <w:left w:val="nil"/>
              <w:bottom w:val="nil"/>
              <w:right w:val="nil"/>
            </w:tcBorders>
            <w:shd w:val="clear" w:color="auto" w:fill="auto"/>
            <w:noWrap/>
            <w:vAlign w:val="center"/>
            <w:hideMark/>
          </w:tcPr>
          <w:p w14:paraId="3D8AD34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11D89A5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MYE Symphony is a multicenter, open-label, Phase 1 first-in-human study to assess the safety, tolerability, and define the RP2D of MT-302 in participants with advanced epithelial cancer.</w:t>
            </w:r>
          </w:p>
        </w:tc>
        <w:tc>
          <w:tcPr>
            <w:tcW w:w="279" w:type="dxa"/>
            <w:tcBorders>
              <w:top w:val="nil"/>
              <w:left w:val="nil"/>
              <w:bottom w:val="nil"/>
              <w:right w:val="nil"/>
            </w:tcBorders>
            <w:shd w:val="clear" w:color="auto" w:fill="auto"/>
            <w:noWrap/>
            <w:vAlign w:val="center"/>
            <w:hideMark/>
          </w:tcPr>
          <w:p w14:paraId="3DA6015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248EBC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Epithelial Tumors, Malignant</w:t>
            </w:r>
          </w:p>
        </w:tc>
        <w:tc>
          <w:tcPr>
            <w:tcW w:w="1574" w:type="dxa"/>
            <w:tcBorders>
              <w:top w:val="nil"/>
              <w:left w:val="nil"/>
              <w:bottom w:val="nil"/>
              <w:right w:val="nil"/>
            </w:tcBorders>
            <w:shd w:val="clear" w:color="auto" w:fill="auto"/>
            <w:noWrap/>
            <w:vAlign w:val="center"/>
            <w:hideMark/>
          </w:tcPr>
          <w:p w14:paraId="12DAB1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MT-302 (A)</w:t>
            </w:r>
          </w:p>
        </w:tc>
        <w:tc>
          <w:tcPr>
            <w:tcW w:w="1152" w:type="dxa"/>
            <w:tcBorders>
              <w:top w:val="nil"/>
              <w:left w:val="nil"/>
              <w:bottom w:val="nil"/>
              <w:right w:val="nil"/>
            </w:tcBorders>
            <w:shd w:val="clear" w:color="auto" w:fill="auto"/>
            <w:noWrap/>
            <w:vAlign w:val="center"/>
            <w:hideMark/>
          </w:tcPr>
          <w:p w14:paraId="6AD10D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Myeloid Therapeutics</w:t>
            </w:r>
          </w:p>
        </w:tc>
        <w:tc>
          <w:tcPr>
            <w:tcW w:w="1006" w:type="dxa"/>
            <w:tcBorders>
              <w:top w:val="nil"/>
              <w:left w:val="nil"/>
              <w:bottom w:val="nil"/>
              <w:right w:val="nil"/>
            </w:tcBorders>
            <w:shd w:val="clear" w:color="auto" w:fill="auto"/>
            <w:noWrap/>
            <w:vAlign w:val="center"/>
            <w:hideMark/>
          </w:tcPr>
          <w:p w14:paraId="71056C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78336E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82E3AD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02/08/2023</w:t>
            </w:r>
          </w:p>
        </w:tc>
        <w:tc>
          <w:tcPr>
            <w:tcW w:w="766" w:type="dxa"/>
            <w:tcBorders>
              <w:top w:val="nil"/>
              <w:left w:val="nil"/>
              <w:bottom w:val="nil"/>
              <w:right w:val="nil"/>
            </w:tcBorders>
            <w:shd w:val="clear" w:color="auto" w:fill="auto"/>
            <w:noWrap/>
            <w:vAlign w:val="center"/>
            <w:hideMark/>
          </w:tcPr>
          <w:p w14:paraId="5093FC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49F71A3" w14:textId="77777777" w:rsidTr="00AB1828">
        <w:trPr>
          <w:trHeight w:val="360"/>
        </w:trPr>
        <w:tc>
          <w:tcPr>
            <w:tcW w:w="861" w:type="dxa"/>
            <w:tcBorders>
              <w:top w:val="nil"/>
              <w:left w:val="nil"/>
              <w:bottom w:val="nil"/>
              <w:right w:val="nil"/>
            </w:tcBorders>
            <w:shd w:val="clear" w:color="auto" w:fill="auto"/>
            <w:noWrap/>
            <w:vAlign w:val="center"/>
            <w:hideMark/>
          </w:tcPr>
          <w:p w14:paraId="6F8EDD6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NCT04741984</w:t>
            </w:r>
          </w:p>
        </w:tc>
        <w:tc>
          <w:tcPr>
            <w:tcW w:w="1354" w:type="dxa"/>
            <w:tcBorders>
              <w:top w:val="nil"/>
              <w:left w:val="nil"/>
              <w:bottom w:val="nil"/>
              <w:right w:val="nil"/>
            </w:tcBorders>
            <w:shd w:val="clear" w:color="auto" w:fill="auto"/>
            <w:noWrap/>
            <w:vAlign w:val="center"/>
            <w:hideMark/>
          </w:tcPr>
          <w:p w14:paraId="56D034A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Monocyte Antigen Carrier Cells for </w:t>
            </w:r>
            <w:r w:rsidRPr="000A6EBE">
              <w:rPr>
                <w:rFonts w:ascii="Aptos Narrow" w:eastAsia="Times New Roman" w:hAnsi="Aptos Narrow"/>
                <w:color w:val="000000"/>
                <w:sz w:val="16"/>
                <w:szCs w:val="16"/>
                <w:lang w:val="en-HK" w:eastAsia="zh-CN"/>
              </w:rPr>
              <w:lastRenderedPageBreak/>
              <w:t>Newly Diagnosed GBM</w:t>
            </w:r>
          </w:p>
        </w:tc>
        <w:tc>
          <w:tcPr>
            <w:tcW w:w="1483" w:type="dxa"/>
            <w:tcBorders>
              <w:top w:val="nil"/>
              <w:left w:val="nil"/>
              <w:bottom w:val="nil"/>
              <w:right w:val="nil"/>
            </w:tcBorders>
            <w:shd w:val="clear" w:color="auto" w:fill="auto"/>
            <w:noWrap/>
            <w:vAlign w:val="center"/>
            <w:hideMark/>
          </w:tcPr>
          <w:p w14:paraId="0C8181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WITHDRAWN</w:t>
            </w:r>
          </w:p>
        </w:tc>
        <w:tc>
          <w:tcPr>
            <w:tcW w:w="1689" w:type="dxa"/>
            <w:tcBorders>
              <w:top w:val="nil"/>
              <w:left w:val="nil"/>
              <w:bottom w:val="nil"/>
              <w:right w:val="nil"/>
            </w:tcBorders>
            <w:shd w:val="clear" w:color="auto" w:fill="auto"/>
            <w:noWrap/>
            <w:vAlign w:val="center"/>
            <w:hideMark/>
          </w:tcPr>
          <w:p w14:paraId="5F4B3A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primary purpose of this study is to </w:t>
            </w:r>
            <w:r w:rsidRPr="000A6EBE">
              <w:rPr>
                <w:rFonts w:ascii="Aptos Narrow" w:eastAsia="Times New Roman" w:hAnsi="Aptos Narrow"/>
                <w:color w:val="000000"/>
                <w:sz w:val="16"/>
                <w:szCs w:val="16"/>
                <w:lang w:val="en-HK" w:eastAsia="zh-CN"/>
              </w:rPr>
              <w:lastRenderedPageBreak/>
              <w:t>determine the maximum tolerated dose (MTD) of MT-201-GBM (pp65CMV antigen monocytes) that will be administered to patients newly diagnosed with a type of brain tumor called glioblastoma (GBM) that has an unmethylated MGMT (O\[6\]-methylguanine-DNA methyltransferase) (MGMT) gene promoter.</w:t>
            </w:r>
          </w:p>
        </w:tc>
        <w:tc>
          <w:tcPr>
            <w:tcW w:w="279" w:type="dxa"/>
            <w:tcBorders>
              <w:top w:val="nil"/>
              <w:left w:val="nil"/>
              <w:bottom w:val="nil"/>
              <w:right w:val="nil"/>
            </w:tcBorders>
            <w:shd w:val="clear" w:color="auto" w:fill="auto"/>
            <w:noWrap/>
            <w:vAlign w:val="center"/>
            <w:hideMark/>
          </w:tcPr>
          <w:p w14:paraId="64232D6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492211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Glioblastoma|Glioma, Malignant</w:t>
            </w:r>
          </w:p>
        </w:tc>
        <w:tc>
          <w:tcPr>
            <w:tcW w:w="1574" w:type="dxa"/>
            <w:tcBorders>
              <w:top w:val="nil"/>
              <w:left w:val="nil"/>
              <w:bottom w:val="nil"/>
              <w:right w:val="nil"/>
            </w:tcBorders>
            <w:shd w:val="clear" w:color="auto" w:fill="auto"/>
            <w:noWrap/>
            <w:vAlign w:val="center"/>
            <w:hideMark/>
          </w:tcPr>
          <w:p w14:paraId="650D14B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MT-201-GBM monocyte vaccine</w:t>
            </w:r>
          </w:p>
        </w:tc>
        <w:tc>
          <w:tcPr>
            <w:tcW w:w="1152" w:type="dxa"/>
            <w:tcBorders>
              <w:top w:val="nil"/>
              <w:left w:val="nil"/>
              <w:bottom w:val="nil"/>
              <w:right w:val="nil"/>
            </w:tcBorders>
            <w:shd w:val="clear" w:color="auto" w:fill="auto"/>
            <w:noWrap/>
            <w:vAlign w:val="center"/>
            <w:hideMark/>
          </w:tcPr>
          <w:p w14:paraId="41DFF5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Michael Gunn</w:t>
            </w:r>
          </w:p>
        </w:tc>
        <w:tc>
          <w:tcPr>
            <w:tcW w:w="1006" w:type="dxa"/>
            <w:tcBorders>
              <w:top w:val="nil"/>
              <w:left w:val="nil"/>
              <w:bottom w:val="nil"/>
              <w:right w:val="nil"/>
            </w:tcBorders>
            <w:shd w:val="clear" w:color="auto" w:fill="auto"/>
            <w:noWrap/>
            <w:vAlign w:val="center"/>
            <w:hideMark/>
          </w:tcPr>
          <w:p w14:paraId="47DD5E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272A04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27C1CB6"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01/08/2023</w:t>
            </w:r>
          </w:p>
        </w:tc>
        <w:tc>
          <w:tcPr>
            <w:tcW w:w="766" w:type="dxa"/>
            <w:tcBorders>
              <w:top w:val="nil"/>
              <w:left w:val="nil"/>
              <w:bottom w:val="nil"/>
              <w:right w:val="nil"/>
            </w:tcBorders>
            <w:shd w:val="clear" w:color="auto" w:fill="auto"/>
            <w:noWrap/>
            <w:vAlign w:val="center"/>
            <w:hideMark/>
          </w:tcPr>
          <w:p w14:paraId="7E6646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84BA889" w14:textId="77777777" w:rsidTr="00AB1828">
        <w:trPr>
          <w:trHeight w:val="360"/>
        </w:trPr>
        <w:tc>
          <w:tcPr>
            <w:tcW w:w="861" w:type="dxa"/>
            <w:tcBorders>
              <w:top w:val="nil"/>
              <w:left w:val="nil"/>
              <w:bottom w:val="nil"/>
              <w:right w:val="nil"/>
            </w:tcBorders>
            <w:shd w:val="clear" w:color="auto" w:fill="auto"/>
            <w:noWrap/>
            <w:vAlign w:val="center"/>
            <w:hideMark/>
          </w:tcPr>
          <w:p w14:paraId="63D737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NCT05949775</w:t>
            </w:r>
          </w:p>
        </w:tc>
        <w:tc>
          <w:tcPr>
            <w:tcW w:w="1354" w:type="dxa"/>
            <w:tcBorders>
              <w:top w:val="nil"/>
              <w:left w:val="nil"/>
              <w:bottom w:val="nil"/>
              <w:right w:val="nil"/>
            </w:tcBorders>
            <w:shd w:val="clear" w:color="auto" w:fill="auto"/>
            <w:noWrap/>
            <w:vAlign w:val="center"/>
            <w:hideMark/>
          </w:tcPr>
          <w:p w14:paraId="5281DF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mRNA Vaccine in Patients With Advanced Malignant Solid Tumors</w:t>
            </w:r>
          </w:p>
        </w:tc>
        <w:tc>
          <w:tcPr>
            <w:tcW w:w="1483" w:type="dxa"/>
            <w:tcBorders>
              <w:top w:val="nil"/>
              <w:left w:val="nil"/>
              <w:bottom w:val="nil"/>
              <w:right w:val="nil"/>
            </w:tcBorders>
            <w:shd w:val="clear" w:color="auto" w:fill="auto"/>
            <w:noWrap/>
            <w:vAlign w:val="center"/>
            <w:hideMark/>
          </w:tcPr>
          <w:p w14:paraId="5B6D873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13E863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study is an open, single arm, dose increasing study to evaluate the safety and efficacy of the combination of mRNA personalized tumor vaccine encoding neoantigen (hereinafter referred to as tumor vaccine) and Sintilimab injection (hereinafter referred to as Sintilimab) in the treatment of advanced malignant solid tumors.</w:t>
            </w:r>
          </w:p>
        </w:tc>
        <w:tc>
          <w:tcPr>
            <w:tcW w:w="279" w:type="dxa"/>
            <w:tcBorders>
              <w:top w:val="nil"/>
              <w:left w:val="nil"/>
              <w:bottom w:val="nil"/>
              <w:right w:val="nil"/>
            </w:tcBorders>
            <w:shd w:val="clear" w:color="auto" w:fill="auto"/>
            <w:noWrap/>
            <w:vAlign w:val="center"/>
            <w:hideMark/>
          </w:tcPr>
          <w:p w14:paraId="55338E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5F4435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Malignant Solid Tumors</w:t>
            </w:r>
          </w:p>
        </w:tc>
        <w:tc>
          <w:tcPr>
            <w:tcW w:w="1574" w:type="dxa"/>
            <w:tcBorders>
              <w:top w:val="nil"/>
              <w:left w:val="nil"/>
              <w:bottom w:val="nil"/>
              <w:right w:val="nil"/>
            </w:tcBorders>
            <w:shd w:val="clear" w:color="auto" w:fill="auto"/>
            <w:noWrap/>
            <w:vAlign w:val="center"/>
            <w:hideMark/>
          </w:tcPr>
          <w:p w14:paraId="76C7E3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Neoantigen mRNA Personalised Cancer vaccine</w:t>
            </w:r>
          </w:p>
        </w:tc>
        <w:tc>
          <w:tcPr>
            <w:tcW w:w="1152" w:type="dxa"/>
            <w:tcBorders>
              <w:top w:val="nil"/>
              <w:left w:val="nil"/>
              <w:bottom w:val="nil"/>
              <w:right w:val="nil"/>
            </w:tcBorders>
            <w:shd w:val="clear" w:color="auto" w:fill="auto"/>
            <w:noWrap/>
            <w:vAlign w:val="center"/>
            <w:hideMark/>
          </w:tcPr>
          <w:p w14:paraId="6D650F9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Stemirna Therapeutics</w:t>
            </w:r>
          </w:p>
        </w:tc>
        <w:tc>
          <w:tcPr>
            <w:tcW w:w="1006" w:type="dxa"/>
            <w:tcBorders>
              <w:top w:val="nil"/>
              <w:left w:val="nil"/>
              <w:bottom w:val="nil"/>
              <w:right w:val="nil"/>
            </w:tcBorders>
            <w:shd w:val="clear" w:color="auto" w:fill="auto"/>
            <w:noWrap/>
            <w:vAlign w:val="center"/>
            <w:hideMark/>
          </w:tcPr>
          <w:p w14:paraId="591521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1ABE83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9CC55E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20/07/2023</w:t>
            </w:r>
          </w:p>
        </w:tc>
        <w:tc>
          <w:tcPr>
            <w:tcW w:w="766" w:type="dxa"/>
            <w:tcBorders>
              <w:top w:val="nil"/>
              <w:left w:val="nil"/>
              <w:bottom w:val="nil"/>
              <w:right w:val="nil"/>
            </w:tcBorders>
            <w:shd w:val="clear" w:color="auto" w:fill="auto"/>
            <w:noWrap/>
            <w:vAlign w:val="center"/>
            <w:hideMark/>
          </w:tcPr>
          <w:p w14:paraId="4F089BB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0A81D907" w14:textId="77777777" w:rsidTr="00AB1828">
        <w:trPr>
          <w:trHeight w:val="360"/>
        </w:trPr>
        <w:tc>
          <w:tcPr>
            <w:tcW w:w="861" w:type="dxa"/>
            <w:tcBorders>
              <w:top w:val="nil"/>
              <w:left w:val="nil"/>
              <w:bottom w:val="nil"/>
              <w:right w:val="nil"/>
            </w:tcBorders>
            <w:shd w:val="clear" w:color="auto" w:fill="auto"/>
            <w:noWrap/>
            <w:vAlign w:val="center"/>
            <w:hideMark/>
          </w:tcPr>
          <w:p w14:paraId="298D41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NCT05933577</w:t>
            </w:r>
          </w:p>
        </w:tc>
        <w:tc>
          <w:tcPr>
            <w:tcW w:w="1354" w:type="dxa"/>
            <w:tcBorders>
              <w:top w:val="nil"/>
              <w:left w:val="nil"/>
              <w:bottom w:val="nil"/>
              <w:right w:val="nil"/>
            </w:tcBorders>
            <w:shd w:val="clear" w:color="auto" w:fill="auto"/>
            <w:noWrap/>
            <w:vAlign w:val="center"/>
            <w:hideMark/>
          </w:tcPr>
          <w:p w14:paraId="2B149CA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Clinical Study of V940 Plus Pembrolizumab in People With High-Risk Melanoma (V940-001)</w:t>
            </w:r>
          </w:p>
        </w:tc>
        <w:tc>
          <w:tcPr>
            <w:tcW w:w="1483" w:type="dxa"/>
            <w:tcBorders>
              <w:top w:val="nil"/>
              <w:left w:val="nil"/>
              <w:bottom w:val="nil"/>
              <w:right w:val="nil"/>
            </w:tcBorders>
            <w:shd w:val="clear" w:color="auto" w:fill="auto"/>
            <w:noWrap/>
            <w:vAlign w:val="center"/>
            <w:hideMark/>
          </w:tcPr>
          <w:p w14:paraId="50CAEEF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143E3E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learn if V940 which is an individualized neoantigen therapy (INT; formerly, called messenger ribonucleic acid \[mRNA\]-4157) with pembrolizumab (MK-3475) is safe and prevents cancer from returning in people with high-risk melanoma. Researchers want to know if V940 with pembrolizumab is better than receiving pembrolizumab alone at preventing the cancer from returning.</w:t>
            </w:r>
          </w:p>
        </w:tc>
        <w:tc>
          <w:tcPr>
            <w:tcW w:w="279" w:type="dxa"/>
            <w:tcBorders>
              <w:top w:val="nil"/>
              <w:left w:val="nil"/>
              <w:bottom w:val="nil"/>
              <w:right w:val="nil"/>
            </w:tcBorders>
            <w:shd w:val="clear" w:color="auto" w:fill="auto"/>
            <w:noWrap/>
            <w:vAlign w:val="center"/>
            <w:hideMark/>
          </w:tcPr>
          <w:p w14:paraId="33025D4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CC134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1B0AC5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V940|BIOLOGICAL: Pembrolizumab|OTHER: Placebo</w:t>
            </w:r>
          </w:p>
        </w:tc>
        <w:tc>
          <w:tcPr>
            <w:tcW w:w="1152" w:type="dxa"/>
            <w:tcBorders>
              <w:top w:val="nil"/>
              <w:left w:val="nil"/>
              <w:bottom w:val="nil"/>
              <w:right w:val="nil"/>
            </w:tcBorders>
            <w:shd w:val="clear" w:color="auto" w:fill="auto"/>
            <w:noWrap/>
            <w:vAlign w:val="center"/>
            <w:hideMark/>
          </w:tcPr>
          <w:p w14:paraId="074EEC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Merck Sharp &amp; Dohme LLC</w:t>
            </w:r>
          </w:p>
        </w:tc>
        <w:tc>
          <w:tcPr>
            <w:tcW w:w="1006" w:type="dxa"/>
            <w:tcBorders>
              <w:top w:val="nil"/>
              <w:left w:val="nil"/>
              <w:bottom w:val="nil"/>
              <w:right w:val="nil"/>
            </w:tcBorders>
            <w:shd w:val="clear" w:color="auto" w:fill="auto"/>
            <w:noWrap/>
            <w:vAlign w:val="center"/>
            <w:hideMark/>
          </w:tcPr>
          <w:p w14:paraId="79D38BC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PHASE3</w:t>
            </w:r>
          </w:p>
        </w:tc>
        <w:tc>
          <w:tcPr>
            <w:tcW w:w="1006" w:type="dxa"/>
            <w:tcBorders>
              <w:top w:val="nil"/>
              <w:left w:val="nil"/>
              <w:bottom w:val="nil"/>
              <w:right w:val="nil"/>
            </w:tcBorders>
            <w:shd w:val="clear" w:color="auto" w:fill="auto"/>
            <w:noWrap/>
            <w:vAlign w:val="center"/>
            <w:hideMark/>
          </w:tcPr>
          <w:p w14:paraId="43A5D0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B4CA4C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19/07/2023</w:t>
            </w:r>
          </w:p>
        </w:tc>
        <w:tc>
          <w:tcPr>
            <w:tcW w:w="766" w:type="dxa"/>
            <w:tcBorders>
              <w:top w:val="nil"/>
              <w:left w:val="nil"/>
              <w:bottom w:val="nil"/>
              <w:right w:val="nil"/>
            </w:tcBorders>
            <w:shd w:val="clear" w:color="auto" w:fill="auto"/>
            <w:noWrap/>
            <w:vAlign w:val="center"/>
            <w:hideMark/>
          </w:tcPr>
          <w:p w14:paraId="565B601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1C1C278" w14:textId="77777777" w:rsidTr="00AB1828">
        <w:trPr>
          <w:trHeight w:val="360"/>
        </w:trPr>
        <w:tc>
          <w:tcPr>
            <w:tcW w:w="861" w:type="dxa"/>
            <w:tcBorders>
              <w:top w:val="nil"/>
              <w:left w:val="nil"/>
              <w:bottom w:val="nil"/>
              <w:right w:val="nil"/>
            </w:tcBorders>
            <w:shd w:val="clear" w:color="auto" w:fill="auto"/>
            <w:noWrap/>
            <w:vAlign w:val="center"/>
            <w:hideMark/>
          </w:tcPr>
          <w:p w14:paraId="326F9B6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NCT05981066</w:t>
            </w:r>
          </w:p>
        </w:tc>
        <w:tc>
          <w:tcPr>
            <w:tcW w:w="1354" w:type="dxa"/>
            <w:tcBorders>
              <w:top w:val="nil"/>
              <w:left w:val="nil"/>
              <w:bottom w:val="nil"/>
              <w:right w:val="nil"/>
            </w:tcBorders>
            <w:shd w:val="clear" w:color="auto" w:fill="auto"/>
            <w:noWrap/>
            <w:vAlign w:val="center"/>
            <w:hideMark/>
          </w:tcPr>
          <w:p w14:paraId="7EA907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Clinical Study of mRNA Vaccine (ABOR2014/IPM511) in Patients With Advanced Hepatocellular Carcinoma</w:t>
            </w:r>
          </w:p>
        </w:tc>
        <w:tc>
          <w:tcPr>
            <w:tcW w:w="1483" w:type="dxa"/>
            <w:tcBorders>
              <w:top w:val="nil"/>
              <w:left w:val="nil"/>
              <w:bottom w:val="nil"/>
              <w:right w:val="nil"/>
            </w:tcBorders>
            <w:shd w:val="clear" w:color="auto" w:fill="auto"/>
            <w:noWrap/>
            <w:vAlign w:val="center"/>
            <w:hideMark/>
          </w:tcPr>
          <w:p w14:paraId="359167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263CAE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an open label, single-site, investigator-initiated trial designed to evaluate the safety, tolerability and preliminary efficacy of ABOR2014(IPM511) injection in relapsed/ refactory HCC.</w:t>
            </w:r>
          </w:p>
        </w:tc>
        <w:tc>
          <w:tcPr>
            <w:tcW w:w="279" w:type="dxa"/>
            <w:tcBorders>
              <w:top w:val="nil"/>
              <w:left w:val="nil"/>
              <w:bottom w:val="nil"/>
              <w:right w:val="nil"/>
            </w:tcBorders>
            <w:shd w:val="clear" w:color="auto" w:fill="auto"/>
            <w:noWrap/>
            <w:vAlign w:val="center"/>
            <w:hideMark/>
          </w:tcPr>
          <w:p w14:paraId="00EF3C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4FFA1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Hepatocellular Carcinoma</w:t>
            </w:r>
          </w:p>
        </w:tc>
        <w:tc>
          <w:tcPr>
            <w:tcW w:w="1574" w:type="dxa"/>
            <w:tcBorders>
              <w:top w:val="nil"/>
              <w:left w:val="nil"/>
              <w:bottom w:val="nil"/>
              <w:right w:val="nil"/>
            </w:tcBorders>
            <w:shd w:val="clear" w:color="auto" w:fill="auto"/>
            <w:noWrap/>
            <w:vAlign w:val="center"/>
            <w:hideMark/>
          </w:tcPr>
          <w:p w14:paraId="0DE213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Neoantigen vaccine, I.M injection</w:t>
            </w:r>
          </w:p>
        </w:tc>
        <w:tc>
          <w:tcPr>
            <w:tcW w:w="1152" w:type="dxa"/>
            <w:tcBorders>
              <w:top w:val="nil"/>
              <w:left w:val="nil"/>
              <w:bottom w:val="nil"/>
              <w:right w:val="nil"/>
            </w:tcBorders>
            <w:shd w:val="clear" w:color="auto" w:fill="auto"/>
            <w:noWrap/>
            <w:vAlign w:val="center"/>
            <w:hideMark/>
          </w:tcPr>
          <w:p w14:paraId="350A16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Peking Union Medical College Hospital</w:t>
            </w:r>
          </w:p>
        </w:tc>
        <w:tc>
          <w:tcPr>
            <w:tcW w:w="1006" w:type="dxa"/>
            <w:tcBorders>
              <w:top w:val="nil"/>
              <w:left w:val="nil"/>
              <w:bottom w:val="nil"/>
              <w:right w:val="nil"/>
            </w:tcBorders>
            <w:shd w:val="clear" w:color="auto" w:fill="auto"/>
            <w:noWrap/>
            <w:vAlign w:val="center"/>
            <w:hideMark/>
          </w:tcPr>
          <w:p w14:paraId="5F10334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0B8C28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AE74F7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10/07/2023</w:t>
            </w:r>
          </w:p>
        </w:tc>
        <w:tc>
          <w:tcPr>
            <w:tcW w:w="766" w:type="dxa"/>
            <w:tcBorders>
              <w:top w:val="nil"/>
              <w:left w:val="nil"/>
              <w:bottom w:val="nil"/>
              <w:right w:val="nil"/>
            </w:tcBorders>
            <w:shd w:val="clear" w:color="auto" w:fill="auto"/>
            <w:noWrap/>
            <w:vAlign w:val="center"/>
            <w:hideMark/>
          </w:tcPr>
          <w:p w14:paraId="36E106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1880E55D" w14:textId="77777777" w:rsidTr="00AB1828">
        <w:trPr>
          <w:trHeight w:val="360"/>
        </w:trPr>
        <w:tc>
          <w:tcPr>
            <w:tcW w:w="861" w:type="dxa"/>
            <w:tcBorders>
              <w:top w:val="nil"/>
              <w:left w:val="nil"/>
              <w:bottom w:val="nil"/>
              <w:right w:val="nil"/>
            </w:tcBorders>
            <w:shd w:val="clear" w:color="auto" w:fill="auto"/>
            <w:noWrap/>
            <w:vAlign w:val="center"/>
            <w:hideMark/>
          </w:tcPr>
          <w:p w14:paraId="314E5B1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NCT05942378</w:t>
            </w:r>
          </w:p>
        </w:tc>
        <w:tc>
          <w:tcPr>
            <w:tcW w:w="1354" w:type="dxa"/>
            <w:tcBorders>
              <w:top w:val="nil"/>
              <w:left w:val="nil"/>
              <w:bottom w:val="nil"/>
              <w:right w:val="nil"/>
            </w:tcBorders>
            <w:shd w:val="clear" w:color="auto" w:fill="auto"/>
            <w:noWrap/>
            <w:vAlign w:val="center"/>
            <w:hideMark/>
          </w:tcPr>
          <w:p w14:paraId="260A92E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 Study of HRXG-K-1939 and Adebrelimab in </w:t>
            </w:r>
            <w:r w:rsidRPr="000A6EBE">
              <w:rPr>
                <w:rFonts w:ascii="Aptos Narrow" w:eastAsia="Times New Roman" w:hAnsi="Aptos Narrow"/>
                <w:color w:val="000000"/>
                <w:sz w:val="16"/>
                <w:szCs w:val="16"/>
                <w:lang w:val="en-HK" w:eastAsia="zh-CN"/>
              </w:rPr>
              <w:lastRenderedPageBreak/>
              <w:t>Patients With Advanced Solid Tumors</w:t>
            </w:r>
          </w:p>
        </w:tc>
        <w:tc>
          <w:tcPr>
            <w:tcW w:w="1483" w:type="dxa"/>
            <w:tcBorders>
              <w:top w:val="nil"/>
              <w:left w:val="nil"/>
              <w:bottom w:val="nil"/>
              <w:right w:val="nil"/>
            </w:tcBorders>
            <w:shd w:val="clear" w:color="auto" w:fill="auto"/>
            <w:noWrap/>
            <w:vAlign w:val="center"/>
            <w:hideMark/>
          </w:tcPr>
          <w:p w14:paraId="7EB244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NOT_YET_RECRUITING</w:t>
            </w:r>
          </w:p>
        </w:tc>
        <w:tc>
          <w:tcPr>
            <w:tcW w:w="1689" w:type="dxa"/>
            <w:tcBorders>
              <w:top w:val="nil"/>
              <w:left w:val="nil"/>
              <w:bottom w:val="nil"/>
              <w:right w:val="nil"/>
            </w:tcBorders>
            <w:shd w:val="clear" w:color="auto" w:fill="auto"/>
            <w:noWrap/>
            <w:vAlign w:val="center"/>
            <w:hideMark/>
          </w:tcPr>
          <w:p w14:paraId="1807CA4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Phase 1, open-label study evaluating the </w:t>
            </w:r>
            <w:r w:rsidRPr="000A6EBE">
              <w:rPr>
                <w:rFonts w:ascii="Aptos Narrow" w:eastAsia="Times New Roman" w:hAnsi="Aptos Narrow"/>
                <w:color w:val="000000"/>
                <w:sz w:val="16"/>
                <w:szCs w:val="16"/>
                <w:lang w:val="en-HK" w:eastAsia="zh-CN"/>
              </w:rPr>
              <w:lastRenderedPageBreak/>
              <w:t>efficacy and safety of HRXG-K-1939 in combination with Adebrelimab (anti-programmed death-ligand 1 \[anti-PD-L1\] antibody) in patients with advanced solid tumors. HRXG-K-1939 will be administered to patients in a dose escalation regimen to determine a recommended dose for expansion.</w:t>
            </w:r>
          </w:p>
        </w:tc>
        <w:tc>
          <w:tcPr>
            <w:tcW w:w="279" w:type="dxa"/>
            <w:tcBorders>
              <w:top w:val="nil"/>
              <w:left w:val="nil"/>
              <w:bottom w:val="nil"/>
              <w:right w:val="nil"/>
            </w:tcBorders>
            <w:shd w:val="clear" w:color="auto" w:fill="auto"/>
            <w:noWrap/>
            <w:vAlign w:val="center"/>
            <w:hideMark/>
          </w:tcPr>
          <w:p w14:paraId="7DE85F2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6977F6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Solid Tumors</w:t>
            </w:r>
          </w:p>
        </w:tc>
        <w:tc>
          <w:tcPr>
            <w:tcW w:w="1574" w:type="dxa"/>
            <w:tcBorders>
              <w:top w:val="nil"/>
              <w:left w:val="nil"/>
              <w:bottom w:val="nil"/>
              <w:right w:val="nil"/>
            </w:tcBorders>
            <w:shd w:val="clear" w:color="auto" w:fill="auto"/>
            <w:noWrap/>
            <w:vAlign w:val="center"/>
            <w:hideMark/>
          </w:tcPr>
          <w:p w14:paraId="0CFFBEF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HRXG-K-1939|DRUG: Adebrelimab</w:t>
            </w:r>
          </w:p>
        </w:tc>
        <w:tc>
          <w:tcPr>
            <w:tcW w:w="1152" w:type="dxa"/>
            <w:tcBorders>
              <w:top w:val="nil"/>
              <w:left w:val="nil"/>
              <w:bottom w:val="nil"/>
              <w:right w:val="nil"/>
            </w:tcBorders>
            <w:shd w:val="clear" w:color="auto" w:fill="auto"/>
            <w:noWrap/>
            <w:vAlign w:val="center"/>
            <w:hideMark/>
          </w:tcPr>
          <w:p w14:paraId="4A4E62D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Fudan University</w:t>
            </w:r>
          </w:p>
        </w:tc>
        <w:tc>
          <w:tcPr>
            <w:tcW w:w="1006" w:type="dxa"/>
            <w:tcBorders>
              <w:top w:val="nil"/>
              <w:left w:val="nil"/>
              <w:bottom w:val="nil"/>
              <w:right w:val="nil"/>
            </w:tcBorders>
            <w:shd w:val="clear" w:color="auto" w:fill="auto"/>
            <w:noWrap/>
            <w:vAlign w:val="center"/>
            <w:hideMark/>
          </w:tcPr>
          <w:p w14:paraId="3C33EDF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2F3DC8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04B05F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01/07/2023</w:t>
            </w:r>
          </w:p>
        </w:tc>
        <w:tc>
          <w:tcPr>
            <w:tcW w:w="766" w:type="dxa"/>
            <w:tcBorders>
              <w:top w:val="nil"/>
              <w:left w:val="nil"/>
              <w:bottom w:val="nil"/>
              <w:right w:val="nil"/>
            </w:tcBorders>
            <w:shd w:val="clear" w:color="auto" w:fill="auto"/>
            <w:noWrap/>
            <w:vAlign w:val="center"/>
            <w:hideMark/>
          </w:tcPr>
          <w:p w14:paraId="09302ED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7060F8F" w14:textId="77777777" w:rsidTr="00AB1828">
        <w:trPr>
          <w:trHeight w:val="360"/>
        </w:trPr>
        <w:tc>
          <w:tcPr>
            <w:tcW w:w="861" w:type="dxa"/>
            <w:tcBorders>
              <w:top w:val="nil"/>
              <w:left w:val="nil"/>
              <w:bottom w:val="nil"/>
              <w:right w:val="nil"/>
            </w:tcBorders>
            <w:shd w:val="clear" w:color="auto" w:fill="auto"/>
            <w:noWrap/>
            <w:vAlign w:val="center"/>
            <w:hideMark/>
          </w:tcPr>
          <w:p w14:paraId="23EBE7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NCT05938387</w:t>
            </w:r>
          </w:p>
        </w:tc>
        <w:tc>
          <w:tcPr>
            <w:tcW w:w="1354" w:type="dxa"/>
            <w:tcBorders>
              <w:top w:val="nil"/>
              <w:left w:val="nil"/>
              <w:bottom w:val="nil"/>
              <w:right w:val="nil"/>
            </w:tcBorders>
            <w:shd w:val="clear" w:color="auto" w:fill="auto"/>
            <w:noWrap/>
            <w:vAlign w:val="center"/>
            <w:hideMark/>
          </w:tcPr>
          <w:p w14:paraId="2C235E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Safety and Tolerability of CVGBM in Adults With Newly Diagnosed MGMT-Unmethylated Glioblastoma or Astrocytoma</w:t>
            </w:r>
          </w:p>
        </w:tc>
        <w:tc>
          <w:tcPr>
            <w:tcW w:w="1483" w:type="dxa"/>
            <w:tcBorders>
              <w:top w:val="nil"/>
              <w:left w:val="nil"/>
              <w:bottom w:val="nil"/>
              <w:right w:val="nil"/>
            </w:tcBorders>
            <w:shd w:val="clear" w:color="auto" w:fill="auto"/>
            <w:noWrap/>
            <w:vAlign w:val="center"/>
            <w:hideMark/>
          </w:tcPr>
          <w:p w14:paraId="63EDCE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vAlign w:val="center"/>
            <w:hideMark/>
          </w:tcPr>
          <w:p w14:paraId="350ADD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study is an open-label, first-in-human, dose-escalation study of CV09050101 mRNA vaccine (CVGBM) in patients with newly diagnosed "MGMT-unmethylated" Glioblastoma (GBM). Patients with isocitrate dehydrogenase (IDH)-wildtype astrocytoma with a molecular signature of "unmethylated" GBM are also eligible.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After surgical </w:t>
            </w:r>
            <w:r w:rsidRPr="000A6EBE">
              <w:rPr>
                <w:rFonts w:ascii="Aptos Narrow" w:eastAsia="Times New Roman" w:hAnsi="Aptos Narrow"/>
                <w:color w:val="000000"/>
                <w:sz w:val="16"/>
                <w:szCs w:val="16"/>
                <w:lang w:val="en-HK" w:eastAsia="zh-CN"/>
              </w:rPr>
              <w:lastRenderedPageBreak/>
              <w:t>resection and completion of radiotherapy for GBM with or without chemotherapy, patients will receive CVGBM i.e. as monotherapy after radiotherapy with or without chemotherapy.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study consists of a dose-escalation part (Part A) which completes enrollment in February 2024 and a dose-expansion part (Part B) which is anticipated to begin enrolling in June/July 2024.</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Patients will receive a total of 7 administrations of CVGBM on Days 1, 8, 15, 29, 43, 57, and 71. At the discretion of the Investigator in alignment with the Sponsor's medical monitor the vaccinations may continue beyond Day 71 every 6 weeks until one year after the first CVGBM </w:t>
            </w:r>
            <w:r w:rsidRPr="000A6EBE">
              <w:rPr>
                <w:rFonts w:ascii="Aptos Narrow" w:eastAsia="Times New Roman" w:hAnsi="Aptos Narrow"/>
                <w:color w:val="000000"/>
                <w:sz w:val="16"/>
                <w:szCs w:val="16"/>
                <w:lang w:val="en-HK" w:eastAsia="zh-CN"/>
              </w:rPr>
              <w:lastRenderedPageBreak/>
              <w:t>vaccination or upon disease progression or undue toxicity.</w:t>
            </w:r>
          </w:p>
        </w:tc>
        <w:tc>
          <w:tcPr>
            <w:tcW w:w="279" w:type="dxa"/>
            <w:tcBorders>
              <w:top w:val="nil"/>
              <w:left w:val="nil"/>
              <w:bottom w:val="nil"/>
              <w:right w:val="nil"/>
            </w:tcBorders>
            <w:shd w:val="clear" w:color="auto" w:fill="auto"/>
            <w:noWrap/>
            <w:vAlign w:val="center"/>
            <w:hideMark/>
          </w:tcPr>
          <w:p w14:paraId="7CDD72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6905BC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w:t>
            </w:r>
          </w:p>
        </w:tc>
        <w:tc>
          <w:tcPr>
            <w:tcW w:w="1574" w:type="dxa"/>
            <w:tcBorders>
              <w:top w:val="nil"/>
              <w:left w:val="nil"/>
              <w:bottom w:val="nil"/>
              <w:right w:val="nil"/>
            </w:tcBorders>
            <w:shd w:val="clear" w:color="auto" w:fill="auto"/>
            <w:noWrap/>
            <w:vAlign w:val="center"/>
            <w:hideMark/>
          </w:tcPr>
          <w:p w14:paraId="7B1E9AD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BIOLOGICAL: CV09050101 mRNA vaccine (CVGBM) 12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 xml:space="preserve">g|BIOLOGICAL: CV09050101 mRNA vaccine (CVGBM) 25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 xml:space="preserve">g|BIOLOGICAL: CV09050101 mRNA vaccine (CVGBM) 50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 xml:space="preserve">g|BIOLOGICAL: CV09050101 mRNA vaccine (CVGBM) 100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 xml:space="preserve">g|BIOLOGICAL: CV09050101 mRNA vaccine RDE|BIOLOGICAL: CV09050101 mRNA vaccine (CVGBM) 6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g</w:t>
            </w:r>
          </w:p>
        </w:tc>
        <w:tc>
          <w:tcPr>
            <w:tcW w:w="1152" w:type="dxa"/>
            <w:tcBorders>
              <w:top w:val="nil"/>
              <w:left w:val="nil"/>
              <w:bottom w:val="nil"/>
              <w:right w:val="nil"/>
            </w:tcBorders>
            <w:shd w:val="clear" w:color="auto" w:fill="auto"/>
            <w:noWrap/>
            <w:vAlign w:val="center"/>
            <w:hideMark/>
          </w:tcPr>
          <w:p w14:paraId="602816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CureVac</w:t>
            </w:r>
          </w:p>
        </w:tc>
        <w:tc>
          <w:tcPr>
            <w:tcW w:w="1006" w:type="dxa"/>
            <w:tcBorders>
              <w:top w:val="nil"/>
              <w:left w:val="nil"/>
              <w:bottom w:val="nil"/>
              <w:right w:val="nil"/>
            </w:tcBorders>
            <w:shd w:val="clear" w:color="auto" w:fill="auto"/>
            <w:noWrap/>
            <w:vAlign w:val="center"/>
            <w:hideMark/>
          </w:tcPr>
          <w:p w14:paraId="7D01B2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519F0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F34D76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09/05/2023</w:t>
            </w:r>
          </w:p>
        </w:tc>
        <w:tc>
          <w:tcPr>
            <w:tcW w:w="766" w:type="dxa"/>
            <w:tcBorders>
              <w:top w:val="nil"/>
              <w:left w:val="nil"/>
              <w:bottom w:val="nil"/>
              <w:right w:val="nil"/>
            </w:tcBorders>
            <w:shd w:val="clear" w:color="auto" w:fill="auto"/>
            <w:noWrap/>
            <w:vAlign w:val="center"/>
            <w:hideMark/>
          </w:tcPr>
          <w:p w14:paraId="793951D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6EDE4C4" w14:textId="77777777" w:rsidTr="00AB1828">
        <w:trPr>
          <w:trHeight w:val="360"/>
        </w:trPr>
        <w:tc>
          <w:tcPr>
            <w:tcW w:w="861" w:type="dxa"/>
            <w:tcBorders>
              <w:top w:val="nil"/>
              <w:left w:val="nil"/>
              <w:bottom w:val="nil"/>
              <w:right w:val="nil"/>
            </w:tcBorders>
            <w:shd w:val="clear" w:color="auto" w:fill="auto"/>
            <w:noWrap/>
            <w:vAlign w:val="center"/>
            <w:hideMark/>
          </w:tcPr>
          <w:p w14:paraId="2E8FA2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NCT05761717</w:t>
            </w:r>
          </w:p>
        </w:tc>
        <w:tc>
          <w:tcPr>
            <w:tcW w:w="1354" w:type="dxa"/>
            <w:tcBorders>
              <w:top w:val="nil"/>
              <w:left w:val="nil"/>
              <w:bottom w:val="nil"/>
              <w:right w:val="nil"/>
            </w:tcBorders>
            <w:shd w:val="clear" w:color="auto" w:fill="auto"/>
            <w:noWrap/>
            <w:vAlign w:val="center"/>
            <w:hideMark/>
          </w:tcPr>
          <w:p w14:paraId="574913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mRNA Vaccine in Patients With Liver Cancer After Operation</w:t>
            </w:r>
          </w:p>
        </w:tc>
        <w:tc>
          <w:tcPr>
            <w:tcW w:w="1483" w:type="dxa"/>
            <w:tcBorders>
              <w:top w:val="nil"/>
              <w:left w:val="nil"/>
              <w:bottom w:val="nil"/>
              <w:right w:val="nil"/>
            </w:tcBorders>
            <w:shd w:val="clear" w:color="auto" w:fill="auto"/>
            <w:noWrap/>
            <w:vAlign w:val="center"/>
            <w:hideMark/>
          </w:tcPr>
          <w:p w14:paraId="2986D7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35084E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an open, one-arm study to evaluate the safety and efficacy of mRNA personalized tumor vaccine (tumor vaccine) encoding neonatal antigen in combination with Sintilimab injection for adjuvant prevention of postoperative recurrence of hepatocellular carcinoma.</w:t>
            </w:r>
          </w:p>
        </w:tc>
        <w:tc>
          <w:tcPr>
            <w:tcW w:w="279" w:type="dxa"/>
            <w:tcBorders>
              <w:top w:val="nil"/>
              <w:left w:val="nil"/>
              <w:bottom w:val="nil"/>
              <w:right w:val="nil"/>
            </w:tcBorders>
            <w:shd w:val="clear" w:color="auto" w:fill="auto"/>
            <w:noWrap/>
            <w:vAlign w:val="center"/>
            <w:hideMark/>
          </w:tcPr>
          <w:p w14:paraId="1ABD73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111FA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Posto Perative Hepatocellular Carcinoma</w:t>
            </w:r>
          </w:p>
        </w:tc>
        <w:tc>
          <w:tcPr>
            <w:tcW w:w="1574" w:type="dxa"/>
            <w:tcBorders>
              <w:top w:val="nil"/>
              <w:left w:val="nil"/>
              <w:bottom w:val="nil"/>
              <w:right w:val="nil"/>
            </w:tcBorders>
            <w:shd w:val="clear" w:color="auto" w:fill="auto"/>
            <w:noWrap/>
            <w:vAlign w:val="center"/>
            <w:hideMark/>
          </w:tcPr>
          <w:p w14:paraId="59D2B3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Neoantigen mRNA Personalised Cancer vaccine in combination with Stintilimab I njection</w:t>
            </w:r>
          </w:p>
        </w:tc>
        <w:tc>
          <w:tcPr>
            <w:tcW w:w="1152" w:type="dxa"/>
            <w:tcBorders>
              <w:top w:val="nil"/>
              <w:left w:val="nil"/>
              <w:bottom w:val="nil"/>
              <w:right w:val="nil"/>
            </w:tcBorders>
            <w:shd w:val="clear" w:color="auto" w:fill="auto"/>
            <w:noWrap/>
            <w:vAlign w:val="center"/>
            <w:hideMark/>
          </w:tcPr>
          <w:p w14:paraId="0329ED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Shanghai Zhongshan Hospital</w:t>
            </w:r>
          </w:p>
        </w:tc>
        <w:tc>
          <w:tcPr>
            <w:tcW w:w="1006" w:type="dxa"/>
            <w:tcBorders>
              <w:top w:val="nil"/>
              <w:left w:val="nil"/>
              <w:bottom w:val="nil"/>
              <w:right w:val="nil"/>
            </w:tcBorders>
            <w:shd w:val="clear" w:color="auto" w:fill="auto"/>
            <w:noWrap/>
            <w:vAlign w:val="center"/>
            <w:hideMark/>
          </w:tcPr>
          <w:p w14:paraId="7A8654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0E534E5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CF050D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20/04/2023</w:t>
            </w:r>
          </w:p>
        </w:tc>
        <w:tc>
          <w:tcPr>
            <w:tcW w:w="766" w:type="dxa"/>
            <w:tcBorders>
              <w:top w:val="nil"/>
              <w:left w:val="nil"/>
              <w:bottom w:val="nil"/>
              <w:right w:val="nil"/>
            </w:tcBorders>
            <w:shd w:val="clear" w:color="auto" w:fill="auto"/>
            <w:noWrap/>
            <w:vAlign w:val="center"/>
            <w:hideMark/>
          </w:tcPr>
          <w:p w14:paraId="1A5B2D8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2ED078DC" w14:textId="77777777" w:rsidTr="00AB1828">
        <w:trPr>
          <w:trHeight w:val="360"/>
        </w:trPr>
        <w:tc>
          <w:tcPr>
            <w:tcW w:w="861" w:type="dxa"/>
            <w:tcBorders>
              <w:top w:val="nil"/>
              <w:left w:val="nil"/>
              <w:bottom w:val="nil"/>
              <w:right w:val="nil"/>
            </w:tcBorders>
            <w:shd w:val="clear" w:color="auto" w:fill="auto"/>
            <w:noWrap/>
            <w:vAlign w:val="center"/>
            <w:hideMark/>
          </w:tcPr>
          <w:p w14:paraId="5F6DF5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NCT05940181</w:t>
            </w:r>
          </w:p>
        </w:tc>
        <w:tc>
          <w:tcPr>
            <w:tcW w:w="1354" w:type="dxa"/>
            <w:tcBorders>
              <w:top w:val="nil"/>
              <w:left w:val="nil"/>
              <w:bottom w:val="nil"/>
              <w:right w:val="nil"/>
            </w:tcBorders>
            <w:shd w:val="clear" w:color="auto" w:fill="auto"/>
            <w:noWrap/>
            <w:vAlign w:val="center"/>
            <w:hideMark/>
          </w:tcPr>
          <w:p w14:paraId="186DB96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Safety and Efficacy Study of XH001 Combined With Sintilimab Injection in Advanced Solid Tumors</w:t>
            </w:r>
          </w:p>
        </w:tc>
        <w:tc>
          <w:tcPr>
            <w:tcW w:w="1483" w:type="dxa"/>
            <w:tcBorders>
              <w:top w:val="nil"/>
              <w:left w:val="nil"/>
              <w:bottom w:val="nil"/>
              <w:right w:val="nil"/>
            </w:tcBorders>
            <w:shd w:val="clear" w:color="auto" w:fill="auto"/>
            <w:noWrap/>
            <w:vAlign w:val="center"/>
            <w:hideMark/>
          </w:tcPr>
          <w:p w14:paraId="446E9D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62AE64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an investigator-initiated, single-center, open label, single-arm dose escalation study of XH001 (neoantigen tumor vaccine) in combination with sintilimab for advanced solid tumors. To evaluate the safety and tolerability of XH001 combined with sintilimab in subjects with advanced solid tumors, and preliminarily evaluate the </w:t>
            </w:r>
            <w:r w:rsidRPr="000A6EBE">
              <w:rPr>
                <w:rFonts w:ascii="Aptos Narrow" w:eastAsia="Times New Roman" w:hAnsi="Aptos Narrow"/>
                <w:color w:val="000000"/>
                <w:sz w:val="16"/>
                <w:szCs w:val="16"/>
                <w:lang w:val="en-HK" w:eastAsia="zh-CN"/>
              </w:rPr>
              <w:lastRenderedPageBreak/>
              <w:t>efficacy of the combination therapy in subjects with advanced solid tumors.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study will include pre-screening period (about 12 weeks), screening period (Weeks -4 to Day 1, and Week -1 to Day -1 will be baseline period), treatment period (Day 1 to Week 16 will be combination treatment period, followed by sintilimab monotherapy), and follow-up period. After signing pre-screening informed consent, tumor tissue and blood samples will be collected for gene sequencing, neoantigen prediction and vaccine preparation. During vaccine preparation, subjects will receive sintilimab (200mg, intravenous infusion, 21-day per cycle) or other </w:t>
            </w:r>
            <w:r w:rsidRPr="000A6EBE">
              <w:rPr>
                <w:rFonts w:ascii="Aptos Narrow" w:eastAsia="Times New Roman" w:hAnsi="Aptos Narrow"/>
                <w:color w:val="000000"/>
                <w:sz w:val="16"/>
                <w:szCs w:val="16"/>
                <w:lang w:val="en-HK" w:eastAsia="zh-CN"/>
              </w:rPr>
              <w:lastRenderedPageBreak/>
              <w:t>antitumor therapy as deemed appropriate by the investigator. Subjects who sign and provide formal informed consent will enter the formal screening period, and qualified subjects will enter treatment period. During the treatment period, subjects will receive 6 cycles of XH001+ sintilimab, followed by sintilimab monotherapy (sintilimab will be administered for up to 18 cycles or for 1 year, whichever comes first).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dose escalation phase follows standard 3+3 design. 9-12 subjects are expected to be enrolled at 2 given dose level.</w:t>
            </w:r>
          </w:p>
        </w:tc>
        <w:tc>
          <w:tcPr>
            <w:tcW w:w="279" w:type="dxa"/>
            <w:tcBorders>
              <w:top w:val="nil"/>
              <w:left w:val="nil"/>
              <w:bottom w:val="nil"/>
              <w:right w:val="nil"/>
            </w:tcBorders>
            <w:shd w:val="clear" w:color="auto" w:fill="auto"/>
            <w:noWrap/>
            <w:vAlign w:val="center"/>
            <w:hideMark/>
          </w:tcPr>
          <w:p w14:paraId="5763607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A77C8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w:t>
            </w:r>
          </w:p>
        </w:tc>
        <w:tc>
          <w:tcPr>
            <w:tcW w:w="1574" w:type="dxa"/>
            <w:tcBorders>
              <w:top w:val="nil"/>
              <w:left w:val="nil"/>
              <w:bottom w:val="nil"/>
              <w:right w:val="nil"/>
            </w:tcBorders>
            <w:shd w:val="clear" w:color="auto" w:fill="auto"/>
            <w:noWrap/>
            <w:vAlign w:val="center"/>
            <w:hideMark/>
          </w:tcPr>
          <w:p w14:paraId="0059CDA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XH001+ sintilimab</w:t>
            </w:r>
          </w:p>
        </w:tc>
        <w:tc>
          <w:tcPr>
            <w:tcW w:w="1152" w:type="dxa"/>
            <w:tcBorders>
              <w:top w:val="nil"/>
              <w:left w:val="nil"/>
              <w:bottom w:val="nil"/>
              <w:right w:val="nil"/>
            </w:tcBorders>
            <w:shd w:val="clear" w:color="auto" w:fill="auto"/>
            <w:noWrap/>
            <w:vAlign w:val="center"/>
            <w:hideMark/>
          </w:tcPr>
          <w:p w14:paraId="1033DD8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jianming xu</w:t>
            </w:r>
          </w:p>
        </w:tc>
        <w:tc>
          <w:tcPr>
            <w:tcW w:w="1006" w:type="dxa"/>
            <w:tcBorders>
              <w:top w:val="nil"/>
              <w:left w:val="nil"/>
              <w:bottom w:val="nil"/>
              <w:right w:val="nil"/>
            </w:tcBorders>
            <w:shd w:val="clear" w:color="auto" w:fill="auto"/>
            <w:noWrap/>
            <w:vAlign w:val="center"/>
            <w:hideMark/>
          </w:tcPr>
          <w:p w14:paraId="30C67E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49DDAF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8A8BFA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01/03/2023</w:t>
            </w:r>
          </w:p>
        </w:tc>
        <w:tc>
          <w:tcPr>
            <w:tcW w:w="766" w:type="dxa"/>
            <w:tcBorders>
              <w:top w:val="nil"/>
              <w:left w:val="nil"/>
              <w:bottom w:val="nil"/>
              <w:right w:val="nil"/>
            </w:tcBorders>
            <w:shd w:val="clear" w:color="auto" w:fill="auto"/>
            <w:noWrap/>
            <w:vAlign w:val="center"/>
            <w:hideMark/>
          </w:tcPr>
          <w:p w14:paraId="5CCC908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3FC2855" w14:textId="77777777" w:rsidTr="00AB1828">
        <w:trPr>
          <w:trHeight w:val="360"/>
        </w:trPr>
        <w:tc>
          <w:tcPr>
            <w:tcW w:w="861" w:type="dxa"/>
            <w:tcBorders>
              <w:top w:val="nil"/>
              <w:left w:val="nil"/>
              <w:bottom w:val="nil"/>
              <w:right w:val="nil"/>
            </w:tcBorders>
            <w:shd w:val="clear" w:color="auto" w:fill="auto"/>
            <w:noWrap/>
            <w:vAlign w:val="center"/>
            <w:hideMark/>
          </w:tcPr>
          <w:p w14:paraId="0EB95B2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NCT05738447</w:t>
            </w:r>
          </w:p>
        </w:tc>
        <w:tc>
          <w:tcPr>
            <w:tcW w:w="1354" w:type="dxa"/>
            <w:tcBorders>
              <w:top w:val="nil"/>
              <w:left w:val="nil"/>
              <w:bottom w:val="nil"/>
              <w:right w:val="nil"/>
            </w:tcBorders>
            <w:shd w:val="clear" w:color="auto" w:fill="auto"/>
            <w:noWrap/>
            <w:vAlign w:val="center"/>
            <w:hideMark/>
          </w:tcPr>
          <w:p w14:paraId="77EAA8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Application of mRNA Immunotherapy Technology in Hepatitis B Virus-related Refractory Hepatocellular Carcinoma</w:t>
            </w:r>
          </w:p>
        </w:tc>
        <w:tc>
          <w:tcPr>
            <w:tcW w:w="1483" w:type="dxa"/>
            <w:tcBorders>
              <w:top w:val="nil"/>
              <w:left w:val="nil"/>
              <w:bottom w:val="nil"/>
              <w:right w:val="nil"/>
            </w:tcBorders>
            <w:shd w:val="clear" w:color="auto" w:fill="auto"/>
            <w:noWrap/>
            <w:vAlign w:val="center"/>
            <w:hideMark/>
          </w:tcPr>
          <w:p w14:paraId="0057E5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47048D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evaluate the efficacy and safety of mRNA vaccine for HBV-positive Advanced Hepatocellular Carcinoma.</w:t>
            </w:r>
          </w:p>
        </w:tc>
        <w:tc>
          <w:tcPr>
            <w:tcW w:w="279" w:type="dxa"/>
            <w:tcBorders>
              <w:top w:val="nil"/>
              <w:left w:val="nil"/>
              <w:bottom w:val="nil"/>
              <w:right w:val="nil"/>
            </w:tcBorders>
            <w:shd w:val="clear" w:color="auto" w:fill="auto"/>
            <w:noWrap/>
            <w:vAlign w:val="center"/>
            <w:hideMark/>
          </w:tcPr>
          <w:p w14:paraId="14A2CE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4DFFD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Liver Cancer|Hepatocellular Carcinoma</w:t>
            </w:r>
          </w:p>
        </w:tc>
        <w:tc>
          <w:tcPr>
            <w:tcW w:w="1574" w:type="dxa"/>
            <w:tcBorders>
              <w:top w:val="nil"/>
              <w:left w:val="nil"/>
              <w:bottom w:val="nil"/>
              <w:right w:val="nil"/>
            </w:tcBorders>
            <w:shd w:val="clear" w:color="auto" w:fill="auto"/>
            <w:noWrap/>
            <w:vAlign w:val="center"/>
            <w:hideMark/>
          </w:tcPr>
          <w:p w14:paraId="601DF5B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HBV mRNA vaccine</w:t>
            </w:r>
          </w:p>
        </w:tc>
        <w:tc>
          <w:tcPr>
            <w:tcW w:w="1152" w:type="dxa"/>
            <w:tcBorders>
              <w:top w:val="nil"/>
              <w:left w:val="nil"/>
              <w:bottom w:val="nil"/>
              <w:right w:val="nil"/>
            </w:tcBorders>
            <w:shd w:val="clear" w:color="auto" w:fill="auto"/>
            <w:noWrap/>
            <w:vAlign w:val="center"/>
            <w:hideMark/>
          </w:tcPr>
          <w:p w14:paraId="7869692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West China Hospital</w:t>
            </w:r>
          </w:p>
        </w:tc>
        <w:tc>
          <w:tcPr>
            <w:tcW w:w="1006" w:type="dxa"/>
            <w:tcBorders>
              <w:top w:val="nil"/>
              <w:left w:val="nil"/>
              <w:bottom w:val="nil"/>
              <w:right w:val="nil"/>
            </w:tcBorders>
            <w:shd w:val="clear" w:color="auto" w:fill="auto"/>
            <w:noWrap/>
            <w:vAlign w:val="center"/>
            <w:hideMark/>
          </w:tcPr>
          <w:p w14:paraId="7EF372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C7207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D96405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15/02/2023</w:t>
            </w:r>
          </w:p>
        </w:tc>
        <w:tc>
          <w:tcPr>
            <w:tcW w:w="766" w:type="dxa"/>
            <w:tcBorders>
              <w:top w:val="nil"/>
              <w:left w:val="nil"/>
              <w:bottom w:val="nil"/>
              <w:right w:val="nil"/>
            </w:tcBorders>
            <w:shd w:val="clear" w:color="auto" w:fill="auto"/>
            <w:noWrap/>
            <w:vAlign w:val="center"/>
            <w:hideMark/>
          </w:tcPr>
          <w:p w14:paraId="282E51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vaccine for HBV+ HCC</w:t>
            </w:r>
          </w:p>
        </w:tc>
      </w:tr>
      <w:tr w:rsidR="000A6EBE" w:rsidRPr="000A6EBE" w14:paraId="23DD7416" w14:textId="77777777" w:rsidTr="00AB1828">
        <w:trPr>
          <w:trHeight w:val="360"/>
        </w:trPr>
        <w:tc>
          <w:tcPr>
            <w:tcW w:w="861" w:type="dxa"/>
            <w:tcBorders>
              <w:top w:val="nil"/>
              <w:left w:val="nil"/>
              <w:bottom w:val="nil"/>
              <w:right w:val="nil"/>
            </w:tcBorders>
            <w:shd w:val="clear" w:color="auto" w:fill="auto"/>
            <w:noWrap/>
            <w:vAlign w:val="center"/>
            <w:hideMark/>
          </w:tcPr>
          <w:p w14:paraId="4BA3F3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NCT05499013</w:t>
            </w:r>
          </w:p>
        </w:tc>
        <w:tc>
          <w:tcPr>
            <w:tcW w:w="1354" w:type="dxa"/>
            <w:tcBorders>
              <w:top w:val="nil"/>
              <w:left w:val="nil"/>
              <w:bottom w:val="nil"/>
              <w:right w:val="nil"/>
            </w:tcBorders>
            <w:shd w:val="clear" w:color="auto" w:fill="auto"/>
            <w:noWrap/>
            <w:vAlign w:val="center"/>
            <w:hideMark/>
          </w:tcPr>
          <w:p w14:paraId="6BC674E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to Assess SLN124 in Patients With Polycythemia Vera</w:t>
            </w:r>
          </w:p>
        </w:tc>
        <w:tc>
          <w:tcPr>
            <w:tcW w:w="1483" w:type="dxa"/>
            <w:tcBorders>
              <w:top w:val="nil"/>
              <w:left w:val="nil"/>
              <w:bottom w:val="nil"/>
              <w:right w:val="nil"/>
            </w:tcBorders>
            <w:shd w:val="clear" w:color="auto" w:fill="auto"/>
            <w:noWrap/>
            <w:vAlign w:val="center"/>
            <w:hideMark/>
          </w:tcPr>
          <w:p w14:paraId="377EAC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11A170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Phase 1/2, multicenter study with an open-label dose escalation followed by a randomized placebo controlled and double-blind phase of SLN124 in adult patients with Polycythemia Vera (PV) to assess the safety, tolerability, efficacy, pharmacokinetic (PK), and Pharmacodynamic (PD) response of SLN124.</w:t>
            </w:r>
          </w:p>
        </w:tc>
        <w:tc>
          <w:tcPr>
            <w:tcW w:w="279" w:type="dxa"/>
            <w:tcBorders>
              <w:top w:val="nil"/>
              <w:left w:val="nil"/>
              <w:bottom w:val="nil"/>
              <w:right w:val="nil"/>
            </w:tcBorders>
            <w:shd w:val="clear" w:color="auto" w:fill="auto"/>
            <w:noWrap/>
            <w:vAlign w:val="center"/>
            <w:hideMark/>
          </w:tcPr>
          <w:p w14:paraId="796F6D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2C811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Polycythemia Vera</w:t>
            </w:r>
          </w:p>
        </w:tc>
        <w:tc>
          <w:tcPr>
            <w:tcW w:w="1574" w:type="dxa"/>
            <w:tcBorders>
              <w:top w:val="nil"/>
              <w:left w:val="nil"/>
              <w:bottom w:val="nil"/>
              <w:right w:val="nil"/>
            </w:tcBorders>
            <w:shd w:val="clear" w:color="auto" w:fill="auto"/>
            <w:noWrap/>
            <w:vAlign w:val="center"/>
            <w:hideMark/>
          </w:tcPr>
          <w:p w14:paraId="10648FE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SLN124|DRUG: Placebo</w:t>
            </w:r>
          </w:p>
        </w:tc>
        <w:tc>
          <w:tcPr>
            <w:tcW w:w="1152" w:type="dxa"/>
            <w:tcBorders>
              <w:top w:val="nil"/>
              <w:left w:val="nil"/>
              <w:bottom w:val="nil"/>
              <w:right w:val="nil"/>
            </w:tcBorders>
            <w:shd w:val="clear" w:color="auto" w:fill="auto"/>
            <w:noWrap/>
            <w:vAlign w:val="center"/>
            <w:hideMark/>
          </w:tcPr>
          <w:p w14:paraId="7CF0A25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Silence Therapeutics plc</w:t>
            </w:r>
          </w:p>
        </w:tc>
        <w:tc>
          <w:tcPr>
            <w:tcW w:w="1006" w:type="dxa"/>
            <w:tcBorders>
              <w:top w:val="nil"/>
              <w:left w:val="nil"/>
              <w:bottom w:val="nil"/>
              <w:right w:val="nil"/>
            </w:tcBorders>
            <w:shd w:val="clear" w:color="auto" w:fill="auto"/>
            <w:noWrap/>
            <w:vAlign w:val="center"/>
            <w:hideMark/>
          </w:tcPr>
          <w:p w14:paraId="369020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22C1F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1CAB2D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26/01/2023</w:t>
            </w:r>
          </w:p>
        </w:tc>
        <w:tc>
          <w:tcPr>
            <w:tcW w:w="766" w:type="dxa"/>
            <w:tcBorders>
              <w:top w:val="nil"/>
              <w:left w:val="nil"/>
              <w:bottom w:val="nil"/>
              <w:right w:val="nil"/>
            </w:tcBorders>
            <w:shd w:val="clear" w:color="auto" w:fill="auto"/>
            <w:noWrap/>
            <w:vAlign w:val="center"/>
            <w:hideMark/>
          </w:tcPr>
          <w:p w14:paraId="583C7E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532F65D" w14:textId="77777777" w:rsidTr="00AB1828">
        <w:trPr>
          <w:trHeight w:val="360"/>
        </w:trPr>
        <w:tc>
          <w:tcPr>
            <w:tcW w:w="861" w:type="dxa"/>
            <w:tcBorders>
              <w:top w:val="nil"/>
              <w:left w:val="nil"/>
              <w:bottom w:val="nil"/>
              <w:right w:val="nil"/>
            </w:tcBorders>
            <w:shd w:val="clear" w:color="auto" w:fill="auto"/>
            <w:noWrap/>
            <w:vAlign w:val="center"/>
            <w:hideMark/>
          </w:tcPr>
          <w:p w14:paraId="01BB26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NCT05579275</w:t>
            </w:r>
          </w:p>
        </w:tc>
        <w:tc>
          <w:tcPr>
            <w:tcW w:w="1354" w:type="dxa"/>
            <w:tcBorders>
              <w:top w:val="nil"/>
              <w:left w:val="nil"/>
              <w:bottom w:val="nil"/>
              <w:right w:val="nil"/>
            </w:tcBorders>
            <w:shd w:val="clear" w:color="auto" w:fill="auto"/>
            <w:noWrap/>
            <w:vAlign w:val="center"/>
            <w:hideMark/>
          </w:tcPr>
          <w:p w14:paraId="03BC9F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Evaluate the Safety and Tolerability of JCXH-212 Injection in the Treatment of Advanced Malignant Solid Tumors</w:t>
            </w:r>
          </w:p>
        </w:tc>
        <w:tc>
          <w:tcPr>
            <w:tcW w:w="1483" w:type="dxa"/>
            <w:tcBorders>
              <w:top w:val="nil"/>
              <w:left w:val="nil"/>
              <w:bottom w:val="nil"/>
              <w:right w:val="nil"/>
            </w:tcBorders>
            <w:shd w:val="clear" w:color="auto" w:fill="auto"/>
            <w:noWrap/>
            <w:vAlign w:val="center"/>
            <w:hideMark/>
          </w:tcPr>
          <w:p w14:paraId="76351F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6F12FB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To evaluate the safety and tolerability of JCXH-212 injection in patients with advanced malignant solid tumors; to determine the maximum tolerated dose (MTD), and to evaluate the dose-limiting toxicity (DLT) of JCXH-212 injection.</w:t>
            </w:r>
          </w:p>
        </w:tc>
        <w:tc>
          <w:tcPr>
            <w:tcW w:w="279" w:type="dxa"/>
            <w:tcBorders>
              <w:top w:val="nil"/>
              <w:left w:val="nil"/>
              <w:bottom w:val="nil"/>
              <w:right w:val="nil"/>
            </w:tcBorders>
            <w:shd w:val="clear" w:color="auto" w:fill="auto"/>
            <w:noWrap/>
            <w:vAlign w:val="center"/>
            <w:hideMark/>
          </w:tcPr>
          <w:p w14:paraId="465477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178F7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Malignant Solid Tumors</w:t>
            </w:r>
          </w:p>
        </w:tc>
        <w:tc>
          <w:tcPr>
            <w:tcW w:w="1574" w:type="dxa"/>
            <w:tcBorders>
              <w:top w:val="nil"/>
              <w:left w:val="nil"/>
              <w:bottom w:val="nil"/>
              <w:right w:val="nil"/>
            </w:tcBorders>
            <w:shd w:val="clear" w:color="auto" w:fill="auto"/>
            <w:noWrap/>
            <w:vAlign w:val="center"/>
            <w:hideMark/>
          </w:tcPr>
          <w:p w14:paraId="08BC35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JCXH-212 Injection</w:t>
            </w:r>
          </w:p>
        </w:tc>
        <w:tc>
          <w:tcPr>
            <w:tcW w:w="1152" w:type="dxa"/>
            <w:tcBorders>
              <w:top w:val="nil"/>
              <w:left w:val="nil"/>
              <w:bottom w:val="nil"/>
              <w:right w:val="nil"/>
            </w:tcBorders>
            <w:shd w:val="clear" w:color="auto" w:fill="auto"/>
            <w:noWrap/>
            <w:vAlign w:val="center"/>
            <w:hideMark/>
          </w:tcPr>
          <w:p w14:paraId="37500D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Peking University Cancer Hospital &amp; Institute</w:t>
            </w:r>
          </w:p>
        </w:tc>
        <w:tc>
          <w:tcPr>
            <w:tcW w:w="1006" w:type="dxa"/>
            <w:tcBorders>
              <w:top w:val="nil"/>
              <w:left w:val="nil"/>
              <w:bottom w:val="nil"/>
              <w:right w:val="nil"/>
            </w:tcBorders>
            <w:shd w:val="clear" w:color="auto" w:fill="auto"/>
            <w:noWrap/>
            <w:vAlign w:val="center"/>
            <w:hideMark/>
          </w:tcPr>
          <w:p w14:paraId="152F771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EARLY_PHASE1</w:t>
            </w:r>
          </w:p>
        </w:tc>
        <w:tc>
          <w:tcPr>
            <w:tcW w:w="1006" w:type="dxa"/>
            <w:tcBorders>
              <w:top w:val="nil"/>
              <w:left w:val="nil"/>
              <w:bottom w:val="nil"/>
              <w:right w:val="nil"/>
            </w:tcBorders>
            <w:shd w:val="clear" w:color="auto" w:fill="auto"/>
            <w:noWrap/>
            <w:vAlign w:val="center"/>
            <w:hideMark/>
          </w:tcPr>
          <w:p w14:paraId="58F8E84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FF4B33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04/01/2023</w:t>
            </w:r>
          </w:p>
        </w:tc>
        <w:tc>
          <w:tcPr>
            <w:tcW w:w="766" w:type="dxa"/>
            <w:tcBorders>
              <w:top w:val="nil"/>
              <w:left w:val="nil"/>
              <w:bottom w:val="nil"/>
              <w:right w:val="nil"/>
            </w:tcBorders>
            <w:shd w:val="clear" w:color="auto" w:fill="auto"/>
            <w:noWrap/>
            <w:vAlign w:val="center"/>
            <w:hideMark/>
          </w:tcPr>
          <w:p w14:paraId="498CAF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72F94DD" w14:textId="77777777" w:rsidTr="00AB1828">
        <w:trPr>
          <w:trHeight w:val="360"/>
        </w:trPr>
        <w:tc>
          <w:tcPr>
            <w:tcW w:w="861" w:type="dxa"/>
            <w:tcBorders>
              <w:top w:val="nil"/>
              <w:left w:val="nil"/>
              <w:bottom w:val="nil"/>
              <w:right w:val="nil"/>
            </w:tcBorders>
            <w:shd w:val="clear" w:color="auto" w:fill="auto"/>
            <w:noWrap/>
            <w:vAlign w:val="center"/>
            <w:hideMark/>
          </w:tcPr>
          <w:p w14:paraId="7F221A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NCT06076265</w:t>
            </w:r>
          </w:p>
        </w:tc>
        <w:tc>
          <w:tcPr>
            <w:tcW w:w="1354" w:type="dxa"/>
            <w:tcBorders>
              <w:top w:val="nil"/>
              <w:left w:val="nil"/>
              <w:bottom w:val="nil"/>
              <w:right w:val="nil"/>
            </w:tcBorders>
            <w:shd w:val="clear" w:color="auto" w:fill="auto"/>
            <w:noWrap/>
            <w:vAlign w:val="center"/>
            <w:hideMark/>
          </w:tcPr>
          <w:p w14:paraId="5A688D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Quantitative Detection of CEA mRNA in the Smog and Tissue Exudate Whole Process </w:t>
            </w:r>
            <w:r w:rsidRPr="000A6EBE">
              <w:rPr>
                <w:rFonts w:ascii="Aptos Narrow" w:eastAsia="Times New Roman" w:hAnsi="Aptos Narrow"/>
                <w:color w:val="000000"/>
                <w:sz w:val="16"/>
                <w:szCs w:val="16"/>
                <w:lang w:val="en-HK" w:eastAsia="zh-CN"/>
              </w:rPr>
              <w:lastRenderedPageBreak/>
              <w:t>Collected During Laparoscopic (Robotic) Radical Gastrectomy in Gastric Cancer Patients</w:t>
            </w:r>
          </w:p>
        </w:tc>
        <w:tc>
          <w:tcPr>
            <w:tcW w:w="1483" w:type="dxa"/>
            <w:tcBorders>
              <w:top w:val="nil"/>
              <w:left w:val="nil"/>
              <w:bottom w:val="nil"/>
              <w:right w:val="nil"/>
            </w:tcBorders>
            <w:shd w:val="clear" w:color="auto" w:fill="auto"/>
            <w:noWrap/>
            <w:vAlign w:val="center"/>
            <w:hideMark/>
          </w:tcPr>
          <w:p w14:paraId="77F7A4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RECRUITING</w:t>
            </w:r>
          </w:p>
        </w:tc>
        <w:tc>
          <w:tcPr>
            <w:tcW w:w="1689" w:type="dxa"/>
            <w:tcBorders>
              <w:top w:val="nil"/>
              <w:left w:val="nil"/>
              <w:bottom w:val="nil"/>
              <w:right w:val="nil"/>
            </w:tcBorders>
            <w:shd w:val="clear" w:color="auto" w:fill="auto"/>
            <w:noWrap/>
            <w:vAlign w:val="center"/>
            <w:hideMark/>
          </w:tcPr>
          <w:p w14:paraId="726CDE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SMOG 01 study is to observe the possibility of intraperitoneal </w:t>
            </w:r>
            <w:r w:rsidRPr="000A6EBE">
              <w:rPr>
                <w:rFonts w:ascii="Aptos Narrow" w:eastAsia="Times New Roman" w:hAnsi="Aptos Narrow"/>
                <w:color w:val="000000"/>
                <w:sz w:val="16"/>
                <w:szCs w:val="16"/>
                <w:lang w:val="en-HK" w:eastAsia="zh-CN"/>
              </w:rPr>
              <w:lastRenderedPageBreak/>
              <w:t>dissemination of tumor cells throughout the entire laparoscopic (robotic) radical gastrectomy for gastric cancer and explore its related mechanisms and potential clinical significance with peritoneal metastasis.</w:t>
            </w:r>
          </w:p>
        </w:tc>
        <w:tc>
          <w:tcPr>
            <w:tcW w:w="279" w:type="dxa"/>
            <w:tcBorders>
              <w:top w:val="nil"/>
              <w:left w:val="nil"/>
              <w:bottom w:val="nil"/>
              <w:right w:val="nil"/>
            </w:tcBorders>
            <w:shd w:val="clear" w:color="auto" w:fill="auto"/>
            <w:noWrap/>
            <w:vAlign w:val="center"/>
            <w:hideMark/>
          </w:tcPr>
          <w:p w14:paraId="55A428C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5BD907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Gastric Cancer</w:t>
            </w:r>
          </w:p>
        </w:tc>
        <w:tc>
          <w:tcPr>
            <w:tcW w:w="1574" w:type="dxa"/>
            <w:tcBorders>
              <w:top w:val="nil"/>
              <w:left w:val="nil"/>
              <w:bottom w:val="nil"/>
              <w:right w:val="nil"/>
            </w:tcBorders>
            <w:shd w:val="clear" w:color="auto" w:fill="auto"/>
            <w:noWrap/>
            <w:vAlign w:val="center"/>
            <w:hideMark/>
          </w:tcPr>
          <w:p w14:paraId="245B2E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PROCEDURE: Radical Gastric Cancer Surgery</w:t>
            </w:r>
          </w:p>
        </w:tc>
        <w:tc>
          <w:tcPr>
            <w:tcW w:w="2158" w:type="dxa"/>
            <w:gridSpan w:val="2"/>
            <w:tcBorders>
              <w:top w:val="nil"/>
              <w:left w:val="nil"/>
              <w:bottom w:val="nil"/>
              <w:right w:val="nil"/>
            </w:tcBorders>
            <w:shd w:val="clear" w:color="auto" w:fill="auto"/>
            <w:noWrap/>
            <w:vAlign w:val="center"/>
            <w:hideMark/>
          </w:tcPr>
          <w:p w14:paraId="591B2ED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Affiliated Hospital of Qingdao University</w:t>
            </w:r>
          </w:p>
        </w:tc>
        <w:tc>
          <w:tcPr>
            <w:tcW w:w="1006" w:type="dxa"/>
            <w:tcBorders>
              <w:top w:val="nil"/>
              <w:left w:val="nil"/>
              <w:bottom w:val="nil"/>
              <w:right w:val="nil"/>
            </w:tcBorders>
            <w:shd w:val="clear" w:color="auto" w:fill="auto"/>
            <w:noWrap/>
            <w:vAlign w:val="center"/>
            <w:hideMark/>
          </w:tcPr>
          <w:p w14:paraId="02E1CA1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2B12030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01/12/2022</w:t>
            </w:r>
          </w:p>
        </w:tc>
        <w:tc>
          <w:tcPr>
            <w:tcW w:w="766" w:type="dxa"/>
            <w:tcBorders>
              <w:top w:val="nil"/>
              <w:left w:val="nil"/>
              <w:bottom w:val="nil"/>
              <w:right w:val="nil"/>
            </w:tcBorders>
            <w:shd w:val="clear" w:color="auto" w:fill="auto"/>
            <w:noWrap/>
            <w:vAlign w:val="center"/>
            <w:hideMark/>
          </w:tcPr>
          <w:p w14:paraId="6D0C2D3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65609E2" w14:textId="77777777" w:rsidTr="00AB1828">
        <w:trPr>
          <w:trHeight w:val="360"/>
        </w:trPr>
        <w:tc>
          <w:tcPr>
            <w:tcW w:w="861" w:type="dxa"/>
            <w:tcBorders>
              <w:top w:val="nil"/>
              <w:left w:val="nil"/>
              <w:bottom w:val="nil"/>
              <w:right w:val="nil"/>
            </w:tcBorders>
            <w:shd w:val="clear" w:color="auto" w:fill="auto"/>
            <w:noWrap/>
            <w:vAlign w:val="center"/>
            <w:hideMark/>
          </w:tcPr>
          <w:p w14:paraId="476E9BC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NCT05714748</w:t>
            </w:r>
          </w:p>
        </w:tc>
        <w:tc>
          <w:tcPr>
            <w:tcW w:w="1354" w:type="dxa"/>
            <w:tcBorders>
              <w:top w:val="nil"/>
              <w:left w:val="nil"/>
              <w:bottom w:val="nil"/>
              <w:right w:val="nil"/>
            </w:tcBorders>
            <w:shd w:val="clear" w:color="auto" w:fill="auto"/>
            <w:noWrap/>
            <w:vAlign w:val="center"/>
            <w:hideMark/>
          </w:tcPr>
          <w:p w14:paraId="795A212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Application of mRNA Immunotherapy Technology in Epstein-Barr Virus-related Refractory Malignant Tumors</w:t>
            </w:r>
          </w:p>
        </w:tc>
        <w:tc>
          <w:tcPr>
            <w:tcW w:w="1483" w:type="dxa"/>
            <w:tcBorders>
              <w:top w:val="nil"/>
              <w:left w:val="nil"/>
              <w:bottom w:val="nil"/>
              <w:right w:val="nil"/>
            </w:tcBorders>
            <w:shd w:val="clear" w:color="auto" w:fill="auto"/>
            <w:noWrap/>
            <w:vAlign w:val="center"/>
            <w:hideMark/>
          </w:tcPr>
          <w:p w14:paraId="11B7313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3BE890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evaluate the efficacy and safety of mRNA vaccine for the EBV-positive Advanced Malignant Tumors.</w:t>
            </w:r>
          </w:p>
        </w:tc>
        <w:tc>
          <w:tcPr>
            <w:tcW w:w="279" w:type="dxa"/>
            <w:tcBorders>
              <w:top w:val="nil"/>
              <w:left w:val="nil"/>
              <w:bottom w:val="nil"/>
              <w:right w:val="nil"/>
            </w:tcBorders>
            <w:shd w:val="clear" w:color="auto" w:fill="auto"/>
            <w:noWrap/>
            <w:vAlign w:val="center"/>
            <w:hideMark/>
          </w:tcPr>
          <w:p w14:paraId="640435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07D20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Tumors</w:t>
            </w:r>
          </w:p>
        </w:tc>
        <w:tc>
          <w:tcPr>
            <w:tcW w:w="1574" w:type="dxa"/>
            <w:tcBorders>
              <w:top w:val="nil"/>
              <w:left w:val="nil"/>
              <w:bottom w:val="nil"/>
              <w:right w:val="nil"/>
            </w:tcBorders>
            <w:shd w:val="clear" w:color="auto" w:fill="auto"/>
            <w:noWrap/>
            <w:vAlign w:val="center"/>
            <w:hideMark/>
          </w:tcPr>
          <w:p w14:paraId="2B6574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EBV mRNA vaccine</w:t>
            </w:r>
          </w:p>
        </w:tc>
        <w:tc>
          <w:tcPr>
            <w:tcW w:w="1152" w:type="dxa"/>
            <w:tcBorders>
              <w:top w:val="nil"/>
              <w:left w:val="nil"/>
              <w:bottom w:val="nil"/>
              <w:right w:val="nil"/>
            </w:tcBorders>
            <w:shd w:val="clear" w:color="auto" w:fill="auto"/>
            <w:noWrap/>
            <w:vAlign w:val="center"/>
            <w:hideMark/>
          </w:tcPr>
          <w:p w14:paraId="6E40849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West China Hospital</w:t>
            </w:r>
          </w:p>
        </w:tc>
        <w:tc>
          <w:tcPr>
            <w:tcW w:w="1006" w:type="dxa"/>
            <w:tcBorders>
              <w:top w:val="nil"/>
              <w:left w:val="nil"/>
              <w:bottom w:val="nil"/>
              <w:right w:val="nil"/>
            </w:tcBorders>
            <w:shd w:val="clear" w:color="auto" w:fill="auto"/>
            <w:noWrap/>
            <w:vAlign w:val="center"/>
            <w:hideMark/>
          </w:tcPr>
          <w:p w14:paraId="3C2C8EC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46EE31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D0A4E3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18/11/2022</w:t>
            </w:r>
          </w:p>
        </w:tc>
        <w:tc>
          <w:tcPr>
            <w:tcW w:w="766" w:type="dxa"/>
            <w:tcBorders>
              <w:top w:val="nil"/>
              <w:left w:val="nil"/>
              <w:bottom w:val="nil"/>
              <w:right w:val="nil"/>
            </w:tcBorders>
            <w:shd w:val="clear" w:color="auto" w:fill="auto"/>
            <w:noWrap/>
            <w:vAlign w:val="center"/>
            <w:hideMark/>
          </w:tcPr>
          <w:p w14:paraId="0F6810B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CB1D6FE" w14:textId="77777777" w:rsidTr="00AB1828">
        <w:trPr>
          <w:trHeight w:val="360"/>
        </w:trPr>
        <w:tc>
          <w:tcPr>
            <w:tcW w:w="861" w:type="dxa"/>
            <w:tcBorders>
              <w:top w:val="nil"/>
              <w:left w:val="nil"/>
              <w:bottom w:val="nil"/>
              <w:right w:val="nil"/>
            </w:tcBorders>
            <w:shd w:val="clear" w:color="auto" w:fill="auto"/>
            <w:noWrap/>
            <w:vAlign w:val="center"/>
            <w:hideMark/>
          </w:tcPr>
          <w:p w14:paraId="4DC5EE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NCT05359354</w:t>
            </w:r>
          </w:p>
        </w:tc>
        <w:tc>
          <w:tcPr>
            <w:tcW w:w="1354" w:type="dxa"/>
            <w:tcBorders>
              <w:top w:val="nil"/>
              <w:left w:val="nil"/>
              <w:bottom w:val="nil"/>
              <w:right w:val="nil"/>
            </w:tcBorders>
            <w:shd w:val="clear" w:color="auto" w:fill="auto"/>
            <w:noWrap/>
            <w:vAlign w:val="center"/>
            <w:hideMark/>
          </w:tcPr>
          <w:p w14:paraId="3D6BF36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Safety and Efficacy of Personalized Neoantigen Vaccine in Advanced Solid Tumors</w:t>
            </w:r>
          </w:p>
        </w:tc>
        <w:tc>
          <w:tcPr>
            <w:tcW w:w="1483" w:type="dxa"/>
            <w:tcBorders>
              <w:top w:val="nil"/>
              <w:left w:val="nil"/>
              <w:bottom w:val="nil"/>
              <w:right w:val="nil"/>
            </w:tcBorders>
            <w:shd w:val="clear" w:color="auto" w:fill="auto"/>
            <w:noWrap/>
            <w:vAlign w:val="center"/>
            <w:hideMark/>
          </w:tcPr>
          <w:p w14:paraId="7165B98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668BDE6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trial is an investigator-initiated, single-center, open-label, single-arm exploratory study of mRNA personalized neoantigen tumor vaccine in the treatment of advanced solid tumors, including two phases: dose escalation and dose expansion. The main objective is to evaluate the safety and tolerability of </w:t>
            </w:r>
            <w:r w:rsidRPr="000A6EBE">
              <w:rPr>
                <w:rFonts w:ascii="Aptos Narrow" w:eastAsia="Times New Roman" w:hAnsi="Aptos Narrow"/>
                <w:color w:val="000000"/>
                <w:sz w:val="16"/>
                <w:szCs w:val="16"/>
                <w:lang w:val="en-HK" w:eastAsia="zh-CN"/>
              </w:rPr>
              <w:lastRenderedPageBreak/>
              <w:t>personalized neoantigen tumor vaccine in subjects with advanced solid tumors, and secondary objective is to preliminarily evaluate the efficacy of personalized neoantigen tumor vaccine in subjects with advanced solid tumors. According to the characteristics of safety and efficacy data in the dose escalation phase, the dose expansion is performed at the intended clinical dose based on the investigator's judgment, and the treatment will be performed in combination with PD-1 to further evaluate the efficacy and safety profile of personalized neoantigen tumor vaccine at a specific dose.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Both the dose escalation phase and dose expansion phase </w:t>
            </w:r>
            <w:r w:rsidRPr="000A6EBE">
              <w:rPr>
                <w:rFonts w:ascii="Aptos Narrow" w:eastAsia="Times New Roman" w:hAnsi="Aptos Narrow"/>
                <w:color w:val="000000"/>
                <w:sz w:val="16"/>
                <w:szCs w:val="16"/>
                <w:lang w:val="en-HK" w:eastAsia="zh-CN"/>
              </w:rPr>
              <w:lastRenderedPageBreak/>
              <w:t>include a screening period (Week -4 \~ Week -2), a baseline period (Week -1 \~ Day -1), a treatment period (Day 1 \~ Week 8 or 16), and a follow-up period. Subjects who signed and provided the formal informed consent entered the screening period. The treatment period included the initial treatment period (Day 1 \~ Week 8) and the enhanced treatment period (Week 12 \~ Week 16). The investigator determine if the subject is suitable to enter the enhanced treatment period based on the comprehensive judgment of the subject's efficacy, safety, compliance and other factors.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Dose escalation phase is the traditional 3 + 3 design,, 12-18 subjects are expected to be </w:t>
            </w:r>
            <w:r w:rsidRPr="000A6EBE">
              <w:rPr>
                <w:rFonts w:ascii="Aptos Narrow" w:eastAsia="Times New Roman" w:hAnsi="Aptos Narrow"/>
                <w:color w:val="000000"/>
                <w:sz w:val="16"/>
                <w:szCs w:val="16"/>
                <w:lang w:val="en-HK" w:eastAsia="zh-CN"/>
              </w:rPr>
              <w:lastRenderedPageBreak/>
              <w:t xml:space="preserve">enrolled at 100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 xml:space="preserve">g, 200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 xml:space="preserve">g and 400 </w:t>
            </w:r>
            <w:r w:rsidRPr="000A6EBE">
              <w:rPr>
                <w:rFonts w:ascii="Microsoft JhengHei" w:eastAsia="Microsoft JhengHei" w:hAnsi="Microsoft JhengHei" w:cs="Microsoft JhengHei"/>
                <w:color w:val="000000"/>
                <w:sz w:val="16"/>
                <w:szCs w:val="16"/>
                <w:lang w:val="en-HK" w:eastAsia="zh-CN"/>
              </w:rPr>
              <w:t>渭</w:t>
            </w:r>
            <w:r w:rsidRPr="000A6EBE">
              <w:rPr>
                <w:rFonts w:ascii="Aptos Narrow" w:eastAsia="Times New Roman" w:hAnsi="Aptos Narrow"/>
                <w:color w:val="000000"/>
                <w:sz w:val="16"/>
                <w:szCs w:val="16"/>
                <w:lang w:val="en-HK" w:eastAsia="zh-CN"/>
              </w:rPr>
              <w:t>g (3-6 subjects in each group). The low dose group will be enrolled first.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investigator will choose the optimal clinical dose for dose expansion, which can be one dose group or multiple dose groups. PD-1 will be administered in parallel to further confirm the efficacy and safety of neoantigen tumor vaccine. About 18 subjects will be enrolled. The usage and dosage of PD-1 should aligned with the package insert.</w:t>
            </w:r>
          </w:p>
        </w:tc>
        <w:tc>
          <w:tcPr>
            <w:tcW w:w="279" w:type="dxa"/>
            <w:tcBorders>
              <w:top w:val="nil"/>
              <w:left w:val="nil"/>
              <w:bottom w:val="nil"/>
              <w:right w:val="nil"/>
            </w:tcBorders>
            <w:shd w:val="clear" w:color="auto" w:fill="auto"/>
            <w:noWrap/>
            <w:vAlign w:val="center"/>
            <w:hideMark/>
          </w:tcPr>
          <w:p w14:paraId="1EDF74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D861C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w:t>
            </w:r>
          </w:p>
        </w:tc>
        <w:tc>
          <w:tcPr>
            <w:tcW w:w="1574" w:type="dxa"/>
            <w:tcBorders>
              <w:top w:val="nil"/>
              <w:left w:val="nil"/>
              <w:bottom w:val="nil"/>
              <w:right w:val="nil"/>
            </w:tcBorders>
            <w:shd w:val="clear" w:color="auto" w:fill="auto"/>
            <w:noWrap/>
            <w:vAlign w:val="center"/>
            <w:hideMark/>
          </w:tcPr>
          <w:p w14:paraId="1CFF98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Personalized neoantigen tumor vaccine</w:t>
            </w:r>
          </w:p>
        </w:tc>
        <w:tc>
          <w:tcPr>
            <w:tcW w:w="1152" w:type="dxa"/>
            <w:tcBorders>
              <w:top w:val="nil"/>
              <w:left w:val="nil"/>
              <w:bottom w:val="nil"/>
              <w:right w:val="nil"/>
            </w:tcBorders>
            <w:shd w:val="clear" w:color="auto" w:fill="auto"/>
            <w:noWrap/>
            <w:vAlign w:val="center"/>
            <w:hideMark/>
          </w:tcPr>
          <w:p w14:paraId="14954B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YueJuan Cheng</w:t>
            </w:r>
          </w:p>
        </w:tc>
        <w:tc>
          <w:tcPr>
            <w:tcW w:w="1006" w:type="dxa"/>
            <w:tcBorders>
              <w:top w:val="nil"/>
              <w:left w:val="nil"/>
              <w:bottom w:val="nil"/>
              <w:right w:val="nil"/>
            </w:tcBorders>
            <w:shd w:val="clear" w:color="auto" w:fill="auto"/>
            <w:noWrap/>
            <w:vAlign w:val="center"/>
            <w:hideMark/>
          </w:tcPr>
          <w:p w14:paraId="3E8B0B0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77333E3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3E7D8E6"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01/09/2022</w:t>
            </w:r>
          </w:p>
        </w:tc>
        <w:tc>
          <w:tcPr>
            <w:tcW w:w="766" w:type="dxa"/>
            <w:tcBorders>
              <w:top w:val="nil"/>
              <w:left w:val="nil"/>
              <w:bottom w:val="nil"/>
              <w:right w:val="nil"/>
            </w:tcBorders>
            <w:shd w:val="clear" w:color="auto" w:fill="auto"/>
            <w:noWrap/>
            <w:vAlign w:val="center"/>
            <w:hideMark/>
          </w:tcPr>
          <w:p w14:paraId="707893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7382EB36" w14:textId="77777777" w:rsidTr="00AB1828">
        <w:trPr>
          <w:trHeight w:val="360"/>
        </w:trPr>
        <w:tc>
          <w:tcPr>
            <w:tcW w:w="861" w:type="dxa"/>
            <w:tcBorders>
              <w:top w:val="nil"/>
              <w:left w:val="nil"/>
              <w:bottom w:val="nil"/>
              <w:right w:val="nil"/>
            </w:tcBorders>
            <w:shd w:val="clear" w:color="auto" w:fill="auto"/>
            <w:noWrap/>
            <w:vAlign w:val="center"/>
            <w:hideMark/>
          </w:tcPr>
          <w:p w14:paraId="2D91C57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NCT05497453</w:t>
            </w:r>
          </w:p>
        </w:tc>
        <w:tc>
          <w:tcPr>
            <w:tcW w:w="1354" w:type="dxa"/>
            <w:tcBorders>
              <w:top w:val="nil"/>
              <w:left w:val="nil"/>
              <w:bottom w:val="nil"/>
              <w:right w:val="nil"/>
            </w:tcBorders>
            <w:shd w:val="clear" w:color="auto" w:fill="auto"/>
            <w:noWrap/>
            <w:vAlign w:val="center"/>
            <w:hideMark/>
          </w:tcPr>
          <w:p w14:paraId="4C51FF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Phase 1/2 Study to Evaluate OTX-2002 in Patients With Hepatocellular Carcinoma and Other Solid Tumor Types Known for Association With the MYC Oncogene</w:t>
            </w:r>
          </w:p>
        </w:tc>
        <w:tc>
          <w:tcPr>
            <w:tcW w:w="1483" w:type="dxa"/>
            <w:tcBorders>
              <w:top w:val="nil"/>
              <w:left w:val="nil"/>
              <w:bottom w:val="nil"/>
              <w:right w:val="nil"/>
            </w:tcBorders>
            <w:shd w:val="clear" w:color="auto" w:fill="auto"/>
            <w:noWrap/>
            <w:vAlign w:val="center"/>
            <w:hideMark/>
          </w:tcPr>
          <w:p w14:paraId="00C419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7E1DFBA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Phase 1/2 open-label study to evaluate the safety, tolerability, pharmacokinetics, pharmacodynamics, and preliminary antitumor activity of OTX-2002 as a single agent and in combination </w:t>
            </w:r>
            <w:r w:rsidRPr="000A6EBE">
              <w:rPr>
                <w:rFonts w:ascii="Aptos Narrow" w:eastAsia="Times New Roman" w:hAnsi="Aptos Narrow"/>
                <w:color w:val="000000"/>
                <w:sz w:val="16"/>
                <w:szCs w:val="16"/>
                <w:lang w:val="en-HK" w:eastAsia="zh-CN"/>
              </w:rPr>
              <w:lastRenderedPageBreak/>
              <w:t>with standard of care in patients with hepatocellular carcinoma (HCC) and other solid tumor types known for association with the MYC oncogene.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study consists of Part 1 (OTX-2002 monotherapy) and Part 2 (OTX-2002 combined with standard of care in hepatocellular carcinoma). Part 1 consists of escalation and expansion, and Part 2 consists of safety run-in and expansion. The objective of Part 1 escalation and Part 2 safety run-in will be safety and tolerability, while anti-tumor activity will be evaluated as the primary endpoint in Part 1 and Part 2 expansion.</w:t>
            </w:r>
          </w:p>
        </w:tc>
        <w:tc>
          <w:tcPr>
            <w:tcW w:w="279" w:type="dxa"/>
            <w:tcBorders>
              <w:top w:val="nil"/>
              <w:left w:val="nil"/>
              <w:bottom w:val="nil"/>
              <w:right w:val="nil"/>
            </w:tcBorders>
            <w:shd w:val="clear" w:color="auto" w:fill="auto"/>
            <w:noWrap/>
            <w:vAlign w:val="center"/>
            <w:hideMark/>
          </w:tcPr>
          <w:p w14:paraId="5F4C02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1F662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Hepatocellular Carcinoma|Solid Tumor|Hepatocellular Carcinoma Non-resectable|Hepatocellular Carcinoma Recurrent|Hepatocellular Cancer|Liver Cancer|Liver, Cancer of, Non-Resectable</w:t>
            </w:r>
          </w:p>
        </w:tc>
        <w:tc>
          <w:tcPr>
            <w:tcW w:w="1574" w:type="dxa"/>
            <w:tcBorders>
              <w:top w:val="nil"/>
              <w:left w:val="nil"/>
              <w:bottom w:val="nil"/>
              <w:right w:val="nil"/>
            </w:tcBorders>
            <w:shd w:val="clear" w:color="auto" w:fill="auto"/>
            <w:noWrap/>
            <w:vAlign w:val="center"/>
            <w:hideMark/>
          </w:tcPr>
          <w:p w14:paraId="6438CB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OTX-2002|DRUG: Tyrosine kinase inhibitor One|DRUG: Tyrosine kinase inhibitor Two|DRUG: Checkpoint Inhibitor, Immune</w:t>
            </w:r>
          </w:p>
        </w:tc>
        <w:tc>
          <w:tcPr>
            <w:tcW w:w="1152" w:type="dxa"/>
            <w:tcBorders>
              <w:top w:val="nil"/>
              <w:left w:val="nil"/>
              <w:bottom w:val="nil"/>
              <w:right w:val="nil"/>
            </w:tcBorders>
            <w:shd w:val="clear" w:color="auto" w:fill="auto"/>
            <w:noWrap/>
            <w:vAlign w:val="center"/>
            <w:hideMark/>
          </w:tcPr>
          <w:p w14:paraId="71E6D1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Omega Therapeutics</w:t>
            </w:r>
          </w:p>
        </w:tc>
        <w:tc>
          <w:tcPr>
            <w:tcW w:w="1006" w:type="dxa"/>
            <w:tcBorders>
              <w:top w:val="nil"/>
              <w:left w:val="nil"/>
              <w:bottom w:val="nil"/>
              <w:right w:val="nil"/>
            </w:tcBorders>
            <w:shd w:val="clear" w:color="auto" w:fill="auto"/>
            <w:noWrap/>
            <w:vAlign w:val="center"/>
            <w:hideMark/>
          </w:tcPr>
          <w:p w14:paraId="3F077D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1D739BC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72B6EF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19/08/2022</w:t>
            </w:r>
          </w:p>
        </w:tc>
        <w:tc>
          <w:tcPr>
            <w:tcW w:w="766" w:type="dxa"/>
            <w:tcBorders>
              <w:top w:val="nil"/>
              <w:left w:val="nil"/>
              <w:bottom w:val="nil"/>
              <w:right w:val="nil"/>
            </w:tcBorders>
            <w:shd w:val="clear" w:color="auto" w:fill="auto"/>
            <w:noWrap/>
            <w:vAlign w:val="center"/>
            <w:hideMark/>
          </w:tcPr>
          <w:p w14:paraId="584BEAF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845C48F" w14:textId="77777777" w:rsidTr="00AB1828">
        <w:trPr>
          <w:trHeight w:val="360"/>
        </w:trPr>
        <w:tc>
          <w:tcPr>
            <w:tcW w:w="861" w:type="dxa"/>
            <w:tcBorders>
              <w:top w:val="nil"/>
              <w:left w:val="nil"/>
              <w:bottom w:val="nil"/>
              <w:right w:val="nil"/>
            </w:tcBorders>
            <w:shd w:val="clear" w:color="auto" w:fill="auto"/>
            <w:noWrap/>
            <w:vAlign w:val="center"/>
            <w:hideMark/>
          </w:tcPr>
          <w:p w14:paraId="008667C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NCT05497453</w:t>
            </w:r>
          </w:p>
        </w:tc>
        <w:tc>
          <w:tcPr>
            <w:tcW w:w="1354" w:type="dxa"/>
            <w:tcBorders>
              <w:top w:val="nil"/>
              <w:left w:val="nil"/>
              <w:bottom w:val="nil"/>
              <w:right w:val="nil"/>
            </w:tcBorders>
            <w:shd w:val="clear" w:color="auto" w:fill="auto"/>
            <w:noWrap/>
            <w:vAlign w:val="center"/>
            <w:hideMark/>
          </w:tcPr>
          <w:p w14:paraId="3F47621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 Phase 1/2 Study to Evaluate OTX-2002 in Patients With Hepatocellular Carcinoma and Other Solid </w:t>
            </w:r>
            <w:r w:rsidRPr="000A6EBE">
              <w:rPr>
                <w:rFonts w:ascii="Aptos Narrow" w:eastAsia="Times New Roman" w:hAnsi="Aptos Narrow"/>
                <w:color w:val="000000"/>
                <w:sz w:val="16"/>
                <w:szCs w:val="16"/>
                <w:lang w:val="en-HK" w:eastAsia="zh-CN"/>
              </w:rPr>
              <w:lastRenderedPageBreak/>
              <w:t>Tumor Types Known for Association With the MYC Oncogene</w:t>
            </w:r>
          </w:p>
        </w:tc>
        <w:tc>
          <w:tcPr>
            <w:tcW w:w="1483" w:type="dxa"/>
            <w:tcBorders>
              <w:top w:val="nil"/>
              <w:left w:val="nil"/>
              <w:bottom w:val="nil"/>
              <w:right w:val="nil"/>
            </w:tcBorders>
            <w:shd w:val="clear" w:color="auto" w:fill="auto"/>
            <w:noWrap/>
            <w:vAlign w:val="center"/>
            <w:hideMark/>
          </w:tcPr>
          <w:p w14:paraId="308B7D7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RECRUITING</w:t>
            </w:r>
          </w:p>
        </w:tc>
        <w:tc>
          <w:tcPr>
            <w:tcW w:w="1689" w:type="dxa"/>
            <w:tcBorders>
              <w:top w:val="nil"/>
              <w:left w:val="nil"/>
              <w:bottom w:val="nil"/>
              <w:right w:val="nil"/>
            </w:tcBorders>
            <w:shd w:val="clear" w:color="auto" w:fill="auto"/>
            <w:vAlign w:val="center"/>
            <w:hideMark/>
          </w:tcPr>
          <w:p w14:paraId="7259843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Phase 1/2 open-label study to evaluate the safety, tolerability, pharmacokinetics, </w:t>
            </w:r>
            <w:r w:rsidRPr="000A6EBE">
              <w:rPr>
                <w:rFonts w:ascii="Aptos Narrow" w:eastAsia="Times New Roman" w:hAnsi="Aptos Narrow"/>
                <w:color w:val="000000"/>
                <w:sz w:val="16"/>
                <w:szCs w:val="16"/>
                <w:lang w:val="en-HK" w:eastAsia="zh-CN"/>
              </w:rPr>
              <w:lastRenderedPageBreak/>
              <w:t>pharmacodynamics, and preliminary antitumor activity of OTX-2002 as a single agent and in combination with standard of care in patients with hepatocellular carcinoma (HCC) and other solid tumor types known for association with the MYC oncogene.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study consists of Part 1 (OTX-2002 monotherapy) and Part 2 (OTX-2002 combined with standard of care in hepatocellular carcinoma). Part 1 consists of escalation and expansion, and Part 2 consists of safety run-in and expansion. The objective of Part 1 escalation and Part 2 safety run-in will be safety and tolerability, while anti-tumor activity will be evaluated as the primary endpoint in Part 1 and Part 2 expansion.</w:t>
            </w:r>
          </w:p>
        </w:tc>
        <w:tc>
          <w:tcPr>
            <w:tcW w:w="279" w:type="dxa"/>
            <w:tcBorders>
              <w:top w:val="nil"/>
              <w:left w:val="nil"/>
              <w:bottom w:val="nil"/>
              <w:right w:val="nil"/>
            </w:tcBorders>
            <w:shd w:val="clear" w:color="auto" w:fill="auto"/>
            <w:noWrap/>
            <w:vAlign w:val="center"/>
            <w:hideMark/>
          </w:tcPr>
          <w:p w14:paraId="6F3121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AE29D4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Hepatocellular Carcinoma|Solid Tumor|Hepatocellular Carcinoma Non-resectable|Hepatocellular Carcinoma Recurrent|Hepatocellular </w:t>
            </w:r>
            <w:r w:rsidRPr="000A6EBE">
              <w:rPr>
                <w:rFonts w:ascii="Aptos Narrow" w:eastAsia="Times New Roman" w:hAnsi="Aptos Narrow"/>
                <w:color w:val="000000"/>
                <w:sz w:val="16"/>
                <w:szCs w:val="16"/>
                <w:lang w:val="en-HK" w:eastAsia="zh-CN"/>
              </w:rPr>
              <w:lastRenderedPageBreak/>
              <w:t>Cancer|Liver Cancer|Liver, Cancer of, Non-Resectable</w:t>
            </w:r>
          </w:p>
        </w:tc>
        <w:tc>
          <w:tcPr>
            <w:tcW w:w="1574" w:type="dxa"/>
            <w:tcBorders>
              <w:top w:val="nil"/>
              <w:left w:val="nil"/>
              <w:bottom w:val="nil"/>
              <w:right w:val="nil"/>
            </w:tcBorders>
            <w:shd w:val="clear" w:color="auto" w:fill="auto"/>
            <w:noWrap/>
            <w:vAlign w:val="center"/>
            <w:hideMark/>
          </w:tcPr>
          <w:p w14:paraId="72B9B8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 xml:space="preserve">DRUG: OTX-2002|DRUG: Tyrosine kinase inhibitor One|DRUG: Tyrosine kinase inhibitor Two|DRUG: </w:t>
            </w:r>
            <w:r w:rsidRPr="000A6EBE">
              <w:rPr>
                <w:rFonts w:ascii="Aptos Narrow" w:eastAsia="Times New Roman" w:hAnsi="Aptos Narrow"/>
                <w:color w:val="000000"/>
                <w:sz w:val="16"/>
                <w:szCs w:val="16"/>
                <w:lang w:val="en-HK" w:eastAsia="zh-CN"/>
              </w:rPr>
              <w:lastRenderedPageBreak/>
              <w:t>Checkpoint Inhibitor, Immune</w:t>
            </w:r>
          </w:p>
        </w:tc>
        <w:tc>
          <w:tcPr>
            <w:tcW w:w="1152" w:type="dxa"/>
            <w:tcBorders>
              <w:top w:val="nil"/>
              <w:left w:val="nil"/>
              <w:bottom w:val="nil"/>
              <w:right w:val="nil"/>
            </w:tcBorders>
            <w:shd w:val="clear" w:color="auto" w:fill="auto"/>
            <w:noWrap/>
            <w:vAlign w:val="center"/>
            <w:hideMark/>
          </w:tcPr>
          <w:p w14:paraId="59E7769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Omega Therapeutics</w:t>
            </w:r>
          </w:p>
        </w:tc>
        <w:tc>
          <w:tcPr>
            <w:tcW w:w="1006" w:type="dxa"/>
            <w:tcBorders>
              <w:top w:val="nil"/>
              <w:left w:val="nil"/>
              <w:bottom w:val="nil"/>
              <w:right w:val="nil"/>
            </w:tcBorders>
            <w:shd w:val="clear" w:color="auto" w:fill="auto"/>
            <w:noWrap/>
            <w:vAlign w:val="center"/>
            <w:hideMark/>
          </w:tcPr>
          <w:p w14:paraId="1FBE51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635348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D0F873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19/08/2022</w:t>
            </w:r>
          </w:p>
        </w:tc>
        <w:tc>
          <w:tcPr>
            <w:tcW w:w="766" w:type="dxa"/>
            <w:tcBorders>
              <w:top w:val="nil"/>
              <w:left w:val="nil"/>
              <w:bottom w:val="nil"/>
              <w:right w:val="nil"/>
            </w:tcBorders>
            <w:shd w:val="clear" w:color="auto" w:fill="auto"/>
            <w:noWrap/>
            <w:vAlign w:val="center"/>
            <w:hideMark/>
          </w:tcPr>
          <w:p w14:paraId="27C269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AD93EA9" w14:textId="77777777" w:rsidTr="00AB1828">
        <w:trPr>
          <w:trHeight w:val="360"/>
        </w:trPr>
        <w:tc>
          <w:tcPr>
            <w:tcW w:w="861" w:type="dxa"/>
            <w:tcBorders>
              <w:top w:val="nil"/>
              <w:left w:val="nil"/>
              <w:bottom w:val="nil"/>
              <w:right w:val="nil"/>
            </w:tcBorders>
            <w:shd w:val="clear" w:color="auto" w:fill="auto"/>
            <w:noWrap/>
            <w:vAlign w:val="center"/>
            <w:hideMark/>
          </w:tcPr>
          <w:p w14:paraId="579286C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NCT05195294</w:t>
            </w:r>
          </w:p>
        </w:tc>
        <w:tc>
          <w:tcPr>
            <w:tcW w:w="1354" w:type="dxa"/>
            <w:tcBorders>
              <w:top w:val="nil"/>
              <w:left w:val="nil"/>
              <w:bottom w:val="nil"/>
              <w:right w:val="nil"/>
            </w:tcBorders>
            <w:shd w:val="clear" w:color="auto" w:fill="auto"/>
            <w:noWrap/>
            <w:vAlign w:val="center"/>
            <w:hideMark/>
          </w:tcPr>
          <w:p w14:paraId="2B4A53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HBV-TCR T Cells (LioCyx-M) as Monotherapy or as Combination With Lenvatinib for HBV-related HCC</w:t>
            </w:r>
          </w:p>
        </w:tc>
        <w:tc>
          <w:tcPr>
            <w:tcW w:w="1483" w:type="dxa"/>
            <w:tcBorders>
              <w:top w:val="nil"/>
              <w:left w:val="nil"/>
              <w:bottom w:val="nil"/>
              <w:right w:val="nil"/>
            </w:tcBorders>
            <w:shd w:val="clear" w:color="auto" w:fill="auto"/>
            <w:noWrap/>
            <w:vAlign w:val="center"/>
            <w:hideMark/>
          </w:tcPr>
          <w:p w14:paraId="5D60AE6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NOT_YET_RECRUITING</w:t>
            </w:r>
          </w:p>
        </w:tc>
        <w:tc>
          <w:tcPr>
            <w:tcW w:w="1689" w:type="dxa"/>
            <w:tcBorders>
              <w:top w:val="nil"/>
              <w:left w:val="nil"/>
              <w:bottom w:val="nil"/>
              <w:right w:val="nil"/>
            </w:tcBorders>
            <w:shd w:val="clear" w:color="auto" w:fill="auto"/>
            <w:noWrap/>
            <w:vAlign w:val="center"/>
            <w:hideMark/>
          </w:tcPr>
          <w:p w14:paraId="610F845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single arm, open-label and multi-center Phase 1b/2 study to evaluate the safety and efficacy of autologous T-cells transfected with mRNA encoding Hepatitis-B virus (HBV)-antigen-specific T cell receptor (TCR) (LioCyx-M) as monotherapy or as combination with lenvatinib for the treatment of advanced HBV-related hepatocellular carcinoma (HCC).</w:t>
            </w:r>
          </w:p>
        </w:tc>
        <w:tc>
          <w:tcPr>
            <w:tcW w:w="279" w:type="dxa"/>
            <w:tcBorders>
              <w:top w:val="nil"/>
              <w:left w:val="nil"/>
              <w:bottom w:val="nil"/>
              <w:right w:val="nil"/>
            </w:tcBorders>
            <w:shd w:val="clear" w:color="auto" w:fill="auto"/>
            <w:noWrap/>
            <w:vAlign w:val="center"/>
            <w:hideMark/>
          </w:tcPr>
          <w:p w14:paraId="2B554F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02E5524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Hepatocellular Carcinoma|Liver Cancer, Adult|Liver Cell Carcinoma</w:t>
            </w:r>
          </w:p>
        </w:tc>
        <w:tc>
          <w:tcPr>
            <w:tcW w:w="1574" w:type="dxa"/>
            <w:tcBorders>
              <w:top w:val="nil"/>
              <w:left w:val="nil"/>
              <w:bottom w:val="nil"/>
              <w:right w:val="nil"/>
            </w:tcBorders>
            <w:shd w:val="clear" w:color="auto" w:fill="auto"/>
            <w:noWrap/>
            <w:vAlign w:val="center"/>
            <w:hideMark/>
          </w:tcPr>
          <w:p w14:paraId="329195A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LioCyx-M|DRUG: Lenvatinib</w:t>
            </w:r>
          </w:p>
        </w:tc>
        <w:tc>
          <w:tcPr>
            <w:tcW w:w="1152" w:type="dxa"/>
            <w:tcBorders>
              <w:top w:val="nil"/>
              <w:left w:val="nil"/>
              <w:bottom w:val="nil"/>
              <w:right w:val="nil"/>
            </w:tcBorders>
            <w:shd w:val="clear" w:color="auto" w:fill="auto"/>
            <w:noWrap/>
            <w:vAlign w:val="center"/>
            <w:hideMark/>
          </w:tcPr>
          <w:p w14:paraId="1627F6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Lion TCR Pte. Ltd.</w:t>
            </w:r>
          </w:p>
        </w:tc>
        <w:tc>
          <w:tcPr>
            <w:tcW w:w="1006" w:type="dxa"/>
            <w:tcBorders>
              <w:top w:val="nil"/>
              <w:left w:val="nil"/>
              <w:bottom w:val="nil"/>
              <w:right w:val="nil"/>
            </w:tcBorders>
            <w:shd w:val="clear" w:color="auto" w:fill="auto"/>
            <w:noWrap/>
            <w:vAlign w:val="center"/>
            <w:hideMark/>
          </w:tcPr>
          <w:p w14:paraId="162F19C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27FB98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A15E70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01/06/2022</w:t>
            </w:r>
          </w:p>
        </w:tc>
        <w:tc>
          <w:tcPr>
            <w:tcW w:w="766" w:type="dxa"/>
            <w:tcBorders>
              <w:top w:val="nil"/>
              <w:left w:val="nil"/>
              <w:bottom w:val="nil"/>
              <w:right w:val="nil"/>
            </w:tcBorders>
            <w:shd w:val="clear" w:color="auto" w:fill="auto"/>
            <w:noWrap/>
            <w:vAlign w:val="center"/>
            <w:hideMark/>
          </w:tcPr>
          <w:p w14:paraId="354CB5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2DF180D" w14:textId="77777777" w:rsidTr="00AB1828">
        <w:trPr>
          <w:trHeight w:val="360"/>
        </w:trPr>
        <w:tc>
          <w:tcPr>
            <w:tcW w:w="861" w:type="dxa"/>
            <w:tcBorders>
              <w:top w:val="nil"/>
              <w:left w:val="nil"/>
              <w:bottom w:val="nil"/>
              <w:right w:val="nil"/>
            </w:tcBorders>
            <w:shd w:val="clear" w:color="auto" w:fill="auto"/>
            <w:noWrap/>
            <w:vAlign w:val="center"/>
            <w:hideMark/>
          </w:tcPr>
          <w:p w14:paraId="5B45C35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NCT05392699</w:t>
            </w:r>
          </w:p>
        </w:tc>
        <w:tc>
          <w:tcPr>
            <w:tcW w:w="1354" w:type="dxa"/>
            <w:tcBorders>
              <w:top w:val="nil"/>
              <w:left w:val="nil"/>
              <w:bottom w:val="nil"/>
              <w:right w:val="nil"/>
            </w:tcBorders>
            <w:shd w:val="clear" w:color="auto" w:fill="auto"/>
            <w:noWrap/>
            <w:vAlign w:val="center"/>
            <w:hideMark/>
          </w:tcPr>
          <w:p w14:paraId="1E63DA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ABOD2011 in Patients With Advanced Solid Tumors Progressed After Standard Systemic Therapy</w:t>
            </w:r>
          </w:p>
        </w:tc>
        <w:tc>
          <w:tcPr>
            <w:tcW w:w="1483" w:type="dxa"/>
            <w:tcBorders>
              <w:top w:val="nil"/>
              <w:left w:val="nil"/>
              <w:bottom w:val="nil"/>
              <w:right w:val="nil"/>
            </w:tcBorders>
            <w:shd w:val="clear" w:color="auto" w:fill="auto"/>
            <w:noWrap/>
            <w:vAlign w:val="center"/>
            <w:hideMark/>
          </w:tcPr>
          <w:p w14:paraId="77C881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621BF7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Based on the activation and regulation of immune system by cytokines, mRNA encoding cytokines has become one of the important directions of mRNA tumor drug development. This product (ABOD2011) is a new generation mRNA product for intratumoral injection.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primary objective of this study is to assess </w:t>
            </w:r>
            <w:r w:rsidRPr="000A6EBE">
              <w:rPr>
                <w:rFonts w:ascii="Aptos Narrow" w:eastAsia="Times New Roman" w:hAnsi="Aptos Narrow"/>
                <w:color w:val="000000"/>
                <w:sz w:val="16"/>
                <w:szCs w:val="16"/>
                <w:lang w:val="en-HK" w:eastAsia="zh-CN"/>
              </w:rPr>
              <w:lastRenderedPageBreak/>
              <w:t>the safety and tolerability, of ABOD2011 in patients with advanced solid tumors that progressed after standard systemic therapy.</w:t>
            </w:r>
          </w:p>
        </w:tc>
        <w:tc>
          <w:tcPr>
            <w:tcW w:w="279" w:type="dxa"/>
            <w:tcBorders>
              <w:top w:val="nil"/>
              <w:left w:val="nil"/>
              <w:bottom w:val="nil"/>
              <w:right w:val="nil"/>
            </w:tcBorders>
            <w:shd w:val="clear" w:color="auto" w:fill="auto"/>
            <w:noWrap/>
            <w:vAlign w:val="center"/>
            <w:hideMark/>
          </w:tcPr>
          <w:p w14:paraId="65EDA71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93004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Patients With Advanced Solid Tumors</w:t>
            </w:r>
          </w:p>
        </w:tc>
        <w:tc>
          <w:tcPr>
            <w:tcW w:w="1574" w:type="dxa"/>
            <w:tcBorders>
              <w:top w:val="nil"/>
              <w:left w:val="nil"/>
              <w:bottom w:val="nil"/>
              <w:right w:val="nil"/>
            </w:tcBorders>
            <w:shd w:val="clear" w:color="auto" w:fill="auto"/>
            <w:noWrap/>
            <w:vAlign w:val="center"/>
            <w:hideMark/>
          </w:tcPr>
          <w:p w14:paraId="7222143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human single chain IL-12 mRNA-single dose|BIOLOGICAL: human single chain IL-12 mRNA-multiple dose</w:t>
            </w:r>
          </w:p>
        </w:tc>
        <w:tc>
          <w:tcPr>
            <w:tcW w:w="1152" w:type="dxa"/>
            <w:tcBorders>
              <w:top w:val="nil"/>
              <w:left w:val="nil"/>
              <w:bottom w:val="nil"/>
              <w:right w:val="nil"/>
            </w:tcBorders>
            <w:shd w:val="clear" w:color="auto" w:fill="auto"/>
            <w:noWrap/>
            <w:vAlign w:val="center"/>
            <w:hideMark/>
          </w:tcPr>
          <w:p w14:paraId="206DF0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Cancer Institute and Hospital, Chinese Academy of Medical Sciences</w:t>
            </w:r>
          </w:p>
        </w:tc>
        <w:tc>
          <w:tcPr>
            <w:tcW w:w="1006" w:type="dxa"/>
            <w:tcBorders>
              <w:top w:val="nil"/>
              <w:left w:val="nil"/>
              <w:bottom w:val="nil"/>
              <w:right w:val="nil"/>
            </w:tcBorders>
            <w:shd w:val="clear" w:color="auto" w:fill="auto"/>
            <w:noWrap/>
            <w:vAlign w:val="center"/>
            <w:hideMark/>
          </w:tcPr>
          <w:p w14:paraId="349CF3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42576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C3042E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25/05/2022</w:t>
            </w:r>
          </w:p>
        </w:tc>
        <w:tc>
          <w:tcPr>
            <w:tcW w:w="766" w:type="dxa"/>
            <w:tcBorders>
              <w:top w:val="nil"/>
              <w:left w:val="nil"/>
              <w:bottom w:val="nil"/>
              <w:right w:val="nil"/>
            </w:tcBorders>
            <w:shd w:val="clear" w:color="auto" w:fill="auto"/>
            <w:noWrap/>
            <w:vAlign w:val="center"/>
            <w:hideMark/>
          </w:tcPr>
          <w:p w14:paraId="5284272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Regulation of immune cytokine</w:t>
            </w:r>
          </w:p>
        </w:tc>
      </w:tr>
      <w:tr w:rsidR="000A6EBE" w:rsidRPr="000A6EBE" w14:paraId="730F45B1" w14:textId="77777777" w:rsidTr="00AB1828">
        <w:trPr>
          <w:trHeight w:val="360"/>
        </w:trPr>
        <w:tc>
          <w:tcPr>
            <w:tcW w:w="861" w:type="dxa"/>
            <w:tcBorders>
              <w:top w:val="nil"/>
              <w:left w:val="nil"/>
              <w:bottom w:val="nil"/>
              <w:right w:val="nil"/>
            </w:tcBorders>
            <w:shd w:val="clear" w:color="auto" w:fill="auto"/>
            <w:noWrap/>
            <w:vAlign w:val="center"/>
            <w:hideMark/>
          </w:tcPr>
          <w:p w14:paraId="33AA81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NCT04745403</w:t>
            </w:r>
          </w:p>
        </w:tc>
        <w:tc>
          <w:tcPr>
            <w:tcW w:w="1354" w:type="dxa"/>
            <w:tcBorders>
              <w:top w:val="nil"/>
              <w:left w:val="nil"/>
              <w:bottom w:val="nil"/>
              <w:right w:val="nil"/>
            </w:tcBorders>
            <w:shd w:val="clear" w:color="auto" w:fill="auto"/>
            <w:noWrap/>
            <w:vAlign w:val="center"/>
            <w:hideMark/>
          </w:tcPr>
          <w:p w14:paraId="2F367F4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Redirected HBV-Specific T Cells in Patients With HBV-related HCC (SAFE-T-HBV)</w:t>
            </w:r>
          </w:p>
        </w:tc>
        <w:tc>
          <w:tcPr>
            <w:tcW w:w="1483" w:type="dxa"/>
            <w:tcBorders>
              <w:top w:val="nil"/>
              <w:left w:val="nil"/>
              <w:bottom w:val="nil"/>
              <w:right w:val="nil"/>
            </w:tcBorders>
            <w:shd w:val="clear" w:color="auto" w:fill="auto"/>
            <w:noWrap/>
            <w:vAlign w:val="center"/>
            <w:hideMark/>
          </w:tcPr>
          <w:p w14:paraId="58BDFC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0B897A1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single center, single arm and open-label study to determine the safety of mRNA modified HBV-TCR redirected T-cells and to analyze the changes in tumor microenvironment caused by these HBV-TCR redirected T-cells in subjects with HBV-related HCC who are not amenable to/failed conventional treatment.</w:t>
            </w:r>
          </w:p>
        </w:tc>
        <w:tc>
          <w:tcPr>
            <w:tcW w:w="279" w:type="dxa"/>
            <w:tcBorders>
              <w:top w:val="nil"/>
              <w:left w:val="nil"/>
              <w:bottom w:val="nil"/>
              <w:right w:val="nil"/>
            </w:tcBorders>
            <w:shd w:val="clear" w:color="auto" w:fill="auto"/>
            <w:noWrap/>
            <w:vAlign w:val="center"/>
            <w:hideMark/>
          </w:tcPr>
          <w:p w14:paraId="341DFA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D11B72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Hepatocellular Carcinoma</w:t>
            </w:r>
          </w:p>
        </w:tc>
        <w:tc>
          <w:tcPr>
            <w:tcW w:w="1574" w:type="dxa"/>
            <w:tcBorders>
              <w:top w:val="nil"/>
              <w:left w:val="nil"/>
              <w:bottom w:val="nil"/>
              <w:right w:val="nil"/>
            </w:tcBorders>
            <w:shd w:val="clear" w:color="auto" w:fill="auto"/>
            <w:noWrap/>
            <w:vAlign w:val="center"/>
            <w:hideMark/>
          </w:tcPr>
          <w:p w14:paraId="2BAC33F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mRNA HBV/TCR T-cells</w:t>
            </w:r>
          </w:p>
        </w:tc>
        <w:tc>
          <w:tcPr>
            <w:tcW w:w="1152" w:type="dxa"/>
            <w:tcBorders>
              <w:top w:val="nil"/>
              <w:left w:val="nil"/>
              <w:bottom w:val="nil"/>
              <w:right w:val="nil"/>
            </w:tcBorders>
            <w:shd w:val="clear" w:color="auto" w:fill="auto"/>
            <w:noWrap/>
            <w:vAlign w:val="center"/>
            <w:hideMark/>
          </w:tcPr>
          <w:p w14:paraId="0852CB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Lion TCR Pte. Ltd.</w:t>
            </w:r>
          </w:p>
        </w:tc>
        <w:tc>
          <w:tcPr>
            <w:tcW w:w="1006" w:type="dxa"/>
            <w:tcBorders>
              <w:top w:val="nil"/>
              <w:left w:val="nil"/>
              <w:bottom w:val="nil"/>
              <w:right w:val="nil"/>
            </w:tcBorders>
            <w:shd w:val="clear" w:color="auto" w:fill="auto"/>
            <w:noWrap/>
            <w:vAlign w:val="center"/>
            <w:hideMark/>
          </w:tcPr>
          <w:p w14:paraId="6B50D5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712CF8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7AF18B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20/05/2022</w:t>
            </w:r>
          </w:p>
        </w:tc>
        <w:tc>
          <w:tcPr>
            <w:tcW w:w="766" w:type="dxa"/>
            <w:tcBorders>
              <w:top w:val="nil"/>
              <w:left w:val="nil"/>
              <w:bottom w:val="nil"/>
              <w:right w:val="nil"/>
            </w:tcBorders>
            <w:shd w:val="clear" w:color="auto" w:fill="auto"/>
            <w:noWrap/>
            <w:vAlign w:val="center"/>
            <w:hideMark/>
          </w:tcPr>
          <w:p w14:paraId="235446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vaccine for HBV+ HCC</w:t>
            </w:r>
          </w:p>
        </w:tc>
      </w:tr>
      <w:tr w:rsidR="000A6EBE" w:rsidRPr="000A6EBE" w14:paraId="089F0C16" w14:textId="77777777" w:rsidTr="00AB1828">
        <w:trPr>
          <w:trHeight w:val="360"/>
        </w:trPr>
        <w:tc>
          <w:tcPr>
            <w:tcW w:w="861" w:type="dxa"/>
            <w:tcBorders>
              <w:top w:val="nil"/>
              <w:left w:val="nil"/>
              <w:bottom w:val="nil"/>
              <w:right w:val="nil"/>
            </w:tcBorders>
            <w:shd w:val="clear" w:color="auto" w:fill="auto"/>
            <w:noWrap/>
            <w:vAlign w:val="center"/>
            <w:hideMark/>
          </w:tcPr>
          <w:p w14:paraId="2BF19E9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NCT05456165</w:t>
            </w:r>
          </w:p>
        </w:tc>
        <w:tc>
          <w:tcPr>
            <w:tcW w:w="1354" w:type="dxa"/>
            <w:tcBorders>
              <w:top w:val="nil"/>
              <w:left w:val="nil"/>
              <w:bottom w:val="nil"/>
              <w:right w:val="nil"/>
            </w:tcBorders>
            <w:shd w:val="clear" w:color="auto" w:fill="auto"/>
            <w:noWrap/>
            <w:vAlign w:val="center"/>
            <w:hideMark/>
          </w:tcPr>
          <w:p w14:paraId="6F5F15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an Individualized Vaccine Targeting Neoantigens in Combination With Immune Checkpoint Blockade for Patients With Colon Cancer</w:t>
            </w:r>
          </w:p>
        </w:tc>
        <w:tc>
          <w:tcPr>
            <w:tcW w:w="1483" w:type="dxa"/>
            <w:tcBorders>
              <w:top w:val="nil"/>
              <w:left w:val="nil"/>
              <w:bottom w:val="nil"/>
              <w:right w:val="nil"/>
            </w:tcBorders>
            <w:shd w:val="clear" w:color="auto" w:fill="auto"/>
            <w:noWrap/>
            <w:vAlign w:val="center"/>
            <w:hideMark/>
          </w:tcPr>
          <w:p w14:paraId="2DC4C98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717390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primary objective is to assess and characterize the antitumor activity and safety and tolerability of adjuvant treatment with an individualized neoantigen vaccine called GRT-C901/GRT-R902 (chimpanzee </w:t>
            </w:r>
            <w:r w:rsidRPr="000A6EBE">
              <w:rPr>
                <w:rFonts w:ascii="Aptos Narrow" w:eastAsia="Times New Roman" w:hAnsi="Aptos Narrow"/>
                <w:color w:val="000000"/>
                <w:sz w:val="16"/>
                <w:szCs w:val="16"/>
                <w:lang w:val="en-HK" w:eastAsia="zh-CN"/>
              </w:rPr>
              <w:lastRenderedPageBreak/>
              <w:t>adenovirus \[ChAd\] and self-amplifying messenger RNA \[samRNA\] vectors), in combination with checkpoint inhibitors. Antitumor activity will be based on molecular response in patients with colon cancer who have circulating tumor deoxyribonucleic acid (ctDNA) following surgical resection.</w:t>
            </w:r>
          </w:p>
        </w:tc>
        <w:tc>
          <w:tcPr>
            <w:tcW w:w="279" w:type="dxa"/>
            <w:tcBorders>
              <w:top w:val="nil"/>
              <w:left w:val="nil"/>
              <w:bottom w:val="nil"/>
              <w:right w:val="nil"/>
            </w:tcBorders>
            <w:shd w:val="clear" w:color="auto" w:fill="auto"/>
            <w:noWrap/>
            <w:vAlign w:val="center"/>
            <w:hideMark/>
          </w:tcPr>
          <w:p w14:paraId="797432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9B74A3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Colonic Neoplasms|Colorectal Neoplasms</w:t>
            </w:r>
          </w:p>
        </w:tc>
        <w:tc>
          <w:tcPr>
            <w:tcW w:w="1574" w:type="dxa"/>
            <w:tcBorders>
              <w:top w:val="nil"/>
              <w:left w:val="nil"/>
              <w:bottom w:val="nil"/>
              <w:right w:val="nil"/>
            </w:tcBorders>
            <w:shd w:val="clear" w:color="auto" w:fill="auto"/>
            <w:noWrap/>
            <w:vAlign w:val="center"/>
            <w:hideMark/>
          </w:tcPr>
          <w:p w14:paraId="07A6D88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GRT-C901|DRUG: GRT-R902|DRUG: Atezolizumab|DRUG: Ipilimumab|DRUG: Adjuvant chemotherapy</w:t>
            </w:r>
          </w:p>
        </w:tc>
        <w:tc>
          <w:tcPr>
            <w:tcW w:w="1152" w:type="dxa"/>
            <w:tcBorders>
              <w:top w:val="nil"/>
              <w:left w:val="nil"/>
              <w:bottom w:val="nil"/>
              <w:right w:val="nil"/>
            </w:tcBorders>
            <w:shd w:val="clear" w:color="auto" w:fill="auto"/>
            <w:noWrap/>
            <w:vAlign w:val="center"/>
            <w:hideMark/>
          </w:tcPr>
          <w:p w14:paraId="26CE78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Gritstone bio, Inc.</w:t>
            </w:r>
          </w:p>
        </w:tc>
        <w:tc>
          <w:tcPr>
            <w:tcW w:w="1006" w:type="dxa"/>
            <w:tcBorders>
              <w:top w:val="nil"/>
              <w:left w:val="nil"/>
              <w:bottom w:val="nil"/>
              <w:right w:val="nil"/>
            </w:tcBorders>
            <w:shd w:val="clear" w:color="auto" w:fill="auto"/>
            <w:noWrap/>
            <w:vAlign w:val="center"/>
            <w:hideMark/>
          </w:tcPr>
          <w:p w14:paraId="59EFF5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659D7C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5C0898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19/05/2022</w:t>
            </w:r>
          </w:p>
        </w:tc>
        <w:tc>
          <w:tcPr>
            <w:tcW w:w="766" w:type="dxa"/>
            <w:tcBorders>
              <w:top w:val="nil"/>
              <w:left w:val="nil"/>
              <w:bottom w:val="nil"/>
              <w:right w:val="nil"/>
            </w:tcBorders>
            <w:shd w:val="clear" w:color="auto" w:fill="auto"/>
            <w:noWrap/>
            <w:vAlign w:val="center"/>
            <w:hideMark/>
          </w:tcPr>
          <w:p w14:paraId="266841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4B286F2F" w14:textId="77777777" w:rsidTr="00AB1828">
        <w:trPr>
          <w:trHeight w:val="360"/>
        </w:trPr>
        <w:tc>
          <w:tcPr>
            <w:tcW w:w="861" w:type="dxa"/>
            <w:tcBorders>
              <w:top w:val="nil"/>
              <w:left w:val="nil"/>
              <w:bottom w:val="nil"/>
              <w:right w:val="nil"/>
            </w:tcBorders>
            <w:shd w:val="clear" w:color="auto" w:fill="auto"/>
            <w:noWrap/>
            <w:vAlign w:val="center"/>
            <w:hideMark/>
          </w:tcPr>
          <w:p w14:paraId="589F4F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NCT05302037</w:t>
            </w:r>
          </w:p>
        </w:tc>
        <w:tc>
          <w:tcPr>
            <w:tcW w:w="1354" w:type="dxa"/>
            <w:tcBorders>
              <w:top w:val="nil"/>
              <w:left w:val="nil"/>
              <w:bottom w:val="nil"/>
              <w:right w:val="nil"/>
            </w:tcBorders>
            <w:shd w:val="clear" w:color="auto" w:fill="auto"/>
            <w:noWrap/>
            <w:vAlign w:val="center"/>
            <w:hideMark/>
          </w:tcPr>
          <w:p w14:paraId="72CA302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Allogeneic NKG2DL-targeting CAR </w:t>
            </w:r>
            <w:r w:rsidRPr="000A6EBE">
              <w:rPr>
                <w:rFonts w:ascii="Microsoft JhengHei" w:eastAsia="Microsoft JhengHei" w:hAnsi="Microsoft JhengHei" w:cs="Microsoft JhengHei"/>
                <w:color w:val="000000"/>
                <w:sz w:val="16"/>
                <w:szCs w:val="16"/>
                <w:lang w:val="en-HK" w:eastAsia="zh-CN"/>
              </w:rPr>
              <w:t>纬未</w:t>
            </w:r>
            <w:r w:rsidRPr="000A6EBE">
              <w:rPr>
                <w:rFonts w:ascii="Aptos Narrow" w:eastAsia="Times New Roman" w:hAnsi="Aptos Narrow"/>
                <w:color w:val="000000"/>
                <w:sz w:val="16"/>
                <w:szCs w:val="16"/>
                <w:lang w:val="en-HK" w:eastAsia="zh-CN"/>
              </w:rPr>
              <w:t xml:space="preserve"> T Cells (CTM-N2D) in Advanced Cancers</w:t>
            </w:r>
          </w:p>
        </w:tc>
        <w:tc>
          <w:tcPr>
            <w:tcW w:w="1483" w:type="dxa"/>
            <w:tcBorders>
              <w:top w:val="nil"/>
              <w:left w:val="nil"/>
              <w:bottom w:val="nil"/>
              <w:right w:val="nil"/>
            </w:tcBorders>
            <w:shd w:val="clear" w:color="auto" w:fill="auto"/>
            <w:noWrap/>
            <w:vAlign w:val="center"/>
            <w:hideMark/>
          </w:tcPr>
          <w:p w14:paraId="51A742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18BF85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CAR-T is a pioneering cancer treatment which has found success in some cancers. This treatment is made first by taking blood cells from the patient. Then in the lab, an artificial protein - a Chimeric Antigen Receptor (CAR), is grafted on the surface of immune cells. The modified cells, which are readministered to the patient, have enhanced abilities to target and destroy cancers than </w:t>
            </w:r>
            <w:r w:rsidRPr="000A6EBE">
              <w:rPr>
                <w:rFonts w:ascii="Aptos Narrow" w:eastAsia="Times New Roman" w:hAnsi="Aptos Narrow"/>
                <w:color w:val="000000"/>
                <w:sz w:val="16"/>
                <w:szCs w:val="16"/>
                <w:lang w:val="en-HK" w:eastAsia="zh-CN"/>
              </w:rPr>
              <w:lastRenderedPageBreak/>
              <w:t>unmodified immune cells.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Currently approved CAR-T can only be used autologously. i.e. the patient will receive CAR-T treatment made from their own cells. This is because current CAR-T treatment uses </w:t>
            </w:r>
            <w:r w:rsidRPr="000A6EBE">
              <w:rPr>
                <w:rFonts w:ascii="Microsoft JhengHei" w:eastAsia="Microsoft JhengHei" w:hAnsi="Microsoft JhengHei" w:cs="Microsoft JhengHei"/>
                <w:color w:val="000000"/>
                <w:sz w:val="16"/>
                <w:szCs w:val="16"/>
                <w:lang w:val="en-HK" w:eastAsia="zh-CN"/>
              </w:rPr>
              <w:t>伪尾</w:t>
            </w:r>
            <w:r w:rsidRPr="000A6EBE">
              <w:rPr>
                <w:rFonts w:ascii="Aptos Narrow" w:eastAsia="Times New Roman" w:hAnsi="Aptos Narrow"/>
                <w:color w:val="000000"/>
                <w:sz w:val="16"/>
                <w:szCs w:val="16"/>
                <w:lang w:val="en-HK" w:eastAsia="zh-CN"/>
              </w:rPr>
              <w:t xml:space="preserve"> T cells - a type of immune cell which are largely non-transferable between individual human beings due to the high risk of Graft-versus-Host Disease. However, autologous CAR-T comes with many limitations. A lengthy, manufacturing process follows after the patient donates their own blood, accompanied by a high risk of manufacturing failure, which can be attributed to the cell quality from cancer patients undergoing stressful anti-</w:t>
            </w:r>
            <w:r w:rsidRPr="000A6EBE">
              <w:rPr>
                <w:rFonts w:ascii="Aptos Narrow" w:eastAsia="Times New Roman" w:hAnsi="Aptos Narrow"/>
                <w:color w:val="000000"/>
                <w:sz w:val="16"/>
                <w:szCs w:val="16"/>
                <w:lang w:val="en-HK" w:eastAsia="zh-CN"/>
              </w:rPr>
              <w:lastRenderedPageBreak/>
              <w:t>cancer therapy.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CytoMed Therapeutics pioneers a new CAR-T treatment (CTM-N2D) which may confer some benefit over current CAR-T treatment. CTM-N2D uses a subtype of immune cell -- </w:t>
            </w:r>
            <w:r w:rsidRPr="000A6EBE">
              <w:rPr>
                <w:rFonts w:ascii="Microsoft JhengHei" w:eastAsia="Microsoft JhengHei" w:hAnsi="Microsoft JhengHei" w:cs="Microsoft JhengHei"/>
                <w:color w:val="000000"/>
                <w:sz w:val="16"/>
                <w:szCs w:val="16"/>
                <w:lang w:val="en-HK" w:eastAsia="zh-CN"/>
              </w:rPr>
              <w:t>纬未</w:t>
            </w:r>
            <w:r w:rsidRPr="000A6EBE">
              <w:rPr>
                <w:rFonts w:ascii="Aptos Narrow" w:eastAsia="Times New Roman" w:hAnsi="Aptos Narrow"/>
                <w:color w:val="000000"/>
                <w:sz w:val="16"/>
                <w:szCs w:val="16"/>
                <w:lang w:val="en-HK" w:eastAsia="zh-CN"/>
              </w:rPr>
              <w:t xml:space="preserve"> T cell. Secondly, the CAR on CTM-N2D targets a surface antigen called NKG2DL which are commonly present in many cancer. These two features may confer a safer product profile, of better quality and may be efficacious in cancers where previous CAR-T treatments has not.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phase I clinical trial of CTM-N2D will be conducted at the National University Hospital, Singapore. The objective of this clinical trial is to determine the </w:t>
            </w:r>
            <w:r w:rsidRPr="000A6EBE">
              <w:rPr>
                <w:rFonts w:ascii="Aptos Narrow" w:eastAsia="Times New Roman" w:hAnsi="Aptos Narrow"/>
                <w:color w:val="000000"/>
                <w:sz w:val="16"/>
                <w:szCs w:val="16"/>
                <w:lang w:val="en-HK" w:eastAsia="zh-CN"/>
              </w:rPr>
              <w:lastRenderedPageBreak/>
              <w:t>optimal dose of CTM-N2D, and to investigate its safety and tolerability. The subjects of the clinical trial will also be investigated for their tumour response to CTM-N2D.</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CTM-N2D has undergone preclinical studies. Relevant data from other clinical trials are also used to infer the expected outcome, and strategies of management of this clinical trial. The institution's ethical review board must give its approval before the study may begin. An independent Data Safety Monitoring Board monitors the safety aspect of this trial.</w:t>
            </w:r>
          </w:p>
        </w:tc>
        <w:tc>
          <w:tcPr>
            <w:tcW w:w="279" w:type="dxa"/>
            <w:tcBorders>
              <w:top w:val="nil"/>
              <w:left w:val="nil"/>
              <w:bottom w:val="nil"/>
              <w:right w:val="nil"/>
            </w:tcBorders>
            <w:shd w:val="clear" w:color="auto" w:fill="auto"/>
            <w:noWrap/>
            <w:vAlign w:val="center"/>
            <w:hideMark/>
          </w:tcPr>
          <w:p w14:paraId="067C94B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461ED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Cancer|Malignancy|Refractory Cancer|Relapsed Cancer</w:t>
            </w:r>
          </w:p>
        </w:tc>
        <w:tc>
          <w:tcPr>
            <w:tcW w:w="1574" w:type="dxa"/>
            <w:tcBorders>
              <w:top w:val="nil"/>
              <w:left w:val="nil"/>
              <w:bottom w:val="nil"/>
              <w:right w:val="nil"/>
            </w:tcBorders>
            <w:shd w:val="clear" w:color="auto" w:fill="auto"/>
            <w:noWrap/>
            <w:vAlign w:val="center"/>
            <w:hideMark/>
          </w:tcPr>
          <w:p w14:paraId="6BDD2F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BIOLOGICAL: Allogeneic NKG2DL-targeting Chimeric Antigen Receptor-grafted </w:t>
            </w:r>
            <w:r w:rsidRPr="000A6EBE">
              <w:rPr>
                <w:rFonts w:ascii="Microsoft JhengHei" w:eastAsia="Microsoft JhengHei" w:hAnsi="Microsoft JhengHei" w:cs="Microsoft JhengHei"/>
                <w:color w:val="000000"/>
                <w:sz w:val="16"/>
                <w:szCs w:val="16"/>
                <w:lang w:val="en-HK" w:eastAsia="zh-CN"/>
              </w:rPr>
              <w:t>纬未</w:t>
            </w:r>
            <w:r w:rsidRPr="000A6EBE">
              <w:rPr>
                <w:rFonts w:ascii="Aptos Narrow" w:eastAsia="Times New Roman" w:hAnsi="Aptos Narrow"/>
                <w:color w:val="000000"/>
                <w:sz w:val="16"/>
                <w:szCs w:val="16"/>
                <w:lang w:val="en-HK" w:eastAsia="zh-CN"/>
              </w:rPr>
              <w:t xml:space="preserve"> T Cells (CTM-N2D)</w:t>
            </w:r>
          </w:p>
        </w:tc>
        <w:tc>
          <w:tcPr>
            <w:tcW w:w="1152" w:type="dxa"/>
            <w:tcBorders>
              <w:top w:val="nil"/>
              <w:left w:val="nil"/>
              <w:bottom w:val="nil"/>
              <w:right w:val="nil"/>
            </w:tcBorders>
            <w:shd w:val="clear" w:color="auto" w:fill="auto"/>
            <w:noWrap/>
            <w:vAlign w:val="center"/>
            <w:hideMark/>
          </w:tcPr>
          <w:p w14:paraId="1F6F87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CytoMed Therapeutics Pte Ltd</w:t>
            </w:r>
          </w:p>
        </w:tc>
        <w:tc>
          <w:tcPr>
            <w:tcW w:w="1006" w:type="dxa"/>
            <w:tcBorders>
              <w:top w:val="nil"/>
              <w:left w:val="nil"/>
              <w:bottom w:val="nil"/>
              <w:right w:val="nil"/>
            </w:tcBorders>
            <w:shd w:val="clear" w:color="auto" w:fill="auto"/>
            <w:noWrap/>
            <w:vAlign w:val="center"/>
            <w:hideMark/>
          </w:tcPr>
          <w:p w14:paraId="14AC91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3B43DD1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58542E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01/04/2022</w:t>
            </w:r>
          </w:p>
        </w:tc>
        <w:tc>
          <w:tcPr>
            <w:tcW w:w="766" w:type="dxa"/>
            <w:tcBorders>
              <w:top w:val="nil"/>
              <w:left w:val="nil"/>
              <w:bottom w:val="nil"/>
              <w:right w:val="nil"/>
            </w:tcBorders>
            <w:shd w:val="clear" w:color="auto" w:fill="auto"/>
            <w:noWrap/>
            <w:vAlign w:val="center"/>
            <w:hideMark/>
          </w:tcPr>
          <w:p w14:paraId="54653E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429B387" w14:textId="77777777" w:rsidTr="00AB1828">
        <w:trPr>
          <w:trHeight w:val="360"/>
        </w:trPr>
        <w:tc>
          <w:tcPr>
            <w:tcW w:w="861" w:type="dxa"/>
            <w:tcBorders>
              <w:top w:val="nil"/>
              <w:left w:val="nil"/>
              <w:bottom w:val="nil"/>
              <w:right w:val="nil"/>
            </w:tcBorders>
            <w:shd w:val="clear" w:color="auto" w:fill="auto"/>
            <w:noWrap/>
            <w:vAlign w:val="center"/>
            <w:hideMark/>
          </w:tcPr>
          <w:p w14:paraId="693E36F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NCT05192460</w:t>
            </w:r>
          </w:p>
        </w:tc>
        <w:tc>
          <w:tcPr>
            <w:tcW w:w="1354" w:type="dxa"/>
            <w:tcBorders>
              <w:top w:val="nil"/>
              <w:left w:val="nil"/>
              <w:bottom w:val="nil"/>
              <w:right w:val="nil"/>
            </w:tcBorders>
            <w:shd w:val="clear" w:color="auto" w:fill="auto"/>
            <w:noWrap/>
            <w:vAlign w:val="center"/>
            <w:hideMark/>
          </w:tcPr>
          <w:p w14:paraId="12CE7F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Safety and Efficacy of Personalized Neoantigen Vaccine in Advanced Gastric Cancer, Esophageal Cancer and Liver Cancer</w:t>
            </w:r>
          </w:p>
        </w:tc>
        <w:tc>
          <w:tcPr>
            <w:tcW w:w="1483" w:type="dxa"/>
            <w:tcBorders>
              <w:top w:val="nil"/>
              <w:left w:val="nil"/>
              <w:bottom w:val="nil"/>
              <w:right w:val="nil"/>
            </w:tcBorders>
            <w:shd w:val="clear" w:color="auto" w:fill="auto"/>
            <w:noWrap/>
            <w:vAlign w:val="center"/>
            <w:hideMark/>
          </w:tcPr>
          <w:p w14:paraId="16F8D50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631110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trial is an investigator-initiated, single-center, open-label, single-arm exploratory study of mRNA neoantigen tumor vaccine in the treatment of </w:t>
            </w:r>
            <w:r w:rsidRPr="000A6EBE">
              <w:rPr>
                <w:rFonts w:ascii="Aptos Narrow" w:eastAsia="Times New Roman" w:hAnsi="Aptos Narrow"/>
                <w:color w:val="000000"/>
                <w:sz w:val="16"/>
                <w:szCs w:val="16"/>
                <w:lang w:val="en-HK" w:eastAsia="zh-CN"/>
              </w:rPr>
              <w:lastRenderedPageBreak/>
              <w:t xml:space="preserve">advanced gastric cancer, esophageal cancer, and liver cancer, including two phases: dose escalation and dose expansion. To evaluate the safety and tolerability of neoantigen tumor vaccine in subjects with advanced gastric cancer, esophageal cancer and liver cancer by conducting dose escalation trial in subjects diagnosed with advanced gastric cancer, esophageal cancer and liver cancer, and preliminarily evaluate the efficacy of neoantigen tumor vaccine in subjects with advanced gastric cancer, esophageal cancer and liver cancer. According to the characteristics of safety and efficacy data in the dose escalation phase, the dose </w:t>
            </w:r>
            <w:r w:rsidRPr="000A6EBE">
              <w:rPr>
                <w:rFonts w:ascii="Aptos Narrow" w:eastAsia="Times New Roman" w:hAnsi="Aptos Narrow"/>
                <w:color w:val="000000"/>
                <w:sz w:val="16"/>
                <w:szCs w:val="16"/>
                <w:lang w:val="en-HK" w:eastAsia="zh-CN"/>
              </w:rPr>
              <w:lastRenderedPageBreak/>
              <w:t>expansion is performed at the intended clinical dose based on the investigator's judgment, and the treatment is performed in combination with PD-1/L1 to further evaluate the efficacy and safety profile of neoantigen tumor vaccine at a specific dose.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Both the dose escalation phase and dose expansion phase include a screening period (Week -4 \~ Week -2), a baseline period (Week -1 \~ Day -1), a treatment period (Day 1 \~ Week 8 or 16), and a follow-up period. Subjects who signed and provided the formal informed consent entered the screening period. The treatment period included the initial treatment period (Day 1 \~ Week 8) and the enhanced treatment period (Week 12 \~ Week </w:t>
            </w:r>
            <w:r w:rsidRPr="000A6EBE">
              <w:rPr>
                <w:rFonts w:ascii="Aptos Narrow" w:eastAsia="Times New Roman" w:hAnsi="Aptos Narrow"/>
                <w:color w:val="000000"/>
                <w:sz w:val="16"/>
                <w:szCs w:val="16"/>
                <w:lang w:val="en-HK" w:eastAsia="zh-CN"/>
              </w:rPr>
              <w:lastRenderedPageBreak/>
              <w:t>16). The investigator determined whether to enter the enhanced treatment period based on the comprehensive judgment of the subject's efficacy, safety, compliance and other factors from Week 8 to Week 12.</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dose escalation phase follows standard 3+3 design. 12-18 subjects are expected to be enrolled at 3 given dose level.</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investigator will choose the optimal clinical dose for dose expansion, which can be one dose group or multiple dose groups. PD-1/L1 drugs are used in parallel to further confirm the efficacy and safety of neoantigen tumor vaccine, with about 18 subjects. The usage and dosage of PD-1/L1 should aligned with the package insert.</w:t>
            </w:r>
          </w:p>
        </w:tc>
        <w:tc>
          <w:tcPr>
            <w:tcW w:w="279" w:type="dxa"/>
            <w:tcBorders>
              <w:top w:val="nil"/>
              <w:left w:val="nil"/>
              <w:bottom w:val="nil"/>
              <w:right w:val="nil"/>
            </w:tcBorders>
            <w:shd w:val="clear" w:color="auto" w:fill="auto"/>
            <w:noWrap/>
            <w:vAlign w:val="center"/>
            <w:hideMark/>
          </w:tcPr>
          <w:p w14:paraId="20B42A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AE02A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Gastric Cancer|Esophageal Cancer|Liver Cancer</w:t>
            </w:r>
          </w:p>
        </w:tc>
        <w:tc>
          <w:tcPr>
            <w:tcW w:w="1574" w:type="dxa"/>
            <w:tcBorders>
              <w:top w:val="nil"/>
              <w:left w:val="nil"/>
              <w:bottom w:val="nil"/>
              <w:right w:val="nil"/>
            </w:tcBorders>
            <w:shd w:val="clear" w:color="auto" w:fill="auto"/>
            <w:noWrap/>
            <w:vAlign w:val="center"/>
            <w:hideMark/>
          </w:tcPr>
          <w:p w14:paraId="44D8DC1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neoantigen tumor vaccine with or without PD-1/L1</w:t>
            </w:r>
          </w:p>
        </w:tc>
        <w:tc>
          <w:tcPr>
            <w:tcW w:w="1152" w:type="dxa"/>
            <w:tcBorders>
              <w:top w:val="nil"/>
              <w:left w:val="nil"/>
              <w:bottom w:val="nil"/>
              <w:right w:val="nil"/>
            </w:tcBorders>
            <w:shd w:val="clear" w:color="auto" w:fill="auto"/>
            <w:noWrap/>
            <w:vAlign w:val="center"/>
            <w:hideMark/>
          </w:tcPr>
          <w:p w14:paraId="4E80319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jianming xu</w:t>
            </w:r>
          </w:p>
        </w:tc>
        <w:tc>
          <w:tcPr>
            <w:tcW w:w="1006" w:type="dxa"/>
            <w:tcBorders>
              <w:top w:val="nil"/>
              <w:left w:val="nil"/>
              <w:bottom w:val="nil"/>
              <w:right w:val="nil"/>
            </w:tcBorders>
            <w:shd w:val="clear" w:color="auto" w:fill="auto"/>
            <w:noWrap/>
            <w:vAlign w:val="center"/>
            <w:hideMark/>
          </w:tcPr>
          <w:p w14:paraId="26FBB33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21172FC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18FD2B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28/03/2022</w:t>
            </w:r>
          </w:p>
        </w:tc>
        <w:tc>
          <w:tcPr>
            <w:tcW w:w="766" w:type="dxa"/>
            <w:tcBorders>
              <w:top w:val="nil"/>
              <w:left w:val="nil"/>
              <w:bottom w:val="nil"/>
              <w:right w:val="nil"/>
            </w:tcBorders>
            <w:shd w:val="clear" w:color="auto" w:fill="auto"/>
            <w:noWrap/>
            <w:vAlign w:val="center"/>
            <w:hideMark/>
          </w:tcPr>
          <w:p w14:paraId="559445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66E782F2" w14:textId="77777777" w:rsidTr="00AB1828">
        <w:trPr>
          <w:trHeight w:val="360"/>
        </w:trPr>
        <w:tc>
          <w:tcPr>
            <w:tcW w:w="861" w:type="dxa"/>
            <w:tcBorders>
              <w:top w:val="nil"/>
              <w:left w:val="nil"/>
              <w:bottom w:val="nil"/>
              <w:right w:val="nil"/>
            </w:tcBorders>
            <w:shd w:val="clear" w:color="auto" w:fill="auto"/>
            <w:noWrap/>
            <w:vAlign w:val="center"/>
            <w:hideMark/>
          </w:tcPr>
          <w:p w14:paraId="3ED9178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NCT05198752</w:t>
            </w:r>
          </w:p>
        </w:tc>
        <w:tc>
          <w:tcPr>
            <w:tcW w:w="1354" w:type="dxa"/>
            <w:tcBorders>
              <w:top w:val="nil"/>
              <w:left w:val="nil"/>
              <w:bottom w:val="nil"/>
              <w:right w:val="nil"/>
            </w:tcBorders>
            <w:shd w:val="clear" w:color="auto" w:fill="auto"/>
            <w:noWrap/>
            <w:vAlign w:val="center"/>
            <w:hideMark/>
          </w:tcPr>
          <w:p w14:paraId="2968C64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Neoantigen mRNA Personalised Cancer in Patients With Advanced Solid Tumors</w:t>
            </w:r>
          </w:p>
        </w:tc>
        <w:tc>
          <w:tcPr>
            <w:tcW w:w="1483" w:type="dxa"/>
            <w:tcBorders>
              <w:top w:val="nil"/>
              <w:left w:val="nil"/>
              <w:bottom w:val="nil"/>
              <w:right w:val="nil"/>
            </w:tcBorders>
            <w:shd w:val="clear" w:color="auto" w:fill="auto"/>
            <w:noWrap/>
            <w:vAlign w:val="center"/>
            <w:hideMark/>
          </w:tcPr>
          <w:p w14:paraId="338B4D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022F2B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Phase 1 open label study to evaluate the tolerability, safety, immunogenicity, and efficacy of SW1115C3, a neoantigen mRNA personalised cancer vaccine, in patients with advanced malignant solid tumours.</w:t>
            </w:r>
          </w:p>
        </w:tc>
        <w:tc>
          <w:tcPr>
            <w:tcW w:w="279" w:type="dxa"/>
            <w:tcBorders>
              <w:top w:val="nil"/>
              <w:left w:val="nil"/>
              <w:bottom w:val="nil"/>
              <w:right w:val="nil"/>
            </w:tcBorders>
            <w:shd w:val="clear" w:color="auto" w:fill="auto"/>
            <w:noWrap/>
            <w:vAlign w:val="center"/>
            <w:hideMark/>
          </w:tcPr>
          <w:p w14:paraId="669B34C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6B4594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w:t>
            </w:r>
          </w:p>
        </w:tc>
        <w:tc>
          <w:tcPr>
            <w:tcW w:w="1574" w:type="dxa"/>
            <w:tcBorders>
              <w:top w:val="nil"/>
              <w:left w:val="nil"/>
              <w:bottom w:val="nil"/>
              <w:right w:val="nil"/>
            </w:tcBorders>
            <w:shd w:val="clear" w:color="auto" w:fill="auto"/>
            <w:noWrap/>
            <w:vAlign w:val="center"/>
            <w:hideMark/>
          </w:tcPr>
          <w:p w14:paraId="6764EF5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Neoantigen mRNA Personalised Cancer SW1115C3</w:t>
            </w:r>
          </w:p>
        </w:tc>
        <w:tc>
          <w:tcPr>
            <w:tcW w:w="1152" w:type="dxa"/>
            <w:tcBorders>
              <w:top w:val="nil"/>
              <w:left w:val="nil"/>
              <w:bottom w:val="nil"/>
              <w:right w:val="nil"/>
            </w:tcBorders>
            <w:shd w:val="clear" w:color="auto" w:fill="auto"/>
            <w:noWrap/>
            <w:vAlign w:val="center"/>
            <w:hideMark/>
          </w:tcPr>
          <w:p w14:paraId="263F7F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Stemirna Therapeutics</w:t>
            </w:r>
          </w:p>
        </w:tc>
        <w:tc>
          <w:tcPr>
            <w:tcW w:w="1006" w:type="dxa"/>
            <w:tcBorders>
              <w:top w:val="nil"/>
              <w:left w:val="nil"/>
              <w:bottom w:val="nil"/>
              <w:right w:val="nil"/>
            </w:tcBorders>
            <w:shd w:val="clear" w:color="auto" w:fill="auto"/>
            <w:noWrap/>
            <w:vAlign w:val="center"/>
            <w:hideMark/>
          </w:tcPr>
          <w:p w14:paraId="6D18A9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6629D0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D2FFCE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18/03/2022</w:t>
            </w:r>
          </w:p>
        </w:tc>
        <w:tc>
          <w:tcPr>
            <w:tcW w:w="766" w:type="dxa"/>
            <w:tcBorders>
              <w:top w:val="nil"/>
              <w:left w:val="nil"/>
              <w:bottom w:val="nil"/>
              <w:right w:val="nil"/>
            </w:tcBorders>
            <w:shd w:val="clear" w:color="auto" w:fill="auto"/>
            <w:noWrap/>
            <w:vAlign w:val="center"/>
            <w:hideMark/>
          </w:tcPr>
          <w:p w14:paraId="65075F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6D9453EB" w14:textId="77777777" w:rsidTr="00AB1828">
        <w:trPr>
          <w:trHeight w:val="360"/>
        </w:trPr>
        <w:tc>
          <w:tcPr>
            <w:tcW w:w="861" w:type="dxa"/>
            <w:tcBorders>
              <w:top w:val="nil"/>
              <w:left w:val="nil"/>
              <w:bottom w:val="nil"/>
              <w:right w:val="nil"/>
            </w:tcBorders>
            <w:shd w:val="clear" w:color="auto" w:fill="auto"/>
            <w:noWrap/>
            <w:vAlign w:val="center"/>
            <w:hideMark/>
          </w:tcPr>
          <w:p w14:paraId="5A9768C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NCT05169489</w:t>
            </w:r>
          </w:p>
        </w:tc>
        <w:tc>
          <w:tcPr>
            <w:tcW w:w="1354" w:type="dxa"/>
            <w:tcBorders>
              <w:top w:val="nil"/>
              <w:left w:val="nil"/>
              <w:bottom w:val="nil"/>
              <w:right w:val="nil"/>
            </w:tcBorders>
            <w:shd w:val="clear" w:color="auto" w:fill="auto"/>
            <w:noWrap/>
            <w:vAlign w:val="center"/>
            <w:hideMark/>
          </w:tcPr>
          <w:p w14:paraId="7D9ADB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bbT369 in Relapsed and/or Refractory B Cell Non-Hodgkin's Lymphoma (NHL)</w:t>
            </w:r>
          </w:p>
        </w:tc>
        <w:tc>
          <w:tcPr>
            <w:tcW w:w="1483" w:type="dxa"/>
            <w:tcBorders>
              <w:top w:val="nil"/>
              <w:left w:val="nil"/>
              <w:bottom w:val="nil"/>
              <w:right w:val="nil"/>
            </w:tcBorders>
            <w:shd w:val="clear" w:color="auto" w:fill="auto"/>
            <w:noWrap/>
            <w:vAlign w:val="center"/>
            <w:hideMark/>
          </w:tcPr>
          <w:p w14:paraId="38E0D5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246ED8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Phase 1/2 Study of bbT369, a dual targeting CAR T cell drug product with a gene edit, in Relapsed and/or Refractory B cell Non-Hodgkin's Lymphoma.</w:t>
            </w:r>
          </w:p>
        </w:tc>
        <w:tc>
          <w:tcPr>
            <w:tcW w:w="279" w:type="dxa"/>
            <w:tcBorders>
              <w:top w:val="nil"/>
              <w:left w:val="nil"/>
              <w:bottom w:val="nil"/>
              <w:right w:val="nil"/>
            </w:tcBorders>
            <w:shd w:val="clear" w:color="auto" w:fill="auto"/>
            <w:noWrap/>
            <w:vAlign w:val="center"/>
            <w:hideMark/>
          </w:tcPr>
          <w:p w14:paraId="4B7093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8C542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Diffuse Large B Cell Lymphoma (DLBCL)</w:t>
            </w:r>
          </w:p>
        </w:tc>
        <w:tc>
          <w:tcPr>
            <w:tcW w:w="1574" w:type="dxa"/>
            <w:tcBorders>
              <w:top w:val="nil"/>
              <w:left w:val="nil"/>
              <w:bottom w:val="nil"/>
              <w:right w:val="nil"/>
            </w:tcBorders>
            <w:shd w:val="clear" w:color="auto" w:fill="auto"/>
            <w:noWrap/>
            <w:vAlign w:val="center"/>
            <w:hideMark/>
          </w:tcPr>
          <w:p w14:paraId="0292CD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bbT369</w:t>
            </w:r>
          </w:p>
        </w:tc>
        <w:tc>
          <w:tcPr>
            <w:tcW w:w="1152" w:type="dxa"/>
            <w:tcBorders>
              <w:top w:val="nil"/>
              <w:left w:val="nil"/>
              <w:bottom w:val="nil"/>
              <w:right w:val="nil"/>
            </w:tcBorders>
            <w:shd w:val="clear" w:color="auto" w:fill="auto"/>
            <w:noWrap/>
            <w:vAlign w:val="center"/>
            <w:hideMark/>
          </w:tcPr>
          <w:p w14:paraId="54D544C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2seventy bio</w:t>
            </w:r>
          </w:p>
        </w:tc>
        <w:tc>
          <w:tcPr>
            <w:tcW w:w="1006" w:type="dxa"/>
            <w:tcBorders>
              <w:top w:val="nil"/>
              <w:left w:val="nil"/>
              <w:bottom w:val="nil"/>
              <w:right w:val="nil"/>
            </w:tcBorders>
            <w:shd w:val="clear" w:color="auto" w:fill="auto"/>
            <w:noWrap/>
            <w:vAlign w:val="center"/>
            <w:hideMark/>
          </w:tcPr>
          <w:p w14:paraId="14BC90E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21102C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494E0B1"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24/01/2022</w:t>
            </w:r>
          </w:p>
        </w:tc>
        <w:tc>
          <w:tcPr>
            <w:tcW w:w="766" w:type="dxa"/>
            <w:tcBorders>
              <w:top w:val="nil"/>
              <w:left w:val="nil"/>
              <w:bottom w:val="nil"/>
              <w:right w:val="nil"/>
            </w:tcBorders>
            <w:shd w:val="clear" w:color="auto" w:fill="auto"/>
            <w:noWrap/>
            <w:vAlign w:val="center"/>
            <w:hideMark/>
          </w:tcPr>
          <w:p w14:paraId="5E7C9C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09A7BB6" w14:textId="77777777" w:rsidTr="00AB1828">
        <w:trPr>
          <w:trHeight w:val="360"/>
        </w:trPr>
        <w:tc>
          <w:tcPr>
            <w:tcW w:w="861" w:type="dxa"/>
            <w:tcBorders>
              <w:top w:val="nil"/>
              <w:left w:val="nil"/>
              <w:bottom w:val="nil"/>
              <w:right w:val="nil"/>
            </w:tcBorders>
            <w:shd w:val="clear" w:color="auto" w:fill="auto"/>
            <w:noWrap/>
            <w:vAlign w:val="center"/>
            <w:hideMark/>
          </w:tcPr>
          <w:p w14:paraId="6E6456D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NCT04683939</w:t>
            </w:r>
          </w:p>
        </w:tc>
        <w:tc>
          <w:tcPr>
            <w:tcW w:w="1354" w:type="dxa"/>
            <w:tcBorders>
              <w:top w:val="nil"/>
              <w:left w:val="nil"/>
              <w:bottom w:val="nil"/>
              <w:right w:val="nil"/>
            </w:tcBorders>
            <w:shd w:val="clear" w:color="auto" w:fill="auto"/>
            <w:noWrap/>
            <w:vAlign w:val="center"/>
            <w:hideMark/>
          </w:tcPr>
          <w:p w14:paraId="1A64EC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Safety, Pharmacokinetics, Pharmacodynamics, and Preliminary Efficacy Trial of BNT141 in Patients With Unresectable or Metastatic CLDN18.2-positive Gastric, Pancreatic, Ovarian and Biliary Tract Tumors</w:t>
            </w:r>
          </w:p>
        </w:tc>
        <w:tc>
          <w:tcPr>
            <w:tcW w:w="1483" w:type="dxa"/>
            <w:tcBorders>
              <w:top w:val="nil"/>
              <w:left w:val="nil"/>
              <w:bottom w:val="nil"/>
              <w:right w:val="nil"/>
            </w:tcBorders>
            <w:shd w:val="clear" w:color="auto" w:fill="auto"/>
            <w:noWrap/>
            <w:vAlign w:val="center"/>
            <w:hideMark/>
          </w:tcPr>
          <w:p w14:paraId="2CCDBAA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6B7D87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trial is an open-label, multi-site, Phase I/IIa dose escalation, safety, and pharmacokinetic (PK) trial of BNT141 followed by expansion cohorts in patients with CLDN18.2-positive tumors.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trial design consists of three parts: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Part 1A is a dose escalation of BNT141 as </w:t>
            </w:r>
            <w:r w:rsidRPr="000A6EBE">
              <w:rPr>
                <w:rFonts w:ascii="Aptos Narrow" w:eastAsia="Times New Roman" w:hAnsi="Aptos Narrow"/>
                <w:color w:val="000000"/>
                <w:sz w:val="16"/>
                <w:szCs w:val="16"/>
                <w:lang w:val="en-HK" w:eastAsia="zh-CN"/>
              </w:rPr>
              <w:lastRenderedPageBreak/>
              <w:t xml:space="preserve">monotherapy in patients with advanced unresectable or metastatic Claudin 18.2 (CLDN18.2)-positive solid tumors for which there is no available standard therapy likely to confer clinical benefit, or the patient is not a candidate for such available therapy. The dose of BNT141 will be escalated until the maximum tolerated dose (MTD) and/or recommended phase II dose (RP2D) of BNT141 as monotherapy are defined. Eligible tumor types are gastric cancer, gastroesophageal junction (GEJ) and esophageal adenocarcinoma, pancreatic, biliary tract (cholangiocarcinoma and gallbladder cancer), and mucinous ovarian cancers. Additionally, patients with specific tumors </w:t>
            </w:r>
            <w:r w:rsidRPr="000A6EBE">
              <w:rPr>
                <w:rFonts w:ascii="Aptos Narrow" w:eastAsia="Times New Roman" w:hAnsi="Aptos Narrow"/>
                <w:color w:val="000000"/>
                <w:sz w:val="16"/>
                <w:szCs w:val="16"/>
                <w:lang w:val="en-HK" w:eastAsia="zh-CN"/>
              </w:rPr>
              <w:lastRenderedPageBreak/>
              <w:t>(including colorectal cancer, non-small-cell lung cancer, gastric subtype of endocervical adenocarcinoma) where there is scientific evidence that the CLDN18.2 could be elevated can be tested for CLDN18.2 expression.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 1B is a dose escalation of BNT141 in combination with nab-paclitaxel and gemcitabine in patients with advanced unresectable or metastatic CLDN18.2-positive pancreatic adenocarcinoma or cholangiocarcinoma who are eligible for treatment with nab-paclitaxel and gemcitabine. Part 1B intends to define the MTD and/or RP2D of the combination.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Part 2 with adaptive design elements will be </w:t>
            </w:r>
            <w:r w:rsidRPr="000A6EBE">
              <w:rPr>
                <w:rFonts w:ascii="Aptos Narrow" w:eastAsia="Times New Roman" w:hAnsi="Aptos Narrow"/>
                <w:color w:val="000000"/>
                <w:sz w:val="16"/>
                <w:szCs w:val="16"/>
                <w:lang w:val="en-HK" w:eastAsia="zh-CN"/>
              </w:rPr>
              <w:lastRenderedPageBreak/>
              <w:t>added at a later stage.</w:t>
            </w:r>
          </w:p>
        </w:tc>
        <w:tc>
          <w:tcPr>
            <w:tcW w:w="279" w:type="dxa"/>
            <w:tcBorders>
              <w:top w:val="nil"/>
              <w:left w:val="nil"/>
              <w:bottom w:val="nil"/>
              <w:right w:val="nil"/>
            </w:tcBorders>
            <w:shd w:val="clear" w:color="auto" w:fill="auto"/>
            <w:noWrap/>
            <w:vAlign w:val="center"/>
            <w:hideMark/>
          </w:tcPr>
          <w:p w14:paraId="49C26C9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2CCDC0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Tumor|Gastric Cancer|Gastroesophageal Junction Adenocarcinoma|Esophageal Adenocarcinoma|Pancreatic Cancer|Biliary Tract Cancer|Cholangiocarcinoma|Metastatic Cancer</w:t>
            </w:r>
          </w:p>
        </w:tc>
        <w:tc>
          <w:tcPr>
            <w:tcW w:w="1574" w:type="dxa"/>
            <w:tcBorders>
              <w:top w:val="nil"/>
              <w:left w:val="nil"/>
              <w:bottom w:val="nil"/>
              <w:right w:val="nil"/>
            </w:tcBorders>
            <w:shd w:val="clear" w:color="auto" w:fill="auto"/>
            <w:noWrap/>
            <w:vAlign w:val="center"/>
            <w:hideMark/>
          </w:tcPr>
          <w:p w14:paraId="48211B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BNT141|DRUG: Nab-paclitaxel|DRUG: Gemcitabine</w:t>
            </w:r>
          </w:p>
        </w:tc>
        <w:tc>
          <w:tcPr>
            <w:tcW w:w="1152" w:type="dxa"/>
            <w:tcBorders>
              <w:top w:val="nil"/>
              <w:left w:val="nil"/>
              <w:bottom w:val="nil"/>
              <w:right w:val="nil"/>
            </w:tcBorders>
            <w:shd w:val="clear" w:color="auto" w:fill="auto"/>
            <w:noWrap/>
            <w:vAlign w:val="center"/>
            <w:hideMark/>
          </w:tcPr>
          <w:p w14:paraId="393966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BioNTech SE</w:t>
            </w:r>
          </w:p>
        </w:tc>
        <w:tc>
          <w:tcPr>
            <w:tcW w:w="1006" w:type="dxa"/>
            <w:tcBorders>
              <w:top w:val="nil"/>
              <w:left w:val="nil"/>
              <w:bottom w:val="nil"/>
              <w:right w:val="nil"/>
            </w:tcBorders>
            <w:shd w:val="clear" w:color="auto" w:fill="auto"/>
            <w:noWrap/>
            <w:vAlign w:val="center"/>
            <w:hideMark/>
          </w:tcPr>
          <w:p w14:paraId="6A11E20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4B1A09C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0F5F734"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18/01/2022</w:t>
            </w:r>
          </w:p>
        </w:tc>
        <w:tc>
          <w:tcPr>
            <w:tcW w:w="766" w:type="dxa"/>
            <w:tcBorders>
              <w:top w:val="nil"/>
              <w:left w:val="nil"/>
              <w:bottom w:val="nil"/>
              <w:right w:val="nil"/>
            </w:tcBorders>
            <w:shd w:val="clear" w:color="auto" w:fill="auto"/>
            <w:noWrap/>
            <w:vAlign w:val="center"/>
            <w:hideMark/>
          </w:tcPr>
          <w:p w14:paraId="37194C8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1CF6B11" w14:textId="77777777" w:rsidTr="00AB1828">
        <w:trPr>
          <w:trHeight w:val="360"/>
        </w:trPr>
        <w:tc>
          <w:tcPr>
            <w:tcW w:w="861" w:type="dxa"/>
            <w:tcBorders>
              <w:top w:val="nil"/>
              <w:left w:val="nil"/>
              <w:bottom w:val="nil"/>
              <w:right w:val="nil"/>
            </w:tcBorders>
            <w:shd w:val="clear" w:color="auto" w:fill="auto"/>
            <w:noWrap/>
            <w:vAlign w:val="center"/>
            <w:hideMark/>
          </w:tcPr>
          <w:p w14:paraId="2188E1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NCT04573140</w:t>
            </w:r>
          </w:p>
        </w:tc>
        <w:tc>
          <w:tcPr>
            <w:tcW w:w="1354" w:type="dxa"/>
            <w:tcBorders>
              <w:top w:val="nil"/>
              <w:left w:val="nil"/>
              <w:bottom w:val="nil"/>
              <w:right w:val="nil"/>
            </w:tcBorders>
            <w:shd w:val="clear" w:color="auto" w:fill="auto"/>
            <w:noWrap/>
            <w:vAlign w:val="center"/>
            <w:hideMark/>
          </w:tcPr>
          <w:p w14:paraId="1B46FE5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RNA-lipid Particle (RNA-LP) Vaccines for Newly Diagnosed Pediatric High-Grade Gliomas (pHGG) and Adult Glioblastoma (GBM)</w:t>
            </w:r>
          </w:p>
        </w:tc>
        <w:tc>
          <w:tcPr>
            <w:tcW w:w="1483" w:type="dxa"/>
            <w:tcBorders>
              <w:top w:val="nil"/>
              <w:left w:val="nil"/>
              <w:bottom w:val="nil"/>
              <w:right w:val="nil"/>
            </w:tcBorders>
            <w:shd w:val="clear" w:color="auto" w:fill="auto"/>
            <w:noWrap/>
            <w:vAlign w:val="center"/>
            <w:hideMark/>
          </w:tcPr>
          <w:p w14:paraId="0D9854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27FE011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primary objective will be to demonstrate the manufacturing feasibility and safety, and to determine the maximum tolerated dose (MTD) of RNA-LP vaccines in (Stratum 1) adult patients with newly diagnosed GBM (MGMT unmethylated). Funding Source - FDA OOPD</w:t>
            </w:r>
          </w:p>
        </w:tc>
        <w:tc>
          <w:tcPr>
            <w:tcW w:w="279" w:type="dxa"/>
            <w:tcBorders>
              <w:top w:val="nil"/>
              <w:left w:val="nil"/>
              <w:bottom w:val="nil"/>
              <w:right w:val="nil"/>
            </w:tcBorders>
            <w:shd w:val="clear" w:color="auto" w:fill="auto"/>
            <w:noWrap/>
            <w:vAlign w:val="center"/>
            <w:hideMark/>
          </w:tcPr>
          <w:p w14:paraId="567C29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462D0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Adult Glioblastoma</w:t>
            </w:r>
          </w:p>
        </w:tc>
        <w:tc>
          <w:tcPr>
            <w:tcW w:w="1574" w:type="dxa"/>
            <w:tcBorders>
              <w:top w:val="nil"/>
              <w:left w:val="nil"/>
              <w:bottom w:val="nil"/>
              <w:right w:val="nil"/>
            </w:tcBorders>
            <w:shd w:val="clear" w:color="auto" w:fill="auto"/>
            <w:noWrap/>
            <w:vAlign w:val="center"/>
            <w:hideMark/>
          </w:tcPr>
          <w:p w14:paraId="0DE2F4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total tumor mRNA and pp65 full length (fl) lysosomal associated membrane protein (LAMP) mRNA loaded DOTAP liposome vaccine administered intravenously (RNA loaded lipid particles, RNA-LPs)</w:t>
            </w:r>
          </w:p>
        </w:tc>
        <w:tc>
          <w:tcPr>
            <w:tcW w:w="1152" w:type="dxa"/>
            <w:tcBorders>
              <w:top w:val="nil"/>
              <w:left w:val="nil"/>
              <w:bottom w:val="nil"/>
              <w:right w:val="nil"/>
            </w:tcBorders>
            <w:shd w:val="clear" w:color="auto" w:fill="auto"/>
            <w:noWrap/>
            <w:vAlign w:val="center"/>
            <w:hideMark/>
          </w:tcPr>
          <w:p w14:paraId="56D5A15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Florida</w:t>
            </w:r>
          </w:p>
        </w:tc>
        <w:tc>
          <w:tcPr>
            <w:tcW w:w="1006" w:type="dxa"/>
            <w:tcBorders>
              <w:top w:val="nil"/>
              <w:left w:val="nil"/>
              <w:bottom w:val="nil"/>
              <w:right w:val="nil"/>
            </w:tcBorders>
            <w:shd w:val="clear" w:color="auto" w:fill="auto"/>
            <w:noWrap/>
            <w:vAlign w:val="center"/>
            <w:hideMark/>
          </w:tcPr>
          <w:p w14:paraId="5C9BED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64FFF3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A1BF81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26/10/2021</w:t>
            </w:r>
          </w:p>
        </w:tc>
        <w:tc>
          <w:tcPr>
            <w:tcW w:w="766" w:type="dxa"/>
            <w:tcBorders>
              <w:top w:val="nil"/>
              <w:left w:val="nil"/>
              <w:bottom w:val="nil"/>
              <w:right w:val="nil"/>
            </w:tcBorders>
            <w:shd w:val="clear" w:color="auto" w:fill="auto"/>
            <w:noWrap/>
            <w:vAlign w:val="center"/>
            <w:hideMark/>
          </w:tcPr>
          <w:p w14:paraId="2E085C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0612E34" w14:textId="77777777" w:rsidTr="00AB1828">
        <w:trPr>
          <w:trHeight w:val="360"/>
        </w:trPr>
        <w:tc>
          <w:tcPr>
            <w:tcW w:w="861" w:type="dxa"/>
            <w:tcBorders>
              <w:top w:val="nil"/>
              <w:left w:val="nil"/>
              <w:bottom w:val="nil"/>
              <w:right w:val="nil"/>
            </w:tcBorders>
            <w:shd w:val="clear" w:color="auto" w:fill="auto"/>
            <w:noWrap/>
            <w:vAlign w:val="center"/>
            <w:hideMark/>
          </w:tcPr>
          <w:p w14:paraId="5D4B22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NCT04981691</w:t>
            </w:r>
          </w:p>
        </w:tc>
        <w:tc>
          <w:tcPr>
            <w:tcW w:w="1354" w:type="dxa"/>
            <w:tcBorders>
              <w:top w:val="nil"/>
              <w:left w:val="nil"/>
              <w:bottom w:val="nil"/>
              <w:right w:val="nil"/>
            </w:tcBorders>
            <w:shd w:val="clear" w:color="auto" w:fill="auto"/>
            <w:noWrap/>
            <w:vAlign w:val="center"/>
            <w:hideMark/>
          </w:tcPr>
          <w:p w14:paraId="268A76D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Anti-mesothelin CAR-T Cells With Advanced Refractory Solid Tumors</w:t>
            </w:r>
          </w:p>
        </w:tc>
        <w:tc>
          <w:tcPr>
            <w:tcW w:w="1483" w:type="dxa"/>
            <w:tcBorders>
              <w:top w:val="nil"/>
              <w:left w:val="nil"/>
              <w:bottom w:val="nil"/>
              <w:right w:val="nil"/>
            </w:tcBorders>
            <w:shd w:val="clear" w:color="auto" w:fill="auto"/>
            <w:noWrap/>
            <w:vAlign w:val="center"/>
            <w:hideMark/>
          </w:tcPr>
          <w:p w14:paraId="28FDE6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2F8678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goal of this clinical trial is to study the safety, efficacy, and pharmacokinetics of mRNA-engineered anti-Mesothelin (MESO) Chimeric Antigen Receptor T-Cell (CAR-T cells) therapy in patients with mesothelin expression-positive, advanced solid tumors that have failed at least first-line or second-line therapy.</w:t>
            </w:r>
          </w:p>
        </w:tc>
        <w:tc>
          <w:tcPr>
            <w:tcW w:w="279" w:type="dxa"/>
            <w:tcBorders>
              <w:top w:val="nil"/>
              <w:left w:val="nil"/>
              <w:bottom w:val="nil"/>
              <w:right w:val="nil"/>
            </w:tcBorders>
            <w:shd w:val="clear" w:color="auto" w:fill="auto"/>
            <w:noWrap/>
            <w:vAlign w:val="center"/>
            <w:hideMark/>
          </w:tcPr>
          <w:p w14:paraId="54CE51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0A17223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Refractory Malignant Solid Neoplasm</w:t>
            </w:r>
          </w:p>
        </w:tc>
        <w:tc>
          <w:tcPr>
            <w:tcW w:w="1574" w:type="dxa"/>
            <w:tcBorders>
              <w:top w:val="nil"/>
              <w:left w:val="nil"/>
              <w:bottom w:val="nil"/>
              <w:right w:val="nil"/>
            </w:tcBorders>
            <w:shd w:val="clear" w:color="auto" w:fill="auto"/>
            <w:noWrap/>
            <w:vAlign w:val="center"/>
            <w:hideMark/>
          </w:tcPr>
          <w:p w14:paraId="34873F8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anti-MESO CAR T cells</w:t>
            </w:r>
          </w:p>
        </w:tc>
        <w:tc>
          <w:tcPr>
            <w:tcW w:w="1152" w:type="dxa"/>
            <w:tcBorders>
              <w:top w:val="nil"/>
              <w:left w:val="nil"/>
              <w:bottom w:val="nil"/>
              <w:right w:val="nil"/>
            </w:tcBorders>
            <w:shd w:val="clear" w:color="auto" w:fill="auto"/>
            <w:noWrap/>
            <w:vAlign w:val="center"/>
            <w:hideMark/>
          </w:tcPr>
          <w:p w14:paraId="439C67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Ruijin Hospital</w:t>
            </w:r>
          </w:p>
        </w:tc>
        <w:tc>
          <w:tcPr>
            <w:tcW w:w="1006" w:type="dxa"/>
            <w:tcBorders>
              <w:top w:val="nil"/>
              <w:left w:val="nil"/>
              <w:bottom w:val="nil"/>
              <w:right w:val="nil"/>
            </w:tcBorders>
            <w:shd w:val="clear" w:color="auto" w:fill="auto"/>
            <w:noWrap/>
            <w:vAlign w:val="center"/>
            <w:hideMark/>
          </w:tcPr>
          <w:p w14:paraId="624103B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7338C7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4558CB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01/10/2021</w:t>
            </w:r>
          </w:p>
        </w:tc>
        <w:tc>
          <w:tcPr>
            <w:tcW w:w="766" w:type="dxa"/>
            <w:tcBorders>
              <w:top w:val="nil"/>
              <w:left w:val="nil"/>
              <w:bottom w:val="nil"/>
              <w:right w:val="nil"/>
            </w:tcBorders>
            <w:shd w:val="clear" w:color="auto" w:fill="auto"/>
            <w:noWrap/>
            <w:vAlign w:val="center"/>
            <w:hideMark/>
          </w:tcPr>
          <w:p w14:paraId="410322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A9420A6" w14:textId="77777777" w:rsidTr="00AB1828">
        <w:trPr>
          <w:trHeight w:val="360"/>
        </w:trPr>
        <w:tc>
          <w:tcPr>
            <w:tcW w:w="861" w:type="dxa"/>
            <w:tcBorders>
              <w:top w:val="nil"/>
              <w:left w:val="nil"/>
              <w:bottom w:val="nil"/>
              <w:right w:val="nil"/>
            </w:tcBorders>
            <w:shd w:val="clear" w:color="auto" w:fill="auto"/>
            <w:noWrap/>
            <w:vAlign w:val="center"/>
            <w:hideMark/>
          </w:tcPr>
          <w:p w14:paraId="1B365DE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NCT04837547</w:t>
            </w:r>
          </w:p>
        </w:tc>
        <w:tc>
          <w:tcPr>
            <w:tcW w:w="1354" w:type="dxa"/>
            <w:tcBorders>
              <w:top w:val="nil"/>
              <w:left w:val="nil"/>
              <w:bottom w:val="nil"/>
              <w:right w:val="nil"/>
            </w:tcBorders>
            <w:shd w:val="clear" w:color="auto" w:fill="auto"/>
            <w:noWrap/>
            <w:vAlign w:val="center"/>
            <w:hideMark/>
          </w:tcPr>
          <w:p w14:paraId="0FBC44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PEACH TRIAL- Precision Medicine and </w:t>
            </w:r>
            <w:r w:rsidRPr="000A6EBE">
              <w:rPr>
                <w:rFonts w:ascii="Aptos Narrow" w:eastAsia="Times New Roman" w:hAnsi="Aptos Narrow"/>
                <w:color w:val="000000"/>
                <w:sz w:val="16"/>
                <w:szCs w:val="16"/>
                <w:lang w:val="en-HK" w:eastAsia="zh-CN"/>
              </w:rPr>
              <w:lastRenderedPageBreak/>
              <w:t>Adoptive Cellular Therapy</w:t>
            </w:r>
          </w:p>
        </w:tc>
        <w:tc>
          <w:tcPr>
            <w:tcW w:w="1483" w:type="dxa"/>
            <w:tcBorders>
              <w:top w:val="nil"/>
              <w:left w:val="nil"/>
              <w:bottom w:val="nil"/>
              <w:right w:val="nil"/>
            </w:tcBorders>
            <w:shd w:val="clear" w:color="auto" w:fill="auto"/>
            <w:noWrap/>
            <w:vAlign w:val="center"/>
            <w:hideMark/>
          </w:tcPr>
          <w:p w14:paraId="4490381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RECRUITING</w:t>
            </w:r>
          </w:p>
        </w:tc>
        <w:tc>
          <w:tcPr>
            <w:tcW w:w="1689" w:type="dxa"/>
            <w:tcBorders>
              <w:top w:val="nil"/>
              <w:left w:val="nil"/>
              <w:bottom w:val="nil"/>
              <w:right w:val="nil"/>
            </w:tcBorders>
            <w:shd w:val="clear" w:color="auto" w:fill="auto"/>
            <w:noWrap/>
            <w:vAlign w:val="center"/>
            <w:hideMark/>
          </w:tcPr>
          <w:p w14:paraId="6BC541C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 Phase I open-label, multicenter study, to evaluate </w:t>
            </w:r>
            <w:r w:rsidRPr="000A6EBE">
              <w:rPr>
                <w:rFonts w:ascii="Aptos Narrow" w:eastAsia="Times New Roman" w:hAnsi="Aptos Narrow"/>
                <w:color w:val="000000"/>
                <w:sz w:val="16"/>
                <w:szCs w:val="16"/>
                <w:lang w:val="en-HK" w:eastAsia="zh-CN"/>
              </w:rPr>
              <w:lastRenderedPageBreak/>
              <w:t>the safety, feasibility, and maximum tolerated dose (MTD) of treating children with newly diagnosed DIPG or recurrent neuroblastoma with molecular targeted therapy in combination with adoptive cell therapy (Total tumor mRNA-pulsed autologous Dendritic Cells (DCs) (TTRNA-DCs), Tumor-specific ex vivo expanded autologous lymphocyte transfer (TTRNA-xALT) and Autologous G-CSF mobilized Hematopoietic Stem Cells (HSCs)).</w:t>
            </w:r>
          </w:p>
        </w:tc>
        <w:tc>
          <w:tcPr>
            <w:tcW w:w="279" w:type="dxa"/>
            <w:tcBorders>
              <w:top w:val="nil"/>
              <w:left w:val="nil"/>
              <w:bottom w:val="nil"/>
              <w:right w:val="nil"/>
            </w:tcBorders>
            <w:shd w:val="clear" w:color="auto" w:fill="auto"/>
            <w:noWrap/>
            <w:vAlign w:val="center"/>
            <w:hideMark/>
          </w:tcPr>
          <w:p w14:paraId="0978F3D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03042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Neuroblastoma|Diffuse Intrinsic Pontine Glioma</w:t>
            </w:r>
          </w:p>
        </w:tc>
        <w:tc>
          <w:tcPr>
            <w:tcW w:w="1574" w:type="dxa"/>
            <w:tcBorders>
              <w:top w:val="nil"/>
              <w:left w:val="nil"/>
              <w:bottom w:val="nil"/>
              <w:right w:val="nil"/>
            </w:tcBorders>
            <w:shd w:val="clear" w:color="auto" w:fill="auto"/>
            <w:noWrap/>
            <w:vAlign w:val="center"/>
            <w:hideMark/>
          </w:tcPr>
          <w:p w14:paraId="566B3AD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BIOLOGICAL: Tumor-specific ex vivo expanded </w:t>
            </w:r>
            <w:r w:rsidRPr="000A6EBE">
              <w:rPr>
                <w:rFonts w:ascii="Aptos Narrow" w:eastAsia="Times New Roman" w:hAnsi="Aptos Narrow"/>
                <w:color w:val="000000"/>
                <w:sz w:val="16"/>
                <w:szCs w:val="16"/>
                <w:lang w:val="en-HK" w:eastAsia="zh-CN"/>
              </w:rPr>
              <w:lastRenderedPageBreak/>
              <w:t>autologous lymphocyte transfer (TTRNA-xALT)</w:t>
            </w:r>
          </w:p>
        </w:tc>
        <w:tc>
          <w:tcPr>
            <w:tcW w:w="1152" w:type="dxa"/>
            <w:tcBorders>
              <w:top w:val="nil"/>
              <w:left w:val="nil"/>
              <w:bottom w:val="nil"/>
              <w:right w:val="nil"/>
            </w:tcBorders>
            <w:shd w:val="clear" w:color="auto" w:fill="auto"/>
            <w:noWrap/>
            <w:vAlign w:val="center"/>
            <w:hideMark/>
          </w:tcPr>
          <w:p w14:paraId="6ABE1C6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Giselle Sholler</w:t>
            </w:r>
          </w:p>
        </w:tc>
        <w:tc>
          <w:tcPr>
            <w:tcW w:w="1006" w:type="dxa"/>
            <w:tcBorders>
              <w:top w:val="nil"/>
              <w:left w:val="nil"/>
              <w:bottom w:val="nil"/>
              <w:right w:val="nil"/>
            </w:tcBorders>
            <w:shd w:val="clear" w:color="auto" w:fill="auto"/>
            <w:noWrap/>
            <w:vAlign w:val="center"/>
            <w:hideMark/>
          </w:tcPr>
          <w:p w14:paraId="1A54AE2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3DA8F4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5B84AB6"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20/09/2021</w:t>
            </w:r>
          </w:p>
        </w:tc>
        <w:tc>
          <w:tcPr>
            <w:tcW w:w="766" w:type="dxa"/>
            <w:tcBorders>
              <w:top w:val="nil"/>
              <w:left w:val="nil"/>
              <w:bottom w:val="nil"/>
              <w:right w:val="nil"/>
            </w:tcBorders>
            <w:shd w:val="clear" w:color="auto" w:fill="auto"/>
            <w:noWrap/>
            <w:vAlign w:val="center"/>
            <w:hideMark/>
          </w:tcPr>
          <w:p w14:paraId="5A16DF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470FB6A" w14:textId="77777777" w:rsidTr="00AB1828">
        <w:trPr>
          <w:trHeight w:val="360"/>
        </w:trPr>
        <w:tc>
          <w:tcPr>
            <w:tcW w:w="861" w:type="dxa"/>
            <w:tcBorders>
              <w:top w:val="nil"/>
              <w:left w:val="nil"/>
              <w:bottom w:val="nil"/>
              <w:right w:val="nil"/>
            </w:tcBorders>
            <w:shd w:val="clear" w:color="auto" w:fill="auto"/>
            <w:noWrap/>
            <w:vAlign w:val="center"/>
            <w:hideMark/>
          </w:tcPr>
          <w:p w14:paraId="5FB5591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NCT04911621</w:t>
            </w:r>
          </w:p>
        </w:tc>
        <w:tc>
          <w:tcPr>
            <w:tcW w:w="1354" w:type="dxa"/>
            <w:tcBorders>
              <w:top w:val="nil"/>
              <w:left w:val="nil"/>
              <w:bottom w:val="nil"/>
              <w:right w:val="nil"/>
            </w:tcBorders>
            <w:shd w:val="clear" w:color="auto" w:fill="auto"/>
            <w:noWrap/>
            <w:vAlign w:val="center"/>
            <w:hideMark/>
          </w:tcPr>
          <w:p w14:paraId="4B27D0E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Adjuvant Dendritic Cell Immunotherapy for Pediatric Patients With High-grade Glioma or Diffuse Intrinsic Pontine Glioma</w:t>
            </w:r>
          </w:p>
        </w:tc>
        <w:tc>
          <w:tcPr>
            <w:tcW w:w="1483" w:type="dxa"/>
            <w:tcBorders>
              <w:top w:val="nil"/>
              <w:left w:val="nil"/>
              <w:bottom w:val="nil"/>
              <w:right w:val="nil"/>
            </w:tcBorders>
            <w:shd w:val="clear" w:color="auto" w:fill="auto"/>
            <w:noWrap/>
            <w:vAlign w:val="center"/>
            <w:hideMark/>
          </w:tcPr>
          <w:p w14:paraId="5186DA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vAlign w:val="center"/>
            <w:hideMark/>
          </w:tcPr>
          <w:p w14:paraId="3D77837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Childhood aggressive gliomas are rare brain tumors with very poor prognosis. Due to the tumor's location and infiltrative nature, surgical removal is not always possible, and even when resection is performed and </w:t>
            </w:r>
            <w:r w:rsidRPr="000A6EBE">
              <w:rPr>
                <w:rFonts w:ascii="Aptos Narrow" w:eastAsia="Times New Roman" w:hAnsi="Aptos Narrow"/>
                <w:color w:val="000000"/>
                <w:sz w:val="16"/>
                <w:szCs w:val="16"/>
                <w:lang w:val="en-HK" w:eastAsia="zh-CN"/>
              </w:rPr>
              <w:lastRenderedPageBreak/>
              <w:t>combined with chemo- and/or radiotherapy, tumor cells frequently persist, eventually giving rise to tumor recurrence. A promising strategy to eradicate persisting tumor cells is vaccination with dendritic cells (DC). DC are immune cells that play an important role in organizing the body's defense against cancer. The goal of DC vaccination is to activate these natural anti-tumor defense mechanisms to delay or prevent tumor progression or recurrence. Previous clinical studies have demonstrated that DC vaccination is well-tolerated, safe and capable of eliciting tumorspecific immunity.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A clinical study including 10 pediatric patients </w:t>
            </w:r>
            <w:r w:rsidRPr="000A6EBE">
              <w:rPr>
                <w:rFonts w:ascii="Aptos Narrow" w:eastAsia="Times New Roman" w:hAnsi="Aptos Narrow"/>
                <w:color w:val="000000"/>
                <w:sz w:val="16"/>
                <w:szCs w:val="16"/>
                <w:lang w:val="en-HK" w:eastAsia="zh-CN"/>
              </w:rPr>
              <w:lastRenderedPageBreak/>
              <w:t xml:space="preserve">(aged </w:t>
            </w:r>
            <w:r w:rsidRPr="000A6EBE">
              <w:rPr>
                <w:rFonts w:ascii="Microsoft JhengHei" w:eastAsia="Microsoft JhengHei" w:hAnsi="Microsoft JhengHei" w:cs="Microsoft JhengHei"/>
                <w:color w:val="000000"/>
                <w:sz w:val="16"/>
                <w:szCs w:val="16"/>
                <w:lang w:val="en-HK" w:eastAsia="zh-CN"/>
              </w:rPr>
              <w:t>鈮</w:t>
            </w:r>
            <w:r w:rsidRPr="000A6EBE">
              <w:rPr>
                <w:rFonts w:ascii="Aptos Narrow" w:eastAsia="Times New Roman" w:hAnsi="Aptos Narrow"/>
                <w:color w:val="000000"/>
                <w:sz w:val="16"/>
                <w:szCs w:val="16"/>
                <w:lang w:val="en-HK" w:eastAsia="zh-CN"/>
              </w:rPr>
              <w:t xml:space="preserve">?12 months and \&lt; 18 years at the time of signing the informed consent) with brain (stem) tumors is initiated at the Antwerp University Hospital to investigate intradermal vaccination with WT1 mRNA-loaded autologous monocyte-derived DCs, either combined with first-line chemoradiation treatment or administered as adjuvant therapy following previous therapies. The general objective of this phase I/II clinical study is (1) to demonstrate that WT1-targeted DC vaccine production and administration in pediatric patients with HGG and DIPG, either combined with first-line chemoradiation treatment or administered as adjuvant therapy </w:t>
            </w:r>
            <w:r w:rsidRPr="000A6EBE">
              <w:rPr>
                <w:rFonts w:ascii="Aptos Narrow" w:eastAsia="Times New Roman" w:hAnsi="Aptos Narrow"/>
                <w:color w:val="000000"/>
                <w:sz w:val="16"/>
                <w:szCs w:val="16"/>
                <w:lang w:val="en-HK" w:eastAsia="zh-CN"/>
              </w:rPr>
              <w:lastRenderedPageBreak/>
              <w:t>following previous therapies, is feasible and safe, (2) to study vaccine-induced immune responses, (3) to document patients' quality of life and clinical outcome for comparison with current patients' outcome allowing indication of the added value.</w:t>
            </w:r>
          </w:p>
        </w:tc>
        <w:tc>
          <w:tcPr>
            <w:tcW w:w="279" w:type="dxa"/>
            <w:tcBorders>
              <w:top w:val="nil"/>
              <w:left w:val="nil"/>
              <w:bottom w:val="nil"/>
              <w:right w:val="nil"/>
            </w:tcBorders>
            <w:shd w:val="clear" w:color="auto" w:fill="auto"/>
            <w:noWrap/>
            <w:vAlign w:val="center"/>
            <w:hideMark/>
          </w:tcPr>
          <w:p w14:paraId="2CFC02B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B01EC9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High Grade Glioma|Diffuse Intrinsic Pontine Glioma</w:t>
            </w:r>
          </w:p>
        </w:tc>
        <w:tc>
          <w:tcPr>
            <w:tcW w:w="1574" w:type="dxa"/>
            <w:tcBorders>
              <w:top w:val="nil"/>
              <w:left w:val="nil"/>
              <w:bottom w:val="nil"/>
              <w:right w:val="nil"/>
            </w:tcBorders>
            <w:shd w:val="clear" w:color="auto" w:fill="auto"/>
            <w:noWrap/>
            <w:vAlign w:val="center"/>
            <w:hideMark/>
          </w:tcPr>
          <w:p w14:paraId="73DD63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 vaccination + temozolomide-based chemoradiation|BIOLOGICAL: Dendritic cell vaccination +- conventional next-line treatment</w:t>
            </w:r>
          </w:p>
        </w:tc>
        <w:tc>
          <w:tcPr>
            <w:tcW w:w="1152" w:type="dxa"/>
            <w:tcBorders>
              <w:top w:val="nil"/>
              <w:left w:val="nil"/>
              <w:bottom w:val="nil"/>
              <w:right w:val="nil"/>
            </w:tcBorders>
            <w:shd w:val="clear" w:color="auto" w:fill="auto"/>
            <w:noWrap/>
            <w:vAlign w:val="center"/>
            <w:hideMark/>
          </w:tcPr>
          <w:p w14:paraId="0F4688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Antwerp</w:t>
            </w:r>
          </w:p>
        </w:tc>
        <w:tc>
          <w:tcPr>
            <w:tcW w:w="1006" w:type="dxa"/>
            <w:tcBorders>
              <w:top w:val="nil"/>
              <w:left w:val="nil"/>
              <w:bottom w:val="nil"/>
              <w:right w:val="nil"/>
            </w:tcBorders>
            <w:shd w:val="clear" w:color="auto" w:fill="auto"/>
            <w:noWrap/>
            <w:vAlign w:val="center"/>
            <w:hideMark/>
          </w:tcPr>
          <w:p w14:paraId="1FF01C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988E1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34C58B4"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10/09/2021</w:t>
            </w:r>
          </w:p>
        </w:tc>
        <w:tc>
          <w:tcPr>
            <w:tcW w:w="766" w:type="dxa"/>
            <w:tcBorders>
              <w:top w:val="nil"/>
              <w:left w:val="nil"/>
              <w:bottom w:val="nil"/>
              <w:right w:val="nil"/>
            </w:tcBorders>
            <w:shd w:val="clear" w:color="auto" w:fill="auto"/>
            <w:noWrap/>
            <w:vAlign w:val="center"/>
            <w:hideMark/>
          </w:tcPr>
          <w:p w14:paraId="52F3F7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206696BB" w14:textId="77777777" w:rsidTr="00AB1828">
        <w:trPr>
          <w:trHeight w:val="360"/>
        </w:trPr>
        <w:tc>
          <w:tcPr>
            <w:tcW w:w="861" w:type="dxa"/>
            <w:tcBorders>
              <w:top w:val="nil"/>
              <w:left w:val="nil"/>
              <w:bottom w:val="nil"/>
              <w:right w:val="nil"/>
            </w:tcBorders>
            <w:shd w:val="clear" w:color="auto" w:fill="auto"/>
            <w:noWrap/>
            <w:vAlign w:val="center"/>
            <w:hideMark/>
          </w:tcPr>
          <w:p w14:paraId="2D69F6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NCT05016622</w:t>
            </w:r>
          </w:p>
        </w:tc>
        <w:tc>
          <w:tcPr>
            <w:tcW w:w="1354" w:type="dxa"/>
            <w:tcBorders>
              <w:top w:val="nil"/>
              <w:left w:val="nil"/>
              <w:bottom w:val="nil"/>
              <w:right w:val="nil"/>
            </w:tcBorders>
            <w:shd w:val="clear" w:color="auto" w:fill="auto"/>
            <w:noWrap/>
            <w:vAlign w:val="center"/>
            <w:hideMark/>
          </w:tcPr>
          <w:p w14:paraId="551D142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Booster Dose Trial</w:t>
            </w:r>
          </w:p>
        </w:tc>
        <w:tc>
          <w:tcPr>
            <w:tcW w:w="1483" w:type="dxa"/>
            <w:tcBorders>
              <w:top w:val="nil"/>
              <w:left w:val="nil"/>
              <w:bottom w:val="nil"/>
              <w:right w:val="nil"/>
            </w:tcBorders>
            <w:shd w:val="clear" w:color="auto" w:fill="auto"/>
            <w:noWrap/>
            <w:vAlign w:val="center"/>
            <w:hideMark/>
          </w:tcPr>
          <w:p w14:paraId="579A98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60D63D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goal of this study is to assess the safety and effectiveness of a COVID vaccine booster in patients with cancer who have not developed an antibody after the U.S. Food and Drug Administration (FDA) Emergency Use Authorized COVID vaccination series</w:t>
            </w:r>
          </w:p>
        </w:tc>
        <w:tc>
          <w:tcPr>
            <w:tcW w:w="279" w:type="dxa"/>
            <w:tcBorders>
              <w:top w:val="nil"/>
              <w:left w:val="nil"/>
              <w:bottom w:val="nil"/>
              <w:right w:val="nil"/>
            </w:tcBorders>
            <w:shd w:val="clear" w:color="auto" w:fill="auto"/>
            <w:noWrap/>
            <w:vAlign w:val="center"/>
            <w:hideMark/>
          </w:tcPr>
          <w:p w14:paraId="16128D0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60B84C6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Cancer</w:t>
            </w:r>
          </w:p>
        </w:tc>
        <w:tc>
          <w:tcPr>
            <w:tcW w:w="1574" w:type="dxa"/>
            <w:tcBorders>
              <w:top w:val="nil"/>
              <w:left w:val="nil"/>
              <w:bottom w:val="nil"/>
              <w:right w:val="nil"/>
            </w:tcBorders>
            <w:shd w:val="clear" w:color="auto" w:fill="auto"/>
            <w:noWrap/>
            <w:vAlign w:val="center"/>
            <w:hideMark/>
          </w:tcPr>
          <w:p w14:paraId="195730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BNT162b2 vaccine</w:t>
            </w:r>
          </w:p>
        </w:tc>
        <w:tc>
          <w:tcPr>
            <w:tcW w:w="1152" w:type="dxa"/>
            <w:tcBorders>
              <w:top w:val="nil"/>
              <w:left w:val="nil"/>
              <w:bottom w:val="nil"/>
              <w:right w:val="nil"/>
            </w:tcBorders>
            <w:shd w:val="clear" w:color="auto" w:fill="auto"/>
            <w:noWrap/>
            <w:vAlign w:val="center"/>
            <w:hideMark/>
          </w:tcPr>
          <w:p w14:paraId="40EABE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Montefiore Medical Center</w:t>
            </w:r>
          </w:p>
        </w:tc>
        <w:tc>
          <w:tcPr>
            <w:tcW w:w="1006" w:type="dxa"/>
            <w:tcBorders>
              <w:top w:val="nil"/>
              <w:left w:val="nil"/>
              <w:bottom w:val="nil"/>
              <w:right w:val="nil"/>
            </w:tcBorders>
            <w:shd w:val="clear" w:color="auto" w:fill="auto"/>
            <w:noWrap/>
            <w:vAlign w:val="center"/>
            <w:hideMark/>
          </w:tcPr>
          <w:p w14:paraId="08A32D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77164C9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D86023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10/08/2021</w:t>
            </w:r>
          </w:p>
        </w:tc>
        <w:tc>
          <w:tcPr>
            <w:tcW w:w="766" w:type="dxa"/>
            <w:tcBorders>
              <w:top w:val="nil"/>
              <w:left w:val="nil"/>
              <w:bottom w:val="nil"/>
              <w:right w:val="nil"/>
            </w:tcBorders>
            <w:shd w:val="clear" w:color="auto" w:fill="auto"/>
            <w:noWrap/>
            <w:vAlign w:val="center"/>
            <w:hideMark/>
          </w:tcPr>
          <w:p w14:paraId="090F06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6E036CF" w14:textId="77777777" w:rsidTr="00AB1828">
        <w:trPr>
          <w:trHeight w:val="360"/>
        </w:trPr>
        <w:tc>
          <w:tcPr>
            <w:tcW w:w="861" w:type="dxa"/>
            <w:tcBorders>
              <w:top w:val="nil"/>
              <w:left w:val="nil"/>
              <w:bottom w:val="nil"/>
              <w:right w:val="nil"/>
            </w:tcBorders>
            <w:shd w:val="clear" w:color="auto" w:fill="auto"/>
            <w:noWrap/>
            <w:vAlign w:val="center"/>
            <w:hideMark/>
          </w:tcPr>
          <w:p w14:paraId="1AB13E2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NCT04844983</w:t>
            </w:r>
          </w:p>
        </w:tc>
        <w:tc>
          <w:tcPr>
            <w:tcW w:w="1354" w:type="dxa"/>
            <w:tcBorders>
              <w:top w:val="nil"/>
              <w:left w:val="nil"/>
              <w:bottom w:val="nil"/>
              <w:right w:val="nil"/>
            </w:tcBorders>
            <w:shd w:val="clear" w:color="auto" w:fill="auto"/>
            <w:noWrap/>
            <w:vAlign w:val="center"/>
            <w:hideMark/>
          </w:tcPr>
          <w:p w14:paraId="1CAA3D2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to Evaluate Safety, Efficacy of Intralesional Injection of STP705 in Patients With isSCC</w:t>
            </w:r>
          </w:p>
        </w:tc>
        <w:tc>
          <w:tcPr>
            <w:tcW w:w="1483" w:type="dxa"/>
            <w:tcBorders>
              <w:top w:val="nil"/>
              <w:left w:val="nil"/>
              <w:bottom w:val="nil"/>
              <w:right w:val="nil"/>
            </w:tcBorders>
            <w:shd w:val="clear" w:color="auto" w:fill="auto"/>
            <w:noWrap/>
            <w:vAlign w:val="center"/>
            <w:hideMark/>
          </w:tcPr>
          <w:p w14:paraId="49F9CD7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0F4C8AE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trial is to evaluate safety, tolerability and efficacy of various doses of STP705 administered as intralesional injection in subjects with cutaneous squamous cell carcinoma (in </w:t>
            </w:r>
            <w:r w:rsidRPr="000A6EBE">
              <w:rPr>
                <w:rFonts w:ascii="Aptos Narrow" w:eastAsia="Times New Roman" w:hAnsi="Aptos Narrow"/>
                <w:color w:val="000000"/>
                <w:sz w:val="16"/>
                <w:szCs w:val="16"/>
                <w:lang w:val="en-HK" w:eastAsia="zh-CN"/>
              </w:rPr>
              <w:lastRenderedPageBreak/>
              <w:t>situ) skin cancer (isSCC).</w:t>
            </w:r>
          </w:p>
        </w:tc>
        <w:tc>
          <w:tcPr>
            <w:tcW w:w="279" w:type="dxa"/>
            <w:tcBorders>
              <w:top w:val="nil"/>
              <w:left w:val="nil"/>
              <w:bottom w:val="nil"/>
              <w:right w:val="nil"/>
            </w:tcBorders>
            <w:shd w:val="clear" w:color="auto" w:fill="auto"/>
            <w:noWrap/>
            <w:vAlign w:val="center"/>
            <w:hideMark/>
          </w:tcPr>
          <w:p w14:paraId="067981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E6EE2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Squamous Cell Carcinoma in Situ</w:t>
            </w:r>
          </w:p>
        </w:tc>
        <w:tc>
          <w:tcPr>
            <w:tcW w:w="1574" w:type="dxa"/>
            <w:tcBorders>
              <w:top w:val="nil"/>
              <w:left w:val="nil"/>
              <w:bottom w:val="nil"/>
              <w:right w:val="nil"/>
            </w:tcBorders>
            <w:shd w:val="clear" w:color="auto" w:fill="auto"/>
            <w:noWrap/>
            <w:vAlign w:val="center"/>
            <w:hideMark/>
          </w:tcPr>
          <w:p w14:paraId="7EFF4F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STP705|OTHER: Placebo Saline</w:t>
            </w:r>
          </w:p>
        </w:tc>
        <w:tc>
          <w:tcPr>
            <w:tcW w:w="1152" w:type="dxa"/>
            <w:tcBorders>
              <w:top w:val="nil"/>
              <w:left w:val="nil"/>
              <w:bottom w:val="nil"/>
              <w:right w:val="nil"/>
            </w:tcBorders>
            <w:shd w:val="clear" w:color="auto" w:fill="auto"/>
            <w:noWrap/>
            <w:vAlign w:val="center"/>
            <w:hideMark/>
          </w:tcPr>
          <w:p w14:paraId="2395EB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Sirnaomics</w:t>
            </w:r>
          </w:p>
        </w:tc>
        <w:tc>
          <w:tcPr>
            <w:tcW w:w="1006" w:type="dxa"/>
            <w:tcBorders>
              <w:top w:val="nil"/>
              <w:left w:val="nil"/>
              <w:bottom w:val="nil"/>
              <w:right w:val="nil"/>
            </w:tcBorders>
            <w:shd w:val="clear" w:color="auto" w:fill="auto"/>
            <w:noWrap/>
            <w:vAlign w:val="center"/>
            <w:hideMark/>
          </w:tcPr>
          <w:p w14:paraId="496BDF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4A5EE7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5E3B48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18/05/2021</w:t>
            </w:r>
          </w:p>
        </w:tc>
        <w:tc>
          <w:tcPr>
            <w:tcW w:w="766" w:type="dxa"/>
            <w:tcBorders>
              <w:top w:val="nil"/>
              <w:left w:val="nil"/>
              <w:bottom w:val="nil"/>
              <w:right w:val="nil"/>
            </w:tcBorders>
            <w:shd w:val="clear" w:color="auto" w:fill="auto"/>
            <w:noWrap/>
            <w:vAlign w:val="center"/>
            <w:hideMark/>
          </w:tcPr>
          <w:p w14:paraId="7B924EA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3784643" w14:textId="77777777" w:rsidTr="00AB1828">
        <w:trPr>
          <w:trHeight w:val="360"/>
        </w:trPr>
        <w:tc>
          <w:tcPr>
            <w:tcW w:w="861" w:type="dxa"/>
            <w:tcBorders>
              <w:top w:val="nil"/>
              <w:left w:val="nil"/>
              <w:bottom w:val="nil"/>
              <w:right w:val="nil"/>
            </w:tcBorders>
            <w:shd w:val="clear" w:color="auto" w:fill="auto"/>
            <w:noWrap/>
            <w:vAlign w:val="center"/>
            <w:hideMark/>
          </w:tcPr>
          <w:p w14:paraId="52A36A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NCT04534205</w:t>
            </w:r>
          </w:p>
        </w:tc>
        <w:tc>
          <w:tcPr>
            <w:tcW w:w="1354" w:type="dxa"/>
            <w:tcBorders>
              <w:top w:val="nil"/>
              <w:left w:val="nil"/>
              <w:bottom w:val="nil"/>
              <w:right w:val="nil"/>
            </w:tcBorders>
            <w:shd w:val="clear" w:color="auto" w:fill="auto"/>
            <w:noWrap/>
            <w:vAlign w:val="center"/>
            <w:hideMark/>
          </w:tcPr>
          <w:p w14:paraId="6237DA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Clinical Trial Investigating the Safety, Tolerability, and Therapeutic Effects of BNT113 in Combination With Pembrolizumab Versus Pembrolizumab Alone for Patients With a Form of Head and Neck Cancer Positive for Human Papilloma Virus 16 and Expressing the Protein PD-L1</w:t>
            </w:r>
          </w:p>
        </w:tc>
        <w:tc>
          <w:tcPr>
            <w:tcW w:w="1483" w:type="dxa"/>
            <w:tcBorders>
              <w:top w:val="nil"/>
              <w:left w:val="nil"/>
              <w:bottom w:val="nil"/>
              <w:right w:val="nil"/>
            </w:tcBorders>
            <w:shd w:val="clear" w:color="auto" w:fill="auto"/>
            <w:noWrap/>
            <w:vAlign w:val="center"/>
            <w:hideMark/>
          </w:tcPr>
          <w:p w14:paraId="13C186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025ECA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An open-label, controlled, multi-site, interventional, 2-arm, Phase II trial of BNT113 in combination with pembrolizumab vs pembrolizumab monotherapy as first line treatment in patients with unresectable recurrent or metastatic HPV16+ HNSCC expressing programmed cell death ligand -1 (PD-L1) with combined positive score (CPS) </w:t>
            </w:r>
            <w:r w:rsidRPr="000A6EBE">
              <w:rPr>
                <w:rFonts w:ascii="Microsoft JhengHei" w:eastAsia="Microsoft JhengHei" w:hAnsi="Microsoft JhengHei" w:cs="Microsoft JhengHei"/>
                <w:color w:val="000000"/>
                <w:sz w:val="16"/>
                <w:szCs w:val="16"/>
                <w:lang w:val="en-HK" w:eastAsia="zh-CN"/>
              </w:rPr>
              <w:t>鈮</w:t>
            </w:r>
            <w:r w:rsidRPr="000A6EBE">
              <w:rPr>
                <w:rFonts w:ascii="Aptos Narrow" w:eastAsia="Times New Roman" w:hAnsi="Aptos Narrow"/>
                <w:color w:val="000000"/>
                <w:sz w:val="16"/>
                <w:szCs w:val="16"/>
                <w:lang w:val="en-HK" w:eastAsia="zh-CN"/>
              </w:rPr>
              <w: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This trial has two parts.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 A, an initial non-randomized Safety Run-In Phase to confirm the safety and tolerability at the selected dose range level of BNT113 in combination with pembrolizumab.</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Part B, the Randomized part </w:t>
            </w:r>
            <w:r w:rsidRPr="000A6EBE">
              <w:rPr>
                <w:rFonts w:ascii="Aptos Narrow" w:eastAsia="Times New Roman" w:hAnsi="Aptos Narrow"/>
                <w:color w:val="000000"/>
                <w:sz w:val="16"/>
                <w:szCs w:val="16"/>
                <w:lang w:val="en-HK" w:eastAsia="zh-CN"/>
              </w:rPr>
              <w:lastRenderedPageBreak/>
              <w:t xml:space="preserve">of the trial to generate pivotal efficacy and safety data of BNT113 in combination with pembrolizumab versus pembrolizumab monotherapy in the first line setting in patients with unresectable recurrent or metastatic HPV16+ HNSCC expressing PD-L1 with CPS </w:t>
            </w:r>
            <w:r w:rsidRPr="000A6EBE">
              <w:rPr>
                <w:rFonts w:ascii="Microsoft JhengHei" w:eastAsia="Microsoft JhengHei" w:hAnsi="Microsoft JhengHei" w:cs="Microsoft JhengHei"/>
                <w:color w:val="000000"/>
                <w:sz w:val="16"/>
                <w:szCs w:val="16"/>
                <w:lang w:val="en-HK" w:eastAsia="zh-CN"/>
              </w:rPr>
              <w:t>鈮</w:t>
            </w:r>
            <w:r w:rsidRPr="000A6EBE">
              <w:rPr>
                <w:rFonts w:ascii="Aptos Narrow" w:eastAsia="Times New Roman" w:hAnsi="Aptos Narrow"/>
                <w:color w:val="000000"/>
                <w:sz w:val="16"/>
                <w:szCs w:val="16"/>
                <w:lang w:val="en-HK" w:eastAsia="zh-CN"/>
              </w:rPr>
              <w: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For Part B, an optional pre-screening phase is available for all patients where patients' tumor samples may be submitted for central HPV16 DNA and central PD-L1 expression testing prior to screening into the main trial.</w:t>
            </w:r>
          </w:p>
        </w:tc>
        <w:tc>
          <w:tcPr>
            <w:tcW w:w="279" w:type="dxa"/>
            <w:tcBorders>
              <w:top w:val="nil"/>
              <w:left w:val="nil"/>
              <w:bottom w:val="nil"/>
              <w:right w:val="nil"/>
            </w:tcBorders>
            <w:shd w:val="clear" w:color="auto" w:fill="auto"/>
            <w:noWrap/>
            <w:vAlign w:val="center"/>
            <w:hideMark/>
          </w:tcPr>
          <w:p w14:paraId="098BC65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2453E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Unresectable Head and Neck Squamous Cell Carcinoma|Metastatic Head and Neck Cancer|Recurrent Head and Neck Cancer</w:t>
            </w:r>
          </w:p>
        </w:tc>
        <w:tc>
          <w:tcPr>
            <w:tcW w:w="1574" w:type="dxa"/>
            <w:tcBorders>
              <w:top w:val="nil"/>
              <w:left w:val="nil"/>
              <w:bottom w:val="nil"/>
              <w:right w:val="nil"/>
            </w:tcBorders>
            <w:shd w:val="clear" w:color="auto" w:fill="auto"/>
            <w:noWrap/>
            <w:vAlign w:val="center"/>
            <w:hideMark/>
          </w:tcPr>
          <w:p w14:paraId="457A4E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BNT113|BIOLOGICAL: Pembrolizumab</w:t>
            </w:r>
          </w:p>
        </w:tc>
        <w:tc>
          <w:tcPr>
            <w:tcW w:w="1152" w:type="dxa"/>
            <w:tcBorders>
              <w:top w:val="nil"/>
              <w:left w:val="nil"/>
              <w:bottom w:val="nil"/>
              <w:right w:val="nil"/>
            </w:tcBorders>
            <w:shd w:val="clear" w:color="auto" w:fill="auto"/>
            <w:noWrap/>
            <w:vAlign w:val="center"/>
            <w:hideMark/>
          </w:tcPr>
          <w:p w14:paraId="00321C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BioNTech SE</w:t>
            </w:r>
          </w:p>
        </w:tc>
        <w:tc>
          <w:tcPr>
            <w:tcW w:w="1006" w:type="dxa"/>
            <w:tcBorders>
              <w:top w:val="nil"/>
              <w:left w:val="nil"/>
              <w:bottom w:val="nil"/>
              <w:right w:val="nil"/>
            </w:tcBorders>
            <w:shd w:val="clear" w:color="auto" w:fill="auto"/>
            <w:noWrap/>
            <w:vAlign w:val="center"/>
            <w:hideMark/>
          </w:tcPr>
          <w:p w14:paraId="1D7F551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38F079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C65741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07/01/2021</w:t>
            </w:r>
          </w:p>
        </w:tc>
        <w:tc>
          <w:tcPr>
            <w:tcW w:w="766" w:type="dxa"/>
            <w:tcBorders>
              <w:top w:val="nil"/>
              <w:left w:val="nil"/>
              <w:bottom w:val="nil"/>
              <w:right w:val="nil"/>
            </w:tcBorders>
            <w:shd w:val="clear" w:color="auto" w:fill="auto"/>
            <w:noWrap/>
            <w:vAlign w:val="center"/>
            <w:hideMark/>
          </w:tcPr>
          <w:p w14:paraId="5B2347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A6779AF" w14:textId="77777777" w:rsidTr="00AB1828">
        <w:trPr>
          <w:trHeight w:val="360"/>
        </w:trPr>
        <w:tc>
          <w:tcPr>
            <w:tcW w:w="861" w:type="dxa"/>
            <w:tcBorders>
              <w:top w:val="nil"/>
              <w:left w:val="nil"/>
              <w:bottom w:val="nil"/>
              <w:right w:val="nil"/>
            </w:tcBorders>
            <w:shd w:val="clear" w:color="auto" w:fill="auto"/>
            <w:noWrap/>
            <w:vAlign w:val="center"/>
            <w:hideMark/>
          </w:tcPr>
          <w:p w14:paraId="682C69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NCT04286672</w:t>
            </w:r>
          </w:p>
        </w:tc>
        <w:tc>
          <w:tcPr>
            <w:tcW w:w="1354" w:type="dxa"/>
            <w:tcBorders>
              <w:top w:val="nil"/>
              <w:left w:val="nil"/>
              <w:bottom w:val="nil"/>
              <w:right w:val="nil"/>
            </w:tcBorders>
            <w:shd w:val="clear" w:color="auto" w:fill="auto"/>
            <w:noWrap/>
            <w:vAlign w:val="center"/>
            <w:hideMark/>
          </w:tcPr>
          <w:p w14:paraId="0AD7785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Metadherin mRNA Expression in Bladder Cancer</w:t>
            </w:r>
          </w:p>
        </w:tc>
        <w:tc>
          <w:tcPr>
            <w:tcW w:w="1483" w:type="dxa"/>
            <w:tcBorders>
              <w:top w:val="nil"/>
              <w:left w:val="nil"/>
              <w:bottom w:val="nil"/>
              <w:right w:val="nil"/>
            </w:tcBorders>
            <w:shd w:val="clear" w:color="auto" w:fill="auto"/>
            <w:noWrap/>
            <w:vAlign w:val="center"/>
            <w:hideMark/>
          </w:tcPr>
          <w:p w14:paraId="072F6C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416B095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study aims to study alterations of MTDH gene expression in the serum of bladder cancer patients compared to control group to evaluate its role as a marker for diagnosis.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lastRenderedPageBreak/>
              <w:t>,to compare the diagnostic accuracy of MTDH with the previously used marker Bladder Cancer-Specific Antigen-1 (BLCA-1 in the serum of bladder cancer patients .</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and to study correlation between expression of the metadherin gene and serum level of BLCA-1, and clinical and histopathological staging in patients with bladder cancer</w:t>
            </w:r>
          </w:p>
        </w:tc>
        <w:tc>
          <w:tcPr>
            <w:tcW w:w="279" w:type="dxa"/>
            <w:tcBorders>
              <w:top w:val="nil"/>
              <w:left w:val="nil"/>
              <w:bottom w:val="nil"/>
              <w:right w:val="nil"/>
            </w:tcBorders>
            <w:shd w:val="clear" w:color="auto" w:fill="auto"/>
            <w:noWrap/>
            <w:vAlign w:val="center"/>
            <w:hideMark/>
          </w:tcPr>
          <w:p w14:paraId="42522C6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57EC8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Bladder Cancer</w:t>
            </w:r>
          </w:p>
        </w:tc>
        <w:tc>
          <w:tcPr>
            <w:tcW w:w="1574" w:type="dxa"/>
            <w:tcBorders>
              <w:top w:val="nil"/>
              <w:left w:val="nil"/>
              <w:bottom w:val="nil"/>
              <w:right w:val="nil"/>
            </w:tcBorders>
            <w:shd w:val="clear" w:color="auto" w:fill="auto"/>
            <w:noWrap/>
            <w:vAlign w:val="center"/>
            <w:hideMark/>
          </w:tcPr>
          <w:p w14:paraId="4BD464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DIAGNOSTIC_TEST: Metadherin</w:t>
            </w:r>
          </w:p>
        </w:tc>
        <w:tc>
          <w:tcPr>
            <w:tcW w:w="2158" w:type="dxa"/>
            <w:gridSpan w:val="2"/>
            <w:tcBorders>
              <w:top w:val="nil"/>
              <w:left w:val="nil"/>
              <w:bottom w:val="nil"/>
              <w:right w:val="nil"/>
            </w:tcBorders>
            <w:shd w:val="clear" w:color="auto" w:fill="auto"/>
            <w:noWrap/>
            <w:vAlign w:val="center"/>
            <w:hideMark/>
          </w:tcPr>
          <w:p w14:paraId="2E23B09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Assiut University</w:t>
            </w:r>
          </w:p>
        </w:tc>
        <w:tc>
          <w:tcPr>
            <w:tcW w:w="1006" w:type="dxa"/>
            <w:tcBorders>
              <w:top w:val="nil"/>
              <w:left w:val="nil"/>
              <w:bottom w:val="nil"/>
              <w:right w:val="nil"/>
            </w:tcBorders>
            <w:shd w:val="clear" w:color="auto" w:fill="auto"/>
            <w:noWrap/>
            <w:vAlign w:val="center"/>
            <w:hideMark/>
          </w:tcPr>
          <w:p w14:paraId="2A39C8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05C6F89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01/12/2020</w:t>
            </w:r>
          </w:p>
        </w:tc>
        <w:tc>
          <w:tcPr>
            <w:tcW w:w="766" w:type="dxa"/>
            <w:tcBorders>
              <w:top w:val="nil"/>
              <w:left w:val="nil"/>
              <w:bottom w:val="nil"/>
              <w:right w:val="nil"/>
            </w:tcBorders>
            <w:shd w:val="clear" w:color="auto" w:fill="auto"/>
            <w:noWrap/>
            <w:vAlign w:val="center"/>
            <w:hideMark/>
          </w:tcPr>
          <w:p w14:paraId="3D3B639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EDC6CFE" w14:textId="77777777" w:rsidTr="00AB1828">
        <w:trPr>
          <w:trHeight w:val="360"/>
        </w:trPr>
        <w:tc>
          <w:tcPr>
            <w:tcW w:w="861" w:type="dxa"/>
            <w:tcBorders>
              <w:top w:val="nil"/>
              <w:left w:val="nil"/>
              <w:bottom w:val="nil"/>
              <w:right w:val="nil"/>
            </w:tcBorders>
            <w:shd w:val="clear" w:color="auto" w:fill="auto"/>
            <w:noWrap/>
            <w:vAlign w:val="center"/>
            <w:hideMark/>
          </w:tcPr>
          <w:p w14:paraId="5EB3F76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NCT03688178</w:t>
            </w:r>
          </w:p>
        </w:tc>
        <w:tc>
          <w:tcPr>
            <w:tcW w:w="1354" w:type="dxa"/>
            <w:tcBorders>
              <w:top w:val="nil"/>
              <w:left w:val="nil"/>
              <w:bottom w:val="nil"/>
              <w:right w:val="nil"/>
            </w:tcBorders>
            <w:shd w:val="clear" w:color="auto" w:fill="auto"/>
            <w:noWrap/>
            <w:vAlign w:val="center"/>
            <w:hideMark/>
          </w:tcPr>
          <w:p w14:paraId="3927198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DC Migration Study to Evaluate TReg Depletion In GBM Patients With and Without Varlilumab</w:t>
            </w:r>
          </w:p>
        </w:tc>
        <w:tc>
          <w:tcPr>
            <w:tcW w:w="1483" w:type="dxa"/>
            <w:tcBorders>
              <w:top w:val="nil"/>
              <w:left w:val="nil"/>
              <w:bottom w:val="nil"/>
              <w:right w:val="nil"/>
            </w:tcBorders>
            <w:shd w:val="clear" w:color="auto" w:fill="auto"/>
            <w:noWrap/>
            <w:vAlign w:val="center"/>
            <w:hideMark/>
          </w:tcPr>
          <w:p w14:paraId="2C0B84E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vAlign w:val="center"/>
            <w:hideMark/>
          </w:tcPr>
          <w:p w14:paraId="50F717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Patients with newly diagnosed glioblastoma will be consented following tumor resection then undergo leukapheresis for harvest of peripheral blood leukocytes for generation of dendritic cells. Subjects will then receive standard of care (planned 6 weeks) radiation therapy (RT) and concurrent temozolomide (TMZ) at a standard targeted </w:t>
            </w:r>
            <w:r w:rsidRPr="000A6EBE">
              <w:rPr>
                <w:rFonts w:ascii="Aptos Narrow" w:eastAsia="Times New Roman" w:hAnsi="Aptos Narrow"/>
                <w:color w:val="000000"/>
                <w:sz w:val="16"/>
                <w:szCs w:val="16"/>
                <w:lang w:val="en-HK" w:eastAsia="zh-CN"/>
              </w:rPr>
              <w:lastRenderedPageBreak/>
              <w:t>dose of 75 mg/m2/day.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study cycle of TMZ comprises a targeted dose of 150-200mg/m2/day for 5 days every 4 (+2) weeks for up to 12 cycles (patients with unmethylated MGMT gene promoter will receive only cycle 1). All patients will receive up to a total of 10 DC vaccines called pp65 CMV dendritic cells (DC). Dendritic Cell (DC) vaccines #1-3 will be given every two weeks, thus delaying the initiation of TMZ cycle 2 for patients receiving TMZ. All remaining TMZ/vaccine cycles will be 4 (+2) weeks in length.</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After the first 3 DC vaccines given during Cycle 1 of TMZ, the remaining DC vaccine injections are given on Day 21 (+/- 2 days) of </w:t>
            </w:r>
            <w:r w:rsidRPr="000A6EBE">
              <w:rPr>
                <w:rFonts w:ascii="Aptos Narrow" w:eastAsia="Times New Roman" w:hAnsi="Aptos Narrow"/>
                <w:color w:val="000000"/>
                <w:sz w:val="16"/>
                <w:szCs w:val="16"/>
                <w:lang w:val="en-HK" w:eastAsia="zh-CN"/>
              </w:rPr>
              <w:lastRenderedPageBreak/>
              <w:t>each TMZ cycle. Subjects with unmethylated MGMT will only receive one cycle of adjuvant TMZ; however, their vaccine schedule will follow the same 4 (+ 2) week TMZ cycle schedule.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Following RT, patients will be randomized into 1 of 3 groups. Groups 1 and 2 will be blinded. The groups differ in the type of pre-conditioning received prior to DC vaccine #4; additionally, Group 3 will be receiving infusions of varlilumab 7 days prior to and with vaccine #1 and 7 days prior to vaccine #3+. The pre-conditioning for each group is as follows: Group 1: Unpulsed DC pre-conditioning prior to DC vaccine #4; Group 2: Tetanus-diphtheria (Td) pre-conditioning prior to DC vaccine #4; Group 3: Td pre-</w:t>
            </w:r>
            <w:r w:rsidRPr="000A6EBE">
              <w:rPr>
                <w:rFonts w:ascii="Aptos Narrow" w:eastAsia="Times New Roman" w:hAnsi="Aptos Narrow"/>
                <w:color w:val="000000"/>
                <w:sz w:val="16"/>
                <w:szCs w:val="16"/>
                <w:lang w:val="en-HK" w:eastAsia="zh-CN"/>
              </w:rPr>
              <w:lastRenderedPageBreak/>
              <w:t>conditioning prior to DC vaccine #4 and varlilumab infusion at 7 days prior to each DC vaccine (except DC vaccine #2) with Td pre-conditioning prior to vaccine #4.</w:t>
            </w:r>
          </w:p>
        </w:tc>
        <w:tc>
          <w:tcPr>
            <w:tcW w:w="279" w:type="dxa"/>
            <w:tcBorders>
              <w:top w:val="nil"/>
              <w:left w:val="nil"/>
              <w:bottom w:val="nil"/>
              <w:right w:val="nil"/>
            </w:tcBorders>
            <w:shd w:val="clear" w:color="auto" w:fill="auto"/>
            <w:noWrap/>
            <w:vAlign w:val="center"/>
            <w:hideMark/>
          </w:tcPr>
          <w:p w14:paraId="3252DA7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F9443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w:t>
            </w:r>
          </w:p>
        </w:tc>
        <w:tc>
          <w:tcPr>
            <w:tcW w:w="1574" w:type="dxa"/>
            <w:tcBorders>
              <w:top w:val="nil"/>
              <w:left w:val="nil"/>
              <w:bottom w:val="nil"/>
              <w:right w:val="nil"/>
            </w:tcBorders>
            <w:shd w:val="clear" w:color="auto" w:fill="auto"/>
            <w:noWrap/>
            <w:vAlign w:val="center"/>
            <w:hideMark/>
          </w:tcPr>
          <w:p w14:paraId="65E9978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Human CMV pp65-LAMP mRNA-pulsed autologous DCs|DRUG: Temozolomide|BIOLOGICAL: Varlilumab|BIOLOGICAL: Td|BIOLOGICAL: Unpulsed DCs</w:t>
            </w:r>
          </w:p>
        </w:tc>
        <w:tc>
          <w:tcPr>
            <w:tcW w:w="1152" w:type="dxa"/>
            <w:tcBorders>
              <w:top w:val="nil"/>
              <w:left w:val="nil"/>
              <w:bottom w:val="nil"/>
              <w:right w:val="nil"/>
            </w:tcBorders>
            <w:shd w:val="clear" w:color="auto" w:fill="auto"/>
            <w:noWrap/>
            <w:vAlign w:val="center"/>
            <w:hideMark/>
          </w:tcPr>
          <w:p w14:paraId="4D673E8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Annick Desjardins, MD</w:t>
            </w:r>
          </w:p>
        </w:tc>
        <w:tc>
          <w:tcPr>
            <w:tcW w:w="1006" w:type="dxa"/>
            <w:tcBorders>
              <w:top w:val="nil"/>
              <w:left w:val="nil"/>
              <w:bottom w:val="nil"/>
              <w:right w:val="nil"/>
            </w:tcBorders>
            <w:shd w:val="clear" w:color="auto" w:fill="auto"/>
            <w:noWrap/>
            <w:vAlign w:val="center"/>
            <w:hideMark/>
          </w:tcPr>
          <w:p w14:paraId="0CD7BA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4B2D108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ADF6FE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26/08/2020</w:t>
            </w:r>
          </w:p>
        </w:tc>
        <w:tc>
          <w:tcPr>
            <w:tcW w:w="766" w:type="dxa"/>
            <w:tcBorders>
              <w:top w:val="nil"/>
              <w:left w:val="nil"/>
              <w:bottom w:val="nil"/>
              <w:right w:val="nil"/>
            </w:tcBorders>
            <w:shd w:val="clear" w:color="auto" w:fill="auto"/>
            <w:noWrap/>
            <w:vAlign w:val="center"/>
            <w:hideMark/>
          </w:tcPr>
          <w:p w14:paraId="08D56D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170B3FEA" w14:textId="77777777" w:rsidTr="00AB1828">
        <w:trPr>
          <w:trHeight w:val="360"/>
        </w:trPr>
        <w:tc>
          <w:tcPr>
            <w:tcW w:w="861" w:type="dxa"/>
            <w:tcBorders>
              <w:top w:val="nil"/>
              <w:left w:val="nil"/>
              <w:bottom w:val="nil"/>
              <w:right w:val="nil"/>
            </w:tcBorders>
            <w:shd w:val="clear" w:color="auto" w:fill="auto"/>
            <w:noWrap/>
            <w:vAlign w:val="center"/>
            <w:hideMark/>
          </w:tcPr>
          <w:p w14:paraId="694E37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NCT04423549</w:t>
            </w:r>
          </w:p>
        </w:tc>
        <w:tc>
          <w:tcPr>
            <w:tcW w:w="1354" w:type="dxa"/>
            <w:tcBorders>
              <w:top w:val="nil"/>
              <w:left w:val="nil"/>
              <w:bottom w:val="nil"/>
              <w:right w:val="nil"/>
            </w:tcBorders>
            <w:shd w:val="clear" w:color="auto" w:fill="auto"/>
            <w:noWrap/>
            <w:vAlign w:val="center"/>
            <w:hideMark/>
          </w:tcPr>
          <w:p w14:paraId="78B3DA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Predictive Value of a mRNA Signature and Liquid Biopsy in Diffuse Large B Cell Lymphoma</w:t>
            </w:r>
          </w:p>
        </w:tc>
        <w:tc>
          <w:tcPr>
            <w:tcW w:w="1483" w:type="dxa"/>
            <w:tcBorders>
              <w:top w:val="nil"/>
              <w:left w:val="nil"/>
              <w:bottom w:val="nil"/>
              <w:right w:val="nil"/>
            </w:tcBorders>
            <w:shd w:val="clear" w:color="auto" w:fill="auto"/>
            <w:noWrap/>
            <w:vAlign w:val="center"/>
            <w:hideMark/>
          </w:tcPr>
          <w:p w14:paraId="26C9B92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23D0BB4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determine the predictive value of a mRNA signature and liquid biopsy in patients with Diffuse Large B cell lymphoma.</w:t>
            </w:r>
          </w:p>
        </w:tc>
        <w:tc>
          <w:tcPr>
            <w:tcW w:w="279" w:type="dxa"/>
            <w:tcBorders>
              <w:top w:val="nil"/>
              <w:left w:val="nil"/>
              <w:bottom w:val="nil"/>
              <w:right w:val="nil"/>
            </w:tcBorders>
            <w:shd w:val="clear" w:color="auto" w:fill="auto"/>
            <w:noWrap/>
            <w:vAlign w:val="center"/>
            <w:hideMark/>
          </w:tcPr>
          <w:p w14:paraId="19AC54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3622" w:type="dxa"/>
            <w:gridSpan w:val="2"/>
            <w:tcBorders>
              <w:top w:val="nil"/>
              <w:left w:val="nil"/>
              <w:bottom w:val="nil"/>
              <w:right w:val="nil"/>
            </w:tcBorders>
            <w:shd w:val="clear" w:color="auto" w:fill="auto"/>
            <w:noWrap/>
            <w:vAlign w:val="center"/>
            <w:hideMark/>
          </w:tcPr>
          <w:p w14:paraId="0342D74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Diffuse Large B Cell Lymphoma</w:t>
            </w:r>
          </w:p>
        </w:tc>
        <w:tc>
          <w:tcPr>
            <w:tcW w:w="2158" w:type="dxa"/>
            <w:gridSpan w:val="2"/>
            <w:tcBorders>
              <w:top w:val="nil"/>
              <w:left w:val="nil"/>
              <w:bottom w:val="nil"/>
              <w:right w:val="nil"/>
            </w:tcBorders>
            <w:shd w:val="clear" w:color="auto" w:fill="auto"/>
            <w:noWrap/>
            <w:vAlign w:val="center"/>
            <w:hideMark/>
          </w:tcPr>
          <w:p w14:paraId="364A583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Sun Yat-sen University</w:t>
            </w:r>
          </w:p>
        </w:tc>
        <w:tc>
          <w:tcPr>
            <w:tcW w:w="1006" w:type="dxa"/>
            <w:tcBorders>
              <w:top w:val="nil"/>
              <w:left w:val="nil"/>
              <w:bottom w:val="nil"/>
              <w:right w:val="nil"/>
            </w:tcBorders>
            <w:shd w:val="clear" w:color="auto" w:fill="auto"/>
            <w:noWrap/>
            <w:vAlign w:val="center"/>
            <w:hideMark/>
          </w:tcPr>
          <w:p w14:paraId="5D2765D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4B7ABF7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01/06/2020</w:t>
            </w:r>
          </w:p>
        </w:tc>
        <w:tc>
          <w:tcPr>
            <w:tcW w:w="766" w:type="dxa"/>
            <w:tcBorders>
              <w:top w:val="nil"/>
              <w:left w:val="nil"/>
              <w:bottom w:val="nil"/>
              <w:right w:val="nil"/>
            </w:tcBorders>
            <w:shd w:val="clear" w:color="auto" w:fill="auto"/>
            <w:noWrap/>
            <w:vAlign w:val="center"/>
            <w:hideMark/>
          </w:tcPr>
          <w:p w14:paraId="3F11558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A75CB52" w14:textId="77777777" w:rsidTr="00AB1828">
        <w:trPr>
          <w:trHeight w:val="360"/>
        </w:trPr>
        <w:tc>
          <w:tcPr>
            <w:tcW w:w="861" w:type="dxa"/>
            <w:tcBorders>
              <w:top w:val="nil"/>
              <w:left w:val="nil"/>
              <w:bottom w:val="nil"/>
              <w:right w:val="nil"/>
            </w:tcBorders>
            <w:shd w:val="clear" w:color="auto" w:fill="auto"/>
            <w:noWrap/>
            <w:vAlign w:val="center"/>
            <w:hideMark/>
          </w:tcPr>
          <w:p w14:paraId="259FB1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NCT04382898</w:t>
            </w:r>
          </w:p>
        </w:tc>
        <w:tc>
          <w:tcPr>
            <w:tcW w:w="1354" w:type="dxa"/>
            <w:tcBorders>
              <w:top w:val="nil"/>
              <w:left w:val="nil"/>
              <w:bottom w:val="nil"/>
              <w:right w:val="nil"/>
            </w:tcBorders>
            <w:shd w:val="clear" w:color="auto" w:fill="auto"/>
            <w:noWrap/>
            <w:vAlign w:val="center"/>
            <w:hideMark/>
          </w:tcPr>
          <w:p w14:paraId="7A56214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PRO-MERIT (Prostate Cancer Messenger RNA Immunotherapy)</w:t>
            </w:r>
          </w:p>
        </w:tc>
        <w:tc>
          <w:tcPr>
            <w:tcW w:w="1483" w:type="dxa"/>
            <w:tcBorders>
              <w:top w:val="nil"/>
              <w:left w:val="nil"/>
              <w:bottom w:val="nil"/>
              <w:right w:val="nil"/>
            </w:tcBorders>
            <w:shd w:val="clear" w:color="auto" w:fill="auto"/>
            <w:noWrap/>
            <w:vAlign w:val="center"/>
            <w:hideMark/>
          </w:tcPr>
          <w:p w14:paraId="5548215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4B342AC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Open-label, multicenter, dose titration and four-arm expansion trial to evaluate the safety, tolerability, immunogenicity, and preliminary efficacy of BNT112 cancer vaccine (BNT112) monotherapy or in combination with cemiplimab in patients with metastatic castration resistant prostate cancer (mCRPC: Part 1 and Part 2 Arms 1A and 1B) and in patients with high-risk, localized prostate cancer (LPC).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lastRenderedPageBreak/>
              <w:t>As of February 2023, the trial will be only recruiting LPC patients and no longer mCRPC patients.</w:t>
            </w:r>
          </w:p>
        </w:tc>
        <w:tc>
          <w:tcPr>
            <w:tcW w:w="279" w:type="dxa"/>
            <w:tcBorders>
              <w:top w:val="nil"/>
              <w:left w:val="nil"/>
              <w:bottom w:val="nil"/>
              <w:right w:val="nil"/>
            </w:tcBorders>
            <w:shd w:val="clear" w:color="auto" w:fill="auto"/>
            <w:noWrap/>
            <w:vAlign w:val="center"/>
            <w:hideMark/>
          </w:tcPr>
          <w:p w14:paraId="2B59C6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E2C43E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w:t>
            </w:r>
          </w:p>
        </w:tc>
        <w:tc>
          <w:tcPr>
            <w:tcW w:w="1574" w:type="dxa"/>
            <w:tcBorders>
              <w:top w:val="nil"/>
              <w:left w:val="nil"/>
              <w:bottom w:val="nil"/>
              <w:right w:val="nil"/>
            </w:tcBorders>
            <w:shd w:val="clear" w:color="auto" w:fill="auto"/>
            <w:noWrap/>
            <w:vAlign w:val="center"/>
            <w:hideMark/>
          </w:tcPr>
          <w:p w14:paraId="733676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BNT112|DRUG: Cemiplimab</w:t>
            </w:r>
          </w:p>
        </w:tc>
        <w:tc>
          <w:tcPr>
            <w:tcW w:w="1152" w:type="dxa"/>
            <w:tcBorders>
              <w:top w:val="nil"/>
              <w:left w:val="nil"/>
              <w:bottom w:val="nil"/>
              <w:right w:val="nil"/>
            </w:tcBorders>
            <w:shd w:val="clear" w:color="auto" w:fill="auto"/>
            <w:noWrap/>
            <w:vAlign w:val="center"/>
            <w:hideMark/>
          </w:tcPr>
          <w:p w14:paraId="0B7EF7D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BioNTech SE</w:t>
            </w:r>
          </w:p>
        </w:tc>
        <w:tc>
          <w:tcPr>
            <w:tcW w:w="1006" w:type="dxa"/>
            <w:tcBorders>
              <w:top w:val="nil"/>
              <w:left w:val="nil"/>
              <w:bottom w:val="nil"/>
              <w:right w:val="nil"/>
            </w:tcBorders>
            <w:shd w:val="clear" w:color="auto" w:fill="auto"/>
            <w:noWrap/>
            <w:vAlign w:val="center"/>
            <w:hideMark/>
          </w:tcPr>
          <w:p w14:paraId="20F5B9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DE60C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D79425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19/12/2019</w:t>
            </w:r>
          </w:p>
        </w:tc>
        <w:tc>
          <w:tcPr>
            <w:tcW w:w="766" w:type="dxa"/>
            <w:tcBorders>
              <w:top w:val="nil"/>
              <w:left w:val="nil"/>
              <w:bottom w:val="nil"/>
              <w:right w:val="nil"/>
            </w:tcBorders>
            <w:shd w:val="clear" w:color="auto" w:fill="auto"/>
            <w:noWrap/>
            <w:vAlign w:val="center"/>
            <w:hideMark/>
          </w:tcPr>
          <w:p w14:paraId="3FF3E3C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DD4ECF7" w14:textId="77777777" w:rsidTr="00AB1828">
        <w:trPr>
          <w:trHeight w:val="360"/>
        </w:trPr>
        <w:tc>
          <w:tcPr>
            <w:tcW w:w="861" w:type="dxa"/>
            <w:tcBorders>
              <w:top w:val="nil"/>
              <w:left w:val="nil"/>
              <w:bottom w:val="nil"/>
              <w:right w:val="nil"/>
            </w:tcBorders>
            <w:shd w:val="clear" w:color="auto" w:fill="auto"/>
            <w:noWrap/>
            <w:vAlign w:val="center"/>
            <w:hideMark/>
          </w:tcPr>
          <w:p w14:paraId="6405B8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NCT04382898</w:t>
            </w:r>
          </w:p>
        </w:tc>
        <w:tc>
          <w:tcPr>
            <w:tcW w:w="1354" w:type="dxa"/>
            <w:tcBorders>
              <w:top w:val="nil"/>
              <w:left w:val="nil"/>
              <w:bottom w:val="nil"/>
              <w:right w:val="nil"/>
            </w:tcBorders>
            <w:shd w:val="clear" w:color="auto" w:fill="auto"/>
            <w:noWrap/>
            <w:vAlign w:val="center"/>
            <w:hideMark/>
          </w:tcPr>
          <w:p w14:paraId="4A8774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PRO-MERIT (Prostate Cancer Messenger RNA Immunotherapy)</w:t>
            </w:r>
          </w:p>
        </w:tc>
        <w:tc>
          <w:tcPr>
            <w:tcW w:w="1483" w:type="dxa"/>
            <w:tcBorders>
              <w:top w:val="nil"/>
              <w:left w:val="nil"/>
              <w:bottom w:val="nil"/>
              <w:right w:val="nil"/>
            </w:tcBorders>
            <w:shd w:val="clear" w:color="auto" w:fill="auto"/>
            <w:noWrap/>
            <w:vAlign w:val="center"/>
            <w:hideMark/>
          </w:tcPr>
          <w:p w14:paraId="49954D9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7FCFAEF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Open-label, multicenter, dose titration and four-arm expansion trial to evaluate the safety, tolerability, immunogenicity, and preliminary efficacy of BNT112 cancer vaccine (BNT112) monotherapy or in combination with cemiplimab in patients with metastatic castration resistant prostate cancer (mCRPC: Part 1 and Part 2 Arms 1A and 1B) and in patients with high-risk, localized prostate cancer (LPC).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As of February 2023, the trial will be only recruiting LPC patients and no longer mCRPC patients.</w:t>
            </w:r>
          </w:p>
        </w:tc>
        <w:tc>
          <w:tcPr>
            <w:tcW w:w="279" w:type="dxa"/>
            <w:tcBorders>
              <w:top w:val="nil"/>
              <w:left w:val="nil"/>
              <w:bottom w:val="nil"/>
              <w:right w:val="nil"/>
            </w:tcBorders>
            <w:shd w:val="clear" w:color="auto" w:fill="auto"/>
            <w:noWrap/>
            <w:vAlign w:val="center"/>
            <w:hideMark/>
          </w:tcPr>
          <w:p w14:paraId="5D7925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0B9261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w:t>
            </w:r>
          </w:p>
        </w:tc>
        <w:tc>
          <w:tcPr>
            <w:tcW w:w="1574" w:type="dxa"/>
            <w:tcBorders>
              <w:top w:val="nil"/>
              <w:left w:val="nil"/>
              <w:bottom w:val="nil"/>
              <w:right w:val="nil"/>
            </w:tcBorders>
            <w:shd w:val="clear" w:color="auto" w:fill="auto"/>
            <w:noWrap/>
            <w:vAlign w:val="center"/>
            <w:hideMark/>
          </w:tcPr>
          <w:p w14:paraId="09BAA3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BNT112|DRUG: Cemiplimab</w:t>
            </w:r>
          </w:p>
        </w:tc>
        <w:tc>
          <w:tcPr>
            <w:tcW w:w="1152" w:type="dxa"/>
            <w:tcBorders>
              <w:top w:val="nil"/>
              <w:left w:val="nil"/>
              <w:bottom w:val="nil"/>
              <w:right w:val="nil"/>
            </w:tcBorders>
            <w:shd w:val="clear" w:color="auto" w:fill="auto"/>
            <w:noWrap/>
            <w:vAlign w:val="center"/>
            <w:hideMark/>
          </w:tcPr>
          <w:p w14:paraId="580E55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BioNTech SE</w:t>
            </w:r>
          </w:p>
        </w:tc>
        <w:tc>
          <w:tcPr>
            <w:tcW w:w="1006" w:type="dxa"/>
            <w:tcBorders>
              <w:top w:val="nil"/>
              <w:left w:val="nil"/>
              <w:bottom w:val="nil"/>
              <w:right w:val="nil"/>
            </w:tcBorders>
            <w:shd w:val="clear" w:color="auto" w:fill="auto"/>
            <w:noWrap/>
            <w:vAlign w:val="center"/>
            <w:hideMark/>
          </w:tcPr>
          <w:p w14:paraId="38F42F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ACF2D5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90A8B3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19/12/2019</w:t>
            </w:r>
          </w:p>
        </w:tc>
        <w:tc>
          <w:tcPr>
            <w:tcW w:w="766" w:type="dxa"/>
            <w:tcBorders>
              <w:top w:val="nil"/>
              <w:left w:val="nil"/>
              <w:bottom w:val="nil"/>
              <w:right w:val="nil"/>
            </w:tcBorders>
            <w:shd w:val="clear" w:color="auto" w:fill="auto"/>
            <w:noWrap/>
            <w:vAlign w:val="center"/>
            <w:hideMark/>
          </w:tcPr>
          <w:p w14:paraId="348C84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8E7C5EA" w14:textId="77777777" w:rsidTr="00AB1828">
        <w:trPr>
          <w:trHeight w:val="360"/>
        </w:trPr>
        <w:tc>
          <w:tcPr>
            <w:tcW w:w="861" w:type="dxa"/>
            <w:tcBorders>
              <w:top w:val="nil"/>
              <w:left w:val="nil"/>
              <w:bottom w:val="nil"/>
              <w:right w:val="nil"/>
            </w:tcBorders>
            <w:shd w:val="clear" w:color="auto" w:fill="auto"/>
            <w:noWrap/>
            <w:vAlign w:val="center"/>
            <w:hideMark/>
          </w:tcPr>
          <w:p w14:paraId="3C938A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NCT04382898</w:t>
            </w:r>
          </w:p>
        </w:tc>
        <w:tc>
          <w:tcPr>
            <w:tcW w:w="1354" w:type="dxa"/>
            <w:tcBorders>
              <w:top w:val="nil"/>
              <w:left w:val="nil"/>
              <w:bottom w:val="nil"/>
              <w:right w:val="nil"/>
            </w:tcBorders>
            <w:shd w:val="clear" w:color="auto" w:fill="auto"/>
            <w:noWrap/>
            <w:vAlign w:val="center"/>
            <w:hideMark/>
          </w:tcPr>
          <w:p w14:paraId="032CE2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PRO-MERIT (Prostate Cancer Messenger RNA Immunotherapy)</w:t>
            </w:r>
          </w:p>
        </w:tc>
        <w:tc>
          <w:tcPr>
            <w:tcW w:w="1483" w:type="dxa"/>
            <w:tcBorders>
              <w:top w:val="nil"/>
              <w:left w:val="nil"/>
              <w:bottom w:val="nil"/>
              <w:right w:val="nil"/>
            </w:tcBorders>
            <w:shd w:val="clear" w:color="auto" w:fill="auto"/>
            <w:noWrap/>
            <w:vAlign w:val="center"/>
            <w:hideMark/>
          </w:tcPr>
          <w:p w14:paraId="6BEA88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1F8F621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Open-label, multicenter, dose titration and four-arm expansion trial to evaluate the safety, tolerability, </w:t>
            </w:r>
            <w:r w:rsidRPr="000A6EBE">
              <w:rPr>
                <w:rFonts w:ascii="Aptos Narrow" w:eastAsia="Times New Roman" w:hAnsi="Aptos Narrow"/>
                <w:color w:val="000000"/>
                <w:sz w:val="16"/>
                <w:szCs w:val="16"/>
                <w:lang w:val="en-HK" w:eastAsia="zh-CN"/>
              </w:rPr>
              <w:lastRenderedPageBreak/>
              <w:t>immunogenicity, and preliminary efficacy of BNT112 cancer vaccine (BNT112) monotherapy or in combination with cemiplimab in patients with metastatic castration resistant prostate cancer (mCRPC: Part 1 and Part 2 Arms 1A and 1B) and in patients with high-risk, localized prostate cancer (LPC).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As of February 2023, the trial will be only recruiting LPC patients and no longer mCRPC patients.</w:t>
            </w:r>
          </w:p>
        </w:tc>
        <w:tc>
          <w:tcPr>
            <w:tcW w:w="279" w:type="dxa"/>
            <w:tcBorders>
              <w:top w:val="nil"/>
              <w:left w:val="nil"/>
              <w:bottom w:val="nil"/>
              <w:right w:val="nil"/>
            </w:tcBorders>
            <w:shd w:val="clear" w:color="auto" w:fill="auto"/>
            <w:noWrap/>
            <w:vAlign w:val="center"/>
            <w:hideMark/>
          </w:tcPr>
          <w:p w14:paraId="5AB2E4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BFC60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w:t>
            </w:r>
          </w:p>
        </w:tc>
        <w:tc>
          <w:tcPr>
            <w:tcW w:w="1574" w:type="dxa"/>
            <w:tcBorders>
              <w:top w:val="nil"/>
              <w:left w:val="nil"/>
              <w:bottom w:val="nil"/>
              <w:right w:val="nil"/>
            </w:tcBorders>
            <w:shd w:val="clear" w:color="auto" w:fill="auto"/>
            <w:noWrap/>
            <w:vAlign w:val="center"/>
            <w:hideMark/>
          </w:tcPr>
          <w:p w14:paraId="3C0BEE5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BNT112|DRUG: Cemiplimab</w:t>
            </w:r>
          </w:p>
        </w:tc>
        <w:tc>
          <w:tcPr>
            <w:tcW w:w="1152" w:type="dxa"/>
            <w:tcBorders>
              <w:top w:val="nil"/>
              <w:left w:val="nil"/>
              <w:bottom w:val="nil"/>
              <w:right w:val="nil"/>
            </w:tcBorders>
            <w:shd w:val="clear" w:color="auto" w:fill="auto"/>
            <w:noWrap/>
            <w:vAlign w:val="center"/>
            <w:hideMark/>
          </w:tcPr>
          <w:p w14:paraId="30C286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BioNTech SE</w:t>
            </w:r>
          </w:p>
        </w:tc>
        <w:tc>
          <w:tcPr>
            <w:tcW w:w="1006" w:type="dxa"/>
            <w:tcBorders>
              <w:top w:val="nil"/>
              <w:left w:val="nil"/>
              <w:bottom w:val="nil"/>
              <w:right w:val="nil"/>
            </w:tcBorders>
            <w:shd w:val="clear" w:color="auto" w:fill="auto"/>
            <w:noWrap/>
            <w:vAlign w:val="center"/>
            <w:hideMark/>
          </w:tcPr>
          <w:p w14:paraId="31AF882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36068F2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4AF200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19/12/2019</w:t>
            </w:r>
          </w:p>
        </w:tc>
        <w:tc>
          <w:tcPr>
            <w:tcW w:w="766" w:type="dxa"/>
            <w:tcBorders>
              <w:top w:val="nil"/>
              <w:left w:val="nil"/>
              <w:bottom w:val="nil"/>
              <w:right w:val="nil"/>
            </w:tcBorders>
            <w:shd w:val="clear" w:color="auto" w:fill="auto"/>
            <w:noWrap/>
            <w:vAlign w:val="center"/>
            <w:hideMark/>
          </w:tcPr>
          <w:p w14:paraId="3D6CFB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A04720D" w14:textId="77777777" w:rsidTr="00AB1828">
        <w:trPr>
          <w:trHeight w:val="360"/>
        </w:trPr>
        <w:tc>
          <w:tcPr>
            <w:tcW w:w="861" w:type="dxa"/>
            <w:tcBorders>
              <w:top w:val="nil"/>
              <w:left w:val="nil"/>
              <w:bottom w:val="nil"/>
              <w:right w:val="nil"/>
            </w:tcBorders>
            <w:shd w:val="clear" w:color="auto" w:fill="auto"/>
            <w:noWrap/>
            <w:vAlign w:val="center"/>
            <w:hideMark/>
          </w:tcPr>
          <w:p w14:paraId="0EA071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NCT04163094</w:t>
            </w:r>
          </w:p>
        </w:tc>
        <w:tc>
          <w:tcPr>
            <w:tcW w:w="1354" w:type="dxa"/>
            <w:tcBorders>
              <w:top w:val="nil"/>
              <w:left w:val="nil"/>
              <w:bottom w:val="nil"/>
              <w:right w:val="nil"/>
            </w:tcBorders>
            <w:shd w:val="clear" w:color="auto" w:fill="auto"/>
            <w:noWrap/>
            <w:vAlign w:val="center"/>
            <w:hideMark/>
          </w:tcPr>
          <w:p w14:paraId="3C32373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Ovarian Cancer Treatment With a Liposome Formulated mRNA Vaccine in Combination With (Neo-)Adjuvant Chemotherapy</w:t>
            </w:r>
          </w:p>
        </w:tc>
        <w:tc>
          <w:tcPr>
            <w:tcW w:w="1483" w:type="dxa"/>
            <w:tcBorders>
              <w:top w:val="nil"/>
              <w:left w:val="nil"/>
              <w:bottom w:val="nil"/>
              <w:right w:val="nil"/>
            </w:tcBorders>
            <w:shd w:val="clear" w:color="auto" w:fill="auto"/>
            <w:noWrap/>
            <w:vAlign w:val="center"/>
            <w:hideMark/>
          </w:tcPr>
          <w:p w14:paraId="6D7D54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7C15430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first-in-human, open label phase I study in ovarian cancer patients with primary disease eligible for standard-of-care treatment with neo-adjuvant chemotherapy, i.e. 3 cycles carboplatin/paclitaxel, interval surgery and 3 additional cycles carboplatin/paclitaxel. Eight doses of the W_ova1 vaccine will be </w:t>
            </w:r>
            <w:r w:rsidRPr="000A6EBE">
              <w:rPr>
                <w:rFonts w:ascii="Aptos Narrow" w:eastAsia="Times New Roman" w:hAnsi="Aptos Narrow"/>
                <w:color w:val="000000"/>
                <w:sz w:val="16"/>
                <w:szCs w:val="16"/>
                <w:lang w:val="en-HK" w:eastAsia="zh-CN"/>
              </w:rPr>
              <w:lastRenderedPageBreak/>
              <w:t xml:space="preserve">administered prior and in combination with the (neo-)adjuvant chemotherapy to induce an anti-tumor immune response. Systemic immune responses are determined using peripheral blood mononuclear cells collected before, during and after vaccinations. Intratumoral accumulation of T-cells recognizing vaccine-encoded TAAs will be determined before vaccination in a tumor biopsy and after the 3 cycles of chemotherapy and the 5th vaccination using tumor tissue derived from interval surgery. \[18F\]FB-IL2 PET-CT will be used for the non-invasive assessment of T-cell activation and correlated to immunohistochemistry tumor tissue data from pre-treatment biopsy and </w:t>
            </w:r>
            <w:r w:rsidRPr="000A6EBE">
              <w:rPr>
                <w:rFonts w:ascii="Aptos Narrow" w:eastAsia="Times New Roman" w:hAnsi="Aptos Narrow"/>
                <w:color w:val="000000"/>
                <w:sz w:val="16"/>
                <w:szCs w:val="16"/>
                <w:lang w:val="en-HK" w:eastAsia="zh-CN"/>
              </w:rPr>
              <w:lastRenderedPageBreak/>
              <w:t>interval debulking surgery</w:t>
            </w:r>
          </w:p>
        </w:tc>
        <w:tc>
          <w:tcPr>
            <w:tcW w:w="279" w:type="dxa"/>
            <w:tcBorders>
              <w:top w:val="nil"/>
              <w:left w:val="nil"/>
              <w:bottom w:val="nil"/>
              <w:right w:val="nil"/>
            </w:tcBorders>
            <w:shd w:val="clear" w:color="auto" w:fill="auto"/>
            <w:noWrap/>
            <w:vAlign w:val="center"/>
            <w:hideMark/>
          </w:tcPr>
          <w:p w14:paraId="56BA78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AA90A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Ovarian Cancer</w:t>
            </w:r>
          </w:p>
        </w:tc>
        <w:tc>
          <w:tcPr>
            <w:tcW w:w="1574" w:type="dxa"/>
            <w:tcBorders>
              <w:top w:val="nil"/>
              <w:left w:val="nil"/>
              <w:bottom w:val="nil"/>
              <w:right w:val="nil"/>
            </w:tcBorders>
            <w:shd w:val="clear" w:color="auto" w:fill="auto"/>
            <w:noWrap/>
            <w:vAlign w:val="center"/>
            <w:hideMark/>
          </w:tcPr>
          <w:p w14:paraId="520AE50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W_ova1 Vaccine</w:t>
            </w:r>
          </w:p>
        </w:tc>
        <w:tc>
          <w:tcPr>
            <w:tcW w:w="1152" w:type="dxa"/>
            <w:tcBorders>
              <w:top w:val="nil"/>
              <w:left w:val="nil"/>
              <w:bottom w:val="nil"/>
              <w:right w:val="nil"/>
            </w:tcBorders>
            <w:shd w:val="clear" w:color="auto" w:fill="auto"/>
            <w:noWrap/>
            <w:vAlign w:val="center"/>
            <w:hideMark/>
          </w:tcPr>
          <w:p w14:paraId="07017CD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Medical Center Groningen</w:t>
            </w:r>
          </w:p>
        </w:tc>
        <w:tc>
          <w:tcPr>
            <w:tcW w:w="1006" w:type="dxa"/>
            <w:tcBorders>
              <w:top w:val="nil"/>
              <w:left w:val="nil"/>
              <w:bottom w:val="nil"/>
              <w:right w:val="nil"/>
            </w:tcBorders>
            <w:shd w:val="clear" w:color="auto" w:fill="auto"/>
            <w:noWrap/>
            <w:vAlign w:val="center"/>
            <w:hideMark/>
          </w:tcPr>
          <w:p w14:paraId="5F1EED2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07D52C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2DD731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25/11/2019</w:t>
            </w:r>
          </w:p>
        </w:tc>
        <w:tc>
          <w:tcPr>
            <w:tcW w:w="766" w:type="dxa"/>
            <w:tcBorders>
              <w:top w:val="nil"/>
              <w:left w:val="nil"/>
              <w:bottom w:val="nil"/>
              <w:right w:val="nil"/>
            </w:tcBorders>
            <w:shd w:val="clear" w:color="auto" w:fill="auto"/>
            <w:noWrap/>
            <w:vAlign w:val="center"/>
            <w:hideMark/>
          </w:tcPr>
          <w:p w14:paraId="2493ED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4C844757" w14:textId="77777777" w:rsidTr="00AB1828">
        <w:trPr>
          <w:trHeight w:val="360"/>
        </w:trPr>
        <w:tc>
          <w:tcPr>
            <w:tcW w:w="861" w:type="dxa"/>
            <w:tcBorders>
              <w:top w:val="nil"/>
              <w:left w:val="nil"/>
              <w:bottom w:val="nil"/>
              <w:right w:val="nil"/>
            </w:tcBorders>
            <w:shd w:val="clear" w:color="auto" w:fill="auto"/>
            <w:noWrap/>
            <w:vAlign w:val="center"/>
            <w:hideMark/>
          </w:tcPr>
          <w:p w14:paraId="779841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NCT04943380</w:t>
            </w:r>
          </w:p>
        </w:tc>
        <w:tc>
          <w:tcPr>
            <w:tcW w:w="1354" w:type="dxa"/>
            <w:tcBorders>
              <w:top w:val="nil"/>
              <w:left w:val="nil"/>
              <w:bottom w:val="nil"/>
              <w:right w:val="nil"/>
            </w:tcBorders>
            <w:shd w:val="clear" w:color="auto" w:fill="auto"/>
            <w:noWrap/>
            <w:vAlign w:val="center"/>
            <w:hideMark/>
          </w:tcPr>
          <w:p w14:paraId="2726F0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Efficacy and Utility of Cxbladder Tests in Hematuria Patients</w:t>
            </w:r>
          </w:p>
        </w:tc>
        <w:tc>
          <w:tcPr>
            <w:tcW w:w="1483" w:type="dxa"/>
            <w:tcBorders>
              <w:top w:val="nil"/>
              <w:left w:val="nil"/>
              <w:bottom w:val="nil"/>
              <w:right w:val="nil"/>
            </w:tcBorders>
            <w:shd w:val="clear" w:color="auto" w:fill="auto"/>
            <w:noWrap/>
            <w:vAlign w:val="center"/>
            <w:hideMark/>
          </w:tcPr>
          <w:p w14:paraId="1BDE93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noWrap/>
            <w:vAlign w:val="center"/>
            <w:hideMark/>
          </w:tcPr>
          <w:p w14:paraId="44CC2AF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Prospective observational study to validate the performance characteristics and clinical utility of Cxbladder tests in a Veterans Affairs cohort.</w:t>
            </w:r>
          </w:p>
        </w:tc>
        <w:tc>
          <w:tcPr>
            <w:tcW w:w="279" w:type="dxa"/>
            <w:tcBorders>
              <w:top w:val="nil"/>
              <w:left w:val="nil"/>
              <w:bottom w:val="nil"/>
              <w:right w:val="nil"/>
            </w:tcBorders>
            <w:shd w:val="clear" w:color="auto" w:fill="auto"/>
            <w:noWrap/>
            <w:vAlign w:val="center"/>
            <w:hideMark/>
          </w:tcPr>
          <w:p w14:paraId="67997E2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068892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Hematuria|Urothelial Carcinoma</w:t>
            </w:r>
          </w:p>
        </w:tc>
        <w:tc>
          <w:tcPr>
            <w:tcW w:w="1574" w:type="dxa"/>
            <w:tcBorders>
              <w:top w:val="nil"/>
              <w:left w:val="nil"/>
              <w:bottom w:val="nil"/>
              <w:right w:val="nil"/>
            </w:tcBorders>
            <w:shd w:val="clear" w:color="auto" w:fill="auto"/>
            <w:noWrap/>
            <w:vAlign w:val="center"/>
            <w:hideMark/>
          </w:tcPr>
          <w:p w14:paraId="406922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DIAGNOSTIC_TEST: Cxbladder</w:t>
            </w:r>
          </w:p>
        </w:tc>
        <w:tc>
          <w:tcPr>
            <w:tcW w:w="2158" w:type="dxa"/>
            <w:gridSpan w:val="2"/>
            <w:tcBorders>
              <w:top w:val="nil"/>
              <w:left w:val="nil"/>
              <w:bottom w:val="nil"/>
              <w:right w:val="nil"/>
            </w:tcBorders>
            <w:shd w:val="clear" w:color="auto" w:fill="auto"/>
            <w:noWrap/>
            <w:vAlign w:val="center"/>
            <w:hideMark/>
          </w:tcPr>
          <w:p w14:paraId="1C5E495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Pacific Edge Limited</w:t>
            </w:r>
          </w:p>
        </w:tc>
        <w:tc>
          <w:tcPr>
            <w:tcW w:w="1006" w:type="dxa"/>
            <w:tcBorders>
              <w:top w:val="nil"/>
              <w:left w:val="nil"/>
              <w:bottom w:val="nil"/>
              <w:right w:val="nil"/>
            </w:tcBorders>
            <w:shd w:val="clear" w:color="auto" w:fill="auto"/>
            <w:noWrap/>
            <w:vAlign w:val="center"/>
            <w:hideMark/>
          </w:tcPr>
          <w:p w14:paraId="683086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28A73B1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08/11/2019</w:t>
            </w:r>
          </w:p>
        </w:tc>
        <w:tc>
          <w:tcPr>
            <w:tcW w:w="766" w:type="dxa"/>
            <w:tcBorders>
              <w:top w:val="nil"/>
              <w:left w:val="nil"/>
              <w:bottom w:val="nil"/>
              <w:right w:val="nil"/>
            </w:tcBorders>
            <w:shd w:val="clear" w:color="auto" w:fill="auto"/>
            <w:noWrap/>
            <w:vAlign w:val="center"/>
            <w:hideMark/>
          </w:tcPr>
          <w:p w14:paraId="329300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A51FA73" w14:textId="77777777" w:rsidTr="00AB1828">
        <w:trPr>
          <w:trHeight w:val="360"/>
        </w:trPr>
        <w:tc>
          <w:tcPr>
            <w:tcW w:w="861" w:type="dxa"/>
            <w:tcBorders>
              <w:top w:val="nil"/>
              <w:left w:val="nil"/>
              <w:bottom w:val="nil"/>
              <w:right w:val="nil"/>
            </w:tcBorders>
            <w:shd w:val="clear" w:color="auto" w:fill="auto"/>
            <w:noWrap/>
            <w:vAlign w:val="center"/>
            <w:hideMark/>
          </w:tcPr>
          <w:p w14:paraId="09B1A4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NCT04100733</w:t>
            </w:r>
          </w:p>
        </w:tc>
        <w:tc>
          <w:tcPr>
            <w:tcW w:w="1354" w:type="dxa"/>
            <w:tcBorders>
              <w:top w:val="nil"/>
              <w:left w:val="nil"/>
              <w:bottom w:val="nil"/>
              <w:right w:val="nil"/>
            </w:tcBorders>
            <w:shd w:val="clear" w:color="auto" w:fill="auto"/>
            <w:noWrap/>
            <w:vAlign w:val="center"/>
            <w:hideMark/>
          </w:tcPr>
          <w:p w14:paraId="7EF16E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Surveillance of High-grade Non-muscle Invasive Bladder Tumours Using the Xpert Bladder Cancer Monitor</w:t>
            </w:r>
          </w:p>
        </w:tc>
        <w:tc>
          <w:tcPr>
            <w:tcW w:w="1483" w:type="dxa"/>
            <w:tcBorders>
              <w:top w:val="nil"/>
              <w:left w:val="nil"/>
              <w:bottom w:val="nil"/>
              <w:right w:val="nil"/>
            </w:tcBorders>
            <w:shd w:val="clear" w:color="auto" w:fill="auto"/>
            <w:noWrap/>
            <w:vAlign w:val="center"/>
            <w:hideMark/>
          </w:tcPr>
          <w:p w14:paraId="0F3999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noWrap/>
            <w:vAlign w:val="center"/>
            <w:hideMark/>
          </w:tcPr>
          <w:p w14:paraId="2FC177E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study aims to evaluate the potential clinical impact of a highly sensitive urinary marker, the Xpert Bladder Cancer Monitor, regarding possible reduction in number of flexible cystoscopies in an outpatient setting without decreasing recurrence-free survival or increasing risk of progression.</w:t>
            </w:r>
          </w:p>
        </w:tc>
        <w:tc>
          <w:tcPr>
            <w:tcW w:w="279" w:type="dxa"/>
            <w:tcBorders>
              <w:top w:val="nil"/>
              <w:left w:val="nil"/>
              <w:bottom w:val="nil"/>
              <w:right w:val="nil"/>
            </w:tcBorders>
            <w:shd w:val="clear" w:color="auto" w:fill="auto"/>
            <w:noWrap/>
            <w:vAlign w:val="center"/>
            <w:hideMark/>
          </w:tcPr>
          <w:p w14:paraId="2C225EB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D98855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Non-muscle Invasive Bladder Cancer|Urinary Biomarker</w:t>
            </w:r>
          </w:p>
        </w:tc>
        <w:tc>
          <w:tcPr>
            <w:tcW w:w="1574" w:type="dxa"/>
            <w:tcBorders>
              <w:top w:val="nil"/>
              <w:left w:val="nil"/>
              <w:bottom w:val="nil"/>
              <w:right w:val="nil"/>
            </w:tcBorders>
            <w:shd w:val="clear" w:color="auto" w:fill="auto"/>
            <w:noWrap/>
            <w:vAlign w:val="center"/>
            <w:hideMark/>
          </w:tcPr>
          <w:p w14:paraId="1F406C4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DIAGNOSTIC_TEST: Xpert Bladder Cancer Monitor|DIAGNOSTIC_TEST: Flexible cystoscopy (WL/NBI) and urinary cytology</w:t>
            </w:r>
          </w:p>
        </w:tc>
        <w:tc>
          <w:tcPr>
            <w:tcW w:w="1152" w:type="dxa"/>
            <w:tcBorders>
              <w:top w:val="nil"/>
              <w:left w:val="nil"/>
              <w:bottom w:val="nil"/>
              <w:right w:val="nil"/>
            </w:tcBorders>
            <w:shd w:val="clear" w:color="auto" w:fill="auto"/>
            <w:noWrap/>
            <w:vAlign w:val="center"/>
            <w:hideMark/>
          </w:tcPr>
          <w:p w14:paraId="05864AB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J</w:t>
            </w:r>
            <w:r w:rsidRPr="000A6EBE">
              <w:rPr>
                <w:rFonts w:ascii="Microsoft JhengHei" w:eastAsia="Microsoft JhengHei" w:hAnsi="Microsoft JhengHei" w:cs="Microsoft JhengHei"/>
                <w:color w:val="000000"/>
                <w:sz w:val="16"/>
                <w:szCs w:val="16"/>
                <w:lang w:val="en-HK" w:eastAsia="zh-CN"/>
              </w:rPr>
              <w:t>酶</w:t>
            </w:r>
            <w:r w:rsidRPr="000A6EBE">
              <w:rPr>
                <w:rFonts w:ascii="Aptos Narrow" w:eastAsia="Times New Roman" w:hAnsi="Aptos Narrow"/>
                <w:color w:val="000000"/>
                <w:sz w:val="16"/>
                <w:szCs w:val="16"/>
                <w:lang w:val="en-HK" w:eastAsia="zh-CN"/>
              </w:rPr>
              <w:t>rgen Bjerggaard Jensen</w:t>
            </w:r>
          </w:p>
        </w:tc>
        <w:tc>
          <w:tcPr>
            <w:tcW w:w="1006" w:type="dxa"/>
            <w:tcBorders>
              <w:top w:val="nil"/>
              <w:left w:val="nil"/>
              <w:bottom w:val="nil"/>
              <w:right w:val="nil"/>
            </w:tcBorders>
            <w:shd w:val="clear" w:color="auto" w:fill="auto"/>
            <w:noWrap/>
            <w:vAlign w:val="center"/>
            <w:hideMark/>
          </w:tcPr>
          <w:p w14:paraId="0BEE0C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4672B8E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A2BBFA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01/11/2019</w:t>
            </w:r>
          </w:p>
        </w:tc>
        <w:tc>
          <w:tcPr>
            <w:tcW w:w="766" w:type="dxa"/>
            <w:tcBorders>
              <w:top w:val="nil"/>
              <w:left w:val="nil"/>
              <w:bottom w:val="nil"/>
              <w:right w:val="nil"/>
            </w:tcBorders>
            <w:shd w:val="clear" w:color="auto" w:fill="auto"/>
            <w:noWrap/>
            <w:vAlign w:val="center"/>
            <w:hideMark/>
          </w:tcPr>
          <w:p w14:paraId="3B64EF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91846D5" w14:textId="77777777" w:rsidTr="00AB1828">
        <w:trPr>
          <w:trHeight w:val="360"/>
        </w:trPr>
        <w:tc>
          <w:tcPr>
            <w:tcW w:w="861" w:type="dxa"/>
            <w:tcBorders>
              <w:top w:val="nil"/>
              <w:left w:val="nil"/>
              <w:bottom w:val="nil"/>
              <w:right w:val="nil"/>
            </w:tcBorders>
            <w:shd w:val="clear" w:color="auto" w:fill="auto"/>
            <w:noWrap/>
            <w:vAlign w:val="center"/>
            <w:hideMark/>
          </w:tcPr>
          <w:p w14:paraId="2601E4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NCT03908671</w:t>
            </w:r>
          </w:p>
        </w:tc>
        <w:tc>
          <w:tcPr>
            <w:tcW w:w="1354" w:type="dxa"/>
            <w:tcBorders>
              <w:top w:val="nil"/>
              <w:left w:val="nil"/>
              <w:bottom w:val="nil"/>
              <w:right w:val="nil"/>
            </w:tcBorders>
            <w:shd w:val="clear" w:color="auto" w:fill="auto"/>
            <w:noWrap/>
            <w:vAlign w:val="center"/>
            <w:hideMark/>
          </w:tcPr>
          <w:p w14:paraId="31A6AF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Personalized mRNA Vaccine Encoding Neoantigen in Patients With Advanced Esophageal Cancer and Non-small Cell Lung Cancer</w:t>
            </w:r>
          </w:p>
        </w:tc>
        <w:tc>
          <w:tcPr>
            <w:tcW w:w="1483" w:type="dxa"/>
            <w:tcBorders>
              <w:top w:val="nil"/>
              <w:left w:val="nil"/>
              <w:bottom w:val="nil"/>
              <w:right w:val="nil"/>
            </w:tcBorders>
            <w:shd w:val="clear" w:color="auto" w:fill="auto"/>
            <w:noWrap/>
            <w:vAlign w:val="center"/>
            <w:hideMark/>
          </w:tcPr>
          <w:p w14:paraId="62A7AE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55DF092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single arm, open-label pilot study is designed to determine the safety, tolerability and effectiveness of personalized mRNA tumor vaccine encoding neoantigen in Patients with advanced esophageal cancer and non-small cell lung cancer</w:t>
            </w:r>
          </w:p>
        </w:tc>
        <w:tc>
          <w:tcPr>
            <w:tcW w:w="279" w:type="dxa"/>
            <w:tcBorders>
              <w:top w:val="nil"/>
              <w:left w:val="nil"/>
              <w:bottom w:val="nil"/>
              <w:right w:val="nil"/>
            </w:tcBorders>
            <w:shd w:val="clear" w:color="auto" w:fill="auto"/>
            <w:noWrap/>
            <w:vAlign w:val="center"/>
            <w:hideMark/>
          </w:tcPr>
          <w:p w14:paraId="686FA33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DD470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Esophageal Cancer|Non Small Cell Lung Cancer</w:t>
            </w:r>
          </w:p>
        </w:tc>
        <w:tc>
          <w:tcPr>
            <w:tcW w:w="1574" w:type="dxa"/>
            <w:tcBorders>
              <w:top w:val="nil"/>
              <w:left w:val="nil"/>
              <w:bottom w:val="nil"/>
              <w:right w:val="nil"/>
            </w:tcBorders>
            <w:shd w:val="clear" w:color="auto" w:fill="auto"/>
            <w:noWrap/>
            <w:vAlign w:val="center"/>
            <w:hideMark/>
          </w:tcPr>
          <w:p w14:paraId="79E180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Personalized mRNA Tumor Vaccine</w:t>
            </w:r>
          </w:p>
        </w:tc>
        <w:tc>
          <w:tcPr>
            <w:tcW w:w="1152" w:type="dxa"/>
            <w:tcBorders>
              <w:top w:val="nil"/>
              <w:left w:val="nil"/>
              <w:bottom w:val="nil"/>
              <w:right w:val="nil"/>
            </w:tcBorders>
            <w:shd w:val="clear" w:color="auto" w:fill="auto"/>
            <w:noWrap/>
            <w:vAlign w:val="center"/>
            <w:hideMark/>
          </w:tcPr>
          <w:p w14:paraId="5AFF909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Stemirna Therapeutics</w:t>
            </w:r>
          </w:p>
        </w:tc>
        <w:tc>
          <w:tcPr>
            <w:tcW w:w="1006" w:type="dxa"/>
            <w:tcBorders>
              <w:top w:val="nil"/>
              <w:left w:val="nil"/>
              <w:bottom w:val="nil"/>
              <w:right w:val="nil"/>
            </w:tcBorders>
            <w:shd w:val="clear" w:color="auto" w:fill="auto"/>
            <w:noWrap/>
            <w:vAlign w:val="center"/>
            <w:hideMark/>
          </w:tcPr>
          <w:p w14:paraId="195B0B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54D2709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8367E2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18/10/2019</w:t>
            </w:r>
          </w:p>
        </w:tc>
        <w:tc>
          <w:tcPr>
            <w:tcW w:w="766" w:type="dxa"/>
            <w:tcBorders>
              <w:top w:val="nil"/>
              <w:left w:val="nil"/>
              <w:bottom w:val="nil"/>
              <w:right w:val="nil"/>
            </w:tcBorders>
            <w:shd w:val="clear" w:color="auto" w:fill="auto"/>
            <w:noWrap/>
            <w:vAlign w:val="center"/>
            <w:hideMark/>
          </w:tcPr>
          <w:p w14:paraId="4D92F04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1CB66627" w14:textId="77777777" w:rsidTr="00AB1828">
        <w:trPr>
          <w:trHeight w:val="360"/>
        </w:trPr>
        <w:tc>
          <w:tcPr>
            <w:tcW w:w="861" w:type="dxa"/>
            <w:tcBorders>
              <w:top w:val="nil"/>
              <w:left w:val="nil"/>
              <w:bottom w:val="nil"/>
              <w:right w:val="nil"/>
            </w:tcBorders>
            <w:shd w:val="clear" w:color="auto" w:fill="auto"/>
            <w:noWrap/>
            <w:vAlign w:val="center"/>
            <w:hideMark/>
          </w:tcPr>
          <w:p w14:paraId="536222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NCT03927222</w:t>
            </w:r>
          </w:p>
        </w:tc>
        <w:tc>
          <w:tcPr>
            <w:tcW w:w="1354" w:type="dxa"/>
            <w:tcBorders>
              <w:top w:val="nil"/>
              <w:left w:val="nil"/>
              <w:bottom w:val="nil"/>
              <w:right w:val="nil"/>
            </w:tcBorders>
            <w:shd w:val="clear" w:color="auto" w:fill="auto"/>
            <w:noWrap/>
            <w:vAlign w:val="center"/>
            <w:hideMark/>
          </w:tcPr>
          <w:p w14:paraId="76E3F91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Immunotherapy Targeted Against Cytomegalovirus in Patients With Newly-Diagnosed WHO Grade IV Unmethylated Glioma</w:t>
            </w:r>
          </w:p>
        </w:tc>
        <w:tc>
          <w:tcPr>
            <w:tcW w:w="1483" w:type="dxa"/>
            <w:tcBorders>
              <w:top w:val="nil"/>
              <w:left w:val="nil"/>
              <w:bottom w:val="nil"/>
              <w:right w:val="nil"/>
            </w:tcBorders>
            <w:shd w:val="clear" w:color="auto" w:fill="auto"/>
            <w:noWrap/>
            <w:vAlign w:val="center"/>
            <w:hideMark/>
          </w:tcPr>
          <w:p w14:paraId="22D759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3A93FF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single-arm phase II study will assess the impact of tetanus pre-conditioning and adjuvant Granulocyte Macrophage Colony Stimulating Factor (GM-CSF) on overall survival of patients newly diagnosed with World Health Organization (WHO) Grade IV glioblastoma who have undergone definitive tumor resection, are cytomegalovirus (CMV) positive and unmethylated, and completed standard temozolomide (TMZ) and radiation treatment. After completion of the standard of care radiotherapy with concurrent TMZ, patients will receive 1 cycle of dose-intensified TMZ followed by pp65-loaded dendritic cell (DC) vaccination beginning on day 23.</w:t>
            </w:r>
          </w:p>
        </w:tc>
        <w:tc>
          <w:tcPr>
            <w:tcW w:w="279" w:type="dxa"/>
            <w:tcBorders>
              <w:top w:val="nil"/>
              <w:left w:val="nil"/>
              <w:bottom w:val="nil"/>
              <w:right w:val="nil"/>
            </w:tcBorders>
            <w:shd w:val="clear" w:color="auto" w:fill="auto"/>
            <w:noWrap/>
            <w:vAlign w:val="center"/>
            <w:hideMark/>
          </w:tcPr>
          <w:p w14:paraId="5AC5185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643C92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w:t>
            </w:r>
          </w:p>
        </w:tc>
        <w:tc>
          <w:tcPr>
            <w:tcW w:w="1574" w:type="dxa"/>
            <w:tcBorders>
              <w:top w:val="nil"/>
              <w:left w:val="nil"/>
              <w:bottom w:val="nil"/>
              <w:right w:val="nil"/>
            </w:tcBorders>
            <w:shd w:val="clear" w:color="auto" w:fill="auto"/>
            <w:noWrap/>
            <w:vAlign w:val="center"/>
            <w:hideMark/>
          </w:tcPr>
          <w:p w14:paraId="0188A7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Human CMV pp65-LAMP mRNA-pulsed autologous DCs containing GM CSF|DRUG: Temozolomide|BIOLOGICAL: Tetanus-Diphtheria Toxoid (Td)|BIOLOGICAL: GM-CSF|BIOLOGICAL: 111-Indium-labeling of Cells for in vivo Trafficking Studies</w:t>
            </w:r>
          </w:p>
        </w:tc>
        <w:tc>
          <w:tcPr>
            <w:tcW w:w="1152" w:type="dxa"/>
            <w:tcBorders>
              <w:top w:val="nil"/>
              <w:left w:val="nil"/>
              <w:bottom w:val="nil"/>
              <w:right w:val="nil"/>
            </w:tcBorders>
            <w:shd w:val="clear" w:color="auto" w:fill="auto"/>
            <w:noWrap/>
            <w:vAlign w:val="center"/>
            <w:hideMark/>
          </w:tcPr>
          <w:p w14:paraId="728314A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Mustafa Khasraw, MBChB, MD, FRCP, FRACP</w:t>
            </w:r>
          </w:p>
        </w:tc>
        <w:tc>
          <w:tcPr>
            <w:tcW w:w="1006" w:type="dxa"/>
            <w:tcBorders>
              <w:top w:val="nil"/>
              <w:left w:val="nil"/>
              <w:bottom w:val="nil"/>
              <w:right w:val="nil"/>
            </w:tcBorders>
            <w:shd w:val="clear" w:color="auto" w:fill="auto"/>
            <w:noWrap/>
            <w:vAlign w:val="center"/>
            <w:hideMark/>
          </w:tcPr>
          <w:p w14:paraId="29BD708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63924F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EFCAE8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30/09/2019</w:t>
            </w:r>
          </w:p>
        </w:tc>
        <w:tc>
          <w:tcPr>
            <w:tcW w:w="766" w:type="dxa"/>
            <w:tcBorders>
              <w:top w:val="nil"/>
              <w:left w:val="nil"/>
              <w:bottom w:val="nil"/>
              <w:right w:val="nil"/>
            </w:tcBorders>
            <w:shd w:val="clear" w:color="auto" w:fill="auto"/>
            <w:noWrap/>
            <w:vAlign w:val="center"/>
            <w:hideMark/>
          </w:tcPr>
          <w:p w14:paraId="3EC167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3FF7CA3F" w14:textId="77777777" w:rsidTr="00AB1828">
        <w:trPr>
          <w:trHeight w:val="360"/>
        </w:trPr>
        <w:tc>
          <w:tcPr>
            <w:tcW w:w="861" w:type="dxa"/>
            <w:tcBorders>
              <w:top w:val="nil"/>
              <w:left w:val="nil"/>
              <w:bottom w:val="nil"/>
              <w:right w:val="nil"/>
            </w:tcBorders>
            <w:shd w:val="clear" w:color="auto" w:fill="auto"/>
            <w:noWrap/>
            <w:vAlign w:val="center"/>
            <w:hideMark/>
          </w:tcPr>
          <w:p w14:paraId="1C79B6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NCT03897881</w:t>
            </w:r>
          </w:p>
        </w:tc>
        <w:tc>
          <w:tcPr>
            <w:tcW w:w="1354" w:type="dxa"/>
            <w:tcBorders>
              <w:top w:val="nil"/>
              <w:left w:val="nil"/>
              <w:bottom w:val="nil"/>
              <w:right w:val="nil"/>
            </w:tcBorders>
            <w:shd w:val="clear" w:color="auto" w:fill="auto"/>
            <w:noWrap/>
            <w:vAlign w:val="center"/>
            <w:hideMark/>
          </w:tcPr>
          <w:p w14:paraId="045ACE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An Efficacy Study of Adjuvant Treatment With the Personalized Cancer Vaccine mRNA-4157 and Pembrolizumab in Participants With High-Risk Melanoma (KEYNOTE-942)</w:t>
            </w:r>
          </w:p>
        </w:tc>
        <w:tc>
          <w:tcPr>
            <w:tcW w:w="1483" w:type="dxa"/>
            <w:tcBorders>
              <w:top w:val="nil"/>
              <w:left w:val="nil"/>
              <w:bottom w:val="nil"/>
              <w:right w:val="nil"/>
            </w:tcBorders>
            <w:shd w:val="clear" w:color="auto" w:fill="auto"/>
            <w:noWrap/>
            <w:vAlign w:val="center"/>
            <w:hideMark/>
          </w:tcPr>
          <w:p w14:paraId="2ABD405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3959C1E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assess whether postoperative adjuvant therapy with mRNA-4157 and pembrolizumab improves recurrence free survival (RFS) compared to pembrolizumab alone in participants with complete resection of cutaneous melanoma and a high risk of recurrence.</w:t>
            </w:r>
          </w:p>
        </w:tc>
        <w:tc>
          <w:tcPr>
            <w:tcW w:w="279" w:type="dxa"/>
            <w:tcBorders>
              <w:top w:val="nil"/>
              <w:left w:val="nil"/>
              <w:bottom w:val="nil"/>
              <w:right w:val="nil"/>
            </w:tcBorders>
            <w:shd w:val="clear" w:color="auto" w:fill="auto"/>
            <w:noWrap/>
            <w:vAlign w:val="center"/>
            <w:hideMark/>
          </w:tcPr>
          <w:p w14:paraId="437006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3BB4FDB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297714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mRNA-4157|BIOLOGICAL: Pembrolizumab</w:t>
            </w:r>
          </w:p>
        </w:tc>
        <w:tc>
          <w:tcPr>
            <w:tcW w:w="1152" w:type="dxa"/>
            <w:tcBorders>
              <w:top w:val="nil"/>
              <w:left w:val="nil"/>
              <w:bottom w:val="nil"/>
              <w:right w:val="nil"/>
            </w:tcBorders>
            <w:shd w:val="clear" w:color="auto" w:fill="auto"/>
            <w:noWrap/>
            <w:vAlign w:val="center"/>
            <w:hideMark/>
          </w:tcPr>
          <w:p w14:paraId="5866C25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ModernaTX, Inc.</w:t>
            </w:r>
          </w:p>
        </w:tc>
        <w:tc>
          <w:tcPr>
            <w:tcW w:w="1006" w:type="dxa"/>
            <w:tcBorders>
              <w:top w:val="nil"/>
              <w:left w:val="nil"/>
              <w:bottom w:val="nil"/>
              <w:right w:val="nil"/>
            </w:tcBorders>
            <w:shd w:val="clear" w:color="auto" w:fill="auto"/>
            <w:noWrap/>
            <w:vAlign w:val="center"/>
            <w:hideMark/>
          </w:tcPr>
          <w:p w14:paraId="793A355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491DD5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88BC9F4"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18/07/2019</w:t>
            </w:r>
          </w:p>
        </w:tc>
        <w:tc>
          <w:tcPr>
            <w:tcW w:w="766" w:type="dxa"/>
            <w:tcBorders>
              <w:top w:val="nil"/>
              <w:left w:val="nil"/>
              <w:bottom w:val="nil"/>
              <w:right w:val="nil"/>
            </w:tcBorders>
            <w:shd w:val="clear" w:color="auto" w:fill="auto"/>
            <w:noWrap/>
            <w:vAlign w:val="center"/>
            <w:hideMark/>
          </w:tcPr>
          <w:p w14:paraId="45CF623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81EBFD7" w14:textId="77777777" w:rsidTr="00AB1828">
        <w:trPr>
          <w:trHeight w:val="360"/>
        </w:trPr>
        <w:tc>
          <w:tcPr>
            <w:tcW w:w="861" w:type="dxa"/>
            <w:tcBorders>
              <w:top w:val="nil"/>
              <w:left w:val="nil"/>
              <w:bottom w:val="nil"/>
              <w:right w:val="nil"/>
            </w:tcBorders>
            <w:shd w:val="clear" w:color="auto" w:fill="auto"/>
            <w:noWrap/>
            <w:vAlign w:val="center"/>
            <w:hideMark/>
          </w:tcPr>
          <w:p w14:paraId="2016ACC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NCT03948763</w:t>
            </w:r>
          </w:p>
        </w:tc>
        <w:tc>
          <w:tcPr>
            <w:tcW w:w="1354" w:type="dxa"/>
            <w:tcBorders>
              <w:top w:val="nil"/>
              <w:left w:val="nil"/>
              <w:bottom w:val="nil"/>
              <w:right w:val="nil"/>
            </w:tcBorders>
            <w:shd w:val="clear" w:color="auto" w:fill="auto"/>
            <w:noWrap/>
            <w:vAlign w:val="center"/>
            <w:hideMark/>
          </w:tcPr>
          <w:p w14:paraId="20F00D1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mRNA-5671/V941 as Monotherapy and in Combination With Pembrolizumab (V941-001)</w:t>
            </w:r>
          </w:p>
        </w:tc>
        <w:tc>
          <w:tcPr>
            <w:tcW w:w="1483" w:type="dxa"/>
            <w:tcBorders>
              <w:top w:val="nil"/>
              <w:left w:val="nil"/>
              <w:bottom w:val="nil"/>
              <w:right w:val="nil"/>
            </w:tcBorders>
            <w:shd w:val="clear" w:color="auto" w:fill="auto"/>
            <w:noWrap/>
            <w:vAlign w:val="center"/>
            <w:hideMark/>
          </w:tcPr>
          <w:p w14:paraId="3433E6C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462A3B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study will determine the safety and tolerability and establish a preliminary recommended Phase 2 dose of V941(mRNA-5671/V941) as a monotherapy and in combination with pembrolizumab infusion.</w:t>
            </w:r>
          </w:p>
        </w:tc>
        <w:tc>
          <w:tcPr>
            <w:tcW w:w="279" w:type="dxa"/>
            <w:tcBorders>
              <w:top w:val="nil"/>
              <w:left w:val="nil"/>
              <w:bottom w:val="nil"/>
              <w:right w:val="nil"/>
            </w:tcBorders>
            <w:shd w:val="clear" w:color="auto" w:fill="auto"/>
            <w:noWrap/>
            <w:vAlign w:val="center"/>
            <w:hideMark/>
          </w:tcPr>
          <w:p w14:paraId="5D36FF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2204B8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Neoplasms|Carcinoma, Non-Small-Cell Lung|Pancreatic Neoplasms|Colorectal Neoplasms</w:t>
            </w:r>
          </w:p>
        </w:tc>
        <w:tc>
          <w:tcPr>
            <w:tcW w:w="1574" w:type="dxa"/>
            <w:tcBorders>
              <w:top w:val="nil"/>
              <w:left w:val="nil"/>
              <w:bottom w:val="nil"/>
              <w:right w:val="nil"/>
            </w:tcBorders>
            <w:shd w:val="clear" w:color="auto" w:fill="auto"/>
            <w:noWrap/>
            <w:vAlign w:val="center"/>
            <w:hideMark/>
          </w:tcPr>
          <w:p w14:paraId="2A17C69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V941|BIOLOGICAL: Pembrolizumab</w:t>
            </w:r>
          </w:p>
        </w:tc>
        <w:tc>
          <w:tcPr>
            <w:tcW w:w="1152" w:type="dxa"/>
            <w:tcBorders>
              <w:top w:val="nil"/>
              <w:left w:val="nil"/>
              <w:bottom w:val="nil"/>
              <w:right w:val="nil"/>
            </w:tcBorders>
            <w:shd w:val="clear" w:color="auto" w:fill="auto"/>
            <w:noWrap/>
            <w:vAlign w:val="center"/>
            <w:hideMark/>
          </w:tcPr>
          <w:p w14:paraId="6D296B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Merck Sharp &amp; Dohme LLC</w:t>
            </w:r>
          </w:p>
        </w:tc>
        <w:tc>
          <w:tcPr>
            <w:tcW w:w="1006" w:type="dxa"/>
            <w:tcBorders>
              <w:top w:val="nil"/>
              <w:left w:val="nil"/>
              <w:bottom w:val="nil"/>
              <w:right w:val="nil"/>
            </w:tcBorders>
            <w:shd w:val="clear" w:color="auto" w:fill="auto"/>
            <w:noWrap/>
            <w:vAlign w:val="center"/>
            <w:hideMark/>
          </w:tcPr>
          <w:p w14:paraId="69113B3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518E7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7880A2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26/06/2019</w:t>
            </w:r>
          </w:p>
        </w:tc>
        <w:tc>
          <w:tcPr>
            <w:tcW w:w="766" w:type="dxa"/>
            <w:tcBorders>
              <w:top w:val="nil"/>
              <w:left w:val="nil"/>
              <w:bottom w:val="nil"/>
              <w:right w:val="nil"/>
            </w:tcBorders>
            <w:shd w:val="clear" w:color="auto" w:fill="auto"/>
            <w:noWrap/>
            <w:vAlign w:val="center"/>
            <w:hideMark/>
          </w:tcPr>
          <w:p w14:paraId="78F9898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ACFEA2D" w14:textId="77777777" w:rsidTr="00AB1828">
        <w:trPr>
          <w:trHeight w:val="360"/>
        </w:trPr>
        <w:tc>
          <w:tcPr>
            <w:tcW w:w="861" w:type="dxa"/>
            <w:tcBorders>
              <w:top w:val="nil"/>
              <w:left w:val="nil"/>
              <w:bottom w:val="nil"/>
              <w:right w:val="nil"/>
            </w:tcBorders>
            <w:shd w:val="clear" w:color="auto" w:fill="auto"/>
            <w:noWrap/>
            <w:vAlign w:val="center"/>
            <w:hideMark/>
          </w:tcPr>
          <w:p w14:paraId="6EB257D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NCT03638427</w:t>
            </w:r>
          </w:p>
        </w:tc>
        <w:tc>
          <w:tcPr>
            <w:tcW w:w="1354" w:type="dxa"/>
            <w:tcBorders>
              <w:top w:val="nil"/>
              <w:left w:val="nil"/>
              <w:bottom w:val="nil"/>
              <w:right w:val="nil"/>
            </w:tcBorders>
            <w:shd w:val="clear" w:color="auto" w:fill="auto"/>
            <w:noWrap/>
            <w:vAlign w:val="center"/>
            <w:hideMark/>
          </w:tcPr>
          <w:p w14:paraId="4AE1EBC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Screening for Cervical Intraepithelial Neoplasia Using Self-collected Menstrual Blood</w:t>
            </w:r>
          </w:p>
        </w:tc>
        <w:tc>
          <w:tcPr>
            <w:tcW w:w="1483" w:type="dxa"/>
            <w:tcBorders>
              <w:top w:val="nil"/>
              <w:left w:val="nil"/>
              <w:bottom w:val="nil"/>
              <w:right w:val="nil"/>
            </w:tcBorders>
            <w:shd w:val="clear" w:color="auto" w:fill="auto"/>
            <w:noWrap/>
            <w:vAlign w:val="center"/>
            <w:hideMark/>
          </w:tcPr>
          <w:p w14:paraId="581E8B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ENROLLING_BY_INVITATION</w:t>
            </w:r>
          </w:p>
        </w:tc>
        <w:tc>
          <w:tcPr>
            <w:tcW w:w="1689" w:type="dxa"/>
            <w:tcBorders>
              <w:top w:val="nil"/>
              <w:left w:val="nil"/>
              <w:bottom w:val="nil"/>
              <w:right w:val="nil"/>
            </w:tcBorders>
            <w:shd w:val="clear" w:color="auto" w:fill="auto"/>
            <w:noWrap/>
            <w:vAlign w:val="center"/>
            <w:hideMark/>
          </w:tcPr>
          <w:p w14:paraId="26D8C5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study is to investigate the feasibility and efficacy of assessing HR-HPV DNA and HPV E6/E7 mRNA via self-collected menstrual blood </w:t>
            </w:r>
            <w:r w:rsidRPr="000A6EBE">
              <w:rPr>
                <w:rFonts w:ascii="Aptos Narrow" w:eastAsia="Times New Roman" w:hAnsi="Aptos Narrow"/>
                <w:color w:val="000000"/>
                <w:sz w:val="16"/>
                <w:szCs w:val="16"/>
                <w:lang w:val="en-HK" w:eastAsia="zh-CN"/>
              </w:rPr>
              <w:lastRenderedPageBreak/>
              <w:t>in a smart menstrual pad. In other words, can the investigators detect the high risk strains of the human papilloma virus (HPV) that are associated with cervical cancer in self-collected menstrual blood, as an alternative to collecting vaginal swabs.</w:t>
            </w:r>
          </w:p>
        </w:tc>
        <w:tc>
          <w:tcPr>
            <w:tcW w:w="279" w:type="dxa"/>
            <w:tcBorders>
              <w:top w:val="nil"/>
              <w:left w:val="nil"/>
              <w:bottom w:val="nil"/>
              <w:right w:val="nil"/>
            </w:tcBorders>
            <w:shd w:val="clear" w:color="auto" w:fill="auto"/>
            <w:noWrap/>
            <w:vAlign w:val="center"/>
            <w:hideMark/>
          </w:tcPr>
          <w:p w14:paraId="65198EE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08B29C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HPV - Anogenital Human Papilloma Virus Infection</w:t>
            </w:r>
          </w:p>
        </w:tc>
        <w:tc>
          <w:tcPr>
            <w:tcW w:w="1574" w:type="dxa"/>
            <w:tcBorders>
              <w:top w:val="nil"/>
              <w:left w:val="nil"/>
              <w:bottom w:val="nil"/>
              <w:right w:val="nil"/>
            </w:tcBorders>
            <w:shd w:val="clear" w:color="auto" w:fill="auto"/>
            <w:noWrap/>
            <w:vAlign w:val="center"/>
            <w:hideMark/>
          </w:tcPr>
          <w:p w14:paraId="15CD86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DIAGNOSTIC_TEST: Menstrual Blood Analysis (Menstrual Blood Analysis)</w:t>
            </w:r>
          </w:p>
        </w:tc>
        <w:tc>
          <w:tcPr>
            <w:tcW w:w="2158" w:type="dxa"/>
            <w:gridSpan w:val="2"/>
            <w:tcBorders>
              <w:top w:val="nil"/>
              <w:left w:val="nil"/>
              <w:bottom w:val="nil"/>
              <w:right w:val="nil"/>
            </w:tcBorders>
            <w:shd w:val="clear" w:color="auto" w:fill="auto"/>
            <w:noWrap/>
            <w:vAlign w:val="center"/>
            <w:hideMark/>
          </w:tcPr>
          <w:p w14:paraId="08B4E2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Stanford University</w:t>
            </w:r>
          </w:p>
        </w:tc>
        <w:tc>
          <w:tcPr>
            <w:tcW w:w="1006" w:type="dxa"/>
            <w:tcBorders>
              <w:top w:val="nil"/>
              <w:left w:val="nil"/>
              <w:bottom w:val="nil"/>
              <w:right w:val="nil"/>
            </w:tcBorders>
            <w:shd w:val="clear" w:color="auto" w:fill="auto"/>
            <w:noWrap/>
            <w:vAlign w:val="center"/>
            <w:hideMark/>
          </w:tcPr>
          <w:p w14:paraId="1E71B7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0B94903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01/01/2019</w:t>
            </w:r>
          </w:p>
        </w:tc>
        <w:tc>
          <w:tcPr>
            <w:tcW w:w="766" w:type="dxa"/>
            <w:tcBorders>
              <w:top w:val="nil"/>
              <w:left w:val="nil"/>
              <w:bottom w:val="nil"/>
              <w:right w:val="nil"/>
            </w:tcBorders>
            <w:shd w:val="clear" w:color="auto" w:fill="auto"/>
            <w:noWrap/>
            <w:vAlign w:val="center"/>
            <w:hideMark/>
          </w:tcPr>
          <w:p w14:paraId="5D6DDD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BAB29A7" w14:textId="77777777" w:rsidTr="00AB1828">
        <w:trPr>
          <w:trHeight w:val="360"/>
        </w:trPr>
        <w:tc>
          <w:tcPr>
            <w:tcW w:w="861" w:type="dxa"/>
            <w:tcBorders>
              <w:top w:val="nil"/>
              <w:left w:val="nil"/>
              <w:bottom w:val="nil"/>
              <w:right w:val="nil"/>
            </w:tcBorders>
            <w:shd w:val="clear" w:color="auto" w:fill="auto"/>
            <w:noWrap/>
            <w:vAlign w:val="center"/>
            <w:hideMark/>
          </w:tcPr>
          <w:p w14:paraId="7557AF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NCT03673202</w:t>
            </w:r>
          </w:p>
        </w:tc>
        <w:tc>
          <w:tcPr>
            <w:tcW w:w="1354" w:type="dxa"/>
            <w:tcBorders>
              <w:top w:val="nil"/>
              <w:left w:val="nil"/>
              <w:bottom w:val="nil"/>
              <w:right w:val="nil"/>
            </w:tcBorders>
            <w:shd w:val="clear" w:color="auto" w:fill="auto"/>
            <w:noWrap/>
            <w:vAlign w:val="center"/>
            <w:hideMark/>
          </w:tcPr>
          <w:p w14:paraId="3FED90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Cxbladder Rule-out of Recurrent Urothelial Carcinoma</w:t>
            </w:r>
          </w:p>
        </w:tc>
        <w:tc>
          <w:tcPr>
            <w:tcW w:w="1483" w:type="dxa"/>
            <w:tcBorders>
              <w:top w:val="nil"/>
              <w:left w:val="nil"/>
              <w:bottom w:val="nil"/>
              <w:right w:val="nil"/>
            </w:tcBorders>
            <w:shd w:val="clear" w:color="auto" w:fill="auto"/>
            <w:noWrap/>
            <w:vAlign w:val="center"/>
            <w:hideMark/>
          </w:tcPr>
          <w:p w14:paraId="17D2B1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08F917B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observational study is designed to collect urine and relevant clinical information from patients who have a known diagnosis of bladder cancer and currently on clinically driven surveillance. The study aims to compare the urine test to the flexible cystoscopy procedure (which the patient is already scheduled).</w:t>
            </w:r>
          </w:p>
        </w:tc>
        <w:tc>
          <w:tcPr>
            <w:tcW w:w="279" w:type="dxa"/>
            <w:tcBorders>
              <w:top w:val="nil"/>
              <w:left w:val="nil"/>
              <w:bottom w:val="nil"/>
              <w:right w:val="nil"/>
            </w:tcBorders>
            <w:shd w:val="clear" w:color="auto" w:fill="auto"/>
            <w:noWrap/>
            <w:vAlign w:val="center"/>
            <w:hideMark/>
          </w:tcPr>
          <w:p w14:paraId="570FBD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1F6A7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Bladder Cancer</w:t>
            </w:r>
          </w:p>
        </w:tc>
        <w:tc>
          <w:tcPr>
            <w:tcW w:w="1574" w:type="dxa"/>
            <w:tcBorders>
              <w:top w:val="nil"/>
              <w:left w:val="nil"/>
              <w:bottom w:val="nil"/>
              <w:right w:val="nil"/>
            </w:tcBorders>
            <w:shd w:val="clear" w:color="auto" w:fill="auto"/>
            <w:noWrap/>
            <w:vAlign w:val="center"/>
            <w:hideMark/>
          </w:tcPr>
          <w:p w14:paraId="3E73C2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DIAGNOSTIC_TEST: Cx bladder Monitor test</w:t>
            </w:r>
          </w:p>
        </w:tc>
        <w:tc>
          <w:tcPr>
            <w:tcW w:w="2158" w:type="dxa"/>
            <w:gridSpan w:val="2"/>
            <w:tcBorders>
              <w:top w:val="nil"/>
              <w:left w:val="nil"/>
              <w:bottom w:val="nil"/>
              <w:right w:val="nil"/>
            </w:tcBorders>
            <w:shd w:val="clear" w:color="auto" w:fill="auto"/>
            <w:noWrap/>
            <w:vAlign w:val="center"/>
            <w:hideMark/>
          </w:tcPr>
          <w:p w14:paraId="79F91F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London Health Sciences Centre</w:t>
            </w:r>
          </w:p>
        </w:tc>
        <w:tc>
          <w:tcPr>
            <w:tcW w:w="1006" w:type="dxa"/>
            <w:tcBorders>
              <w:top w:val="nil"/>
              <w:left w:val="nil"/>
              <w:bottom w:val="nil"/>
              <w:right w:val="nil"/>
            </w:tcBorders>
            <w:shd w:val="clear" w:color="auto" w:fill="auto"/>
            <w:noWrap/>
            <w:vAlign w:val="center"/>
            <w:hideMark/>
          </w:tcPr>
          <w:p w14:paraId="65405F9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71A05C4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26/11/2018</w:t>
            </w:r>
          </w:p>
        </w:tc>
        <w:tc>
          <w:tcPr>
            <w:tcW w:w="766" w:type="dxa"/>
            <w:tcBorders>
              <w:top w:val="nil"/>
              <w:left w:val="nil"/>
              <w:bottom w:val="nil"/>
              <w:right w:val="nil"/>
            </w:tcBorders>
            <w:shd w:val="clear" w:color="auto" w:fill="auto"/>
            <w:noWrap/>
            <w:vAlign w:val="center"/>
            <w:hideMark/>
          </w:tcPr>
          <w:p w14:paraId="3000042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4590059" w14:textId="77777777" w:rsidTr="00AB1828">
        <w:trPr>
          <w:trHeight w:val="360"/>
        </w:trPr>
        <w:tc>
          <w:tcPr>
            <w:tcW w:w="861" w:type="dxa"/>
            <w:tcBorders>
              <w:top w:val="nil"/>
              <w:left w:val="nil"/>
              <w:bottom w:val="nil"/>
              <w:right w:val="nil"/>
            </w:tcBorders>
            <w:shd w:val="clear" w:color="auto" w:fill="auto"/>
            <w:noWrap/>
            <w:vAlign w:val="center"/>
            <w:hideMark/>
          </w:tcPr>
          <w:p w14:paraId="40699F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NCT03788083</w:t>
            </w:r>
          </w:p>
        </w:tc>
        <w:tc>
          <w:tcPr>
            <w:tcW w:w="1354" w:type="dxa"/>
            <w:tcBorders>
              <w:top w:val="nil"/>
              <w:left w:val="nil"/>
              <w:bottom w:val="nil"/>
              <w:right w:val="nil"/>
            </w:tcBorders>
            <w:shd w:val="clear" w:color="auto" w:fill="auto"/>
            <w:noWrap/>
            <w:vAlign w:val="center"/>
            <w:hideMark/>
          </w:tcPr>
          <w:p w14:paraId="2F2ABE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Intratumoral TriMix Injections in Early Breast Cancer Patients</w:t>
            </w:r>
          </w:p>
        </w:tc>
        <w:tc>
          <w:tcPr>
            <w:tcW w:w="1483" w:type="dxa"/>
            <w:tcBorders>
              <w:top w:val="nil"/>
              <w:left w:val="nil"/>
              <w:bottom w:val="nil"/>
              <w:right w:val="nil"/>
            </w:tcBorders>
            <w:shd w:val="clear" w:color="auto" w:fill="auto"/>
            <w:noWrap/>
            <w:vAlign w:val="center"/>
            <w:hideMark/>
          </w:tcPr>
          <w:p w14:paraId="15E25E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vAlign w:val="center"/>
            <w:hideMark/>
          </w:tcPr>
          <w:p w14:paraId="2858B18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Patients with early breast cancer and accessible tumor lesions (1.00 to 10 ml volume) that are eligible to either surgical </w:t>
            </w:r>
            <w:r w:rsidRPr="000A6EBE">
              <w:rPr>
                <w:rFonts w:ascii="Aptos Narrow" w:eastAsia="Times New Roman" w:hAnsi="Aptos Narrow"/>
                <w:color w:val="000000"/>
                <w:sz w:val="16"/>
                <w:szCs w:val="16"/>
                <w:lang w:val="en-HK" w:eastAsia="zh-CN"/>
              </w:rPr>
              <w:lastRenderedPageBreak/>
              <w:t xml:space="preserve">removal of their tumor or neoadjuvant chemotherapy will be injected with the IMP. Patients will be either treated with placebo (buffer alone, 12 patients) or with TriMix mRNA at three dose levels \[8 at dose level I (1mg/ml), 8 at dose level II (3mg/ml), and 8 at dose level III (6mg/ml). The volume injected in this group will be adjusted to the tumour volume to ensure a perfusion of around 33% of the tumour volume (33% +/- 5%). Therefore, depending on the patients' tumour size, 500, 1000 or 2000 l of TriMix mRNA solution or placebo solution will be injected into each tumor. Each patient will receive three administrations of TriMix prior to start of general treatment (surgery or neoadjuvant chemotherapy) </w:t>
            </w:r>
            <w:r w:rsidRPr="000A6EBE">
              <w:rPr>
                <w:rFonts w:ascii="Aptos Narrow" w:eastAsia="Times New Roman" w:hAnsi="Aptos Narrow"/>
                <w:color w:val="000000"/>
                <w:sz w:val="16"/>
                <w:szCs w:val="16"/>
                <w:lang w:val="en-HK" w:eastAsia="zh-CN"/>
              </w:rPr>
              <w:lastRenderedPageBreak/>
              <w:t>separated by one week (7 days +/- 2 days) interval. The last administration will be performed 2 days preoperatively or start of neoadjuvant chemotherapy.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tumor and peripheral blood samples will be analyzed for immunological changes. If it is decided by the multidisciplinary team that neoadjuvant therapy is more appropriate for the patient, a second tumor biopsy (instead of surgical resection) will be taken 2 days after third administration of TriMix mRNA to assess immunological changes within the tumor. Similarly, patients that refuses to undergo surgery or to receive neoadjuvant chemotherapy can be enrolled into the trial, if they accept three </w:t>
            </w:r>
            <w:r w:rsidRPr="000A6EBE">
              <w:rPr>
                <w:rFonts w:ascii="Aptos Narrow" w:eastAsia="Times New Roman" w:hAnsi="Aptos Narrow"/>
                <w:color w:val="000000"/>
                <w:sz w:val="16"/>
                <w:szCs w:val="16"/>
                <w:lang w:val="en-HK" w:eastAsia="zh-CN"/>
              </w:rPr>
              <w:lastRenderedPageBreak/>
              <w:t>administrations of TriMix followed by a second tumor biopsy.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study will start with recruitment of the placebo group. The enrollment of the first three patients in each cohort with Trimix mRNA will be staggered with at least one day between the first dose of each individual patient. One week after the third patient of a cohort received the third TriMix mRNA administration, an overall evaluation of the safety and tolerability of this cohort will be done by the principal investigator. The results will be reviewed by an in-house dose evaluation committee overseeing the safety and tolerability of TriMix mRNA.</w:t>
            </w:r>
          </w:p>
        </w:tc>
        <w:tc>
          <w:tcPr>
            <w:tcW w:w="279" w:type="dxa"/>
            <w:tcBorders>
              <w:top w:val="nil"/>
              <w:left w:val="nil"/>
              <w:bottom w:val="nil"/>
              <w:right w:val="nil"/>
            </w:tcBorders>
            <w:shd w:val="clear" w:color="auto" w:fill="auto"/>
            <w:noWrap/>
            <w:vAlign w:val="center"/>
            <w:hideMark/>
          </w:tcPr>
          <w:p w14:paraId="6DA05FF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C8E56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Breast Cancer Female|Early-stage Breast Cancer</w:t>
            </w:r>
          </w:p>
        </w:tc>
        <w:tc>
          <w:tcPr>
            <w:tcW w:w="1574" w:type="dxa"/>
            <w:tcBorders>
              <w:top w:val="nil"/>
              <w:left w:val="nil"/>
              <w:bottom w:val="nil"/>
              <w:right w:val="nil"/>
            </w:tcBorders>
            <w:shd w:val="clear" w:color="auto" w:fill="auto"/>
            <w:noWrap/>
            <w:vAlign w:val="center"/>
            <w:hideMark/>
          </w:tcPr>
          <w:p w14:paraId="3B8EE4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Trimix|DRUG: Placebo</w:t>
            </w:r>
          </w:p>
        </w:tc>
        <w:tc>
          <w:tcPr>
            <w:tcW w:w="1152" w:type="dxa"/>
            <w:tcBorders>
              <w:top w:val="nil"/>
              <w:left w:val="nil"/>
              <w:bottom w:val="nil"/>
              <w:right w:val="nil"/>
            </w:tcBorders>
            <w:shd w:val="clear" w:color="auto" w:fill="auto"/>
            <w:noWrap/>
            <w:vAlign w:val="center"/>
            <w:hideMark/>
          </w:tcPr>
          <w:p w14:paraId="73E5F4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Universitair Ziekenhuis Brussel</w:t>
            </w:r>
          </w:p>
        </w:tc>
        <w:tc>
          <w:tcPr>
            <w:tcW w:w="1006" w:type="dxa"/>
            <w:tcBorders>
              <w:top w:val="nil"/>
              <w:left w:val="nil"/>
              <w:bottom w:val="nil"/>
              <w:right w:val="nil"/>
            </w:tcBorders>
            <w:shd w:val="clear" w:color="auto" w:fill="auto"/>
            <w:noWrap/>
            <w:vAlign w:val="center"/>
            <w:hideMark/>
          </w:tcPr>
          <w:p w14:paraId="57E05C5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5441B4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0D63A5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12/11/2018</w:t>
            </w:r>
          </w:p>
        </w:tc>
        <w:tc>
          <w:tcPr>
            <w:tcW w:w="766" w:type="dxa"/>
            <w:tcBorders>
              <w:top w:val="nil"/>
              <w:left w:val="nil"/>
              <w:bottom w:val="nil"/>
              <w:right w:val="nil"/>
            </w:tcBorders>
            <w:shd w:val="clear" w:color="auto" w:fill="auto"/>
            <w:noWrap/>
            <w:vAlign w:val="center"/>
            <w:hideMark/>
          </w:tcPr>
          <w:p w14:paraId="25882DF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4B9701FF" w14:textId="77777777" w:rsidTr="00AB1828">
        <w:trPr>
          <w:trHeight w:val="360"/>
        </w:trPr>
        <w:tc>
          <w:tcPr>
            <w:tcW w:w="861" w:type="dxa"/>
            <w:tcBorders>
              <w:top w:val="nil"/>
              <w:left w:val="nil"/>
              <w:bottom w:val="nil"/>
              <w:right w:val="nil"/>
            </w:tcBorders>
            <w:shd w:val="clear" w:color="auto" w:fill="auto"/>
            <w:noWrap/>
            <w:vAlign w:val="center"/>
            <w:hideMark/>
          </w:tcPr>
          <w:p w14:paraId="156F54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NCT03634683</w:t>
            </w:r>
          </w:p>
        </w:tc>
        <w:tc>
          <w:tcPr>
            <w:tcW w:w="1354" w:type="dxa"/>
            <w:tcBorders>
              <w:top w:val="nil"/>
              <w:left w:val="nil"/>
              <w:bottom w:val="nil"/>
              <w:right w:val="nil"/>
            </w:tcBorders>
            <w:shd w:val="clear" w:color="auto" w:fill="auto"/>
            <w:noWrap/>
            <w:vAlign w:val="center"/>
            <w:hideMark/>
          </w:tcPr>
          <w:p w14:paraId="6B071B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 Study of LioCyx in Patient With Recurrent HBV-related HCC Post </w:t>
            </w:r>
            <w:r w:rsidRPr="000A6EBE">
              <w:rPr>
                <w:rFonts w:ascii="Aptos Narrow" w:eastAsia="Times New Roman" w:hAnsi="Aptos Narrow"/>
                <w:color w:val="000000"/>
                <w:sz w:val="16"/>
                <w:szCs w:val="16"/>
                <w:lang w:val="en-HK" w:eastAsia="zh-CN"/>
              </w:rPr>
              <w:lastRenderedPageBreak/>
              <w:t>Liver Transplantation</w:t>
            </w:r>
          </w:p>
        </w:tc>
        <w:tc>
          <w:tcPr>
            <w:tcW w:w="1483" w:type="dxa"/>
            <w:tcBorders>
              <w:top w:val="nil"/>
              <w:left w:val="nil"/>
              <w:bottom w:val="nil"/>
              <w:right w:val="nil"/>
            </w:tcBorders>
            <w:shd w:val="clear" w:color="auto" w:fill="auto"/>
            <w:noWrap/>
            <w:vAlign w:val="center"/>
            <w:hideMark/>
          </w:tcPr>
          <w:p w14:paraId="0AA8EE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WITHDRAWN</w:t>
            </w:r>
          </w:p>
        </w:tc>
        <w:tc>
          <w:tcPr>
            <w:tcW w:w="1689" w:type="dxa"/>
            <w:tcBorders>
              <w:top w:val="nil"/>
              <w:left w:val="nil"/>
              <w:bottom w:val="nil"/>
              <w:right w:val="nil"/>
            </w:tcBorders>
            <w:shd w:val="clear" w:color="auto" w:fill="auto"/>
            <w:vAlign w:val="center"/>
            <w:hideMark/>
          </w:tcPr>
          <w:p w14:paraId="0DCD98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Hepatocellular carcinoma (HCC) represent approximately 70-85% of liver </w:t>
            </w:r>
            <w:r w:rsidRPr="000A6EBE">
              <w:rPr>
                <w:rFonts w:ascii="Aptos Narrow" w:eastAsia="Times New Roman" w:hAnsi="Aptos Narrow"/>
                <w:color w:val="000000"/>
                <w:sz w:val="16"/>
                <w:szCs w:val="16"/>
                <w:lang w:val="en-HK" w:eastAsia="zh-CN"/>
              </w:rPr>
              <w:lastRenderedPageBreak/>
              <w:t>cancer, in which Hepatitis B virus (HBV) is the major etiologic agent accounting for at least 80% of HCC in Asian countries. Overall, transplantation remains the best option however, HCC recurrence rate is high among liver transplant patients.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While there are limited treatment measures for HBV-related HCC recurrences, the study hypothesized that LioCyx is capable of lysing target liver cells expressing the HBV cognate antigens and provide clinical benefit to patients with HBV-related HCC.</w:t>
            </w:r>
          </w:p>
        </w:tc>
        <w:tc>
          <w:tcPr>
            <w:tcW w:w="279" w:type="dxa"/>
            <w:tcBorders>
              <w:top w:val="nil"/>
              <w:left w:val="nil"/>
              <w:bottom w:val="nil"/>
              <w:right w:val="nil"/>
            </w:tcBorders>
            <w:shd w:val="clear" w:color="auto" w:fill="auto"/>
            <w:noWrap/>
            <w:vAlign w:val="center"/>
            <w:hideMark/>
          </w:tcPr>
          <w:p w14:paraId="236595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B18079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Recurrent Hepatocellular Carcinoma</w:t>
            </w:r>
          </w:p>
        </w:tc>
        <w:tc>
          <w:tcPr>
            <w:tcW w:w="1574" w:type="dxa"/>
            <w:tcBorders>
              <w:top w:val="nil"/>
              <w:left w:val="nil"/>
              <w:bottom w:val="nil"/>
              <w:right w:val="nil"/>
            </w:tcBorders>
            <w:shd w:val="clear" w:color="auto" w:fill="auto"/>
            <w:noWrap/>
            <w:vAlign w:val="center"/>
            <w:hideMark/>
          </w:tcPr>
          <w:p w14:paraId="33E8AA9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LioCyx</w:t>
            </w:r>
          </w:p>
        </w:tc>
        <w:tc>
          <w:tcPr>
            <w:tcW w:w="1152" w:type="dxa"/>
            <w:tcBorders>
              <w:top w:val="nil"/>
              <w:left w:val="nil"/>
              <w:bottom w:val="nil"/>
              <w:right w:val="nil"/>
            </w:tcBorders>
            <w:shd w:val="clear" w:color="auto" w:fill="auto"/>
            <w:noWrap/>
            <w:vAlign w:val="center"/>
            <w:hideMark/>
          </w:tcPr>
          <w:p w14:paraId="7FE612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Lion TCR Pte. Ltd.</w:t>
            </w:r>
          </w:p>
        </w:tc>
        <w:tc>
          <w:tcPr>
            <w:tcW w:w="1006" w:type="dxa"/>
            <w:tcBorders>
              <w:top w:val="nil"/>
              <w:left w:val="nil"/>
              <w:bottom w:val="nil"/>
              <w:right w:val="nil"/>
            </w:tcBorders>
            <w:shd w:val="clear" w:color="auto" w:fill="auto"/>
            <w:noWrap/>
            <w:vAlign w:val="center"/>
            <w:hideMark/>
          </w:tcPr>
          <w:p w14:paraId="3867D8F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2FBF6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72CFDE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01/08/2018</w:t>
            </w:r>
          </w:p>
        </w:tc>
        <w:tc>
          <w:tcPr>
            <w:tcW w:w="766" w:type="dxa"/>
            <w:tcBorders>
              <w:top w:val="nil"/>
              <w:left w:val="nil"/>
              <w:bottom w:val="nil"/>
              <w:right w:val="nil"/>
            </w:tcBorders>
            <w:shd w:val="clear" w:color="auto" w:fill="auto"/>
            <w:noWrap/>
            <w:vAlign w:val="center"/>
            <w:hideMark/>
          </w:tcPr>
          <w:p w14:paraId="341603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1E66018" w14:textId="77777777" w:rsidTr="00AB1828">
        <w:trPr>
          <w:trHeight w:val="360"/>
        </w:trPr>
        <w:tc>
          <w:tcPr>
            <w:tcW w:w="861" w:type="dxa"/>
            <w:tcBorders>
              <w:top w:val="nil"/>
              <w:left w:val="nil"/>
              <w:bottom w:val="nil"/>
              <w:right w:val="nil"/>
            </w:tcBorders>
            <w:shd w:val="clear" w:color="auto" w:fill="auto"/>
            <w:noWrap/>
            <w:vAlign w:val="center"/>
            <w:hideMark/>
          </w:tcPr>
          <w:p w14:paraId="7B3475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NCT03396575</w:t>
            </w:r>
          </w:p>
        </w:tc>
        <w:tc>
          <w:tcPr>
            <w:tcW w:w="1354" w:type="dxa"/>
            <w:tcBorders>
              <w:top w:val="nil"/>
              <w:left w:val="nil"/>
              <w:bottom w:val="nil"/>
              <w:right w:val="nil"/>
            </w:tcBorders>
            <w:shd w:val="clear" w:color="auto" w:fill="auto"/>
            <w:noWrap/>
            <w:vAlign w:val="center"/>
            <w:hideMark/>
          </w:tcPr>
          <w:p w14:paraId="2697C4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Brain Stem Gliomas Treated With Adoptive Cellular Therapy During Focal Radiotherapy Recovery Alone or With Dose-intensified Temozolomide (Phase I)</w:t>
            </w:r>
          </w:p>
        </w:tc>
        <w:tc>
          <w:tcPr>
            <w:tcW w:w="1483" w:type="dxa"/>
            <w:tcBorders>
              <w:top w:val="nil"/>
              <w:left w:val="nil"/>
              <w:bottom w:val="nil"/>
              <w:right w:val="nil"/>
            </w:tcBorders>
            <w:shd w:val="clear" w:color="auto" w:fill="auto"/>
            <w:noWrap/>
            <w:vAlign w:val="center"/>
            <w:hideMark/>
          </w:tcPr>
          <w:p w14:paraId="275F7D9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noWrap/>
            <w:vAlign w:val="center"/>
            <w:hideMark/>
          </w:tcPr>
          <w:p w14:paraId="156255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standard of care for children with DIPG includes focal radiotherapy (RT) but outcomes have remained dismal despite this treatment. The addition of oral Temozolomide </w:t>
            </w:r>
            <w:r w:rsidRPr="000A6EBE">
              <w:rPr>
                <w:rFonts w:ascii="Aptos Narrow" w:eastAsia="Times New Roman" w:hAnsi="Aptos Narrow"/>
                <w:color w:val="000000"/>
                <w:sz w:val="16"/>
                <w:szCs w:val="16"/>
                <w:lang w:val="en-HK" w:eastAsia="zh-CN"/>
              </w:rPr>
              <w:lastRenderedPageBreak/>
              <w:t xml:space="preserve">(TMZ) concurrently with RT followed by monthly TMZ was also found to be safe but ineffective. Recent studies in adults have shown that certain types of chemotherapy induce a profound but transient lymphopenia (low blood lymphocytes) and vaccinating and/or the adoptive transfer of tumor-specific lymphocytes into the cancer patient during this lymphopenic state leads to dramatic T cell expansion and potent immunologic and clinical responses. Therefore, patients in this study will either receive concurrent TMZ during RT and immunotherapy during and after maintenance cycles of dose-intensive TMZ (Group A) or focal radiotherapy alone and </w:t>
            </w:r>
            <w:r w:rsidRPr="000A6EBE">
              <w:rPr>
                <w:rFonts w:ascii="Aptos Narrow" w:eastAsia="Times New Roman" w:hAnsi="Aptos Narrow"/>
                <w:color w:val="000000"/>
                <w:sz w:val="16"/>
                <w:szCs w:val="16"/>
                <w:lang w:val="en-HK" w:eastAsia="zh-CN"/>
              </w:rPr>
              <w:lastRenderedPageBreak/>
              <w:t>immunotherapy without maintenance DI TMZ (Group B). Immune responses during cycles of DC vaccination with or without DI TMZ will be evaluated in both treatment groups.</w:t>
            </w:r>
          </w:p>
        </w:tc>
        <w:tc>
          <w:tcPr>
            <w:tcW w:w="279" w:type="dxa"/>
            <w:tcBorders>
              <w:top w:val="nil"/>
              <w:left w:val="nil"/>
              <w:bottom w:val="nil"/>
              <w:right w:val="nil"/>
            </w:tcBorders>
            <w:shd w:val="clear" w:color="auto" w:fill="auto"/>
            <w:noWrap/>
            <w:vAlign w:val="center"/>
            <w:hideMark/>
          </w:tcPr>
          <w:p w14:paraId="787191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7DA39C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Diffuse Intrinsic Pontine Glioma (DIPG)|Brain Stem Glioma</w:t>
            </w:r>
          </w:p>
        </w:tc>
        <w:tc>
          <w:tcPr>
            <w:tcW w:w="1574" w:type="dxa"/>
            <w:tcBorders>
              <w:top w:val="nil"/>
              <w:left w:val="nil"/>
              <w:bottom w:val="nil"/>
              <w:right w:val="nil"/>
            </w:tcBorders>
            <w:shd w:val="clear" w:color="auto" w:fill="auto"/>
            <w:noWrap/>
            <w:vAlign w:val="center"/>
            <w:hideMark/>
          </w:tcPr>
          <w:p w14:paraId="49E701D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TTRNA-DC vaccines with GM-CSF|BIOLOGICAL: TTRNA-xALT|DRUG: Cyclophosphamide + Fludarabine Lymphodepletive Conditioning|DRUG: Dose-Intensified TMZ|DRUG: Td vaccine|BIOLOGICA</w:t>
            </w:r>
            <w:r w:rsidRPr="000A6EBE">
              <w:rPr>
                <w:rFonts w:ascii="Aptos Narrow" w:eastAsia="Times New Roman" w:hAnsi="Aptos Narrow"/>
                <w:color w:val="000000"/>
                <w:sz w:val="16"/>
                <w:szCs w:val="16"/>
                <w:lang w:val="en-HK" w:eastAsia="zh-CN"/>
              </w:rPr>
              <w:lastRenderedPageBreak/>
              <w:t>L: Autologous Hematopoietic Stem Cells (HSC)</w:t>
            </w:r>
          </w:p>
        </w:tc>
        <w:tc>
          <w:tcPr>
            <w:tcW w:w="1152" w:type="dxa"/>
            <w:tcBorders>
              <w:top w:val="nil"/>
              <w:left w:val="nil"/>
              <w:bottom w:val="nil"/>
              <w:right w:val="nil"/>
            </w:tcBorders>
            <w:shd w:val="clear" w:color="auto" w:fill="auto"/>
            <w:noWrap/>
            <w:vAlign w:val="center"/>
            <w:hideMark/>
          </w:tcPr>
          <w:p w14:paraId="3E3DCB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University of Florida</w:t>
            </w:r>
          </w:p>
        </w:tc>
        <w:tc>
          <w:tcPr>
            <w:tcW w:w="1006" w:type="dxa"/>
            <w:tcBorders>
              <w:top w:val="nil"/>
              <w:left w:val="nil"/>
              <w:bottom w:val="nil"/>
              <w:right w:val="nil"/>
            </w:tcBorders>
            <w:shd w:val="clear" w:color="auto" w:fill="auto"/>
            <w:noWrap/>
            <w:vAlign w:val="center"/>
            <w:hideMark/>
          </w:tcPr>
          <w:p w14:paraId="63B5C5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F6C2F5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4612C1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17/07/2018</w:t>
            </w:r>
          </w:p>
        </w:tc>
        <w:tc>
          <w:tcPr>
            <w:tcW w:w="766" w:type="dxa"/>
            <w:tcBorders>
              <w:top w:val="nil"/>
              <w:left w:val="nil"/>
              <w:bottom w:val="nil"/>
              <w:right w:val="nil"/>
            </w:tcBorders>
            <w:shd w:val="clear" w:color="auto" w:fill="auto"/>
            <w:noWrap/>
            <w:vAlign w:val="center"/>
            <w:hideMark/>
          </w:tcPr>
          <w:p w14:paraId="1EE568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43D95315" w14:textId="77777777" w:rsidTr="00AB1828">
        <w:trPr>
          <w:trHeight w:val="360"/>
        </w:trPr>
        <w:tc>
          <w:tcPr>
            <w:tcW w:w="861" w:type="dxa"/>
            <w:tcBorders>
              <w:top w:val="nil"/>
              <w:left w:val="nil"/>
              <w:bottom w:val="nil"/>
              <w:right w:val="nil"/>
            </w:tcBorders>
            <w:shd w:val="clear" w:color="auto" w:fill="auto"/>
            <w:noWrap/>
            <w:vAlign w:val="center"/>
            <w:hideMark/>
          </w:tcPr>
          <w:p w14:paraId="5E016D0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NCT03562832</w:t>
            </w:r>
          </w:p>
        </w:tc>
        <w:tc>
          <w:tcPr>
            <w:tcW w:w="1354" w:type="dxa"/>
            <w:tcBorders>
              <w:top w:val="nil"/>
              <w:left w:val="nil"/>
              <w:bottom w:val="nil"/>
              <w:right w:val="nil"/>
            </w:tcBorders>
            <w:shd w:val="clear" w:color="auto" w:fill="auto"/>
            <w:noWrap/>
            <w:vAlign w:val="center"/>
            <w:hideMark/>
          </w:tcPr>
          <w:p w14:paraId="77BFBB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Investigation of Anti-tumour Effect and Tolerability of the PARP Inhibitor 2X-121 in Patients With Metastatic Breast Cancer Selected by the 2X-121 DRP</w:t>
            </w:r>
          </w:p>
        </w:tc>
        <w:tc>
          <w:tcPr>
            <w:tcW w:w="1483" w:type="dxa"/>
            <w:tcBorders>
              <w:top w:val="nil"/>
              <w:left w:val="nil"/>
              <w:bottom w:val="nil"/>
              <w:right w:val="nil"/>
            </w:tcBorders>
            <w:shd w:val="clear" w:color="auto" w:fill="auto"/>
            <w:noWrap/>
            <w:vAlign w:val="center"/>
            <w:hideMark/>
          </w:tcPr>
          <w:p w14:paraId="119AF5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vAlign w:val="center"/>
            <w:hideMark/>
          </w:tcPr>
          <w:p w14:paraId="00CB282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2X-121 is a small molecule targeted inhibitor of Poly ADP ribose polymerase (PARP), a key enzyme involved in DNA damage repair in cancer cells. The PARP inhibitor demonstrated clinical activity in a prior Phase 1 study in a number of solid tumors. 2X-121 has a novel dual-inhibitory action against both PARP 1/2 and Tankyrase 1/2. The molecule is also active in P-glycoprotein expressing cells, suggesting it may overcome some of the PARP inhibitor resistance.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Phase 2 study is using 2x-121 </w:t>
            </w:r>
            <w:r w:rsidRPr="000A6EBE">
              <w:rPr>
                <w:rFonts w:ascii="Aptos Narrow" w:eastAsia="Times New Roman" w:hAnsi="Aptos Narrow"/>
                <w:color w:val="000000"/>
                <w:sz w:val="16"/>
                <w:szCs w:val="16"/>
                <w:lang w:val="en-HK" w:eastAsia="zh-CN"/>
              </w:rPr>
              <w:lastRenderedPageBreak/>
              <w:t>DRP</w:t>
            </w:r>
            <w:r w:rsidRPr="000A6EBE">
              <w:rPr>
                <w:rFonts w:ascii="Microsoft JhengHei" w:eastAsia="Microsoft JhengHei" w:hAnsi="Microsoft JhengHei" w:cs="Microsoft JhengHei"/>
                <w:color w:val="000000"/>
                <w:sz w:val="16"/>
                <w:szCs w:val="16"/>
                <w:lang w:val="en-HK" w:eastAsia="zh-CN"/>
              </w:rPr>
              <w:t>庐</w:t>
            </w:r>
            <w:r w:rsidRPr="000A6EBE">
              <w:rPr>
                <w:rFonts w:ascii="Aptos Narrow" w:eastAsia="Times New Roman" w:hAnsi="Aptos Narrow"/>
                <w:color w:val="000000"/>
                <w:sz w:val="16"/>
                <w:szCs w:val="16"/>
                <w:lang w:val="en-HK" w:eastAsia="zh-CN"/>
              </w:rPr>
              <w:t xml:space="preserve"> biomarker in metastatic breast cancer patients to identify patients likely to respond to and benefit from treatment with 2X-121.</w:t>
            </w:r>
          </w:p>
        </w:tc>
        <w:tc>
          <w:tcPr>
            <w:tcW w:w="279" w:type="dxa"/>
            <w:tcBorders>
              <w:top w:val="nil"/>
              <w:left w:val="nil"/>
              <w:bottom w:val="nil"/>
              <w:right w:val="nil"/>
            </w:tcBorders>
            <w:shd w:val="clear" w:color="auto" w:fill="auto"/>
            <w:noWrap/>
            <w:vAlign w:val="center"/>
            <w:hideMark/>
          </w:tcPr>
          <w:p w14:paraId="0CCEF77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AF77D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Breast Cancer</w:t>
            </w:r>
          </w:p>
        </w:tc>
        <w:tc>
          <w:tcPr>
            <w:tcW w:w="1574" w:type="dxa"/>
            <w:tcBorders>
              <w:top w:val="nil"/>
              <w:left w:val="nil"/>
              <w:bottom w:val="nil"/>
              <w:right w:val="nil"/>
            </w:tcBorders>
            <w:shd w:val="clear" w:color="auto" w:fill="auto"/>
            <w:noWrap/>
            <w:vAlign w:val="center"/>
            <w:hideMark/>
          </w:tcPr>
          <w:p w14:paraId="0388EA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PARP inhibitor 2X-121</w:t>
            </w:r>
          </w:p>
        </w:tc>
        <w:tc>
          <w:tcPr>
            <w:tcW w:w="1152" w:type="dxa"/>
            <w:tcBorders>
              <w:top w:val="nil"/>
              <w:left w:val="nil"/>
              <w:bottom w:val="nil"/>
              <w:right w:val="nil"/>
            </w:tcBorders>
            <w:shd w:val="clear" w:color="auto" w:fill="auto"/>
            <w:noWrap/>
            <w:vAlign w:val="center"/>
            <w:hideMark/>
          </w:tcPr>
          <w:p w14:paraId="369E70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Allarity Therapeutics</w:t>
            </w:r>
          </w:p>
        </w:tc>
        <w:tc>
          <w:tcPr>
            <w:tcW w:w="1006" w:type="dxa"/>
            <w:tcBorders>
              <w:top w:val="nil"/>
              <w:left w:val="nil"/>
              <w:bottom w:val="nil"/>
              <w:right w:val="nil"/>
            </w:tcBorders>
            <w:shd w:val="clear" w:color="auto" w:fill="auto"/>
            <w:noWrap/>
            <w:vAlign w:val="center"/>
            <w:hideMark/>
          </w:tcPr>
          <w:p w14:paraId="775EAA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05D14CB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97844D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20/06/2018</w:t>
            </w:r>
          </w:p>
        </w:tc>
        <w:tc>
          <w:tcPr>
            <w:tcW w:w="766" w:type="dxa"/>
            <w:tcBorders>
              <w:top w:val="nil"/>
              <w:left w:val="nil"/>
              <w:bottom w:val="nil"/>
              <w:right w:val="nil"/>
            </w:tcBorders>
            <w:shd w:val="clear" w:color="auto" w:fill="auto"/>
            <w:noWrap/>
            <w:vAlign w:val="center"/>
            <w:hideMark/>
          </w:tcPr>
          <w:p w14:paraId="25F505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4EBD97E6" w14:textId="77777777" w:rsidTr="00AB1828">
        <w:trPr>
          <w:trHeight w:val="360"/>
        </w:trPr>
        <w:tc>
          <w:tcPr>
            <w:tcW w:w="861" w:type="dxa"/>
            <w:tcBorders>
              <w:top w:val="nil"/>
              <w:left w:val="nil"/>
              <w:bottom w:val="nil"/>
              <w:right w:val="nil"/>
            </w:tcBorders>
            <w:shd w:val="clear" w:color="auto" w:fill="auto"/>
            <w:noWrap/>
            <w:vAlign w:val="center"/>
            <w:hideMark/>
          </w:tcPr>
          <w:p w14:paraId="03552CF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NCT03562832</w:t>
            </w:r>
          </w:p>
        </w:tc>
        <w:tc>
          <w:tcPr>
            <w:tcW w:w="1354" w:type="dxa"/>
            <w:tcBorders>
              <w:top w:val="nil"/>
              <w:left w:val="nil"/>
              <w:bottom w:val="nil"/>
              <w:right w:val="nil"/>
            </w:tcBorders>
            <w:shd w:val="clear" w:color="auto" w:fill="auto"/>
            <w:noWrap/>
            <w:vAlign w:val="center"/>
            <w:hideMark/>
          </w:tcPr>
          <w:p w14:paraId="75ABB0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Investigation of Anti-tumour Effect and Tolerability of the PARP Inhibitor 2X-121 in Patients With Metastatic Breast Cancer Selected by the 2X-121 DRP</w:t>
            </w:r>
          </w:p>
        </w:tc>
        <w:tc>
          <w:tcPr>
            <w:tcW w:w="1483" w:type="dxa"/>
            <w:tcBorders>
              <w:top w:val="nil"/>
              <w:left w:val="nil"/>
              <w:bottom w:val="nil"/>
              <w:right w:val="nil"/>
            </w:tcBorders>
            <w:shd w:val="clear" w:color="auto" w:fill="auto"/>
            <w:noWrap/>
            <w:vAlign w:val="center"/>
            <w:hideMark/>
          </w:tcPr>
          <w:p w14:paraId="568C559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vAlign w:val="center"/>
            <w:hideMark/>
          </w:tcPr>
          <w:p w14:paraId="60BC14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2X-121 is a small molecule targeted inhibitor of Poly ADP ribose polymerase (PARP), a key enzyme involved in DNA damage repair in cancer cells. The PARP inhibitor demonstrated clinical activity in a prior Phase 1 study in a number of solid tumors. 2X-121 has a novel dual-inhibitory action against both PARP 1/2 and Tankyrase 1/2. The molecule is also active in P-glycoprotein expressing cells, suggesting it may overcome some of the PARP inhibitor resistance.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Phase 2 study is using 2x-121 DRP</w:t>
            </w:r>
            <w:r w:rsidRPr="000A6EBE">
              <w:rPr>
                <w:rFonts w:ascii="Microsoft JhengHei" w:eastAsia="Microsoft JhengHei" w:hAnsi="Microsoft JhengHei" w:cs="Microsoft JhengHei"/>
                <w:color w:val="000000"/>
                <w:sz w:val="16"/>
                <w:szCs w:val="16"/>
                <w:lang w:val="en-HK" w:eastAsia="zh-CN"/>
              </w:rPr>
              <w:t>庐</w:t>
            </w:r>
            <w:r w:rsidRPr="000A6EBE">
              <w:rPr>
                <w:rFonts w:ascii="Aptos Narrow" w:eastAsia="Times New Roman" w:hAnsi="Aptos Narrow"/>
                <w:color w:val="000000"/>
                <w:sz w:val="16"/>
                <w:szCs w:val="16"/>
                <w:lang w:val="en-HK" w:eastAsia="zh-CN"/>
              </w:rPr>
              <w:t xml:space="preserve"> biomarker in metastatic breast cancer </w:t>
            </w:r>
            <w:r w:rsidRPr="000A6EBE">
              <w:rPr>
                <w:rFonts w:ascii="Aptos Narrow" w:eastAsia="Times New Roman" w:hAnsi="Aptos Narrow"/>
                <w:color w:val="000000"/>
                <w:sz w:val="16"/>
                <w:szCs w:val="16"/>
                <w:lang w:val="en-HK" w:eastAsia="zh-CN"/>
              </w:rPr>
              <w:lastRenderedPageBreak/>
              <w:t>patients to identify patients likely to respond to and benefit from treatment with 2X-121.</w:t>
            </w:r>
          </w:p>
        </w:tc>
        <w:tc>
          <w:tcPr>
            <w:tcW w:w="279" w:type="dxa"/>
            <w:tcBorders>
              <w:top w:val="nil"/>
              <w:left w:val="nil"/>
              <w:bottom w:val="nil"/>
              <w:right w:val="nil"/>
            </w:tcBorders>
            <w:shd w:val="clear" w:color="auto" w:fill="auto"/>
            <w:noWrap/>
            <w:vAlign w:val="center"/>
            <w:hideMark/>
          </w:tcPr>
          <w:p w14:paraId="2A7187F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078D54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Breast Cancer</w:t>
            </w:r>
          </w:p>
        </w:tc>
        <w:tc>
          <w:tcPr>
            <w:tcW w:w="1574" w:type="dxa"/>
            <w:tcBorders>
              <w:top w:val="nil"/>
              <w:left w:val="nil"/>
              <w:bottom w:val="nil"/>
              <w:right w:val="nil"/>
            </w:tcBorders>
            <w:shd w:val="clear" w:color="auto" w:fill="auto"/>
            <w:noWrap/>
            <w:vAlign w:val="center"/>
            <w:hideMark/>
          </w:tcPr>
          <w:p w14:paraId="169B15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PARP inhibitor 2X-121</w:t>
            </w:r>
          </w:p>
        </w:tc>
        <w:tc>
          <w:tcPr>
            <w:tcW w:w="1152" w:type="dxa"/>
            <w:tcBorders>
              <w:top w:val="nil"/>
              <w:left w:val="nil"/>
              <w:bottom w:val="nil"/>
              <w:right w:val="nil"/>
            </w:tcBorders>
            <w:shd w:val="clear" w:color="auto" w:fill="auto"/>
            <w:noWrap/>
            <w:vAlign w:val="center"/>
            <w:hideMark/>
          </w:tcPr>
          <w:p w14:paraId="56A23F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Allarity Therapeutics</w:t>
            </w:r>
          </w:p>
        </w:tc>
        <w:tc>
          <w:tcPr>
            <w:tcW w:w="1006" w:type="dxa"/>
            <w:tcBorders>
              <w:top w:val="nil"/>
              <w:left w:val="nil"/>
              <w:bottom w:val="nil"/>
              <w:right w:val="nil"/>
            </w:tcBorders>
            <w:shd w:val="clear" w:color="auto" w:fill="auto"/>
            <w:noWrap/>
            <w:vAlign w:val="center"/>
            <w:hideMark/>
          </w:tcPr>
          <w:p w14:paraId="295FCD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5B5B0A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EA345E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20/06/2018</w:t>
            </w:r>
          </w:p>
        </w:tc>
        <w:tc>
          <w:tcPr>
            <w:tcW w:w="766" w:type="dxa"/>
            <w:tcBorders>
              <w:top w:val="nil"/>
              <w:left w:val="nil"/>
              <w:bottom w:val="nil"/>
              <w:right w:val="nil"/>
            </w:tcBorders>
            <w:shd w:val="clear" w:color="auto" w:fill="auto"/>
            <w:noWrap/>
            <w:vAlign w:val="center"/>
            <w:hideMark/>
          </w:tcPr>
          <w:p w14:paraId="68BDA7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CB67B55" w14:textId="77777777" w:rsidTr="00AB1828">
        <w:trPr>
          <w:trHeight w:val="360"/>
        </w:trPr>
        <w:tc>
          <w:tcPr>
            <w:tcW w:w="861" w:type="dxa"/>
            <w:tcBorders>
              <w:top w:val="nil"/>
              <w:left w:val="nil"/>
              <w:bottom w:val="nil"/>
              <w:right w:val="nil"/>
            </w:tcBorders>
            <w:shd w:val="clear" w:color="auto" w:fill="auto"/>
            <w:noWrap/>
            <w:vAlign w:val="center"/>
            <w:hideMark/>
          </w:tcPr>
          <w:p w14:paraId="5A7943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NCT04603612</w:t>
            </w:r>
          </w:p>
        </w:tc>
        <w:tc>
          <w:tcPr>
            <w:tcW w:w="1354" w:type="dxa"/>
            <w:tcBorders>
              <w:top w:val="nil"/>
              <w:left w:val="nil"/>
              <w:bottom w:val="nil"/>
              <w:right w:val="nil"/>
            </w:tcBorders>
            <w:shd w:val="clear" w:color="auto" w:fill="auto"/>
            <w:noWrap/>
            <w:vAlign w:val="center"/>
            <w:hideMark/>
          </w:tcPr>
          <w:p w14:paraId="790D09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Role of mRNA-based Urine Test (Xpert Bladder Cancer Monitor) in Predicting the Need for Second Look Biopsy After Transurethral Resection of Non Muscle-invasive Bladder Tumor.</w:t>
            </w:r>
          </w:p>
        </w:tc>
        <w:tc>
          <w:tcPr>
            <w:tcW w:w="1483" w:type="dxa"/>
            <w:tcBorders>
              <w:top w:val="nil"/>
              <w:left w:val="nil"/>
              <w:bottom w:val="nil"/>
              <w:right w:val="nil"/>
            </w:tcBorders>
            <w:shd w:val="clear" w:color="auto" w:fill="auto"/>
            <w:noWrap/>
            <w:vAlign w:val="center"/>
            <w:hideMark/>
          </w:tcPr>
          <w:p w14:paraId="042AE4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7C7F9EE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Xpert BC Monitor is an mRNA-based urinary marker test for BC surveillance which measures the levels of five target mRNAs (ABL1, ANXA10, UPK1B, CRH and IGF2) from a voided urine sample by real-time RT-PCR. The Xpert BC Monitor automates and integrates sample processing, nucleic acid amplification, and the detection of target sequences.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performance of Xpert BC monitor regarding its sensitivity and negative predictive value was shown to be considerably high reaching 84% and 93%, respectively. Moreover, this high sensitivity was maintained in low-grade (77%) and Ta tumors </w:t>
            </w:r>
            <w:r w:rsidRPr="000A6EBE">
              <w:rPr>
                <w:rFonts w:ascii="Aptos Narrow" w:eastAsia="Times New Roman" w:hAnsi="Aptos Narrow"/>
                <w:color w:val="000000"/>
                <w:sz w:val="16"/>
                <w:szCs w:val="16"/>
                <w:lang w:val="en-HK" w:eastAsia="zh-CN"/>
              </w:rPr>
              <w:lastRenderedPageBreak/>
              <w:t>(82%). Xpert BC monitor is going to gain now a wide popularity among practitioners in surveillance of NMIBC patients due to its simplicity to do, reliability and reproducibility.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investigators hypothesize that; Xpert BC monitor may be a useful tool in evaluation of patients, who are potentially candidates for repeat TURBT. It can refine the indications of repeat biopsy by exclusion of cases with negative test.</w:t>
            </w:r>
          </w:p>
        </w:tc>
        <w:tc>
          <w:tcPr>
            <w:tcW w:w="279" w:type="dxa"/>
            <w:tcBorders>
              <w:top w:val="nil"/>
              <w:left w:val="nil"/>
              <w:bottom w:val="nil"/>
              <w:right w:val="nil"/>
            </w:tcBorders>
            <w:shd w:val="clear" w:color="auto" w:fill="auto"/>
            <w:noWrap/>
            <w:vAlign w:val="center"/>
            <w:hideMark/>
          </w:tcPr>
          <w:p w14:paraId="46FF21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4B3924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Bladder Cancer</w:t>
            </w:r>
          </w:p>
        </w:tc>
        <w:tc>
          <w:tcPr>
            <w:tcW w:w="1574" w:type="dxa"/>
            <w:tcBorders>
              <w:top w:val="nil"/>
              <w:left w:val="nil"/>
              <w:bottom w:val="nil"/>
              <w:right w:val="nil"/>
            </w:tcBorders>
            <w:shd w:val="clear" w:color="auto" w:fill="auto"/>
            <w:noWrap/>
            <w:vAlign w:val="center"/>
            <w:hideMark/>
          </w:tcPr>
          <w:p w14:paraId="38002CB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PROCEDURE: Primary TURBT</w:t>
            </w:r>
          </w:p>
        </w:tc>
        <w:tc>
          <w:tcPr>
            <w:tcW w:w="1152" w:type="dxa"/>
            <w:tcBorders>
              <w:top w:val="nil"/>
              <w:left w:val="nil"/>
              <w:bottom w:val="nil"/>
              <w:right w:val="nil"/>
            </w:tcBorders>
            <w:shd w:val="clear" w:color="auto" w:fill="auto"/>
            <w:noWrap/>
            <w:vAlign w:val="center"/>
            <w:hideMark/>
          </w:tcPr>
          <w:p w14:paraId="79BFA69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Mansoura University</w:t>
            </w:r>
          </w:p>
        </w:tc>
        <w:tc>
          <w:tcPr>
            <w:tcW w:w="1006" w:type="dxa"/>
            <w:tcBorders>
              <w:top w:val="nil"/>
              <w:left w:val="nil"/>
              <w:bottom w:val="nil"/>
              <w:right w:val="nil"/>
            </w:tcBorders>
            <w:shd w:val="clear" w:color="auto" w:fill="auto"/>
            <w:noWrap/>
            <w:vAlign w:val="center"/>
            <w:hideMark/>
          </w:tcPr>
          <w:p w14:paraId="4867E23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545DA0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6E191D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01/06/2018</w:t>
            </w:r>
          </w:p>
        </w:tc>
        <w:tc>
          <w:tcPr>
            <w:tcW w:w="766" w:type="dxa"/>
            <w:tcBorders>
              <w:top w:val="nil"/>
              <w:left w:val="nil"/>
              <w:bottom w:val="nil"/>
              <w:right w:val="nil"/>
            </w:tcBorders>
            <w:shd w:val="clear" w:color="auto" w:fill="auto"/>
            <w:noWrap/>
            <w:vAlign w:val="center"/>
            <w:hideMark/>
          </w:tcPr>
          <w:p w14:paraId="36A540D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7A05668" w14:textId="77777777" w:rsidTr="00AB1828">
        <w:trPr>
          <w:trHeight w:val="360"/>
        </w:trPr>
        <w:tc>
          <w:tcPr>
            <w:tcW w:w="861" w:type="dxa"/>
            <w:tcBorders>
              <w:top w:val="nil"/>
              <w:left w:val="nil"/>
              <w:bottom w:val="nil"/>
              <w:right w:val="nil"/>
            </w:tcBorders>
            <w:shd w:val="clear" w:color="auto" w:fill="auto"/>
            <w:noWrap/>
            <w:vAlign w:val="center"/>
            <w:hideMark/>
          </w:tcPr>
          <w:p w14:paraId="7FA6614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NCT03480152</w:t>
            </w:r>
          </w:p>
        </w:tc>
        <w:tc>
          <w:tcPr>
            <w:tcW w:w="1354" w:type="dxa"/>
            <w:tcBorders>
              <w:top w:val="nil"/>
              <w:left w:val="nil"/>
              <w:bottom w:val="nil"/>
              <w:right w:val="nil"/>
            </w:tcBorders>
            <w:shd w:val="clear" w:color="auto" w:fill="auto"/>
            <w:noWrap/>
            <w:vAlign w:val="center"/>
            <w:hideMark/>
          </w:tcPr>
          <w:p w14:paraId="2CEF46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Messenger RNA (mRNA)-Based, Personalized Cancer Vaccine Against Neoantigens Expressed by the Autologous Cancer</w:t>
            </w:r>
          </w:p>
        </w:tc>
        <w:tc>
          <w:tcPr>
            <w:tcW w:w="1483" w:type="dxa"/>
            <w:tcBorders>
              <w:top w:val="nil"/>
              <w:left w:val="nil"/>
              <w:bottom w:val="nil"/>
              <w:right w:val="nil"/>
            </w:tcBorders>
            <w:shd w:val="clear" w:color="auto" w:fill="auto"/>
            <w:noWrap/>
            <w:vAlign w:val="center"/>
            <w:hideMark/>
          </w:tcPr>
          <w:p w14:paraId="725D3A0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7D88EC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Background:</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Exome sequencing can identify certain gene mutations in a person's tumor. This can then be used to create cancer treatments. In this study, researchers will make a treatment called a messenger ribonucleic acid (mRNA) vaccine. The vaccine might </w:t>
            </w:r>
            <w:r w:rsidRPr="000A6EBE">
              <w:rPr>
                <w:rFonts w:ascii="Aptos Narrow" w:eastAsia="Times New Roman" w:hAnsi="Aptos Narrow"/>
                <w:color w:val="000000"/>
                <w:sz w:val="16"/>
                <w:szCs w:val="16"/>
                <w:lang w:val="en-HK" w:eastAsia="zh-CN"/>
              </w:rPr>
              <w:lastRenderedPageBreak/>
              <w:t>cause certain tumors to shrink.</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Objective: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To see if the mRNA vaccine is safe and can cause metastatic melanoma or epithelial tumors to shrink.</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Eligibility: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People 18-70 years old with metastatic melanoma or epithelial cancer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Design: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Participants will be screened under protocol 99-C-0128.</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Participants will provide samples under protocol 03-C-0277:</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Participants will provide a piece of their tumor from a previous surgery or biopsy.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Participants will have leukapheresis: Blood is removed through a needle in one arm and circulated </w:t>
            </w:r>
            <w:r w:rsidRPr="000A6EBE">
              <w:rPr>
                <w:rFonts w:ascii="Aptos Narrow" w:eastAsia="Times New Roman" w:hAnsi="Aptos Narrow"/>
                <w:color w:val="000000"/>
                <w:sz w:val="16"/>
                <w:szCs w:val="16"/>
                <w:lang w:val="en-HK" w:eastAsia="zh-CN"/>
              </w:rPr>
              <w:lastRenderedPageBreak/>
              <w:t>through a machine that takes out the white blood cells. The blood is then returned through a needle in the other arm.</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Participants will have many tests: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Scans and x-rays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Heart and lung function tests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Blood and urine tests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Participants will receive the mRNA vaccine every 2 weeks for up to 8 weeks. They will get the vaccine as an injection into the upper arm or thigh. They may receive a second course of vaccines if the study doctor determines it is needed.</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Participants will have follow-up visits approximately 2 weeks after their final vaccine, then 1 month later, then every 1-2 months for the first year, and </w:t>
            </w:r>
            <w:r w:rsidRPr="000A6EBE">
              <w:rPr>
                <w:rFonts w:ascii="Aptos Narrow" w:eastAsia="Times New Roman" w:hAnsi="Aptos Narrow"/>
                <w:color w:val="000000"/>
                <w:sz w:val="16"/>
                <w:szCs w:val="16"/>
                <w:lang w:val="en-HK" w:eastAsia="zh-CN"/>
              </w:rPr>
              <w:lastRenderedPageBreak/>
              <w:t>then once a year for up to 5 years. Each visit may take up to 2 days and include: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Physical exam</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Blood tests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Scans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Leukapheresis at the first visit</w:t>
            </w:r>
          </w:p>
        </w:tc>
        <w:tc>
          <w:tcPr>
            <w:tcW w:w="279" w:type="dxa"/>
            <w:tcBorders>
              <w:top w:val="nil"/>
              <w:left w:val="nil"/>
              <w:bottom w:val="nil"/>
              <w:right w:val="nil"/>
            </w:tcBorders>
            <w:shd w:val="clear" w:color="auto" w:fill="auto"/>
            <w:noWrap/>
            <w:vAlign w:val="center"/>
            <w:hideMark/>
          </w:tcPr>
          <w:p w14:paraId="08E893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YES</w:t>
            </w:r>
          </w:p>
        </w:tc>
        <w:tc>
          <w:tcPr>
            <w:tcW w:w="2048" w:type="dxa"/>
            <w:tcBorders>
              <w:top w:val="nil"/>
              <w:left w:val="nil"/>
              <w:bottom w:val="nil"/>
              <w:right w:val="nil"/>
            </w:tcBorders>
            <w:shd w:val="clear" w:color="auto" w:fill="auto"/>
            <w:noWrap/>
            <w:vAlign w:val="center"/>
            <w:hideMark/>
          </w:tcPr>
          <w:p w14:paraId="5D80B5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Melanoma|Colon Cancer|Gastrointestinal Cancer|Genitourinary Cancer|Hepatocellular Cancer</w:t>
            </w:r>
          </w:p>
        </w:tc>
        <w:tc>
          <w:tcPr>
            <w:tcW w:w="1574" w:type="dxa"/>
            <w:tcBorders>
              <w:top w:val="nil"/>
              <w:left w:val="nil"/>
              <w:bottom w:val="nil"/>
              <w:right w:val="nil"/>
            </w:tcBorders>
            <w:shd w:val="clear" w:color="auto" w:fill="auto"/>
            <w:noWrap/>
            <w:vAlign w:val="center"/>
            <w:hideMark/>
          </w:tcPr>
          <w:p w14:paraId="2DB85D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National Cancer Institute (NCI)-4650, a messenger ribonucleic acid (mRNA)-based, Personalized Cancer Vaccine</w:t>
            </w:r>
          </w:p>
        </w:tc>
        <w:tc>
          <w:tcPr>
            <w:tcW w:w="1152" w:type="dxa"/>
            <w:tcBorders>
              <w:top w:val="nil"/>
              <w:left w:val="nil"/>
              <w:bottom w:val="nil"/>
              <w:right w:val="nil"/>
            </w:tcBorders>
            <w:shd w:val="clear" w:color="auto" w:fill="auto"/>
            <w:noWrap/>
            <w:vAlign w:val="center"/>
            <w:hideMark/>
          </w:tcPr>
          <w:p w14:paraId="14FA4E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National Cancer Institute (NCI)</w:t>
            </w:r>
          </w:p>
        </w:tc>
        <w:tc>
          <w:tcPr>
            <w:tcW w:w="1006" w:type="dxa"/>
            <w:tcBorders>
              <w:top w:val="nil"/>
              <w:left w:val="nil"/>
              <w:bottom w:val="nil"/>
              <w:right w:val="nil"/>
            </w:tcBorders>
            <w:shd w:val="clear" w:color="auto" w:fill="auto"/>
            <w:noWrap/>
            <w:vAlign w:val="center"/>
            <w:hideMark/>
          </w:tcPr>
          <w:p w14:paraId="61A49EC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36B7E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DDBF30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18/05/2018</w:t>
            </w:r>
          </w:p>
        </w:tc>
        <w:tc>
          <w:tcPr>
            <w:tcW w:w="766" w:type="dxa"/>
            <w:tcBorders>
              <w:top w:val="nil"/>
              <w:left w:val="nil"/>
              <w:bottom w:val="nil"/>
              <w:right w:val="nil"/>
            </w:tcBorders>
            <w:shd w:val="clear" w:color="auto" w:fill="auto"/>
            <w:noWrap/>
            <w:vAlign w:val="center"/>
            <w:hideMark/>
          </w:tcPr>
          <w:p w14:paraId="0A0833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72AD735B" w14:textId="77777777" w:rsidTr="00AB1828">
        <w:trPr>
          <w:trHeight w:val="360"/>
        </w:trPr>
        <w:tc>
          <w:tcPr>
            <w:tcW w:w="861" w:type="dxa"/>
            <w:tcBorders>
              <w:top w:val="nil"/>
              <w:left w:val="nil"/>
              <w:bottom w:val="nil"/>
              <w:right w:val="nil"/>
            </w:tcBorders>
            <w:shd w:val="clear" w:color="auto" w:fill="auto"/>
            <w:noWrap/>
            <w:vAlign w:val="center"/>
            <w:hideMark/>
          </w:tcPr>
          <w:p w14:paraId="5D1FC6C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NCT03468244</w:t>
            </w:r>
          </w:p>
        </w:tc>
        <w:tc>
          <w:tcPr>
            <w:tcW w:w="1354" w:type="dxa"/>
            <w:tcBorders>
              <w:top w:val="nil"/>
              <w:left w:val="nil"/>
              <w:bottom w:val="nil"/>
              <w:right w:val="nil"/>
            </w:tcBorders>
            <w:shd w:val="clear" w:color="auto" w:fill="auto"/>
            <w:noWrap/>
            <w:vAlign w:val="center"/>
            <w:hideMark/>
          </w:tcPr>
          <w:p w14:paraId="271A53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Clinical Study of Personalized mRNA Vaccine Encoding Neoantigen in Patients With Advanced Digestive System Neoplasms</w:t>
            </w:r>
          </w:p>
        </w:tc>
        <w:tc>
          <w:tcPr>
            <w:tcW w:w="1483" w:type="dxa"/>
            <w:tcBorders>
              <w:top w:val="nil"/>
              <w:left w:val="nil"/>
              <w:bottom w:val="nil"/>
              <w:right w:val="nil"/>
            </w:tcBorders>
            <w:shd w:val="clear" w:color="auto" w:fill="auto"/>
            <w:noWrap/>
            <w:vAlign w:val="center"/>
            <w:hideMark/>
          </w:tcPr>
          <w:p w14:paraId="37F11C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37EC85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single arm, open-label pilot study is designed to determine the safety, tolerability and effectiveness of personalized mRNA tumor vaccine encoding neoantigen in Patients with advanced esophageal squamous carcinoma, gastric adenocarcinoma, pancreatic adenocarcinoma and colorectal adenocarcinoma</w:t>
            </w:r>
          </w:p>
        </w:tc>
        <w:tc>
          <w:tcPr>
            <w:tcW w:w="279" w:type="dxa"/>
            <w:tcBorders>
              <w:top w:val="nil"/>
              <w:left w:val="nil"/>
              <w:bottom w:val="nil"/>
              <w:right w:val="nil"/>
            </w:tcBorders>
            <w:shd w:val="clear" w:color="auto" w:fill="auto"/>
            <w:noWrap/>
            <w:vAlign w:val="center"/>
            <w:hideMark/>
          </w:tcPr>
          <w:p w14:paraId="07D302B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51B1D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Esophageal Squamous Carcinoma|Gastric Adenocarcinoma|Pancreatic Adenocarcinoma|Colorectal Adenocarcinoma</w:t>
            </w:r>
          </w:p>
        </w:tc>
        <w:tc>
          <w:tcPr>
            <w:tcW w:w="1574" w:type="dxa"/>
            <w:tcBorders>
              <w:top w:val="nil"/>
              <w:left w:val="nil"/>
              <w:bottom w:val="nil"/>
              <w:right w:val="nil"/>
            </w:tcBorders>
            <w:shd w:val="clear" w:color="auto" w:fill="auto"/>
            <w:noWrap/>
            <w:vAlign w:val="center"/>
            <w:hideMark/>
          </w:tcPr>
          <w:p w14:paraId="3C39A3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Personalized mRNA Tumor Vaccine</w:t>
            </w:r>
          </w:p>
        </w:tc>
        <w:tc>
          <w:tcPr>
            <w:tcW w:w="1152" w:type="dxa"/>
            <w:tcBorders>
              <w:top w:val="nil"/>
              <w:left w:val="nil"/>
              <w:bottom w:val="nil"/>
              <w:right w:val="nil"/>
            </w:tcBorders>
            <w:shd w:val="clear" w:color="auto" w:fill="auto"/>
            <w:noWrap/>
            <w:vAlign w:val="center"/>
            <w:hideMark/>
          </w:tcPr>
          <w:p w14:paraId="0A4532C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Changhai Hospital</w:t>
            </w:r>
          </w:p>
        </w:tc>
        <w:tc>
          <w:tcPr>
            <w:tcW w:w="1006" w:type="dxa"/>
            <w:tcBorders>
              <w:top w:val="nil"/>
              <w:left w:val="nil"/>
              <w:bottom w:val="nil"/>
              <w:right w:val="nil"/>
            </w:tcBorders>
            <w:shd w:val="clear" w:color="auto" w:fill="auto"/>
            <w:noWrap/>
            <w:vAlign w:val="center"/>
            <w:hideMark/>
          </w:tcPr>
          <w:p w14:paraId="1BB966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329AC8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7180C96"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01/05/2018</w:t>
            </w:r>
          </w:p>
        </w:tc>
        <w:tc>
          <w:tcPr>
            <w:tcW w:w="766" w:type="dxa"/>
            <w:tcBorders>
              <w:top w:val="nil"/>
              <w:left w:val="nil"/>
              <w:bottom w:val="nil"/>
              <w:right w:val="nil"/>
            </w:tcBorders>
            <w:shd w:val="clear" w:color="auto" w:fill="auto"/>
            <w:noWrap/>
            <w:vAlign w:val="center"/>
            <w:hideMark/>
          </w:tcPr>
          <w:p w14:paraId="70A7DBF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2F8C3ACA" w14:textId="77777777" w:rsidTr="00AB1828">
        <w:trPr>
          <w:trHeight w:val="360"/>
        </w:trPr>
        <w:tc>
          <w:tcPr>
            <w:tcW w:w="861" w:type="dxa"/>
            <w:tcBorders>
              <w:top w:val="nil"/>
              <w:left w:val="nil"/>
              <w:bottom w:val="nil"/>
              <w:right w:val="nil"/>
            </w:tcBorders>
            <w:shd w:val="clear" w:color="auto" w:fill="auto"/>
            <w:noWrap/>
            <w:vAlign w:val="center"/>
            <w:hideMark/>
          </w:tcPr>
          <w:p w14:paraId="032F5C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NCT03431311</w:t>
            </w:r>
          </w:p>
        </w:tc>
        <w:tc>
          <w:tcPr>
            <w:tcW w:w="1354" w:type="dxa"/>
            <w:tcBorders>
              <w:top w:val="nil"/>
              <w:left w:val="nil"/>
              <w:bottom w:val="nil"/>
              <w:right w:val="nil"/>
            </w:tcBorders>
            <w:shd w:val="clear" w:color="auto" w:fill="auto"/>
            <w:noWrap/>
            <w:vAlign w:val="center"/>
            <w:hideMark/>
          </w:tcPr>
          <w:p w14:paraId="4B0CB51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 Cell Receptor Based Therapy of Metastatic Colorectal Cancer</w:t>
            </w:r>
          </w:p>
        </w:tc>
        <w:tc>
          <w:tcPr>
            <w:tcW w:w="1483" w:type="dxa"/>
            <w:tcBorders>
              <w:top w:val="nil"/>
              <w:left w:val="nil"/>
              <w:bottom w:val="nil"/>
              <w:right w:val="nil"/>
            </w:tcBorders>
            <w:shd w:val="clear" w:color="auto" w:fill="auto"/>
            <w:noWrap/>
            <w:vAlign w:val="center"/>
            <w:hideMark/>
          </w:tcPr>
          <w:p w14:paraId="418CB1D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4D8E63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 Cell Receptor Based Therapy of Metastatic Colorectal Cancer With mRNA-engineered T Cells Targeting Transforming Growth Factor </w:t>
            </w:r>
            <w:r w:rsidRPr="000A6EBE">
              <w:rPr>
                <w:rFonts w:ascii="Aptos Narrow" w:eastAsia="Times New Roman" w:hAnsi="Aptos Narrow"/>
                <w:color w:val="000000"/>
                <w:sz w:val="16"/>
                <w:szCs w:val="16"/>
                <w:lang w:val="en-HK" w:eastAsia="zh-CN"/>
              </w:rPr>
              <w:lastRenderedPageBreak/>
              <w:t>Beta Receptor Type II (TGF</w:t>
            </w:r>
            <w:r w:rsidRPr="000A6EBE">
              <w:rPr>
                <w:rFonts w:ascii="Microsoft JhengHei" w:eastAsia="Microsoft JhengHei" w:hAnsi="Microsoft JhengHei" w:cs="Microsoft JhengHei"/>
                <w:color w:val="000000"/>
                <w:sz w:val="16"/>
                <w:szCs w:val="16"/>
                <w:lang w:val="en-HK" w:eastAsia="zh-CN"/>
              </w:rPr>
              <w:t>尾</w:t>
            </w:r>
            <w:r w:rsidRPr="000A6EBE">
              <w:rPr>
                <w:rFonts w:ascii="Aptos Narrow" w:eastAsia="Times New Roman" w:hAnsi="Aptos Narrow"/>
                <w:color w:val="000000"/>
                <w:sz w:val="16"/>
                <w:szCs w:val="16"/>
                <w:lang w:val="en-HK" w:eastAsia="zh-CN"/>
              </w:rPr>
              <w:t>II)</w:t>
            </w:r>
          </w:p>
        </w:tc>
        <w:tc>
          <w:tcPr>
            <w:tcW w:w="279" w:type="dxa"/>
            <w:tcBorders>
              <w:top w:val="nil"/>
              <w:left w:val="nil"/>
              <w:bottom w:val="nil"/>
              <w:right w:val="nil"/>
            </w:tcBorders>
            <w:shd w:val="clear" w:color="auto" w:fill="auto"/>
            <w:noWrap/>
            <w:vAlign w:val="center"/>
            <w:hideMark/>
          </w:tcPr>
          <w:p w14:paraId="6A940D3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CCBD7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Colorectal Cancer</w:t>
            </w:r>
          </w:p>
        </w:tc>
        <w:tc>
          <w:tcPr>
            <w:tcW w:w="1574" w:type="dxa"/>
            <w:tcBorders>
              <w:top w:val="nil"/>
              <w:left w:val="nil"/>
              <w:bottom w:val="nil"/>
              <w:right w:val="nil"/>
            </w:tcBorders>
            <w:shd w:val="clear" w:color="auto" w:fill="auto"/>
            <w:noWrap/>
            <w:vAlign w:val="center"/>
            <w:hideMark/>
          </w:tcPr>
          <w:p w14:paraId="4316AE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Adoptive Cell Therapy (ACT)</w:t>
            </w:r>
          </w:p>
        </w:tc>
        <w:tc>
          <w:tcPr>
            <w:tcW w:w="1152" w:type="dxa"/>
            <w:tcBorders>
              <w:top w:val="nil"/>
              <w:left w:val="nil"/>
              <w:bottom w:val="nil"/>
              <w:right w:val="nil"/>
            </w:tcBorders>
            <w:shd w:val="clear" w:color="auto" w:fill="auto"/>
            <w:noWrap/>
            <w:vAlign w:val="center"/>
            <w:hideMark/>
          </w:tcPr>
          <w:p w14:paraId="582F5C0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Oslo University Hospital</w:t>
            </w:r>
          </w:p>
        </w:tc>
        <w:tc>
          <w:tcPr>
            <w:tcW w:w="1006" w:type="dxa"/>
            <w:tcBorders>
              <w:top w:val="nil"/>
              <w:left w:val="nil"/>
              <w:bottom w:val="nil"/>
              <w:right w:val="nil"/>
            </w:tcBorders>
            <w:shd w:val="clear" w:color="auto" w:fill="auto"/>
            <w:noWrap/>
            <w:vAlign w:val="center"/>
            <w:hideMark/>
          </w:tcPr>
          <w:p w14:paraId="2BEA41C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4E927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FAFC21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08/03/2018</w:t>
            </w:r>
          </w:p>
        </w:tc>
        <w:tc>
          <w:tcPr>
            <w:tcW w:w="766" w:type="dxa"/>
            <w:tcBorders>
              <w:top w:val="nil"/>
              <w:left w:val="nil"/>
              <w:bottom w:val="nil"/>
              <w:right w:val="nil"/>
            </w:tcBorders>
            <w:shd w:val="clear" w:color="auto" w:fill="auto"/>
            <w:noWrap/>
            <w:vAlign w:val="center"/>
            <w:hideMark/>
          </w:tcPr>
          <w:p w14:paraId="64B5DA8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1532630" w14:textId="77777777" w:rsidTr="00AB1828">
        <w:trPr>
          <w:trHeight w:val="360"/>
        </w:trPr>
        <w:tc>
          <w:tcPr>
            <w:tcW w:w="861" w:type="dxa"/>
            <w:tcBorders>
              <w:top w:val="nil"/>
              <w:left w:val="nil"/>
              <w:bottom w:val="nil"/>
              <w:right w:val="nil"/>
            </w:tcBorders>
            <w:shd w:val="clear" w:color="auto" w:fill="auto"/>
            <w:noWrap/>
            <w:vAlign w:val="center"/>
            <w:hideMark/>
          </w:tcPr>
          <w:p w14:paraId="31B82C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NCT03444987</w:t>
            </w:r>
          </w:p>
        </w:tc>
        <w:tc>
          <w:tcPr>
            <w:tcW w:w="1354" w:type="dxa"/>
            <w:tcBorders>
              <w:top w:val="nil"/>
              <w:left w:val="nil"/>
              <w:bottom w:val="nil"/>
              <w:right w:val="nil"/>
            </w:tcBorders>
            <w:shd w:val="clear" w:color="auto" w:fill="auto"/>
            <w:noWrap/>
            <w:vAlign w:val="center"/>
            <w:hideMark/>
          </w:tcPr>
          <w:p w14:paraId="019011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Role of Fibroblast Activation in Uterine Fibroid</w:t>
            </w:r>
          </w:p>
        </w:tc>
        <w:tc>
          <w:tcPr>
            <w:tcW w:w="1483" w:type="dxa"/>
            <w:tcBorders>
              <w:top w:val="nil"/>
              <w:left w:val="nil"/>
              <w:bottom w:val="nil"/>
              <w:right w:val="nil"/>
            </w:tcBorders>
            <w:shd w:val="clear" w:color="auto" w:fill="auto"/>
            <w:noWrap/>
            <w:vAlign w:val="center"/>
            <w:hideMark/>
          </w:tcPr>
          <w:p w14:paraId="0EFD38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236DFC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Uterine fibroids (UFs), also called uterine leiomyomas or myomas, are steroid hormone-responsive, benign tumors of the smooth muscle compartment (myometrium) of the uterus. They are the most common neoplasm affecting women in their reproductive age. It is estimated that up to 77% of women develop UF in their life. UFs are one of the leading causes of hospitalisations for gynaecological disorders and are the most frequent reason for hysterectomy. According to relevant literature, 40%-60% of all the hysterectomies performed are due to the presence of UFs.</w:t>
            </w:r>
          </w:p>
        </w:tc>
        <w:tc>
          <w:tcPr>
            <w:tcW w:w="279" w:type="dxa"/>
            <w:tcBorders>
              <w:top w:val="nil"/>
              <w:left w:val="nil"/>
              <w:bottom w:val="nil"/>
              <w:right w:val="nil"/>
            </w:tcBorders>
            <w:shd w:val="clear" w:color="auto" w:fill="auto"/>
            <w:noWrap/>
            <w:vAlign w:val="center"/>
            <w:hideMark/>
          </w:tcPr>
          <w:p w14:paraId="4D8D78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75427D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Uterine Fibroid</w:t>
            </w:r>
          </w:p>
        </w:tc>
        <w:tc>
          <w:tcPr>
            <w:tcW w:w="1574" w:type="dxa"/>
            <w:tcBorders>
              <w:top w:val="nil"/>
              <w:left w:val="nil"/>
              <w:bottom w:val="nil"/>
              <w:right w:val="nil"/>
            </w:tcBorders>
            <w:shd w:val="clear" w:color="auto" w:fill="auto"/>
            <w:noWrap/>
            <w:vAlign w:val="center"/>
            <w:hideMark/>
          </w:tcPr>
          <w:p w14:paraId="02885B5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GENETIC: Measurement of protein expression in tissues.</w:t>
            </w:r>
          </w:p>
        </w:tc>
        <w:tc>
          <w:tcPr>
            <w:tcW w:w="2158" w:type="dxa"/>
            <w:gridSpan w:val="2"/>
            <w:tcBorders>
              <w:top w:val="nil"/>
              <w:left w:val="nil"/>
              <w:bottom w:val="nil"/>
              <w:right w:val="nil"/>
            </w:tcBorders>
            <w:shd w:val="clear" w:color="auto" w:fill="auto"/>
            <w:noWrap/>
            <w:vAlign w:val="center"/>
            <w:hideMark/>
          </w:tcPr>
          <w:p w14:paraId="4424C6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Assiut University</w:t>
            </w:r>
          </w:p>
        </w:tc>
        <w:tc>
          <w:tcPr>
            <w:tcW w:w="1006" w:type="dxa"/>
            <w:tcBorders>
              <w:top w:val="nil"/>
              <w:left w:val="nil"/>
              <w:bottom w:val="nil"/>
              <w:right w:val="nil"/>
            </w:tcBorders>
            <w:shd w:val="clear" w:color="auto" w:fill="auto"/>
            <w:noWrap/>
            <w:vAlign w:val="center"/>
            <w:hideMark/>
          </w:tcPr>
          <w:p w14:paraId="51F29C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635B40C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01/03/2018</w:t>
            </w:r>
          </w:p>
        </w:tc>
        <w:tc>
          <w:tcPr>
            <w:tcW w:w="766" w:type="dxa"/>
            <w:tcBorders>
              <w:top w:val="nil"/>
              <w:left w:val="nil"/>
              <w:bottom w:val="nil"/>
              <w:right w:val="nil"/>
            </w:tcBorders>
            <w:shd w:val="clear" w:color="auto" w:fill="auto"/>
            <w:noWrap/>
            <w:vAlign w:val="center"/>
            <w:hideMark/>
          </w:tcPr>
          <w:p w14:paraId="3ED1CA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43E7203" w14:textId="77777777" w:rsidTr="00AB1828">
        <w:trPr>
          <w:trHeight w:val="360"/>
        </w:trPr>
        <w:tc>
          <w:tcPr>
            <w:tcW w:w="861" w:type="dxa"/>
            <w:tcBorders>
              <w:top w:val="nil"/>
              <w:left w:val="nil"/>
              <w:bottom w:val="nil"/>
              <w:right w:val="nil"/>
            </w:tcBorders>
            <w:shd w:val="clear" w:color="auto" w:fill="auto"/>
            <w:noWrap/>
            <w:vAlign w:val="center"/>
            <w:hideMark/>
          </w:tcPr>
          <w:p w14:paraId="3DECB9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NCT04317261</w:t>
            </w:r>
          </w:p>
        </w:tc>
        <w:tc>
          <w:tcPr>
            <w:tcW w:w="1354" w:type="dxa"/>
            <w:tcBorders>
              <w:top w:val="nil"/>
              <w:left w:val="nil"/>
              <w:bottom w:val="nil"/>
              <w:right w:val="nil"/>
            </w:tcBorders>
            <w:shd w:val="clear" w:color="auto" w:fill="auto"/>
            <w:noWrap/>
            <w:vAlign w:val="center"/>
            <w:hideMark/>
          </w:tcPr>
          <w:p w14:paraId="3D8442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Role of Novel Urinary Genomic and Metablomic Markers in </w:t>
            </w:r>
            <w:r w:rsidRPr="000A6EBE">
              <w:rPr>
                <w:rFonts w:ascii="Aptos Narrow" w:eastAsia="Times New Roman" w:hAnsi="Aptos Narrow"/>
                <w:color w:val="000000"/>
                <w:sz w:val="16"/>
                <w:szCs w:val="16"/>
                <w:lang w:val="en-HK" w:eastAsia="zh-CN"/>
              </w:rPr>
              <w:lastRenderedPageBreak/>
              <w:t>Diagnosis of Bladder Cancer in Patients With Hematuria</w:t>
            </w:r>
          </w:p>
        </w:tc>
        <w:tc>
          <w:tcPr>
            <w:tcW w:w="1483" w:type="dxa"/>
            <w:tcBorders>
              <w:top w:val="nil"/>
              <w:left w:val="nil"/>
              <w:bottom w:val="nil"/>
              <w:right w:val="nil"/>
            </w:tcBorders>
            <w:shd w:val="clear" w:color="auto" w:fill="auto"/>
            <w:noWrap/>
            <w:vAlign w:val="center"/>
            <w:hideMark/>
          </w:tcPr>
          <w:p w14:paraId="15E7B3A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COMPLETED</w:t>
            </w:r>
          </w:p>
        </w:tc>
        <w:tc>
          <w:tcPr>
            <w:tcW w:w="1689" w:type="dxa"/>
            <w:tcBorders>
              <w:top w:val="nil"/>
              <w:left w:val="nil"/>
              <w:bottom w:val="nil"/>
              <w:right w:val="nil"/>
            </w:tcBorders>
            <w:shd w:val="clear" w:color="auto" w:fill="auto"/>
            <w:noWrap/>
            <w:vAlign w:val="center"/>
            <w:hideMark/>
          </w:tcPr>
          <w:p w14:paraId="74E33AC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Our goal is to develop a noninvasive, fast and simple assay </w:t>
            </w:r>
            <w:r w:rsidRPr="000A6EBE">
              <w:rPr>
                <w:rFonts w:ascii="Aptos Narrow" w:eastAsia="Times New Roman" w:hAnsi="Aptos Narrow"/>
                <w:color w:val="000000"/>
                <w:sz w:val="16"/>
                <w:szCs w:val="16"/>
                <w:lang w:val="en-HK" w:eastAsia="zh-CN"/>
              </w:rPr>
              <w:lastRenderedPageBreak/>
              <w:t>to detect BCa on the GeneXpert system and metablomic genes.</w:t>
            </w:r>
          </w:p>
        </w:tc>
        <w:tc>
          <w:tcPr>
            <w:tcW w:w="279" w:type="dxa"/>
            <w:tcBorders>
              <w:top w:val="nil"/>
              <w:left w:val="nil"/>
              <w:bottom w:val="nil"/>
              <w:right w:val="nil"/>
            </w:tcBorders>
            <w:shd w:val="clear" w:color="auto" w:fill="auto"/>
            <w:noWrap/>
            <w:vAlign w:val="center"/>
            <w:hideMark/>
          </w:tcPr>
          <w:p w14:paraId="4C5381F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AAEDE0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Hematuria|Bladder Cancer</w:t>
            </w:r>
          </w:p>
        </w:tc>
        <w:tc>
          <w:tcPr>
            <w:tcW w:w="1574" w:type="dxa"/>
            <w:tcBorders>
              <w:top w:val="nil"/>
              <w:left w:val="nil"/>
              <w:bottom w:val="nil"/>
              <w:right w:val="nil"/>
            </w:tcBorders>
            <w:shd w:val="clear" w:color="auto" w:fill="auto"/>
            <w:noWrap/>
            <w:vAlign w:val="center"/>
            <w:hideMark/>
          </w:tcPr>
          <w:p w14:paraId="61890D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DIAGNOSTIC_TEST: Xpert Bladder Cancer Monitor (Xpert Monitor) test </w:t>
            </w:r>
            <w:r w:rsidRPr="000A6EBE">
              <w:rPr>
                <w:rFonts w:ascii="Aptos Narrow" w:eastAsia="Times New Roman" w:hAnsi="Aptos Narrow"/>
                <w:color w:val="000000"/>
                <w:sz w:val="16"/>
                <w:szCs w:val="16"/>
                <w:lang w:val="en-HK" w:eastAsia="zh-CN"/>
              </w:rPr>
              <w:lastRenderedPageBreak/>
              <w:t>and assay of urinary metabolomics (gene expression of CRAT and SLC)</w:t>
            </w:r>
          </w:p>
        </w:tc>
        <w:tc>
          <w:tcPr>
            <w:tcW w:w="1152" w:type="dxa"/>
            <w:tcBorders>
              <w:top w:val="nil"/>
              <w:left w:val="nil"/>
              <w:bottom w:val="nil"/>
              <w:right w:val="nil"/>
            </w:tcBorders>
            <w:shd w:val="clear" w:color="auto" w:fill="auto"/>
            <w:noWrap/>
            <w:vAlign w:val="center"/>
            <w:hideMark/>
          </w:tcPr>
          <w:p w14:paraId="61DCDE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Mansoura University</w:t>
            </w:r>
          </w:p>
        </w:tc>
        <w:tc>
          <w:tcPr>
            <w:tcW w:w="1006" w:type="dxa"/>
            <w:tcBorders>
              <w:top w:val="nil"/>
              <w:left w:val="nil"/>
              <w:bottom w:val="nil"/>
              <w:right w:val="nil"/>
            </w:tcBorders>
            <w:shd w:val="clear" w:color="auto" w:fill="auto"/>
            <w:noWrap/>
            <w:vAlign w:val="center"/>
            <w:hideMark/>
          </w:tcPr>
          <w:p w14:paraId="7144A5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7182F7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855904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01/03/2018</w:t>
            </w:r>
          </w:p>
        </w:tc>
        <w:tc>
          <w:tcPr>
            <w:tcW w:w="766" w:type="dxa"/>
            <w:tcBorders>
              <w:top w:val="nil"/>
              <w:left w:val="nil"/>
              <w:bottom w:val="nil"/>
              <w:right w:val="nil"/>
            </w:tcBorders>
            <w:shd w:val="clear" w:color="auto" w:fill="auto"/>
            <w:noWrap/>
            <w:vAlign w:val="center"/>
            <w:hideMark/>
          </w:tcPr>
          <w:p w14:paraId="158D994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94D575A" w14:textId="77777777" w:rsidTr="00AB1828">
        <w:trPr>
          <w:trHeight w:val="360"/>
        </w:trPr>
        <w:tc>
          <w:tcPr>
            <w:tcW w:w="861" w:type="dxa"/>
            <w:tcBorders>
              <w:top w:val="nil"/>
              <w:left w:val="nil"/>
              <w:bottom w:val="nil"/>
              <w:right w:val="nil"/>
            </w:tcBorders>
            <w:shd w:val="clear" w:color="auto" w:fill="auto"/>
            <w:noWrap/>
            <w:vAlign w:val="center"/>
            <w:hideMark/>
          </w:tcPr>
          <w:p w14:paraId="1AA8DD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NCT03164772</w:t>
            </w:r>
          </w:p>
        </w:tc>
        <w:tc>
          <w:tcPr>
            <w:tcW w:w="1354" w:type="dxa"/>
            <w:tcBorders>
              <w:top w:val="nil"/>
              <w:left w:val="nil"/>
              <w:bottom w:val="nil"/>
              <w:right w:val="nil"/>
            </w:tcBorders>
            <w:shd w:val="clear" w:color="auto" w:fill="auto"/>
            <w:noWrap/>
            <w:vAlign w:val="center"/>
            <w:hideMark/>
          </w:tcPr>
          <w:p w14:paraId="5B5556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1/2 Study of Combination Immunotherapy and Messenger Ribonucleic Acid (mRNA) Vaccine in Subjects With NSCLC</w:t>
            </w:r>
          </w:p>
        </w:tc>
        <w:tc>
          <w:tcPr>
            <w:tcW w:w="1483" w:type="dxa"/>
            <w:tcBorders>
              <w:top w:val="nil"/>
              <w:left w:val="nil"/>
              <w:bottom w:val="nil"/>
              <w:right w:val="nil"/>
            </w:tcBorders>
            <w:shd w:val="clear" w:color="auto" w:fill="auto"/>
            <w:noWrap/>
            <w:vAlign w:val="center"/>
            <w:hideMark/>
          </w:tcPr>
          <w:p w14:paraId="73F5DAC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39D611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an open-label, multicenter, 2-arm study to evaluate the safety and preliminary efficacy of the addition of a vaccine therapy to 1 or 2 checkpoint inhibitors for NSCLC.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Arm A: messenger ribonucleic acid (mRNA) Vaccine \[BI 1361849 (formerly CV9202)\] + anti-programmed death ligand 1 (PD-L1) antibody \[durvalumab\]</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Arm B: messenger ribonucleic acid (mRNA) Vaccine \[BI 1361849\] + anti-programmed death ligand 1 (PD-L1) \[durvalumab\] + anti-cytotoxic T-lymphocyte-associated protein 4 (CTLA-4) antibody \[tremelimumab\]</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lastRenderedPageBreak/>
              <w:t>The run-in evaluation phase is followed by an expansion phase in which the cohort is expanded to 20 subjects (inclusive of subjects from the run-in).</w:t>
            </w:r>
          </w:p>
        </w:tc>
        <w:tc>
          <w:tcPr>
            <w:tcW w:w="279" w:type="dxa"/>
            <w:tcBorders>
              <w:top w:val="nil"/>
              <w:left w:val="nil"/>
              <w:bottom w:val="nil"/>
              <w:right w:val="nil"/>
            </w:tcBorders>
            <w:shd w:val="clear" w:color="auto" w:fill="auto"/>
            <w:noWrap/>
            <w:vAlign w:val="center"/>
            <w:hideMark/>
          </w:tcPr>
          <w:p w14:paraId="646D312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YES</w:t>
            </w:r>
          </w:p>
        </w:tc>
        <w:tc>
          <w:tcPr>
            <w:tcW w:w="2048" w:type="dxa"/>
            <w:tcBorders>
              <w:top w:val="nil"/>
              <w:left w:val="nil"/>
              <w:bottom w:val="nil"/>
              <w:right w:val="nil"/>
            </w:tcBorders>
            <w:shd w:val="clear" w:color="auto" w:fill="auto"/>
            <w:noWrap/>
            <w:vAlign w:val="center"/>
            <w:hideMark/>
          </w:tcPr>
          <w:p w14:paraId="4C03B5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Non-small Cell Lung Cancer|NSCLC</w:t>
            </w:r>
          </w:p>
        </w:tc>
        <w:tc>
          <w:tcPr>
            <w:tcW w:w="1574" w:type="dxa"/>
            <w:tcBorders>
              <w:top w:val="nil"/>
              <w:left w:val="nil"/>
              <w:bottom w:val="nil"/>
              <w:right w:val="nil"/>
            </w:tcBorders>
            <w:shd w:val="clear" w:color="auto" w:fill="auto"/>
            <w:noWrap/>
            <w:vAlign w:val="center"/>
            <w:hideMark/>
          </w:tcPr>
          <w:p w14:paraId="4567429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Durvalumab|DRUG: Tremelimumab|BIOLOGICAL: BI 1361849|DEVICE: PharmaJet Tropis device</w:t>
            </w:r>
          </w:p>
        </w:tc>
        <w:tc>
          <w:tcPr>
            <w:tcW w:w="1152" w:type="dxa"/>
            <w:tcBorders>
              <w:top w:val="nil"/>
              <w:left w:val="nil"/>
              <w:bottom w:val="nil"/>
              <w:right w:val="nil"/>
            </w:tcBorders>
            <w:shd w:val="clear" w:color="auto" w:fill="auto"/>
            <w:noWrap/>
            <w:vAlign w:val="center"/>
            <w:hideMark/>
          </w:tcPr>
          <w:p w14:paraId="2572F14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Ludwig Institute for Cancer Research</w:t>
            </w:r>
          </w:p>
        </w:tc>
        <w:tc>
          <w:tcPr>
            <w:tcW w:w="1006" w:type="dxa"/>
            <w:tcBorders>
              <w:top w:val="nil"/>
              <w:left w:val="nil"/>
              <w:bottom w:val="nil"/>
              <w:right w:val="nil"/>
            </w:tcBorders>
            <w:shd w:val="clear" w:color="auto" w:fill="auto"/>
            <w:noWrap/>
            <w:vAlign w:val="center"/>
            <w:hideMark/>
          </w:tcPr>
          <w:p w14:paraId="459FEB4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231176C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0079446"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20/12/2017</w:t>
            </w:r>
          </w:p>
        </w:tc>
        <w:tc>
          <w:tcPr>
            <w:tcW w:w="766" w:type="dxa"/>
            <w:tcBorders>
              <w:top w:val="nil"/>
              <w:left w:val="nil"/>
              <w:bottom w:val="nil"/>
              <w:right w:val="nil"/>
            </w:tcBorders>
            <w:shd w:val="clear" w:color="auto" w:fill="auto"/>
            <w:noWrap/>
            <w:vAlign w:val="center"/>
            <w:hideMark/>
          </w:tcPr>
          <w:p w14:paraId="6DD040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9A19B1B" w14:textId="77777777" w:rsidTr="00AB1828">
        <w:trPr>
          <w:trHeight w:val="360"/>
        </w:trPr>
        <w:tc>
          <w:tcPr>
            <w:tcW w:w="861" w:type="dxa"/>
            <w:tcBorders>
              <w:top w:val="nil"/>
              <w:left w:val="nil"/>
              <w:bottom w:val="nil"/>
              <w:right w:val="nil"/>
            </w:tcBorders>
            <w:shd w:val="clear" w:color="auto" w:fill="auto"/>
            <w:noWrap/>
            <w:vAlign w:val="center"/>
            <w:hideMark/>
          </w:tcPr>
          <w:p w14:paraId="571D0E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NCT03164772</w:t>
            </w:r>
          </w:p>
        </w:tc>
        <w:tc>
          <w:tcPr>
            <w:tcW w:w="1354" w:type="dxa"/>
            <w:tcBorders>
              <w:top w:val="nil"/>
              <w:left w:val="nil"/>
              <w:bottom w:val="nil"/>
              <w:right w:val="nil"/>
            </w:tcBorders>
            <w:shd w:val="clear" w:color="auto" w:fill="auto"/>
            <w:noWrap/>
            <w:vAlign w:val="center"/>
            <w:hideMark/>
          </w:tcPr>
          <w:p w14:paraId="10BAB4C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1/2 Study of Combination Immunotherapy and Messenger Ribonucleic Acid (mRNA) Vaccine in Subjects With NSCLC</w:t>
            </w:r>
          </w:p>
        </w:tc>
        <w:tc>
          <w:tcPr>
            <w:tcW w:w="1483" w:type="dxa"/>
            <w:tcBorders>
              <w:top w:val="nil"/>
              <w:left w:val="nil"/>
              <w:bottom w:val="nil"/>
              <w:right w:val="nil"/>
            </w:tcBorders>
            <w:shd w:val="clear" w:color="auto" w:fill="auto"/>
            <w:noWrap/>
            <w:vAlign w:val="center"/>
            <w:hideMark/>
          </w:tcPr>
          <w:p w14:paraId="65B62C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18D4492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an open-label, multicenter, 2-arm study to evaluate the safety and preliminary efficacy of the addition of a vaccine therapy to 1 or 2 checkpoint inhibitors for NSCLC.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Arm A: messenger ribonucleic acid (mRNA) Vaccine \[BI 1361849 (formerly CV9202)\] + anti-programmed death ligand 1 (PD-L1) antibody \[durvalumab\]</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Arm B: messenger ribonucleic acid (mRNA) Vaccine \[BI 1361849\] + anti-programmed death ligand 1 (PD-L1) \[durvalumab\] + anti-cytotoxic T-</w:t>
            </w:r>
            <w:r w:rsidRPr="000A6EBE">
              <w:rPr>
                <w:rFonts w:ascii="Aptos Narrow" w:eastAsia="Times New Roman" w:hAnsi="Aptos Narrow"/>
                <w:color w:val="000000"/>
                <w:sz w:val="16"/>
                <w:szCs w:val="16"/>
                <w:lang w:val="en-HK" w:eastAsia="zh-CN"/>
              </w:rPr>
              <w:lastRenderedPageBreak/>
              <w:t>lymphocyte-associated protein 4 (CTLA-4) antibody \[tremelimumab\]</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run-in evaluation phase is followed by an expansion phase in which the cohort is expanded to 20 subjects (inclusive of subjects from the run-in).</w:t>
            </w:r>
          </w:p>
        </w:tc>
        <w:tc>
          <w:tcPr>
            <w:tcW w:w="279" w:type="dxa"/>
            <w:tcBorders>
              <w:top w:val="nil"/>
              <w:left w:val="nil"/>
              <w:bottom w:val="nil"/>
              <w:right w:val="nil"/>
            </w:tcBorders>
            <w:shd w:val="clear" w:color="auto" w:fill="auto"/>
            <w:noWrap/>
            <w:vAlign w:val="center"/>
            <w:hideMark/>
          </w:tcPr>
          <w:p w14:paraId="2306AC3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YES</w:t>
            </w:r>
          </w:p>
        </w:tc>
        <w:tc>
          <w:tcPr>
            <w:tcW w:w="2048" w:type="dxa"/>
            <w:tcBorders>
              <w:top w:val="nil"/>
              <w:left w:val="nil"/>
              <w:bottom w:val="nil"/>
              <w:right w:val="nil"/>
            </w:tcBorders>
            <w:shd w:val="clear" w:color="auto" w:fill="auto"/>
            <w:noWrap/>
            <w:vAlign w:val="center"/>
            <w:hideMark/>
          </w:tcPr>
          <w:p w14:paraId="520A88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Non-small Cell Lung Cancer|NSCLC</w:t>
            </w:r>
          </w:p>
        </w:tc>
        <w:tc>
          <w:tcPr>
            <w:tcW w:w="1574" w:type="dxa"/>
            <w:tcBorders>
              <w:top w:val="nil"/>
              <w:left w:val="nil"/>
              <w:bottom w:val="nil"/>
              <w:right w:val="nil"/>
            </w:tcBorders>
            <w:shd w:val="clear" w:color="auto" w:fill="auto"/>
            <w:noWrap/>
            <w:vAlign w:val="center"/>
            <w:hideMark/>
          </w:tcPr>
          <w:p w14:paraId="793329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Durvalumab|DRUG: Tremelimumab|BIOLOGICAL: BI 1361849|DEVICE: PharmaJet Tropis</w:t>
            </w:r>
            <w:r w:rsidRPr="000A6EBE">
              <w:rPr>
                <w:rFonts w:ascii="Microsoft JhengHei" w:eastAsia="Microsoft JhengHei" w:hAnsi="Microsoft JhengHei" w:cs="Microsoft JhengHei"/>
                <w:color w:val="000000"/>
                <w:sz w:val="16"/>
                <w:szCs w:val="16"/>
                <w:lang w:val="en-HK" w:eastAsia="zh-CN"/>
              </w:rPr>
              <w:t>庐</w:t>
            </w:r>
            <w:r w:rsidRPr="000A6EBE">
              <w:rPr>
                <w:rFonts w:ascii="Aptos Narrow" w:eastAsia="Times New Roman" w:hAnsi="Aptos Narrow"/>
                <w:color w:val="000000"/>
                <w:sz w:val="16"/>
                <w:szCs w:val="16"/>
                <w:lang w:val="en-HK" w:eastAsia="zh-CN"/>
              </w:rPr>
              <w:t xml:space="preserve"> device</w:t>
            </w:r>
          </w:p>
        </w:tc>
        <w:tc>
          <w:tcPr>
            <w:tcW w:w="1152" w:type="dxa"/>
            <w:tcBorders>
              <w:top w:val="nil"/>
              <w:left w:val="nil"/>
              <w:bottom w:val="nil"/>
              <w:right w:val="nil"/>
            </w:tcBorders>
            <w:shd w:val="clear" w:color="auto" w:fill="auto"/>
            <w:noWrap/>
            <w:vAlign w:val="center"/>
            <w:hideMark/>
          </w:tcPr>
          <w:p w14:paraId="3ADCA71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Ludwig Institute for Cancer Research</w:t>
            </w:r>
          </w:p>
        </w:tc>
        <w:tc>
          <w:tcPr>
            <w:tcW w:w="1006" w:type="dxa"/>
            <w:tcBorders>
              <w:top w:val="nil"/>
              <w:left w:val="nil"/>
              <w:bottom w:val="nil"/>
              <w:right w:val="nil"/>
            </w:tcBorders>
            <w:shd w:val="clear" w:color="auto" w:fill="auto"/>
            <w:noWrap/>
            <w:vAlign w:val="center"/>
            <w:hideMark/>
          </w:tcPr>
          <w:p w14:paraId="3E03F5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38FF532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624E96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20/12/2017</w:t>
            </w:r>
          </w:p>
        </w:tc>
        <w:tc>
          <w:tcPr>
            <w:tcW w:w="766" w:type="dxa"/>
            <w:tcBorders>
              <w:top w:val="nil"/>
              <w:left w:val="nil"/>
              <w:bottom w:val="nil"/>
              <w:right w:val="nil"/>
            </w:tcBorders>
            <w:shd w:val="clear" w:color="auto" w:fill="auto"/>
            <w:noWrap/>
            <w:vAlign w:val="center"/>
            <w:hideMark/>
          </w:tcPr>
          <w:p w14:paraId="411A50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C004C57" w14:textId="77777777" w:rsidTr="00AB1828">
        <w:trPr>
          <w:trHeight w:val="360"/>
        </w:trPr>
        <w:tc>
          <w:tcPr>
            <w:tcW w:w="861" w:type="dxa"/>
            <w:tcBorders>
              <w:top w:val="nil"/>
              <w:left w:val="nil"/>
              <w:bottom w:val="nil"/>
              <w:right w:val="nil"/>
            </w:tcBorders>
            <w:shd w:val="clear" w:color="auto" w:fill="auto"/>
            <w:noWrap/>
            <w:vAlign w:val="center"/>
            <w:hideMark/>
          </w:tcPr>
          <w:p w14:paraId="37C8203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NCT03291002</w:t>
            </w:r>
          </w:p>
        </w:tc>
        <w:tc>
          <w:tcPr>
            <w:tcW w:w="1354" w:type="dxa"/>
            <w:tcBorders>
              <w:top w:val="nil"/>
              <w:left w:val="nil"/>
              <w:bottom w:val="nil"/>
              <w:right w:val="nil"/>
            </w:tcBorders>
            <w:shd w:val="clear" w:color="auto" w:fill="auto"/>
            <w:noWrap/>
            <w:vAlign w:val="center"/>
            <w:hideMark/>
          </w:tcPr>
          <w:p w14:paraId="1387D9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Intratumoral CV8102 in cMEL, cSCC, hnSCC, and ACC</w:t>
            </w:r>
          </w:p>
        </w:tc>
        <w:tc>
          <w:tcPr>
            <w:tcW w:w="1483" w:type="dxa"/>
            <w:tcBorders>
              <w:top w:val="nil"/>
              <w:left w:val="nil"/>
              <w:bottom w:val="nil"/>
              <w:right w:val="nil"/>
            </w:tcBorders>
            <w:shd w:val="clear" w:color="auto" w:fill="auto"/>
            <w:noWrap/>
            <w:vAlign w:val="center"/>
            <w:hideMark/>
          </w:tcPr>
          <w:p w14:paraId="5DA785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7EA86B7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study evaluates intratumoral administration of CV8102 in patients with advanced melanoma, squamous cell carcinoma of the skin, squamous cell carcinoma of the head and neck, or adenoid cystic carcinoma.</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Patients will receive CV8102 as single agent or in combination with SoC anti-PD-1 therapy.</w:t>
            </w:r>
          </w:p>
        </w:tc>
        <w:tc>
          <w:tcPr>
            <w:tcW w:w="279" w:type="dxa"/>
            <w:tcBorders>
              <w:top w:val="nil"/>
              <w:left w:val="nil"/>
              <w:bottom w:val="nil"/>
              <w:right w:val="nil"/>
            </w:tcBorders>
            <w:shd w:val="clear" w:color="auto" w:fill="auto"/>
            <w:noWrap/>
            <w:vAlign w:val="center"/>
            <w:hideMark/>
          </w:tcPr>
          <w:p w14:paraId="1E3068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225416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 (Skin)|Squamous Cell Carcinoma of the Skin|Carcinoma, Squamous Cell of Head and Neck|Carcinoma, Adenoid Cystic</w:t>
            </w:r>
          </w:p>
        </w:tc>
        <w:tc>
          <w:tcPr>
            <w:tcW w:w="1574" w:type="dxa"/>
            <w:tcBorders>
              <w:top w:val="nil"/>
              <w:left w:val="nil"/>
              <w:bottom w:val="nil"/>
              <w:right w:val="nil"/>
            </w:tcBorders>
            <w:shd w:val="clear" w:color="auto" w:fill="auto"/>
            <w:noWrap/>
            <w:vAlign w:val="center"/>
            <w:hideMark/>
          </w:tcPr>
          <w:p w14:paraId="2A49E20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CV8102|BIOLOGICAL: CV8102 + anti-PD-1 therapy</w:t>
            </w:r>
          </w:p>
        </w:tc>
        <w:tc>
          <w:tcPr>
            <w:tcW w:w="1152" w:type="dxa"/>
            <w:tcBorders>
              <w:top w:val="nil"/>
              <w:left w:val="nil"/>
              <w:bottom w:val="nil"/>
              <w:right w:val="nil"/>
            </w:tcBorders>
            <w:shd w:val="clear" w:color="auto" w:fill="auto"/>
            <w:noWrap/>
            <w:vAlign w:val="center"/>
            <w:hideMark/>
          </w:tcPr>
          <w:p w14:paraId="6F7124C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CureVac</w:t>
            </w:r>
          </w:p>
        </w:tc>
        <w:tc>
          <w:tcPr>
            <w:tcW w:w="1006" w:type="dxa"/>
            <w:tcBorders>
              <w:top w:val="nil"/>
              <w:left w:val="nil"/>
              <w:bottom w:val="nil"/>
              <w:right w:val="nil"/>
            </w:tcBorders>
            <w:shd w:val="clear" w:color="auto" w:fill="auto"/>
            <w:noWrap/>
            <w:vAlign w:val="center"/>
            <w:hideMark/>
          </w:tcPr>
          <w:p w14:paraId="629D82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FA13AA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755100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25/09/2017</w:t>
            </w:r>
          </w:p>
        </w:tc>
        <w:tc>
          <w:tcPr>
            <w:tcW w:w="766" w:type="dxa"/>
            <w:tcBorders>
              <w:top w:val="nil"/>
              <w:left w:val="nil"/>
              <w:bottom w:val="nil"/>
              <w:right w:val="nil"/>
            </w:tcBorders>
            <w:shd w:val="clear" w:color="auto" w:fill="auto"/>
            <w:noWrap/>
            <w:vAlign w:val="center"/>
            <w:hideMark/>
          </w:tcPr>
          <w:p w14:paraId="1555EA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09114DB" w14:textId="77777777" w:rsidTr="00AB1828">
        <w:trPr>
          <w:trHeight w:val="360"/>
        </w:trPr>
        <w:tc>
          <w:tcPr>
            <w:tcW w:w="861" w:type="dxa"/>
            <w:tcBorders>
              <w:top w:val="nil"/>
              <w:left w:val="nil"/>
              <w:bottom w:val="nil"/>
              <w:right w:val="nil"/>
            </w:tcBorders>
            <w:shd w:val="clear" w:color="auto" w:fill="auto"/>
            <w:noWrap/>
            <w:vAlign w:val="center"/>
            <w:hideMark/>
          </w:tcPr>
          <w:p w14:paraId="527D5CC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NCT03203005</w:t>
            </w:r>
          </w:p>
        </w:tc>
        <w:tc>
          <w:tcPr>
            <w:tcW w:w="1354" w:type="dxa"/>
            <w:tcBorders>
              <w:top w:val="nil"/>
              <w:left w:val="nil"/>
              <w:bottom w:val="nil"/>
              <w:right w:val="nil"/>
            </w:tcBorders>
            <w:shd w:val="clear" w:color="auto" w:fill="auto"/>
            <w:noWrap/>
            <w:vAlign w:val="center"/>
            <w:hideMark/>
          </w:tcPr>
          <w:p w14:paraId="2E5C25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IMA970A Plus CV8102 in Very Early, Early and Intermediate Stage Hepatocellular </w:t>
            </w:r>
            <w:r w:rsidRPr="000A6EBE">
              <w:rPr>
                <w:rFonts w:ascii="Aptos Narrow" w:eastAsia="Times New Roman" w:hAnsi="Aptos Narrow"/>
                <w:color w:val="000000"/>
                <w:sz w:val="16"/>
                <w:szCs w:val="16"/>
                <w:lang w:val="en-HK" w:eastAsia="zh-CN"/>
              </w:rPr>
              <w:lastRenderedPageBreak/>
              <w:t>Carcinoma Patients</w:t>
            </w:r>
          </w:p>
        </w:tc>
        <w:tc>
          <w:tcPr>
            <w:tcW w:w="1483" w:type="dxa"/>
            <w:tcBorders>
              <w:top w:val="nil"/>
              <w:left w:val="nil"/>
              <w:bottom w:val="nil"/>
              <w:right w:val="nil"/>
            </w:tcBorders>
            <w:shd w:val="clear" w:color="auto" w:fill="auto"/>
            <w:noWrap/>
            <w:vAlign w:val="center"/>
            <w:hideMark/>
          </w:tcPr>
          <w:p w14:paraId="2029440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COMPLETED</w:t>
            </w:r>
          </w:p>
        </w:tc>
        <w:tc>
          <w:tcPr>
            <w:tcW w:w="1689" w:type="dxa"/>
            <w:tcBorders>
              <w:top w:val="nil"/>
              <w:left w:val="nil"/>
              <w:bottom w:val="nil"/>
              <w:right w:val="nil"/>
            </w:tcBorders>
            <w:shd w:val="clear" w:color="auto" w:fill="auto"/>
            <w:noWrap/>
            <w:vAlign w:val="center"/>
            <w:hideMark/>
          </w:tcPr>
          <w:p w14:paraId="6A22BA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study is being carried out in order to evaluate a new cancer vaccine called IMA970A combined with </w:t>
            </w:r>
            <w:r w:rsidRPr="000A6EBE">
              <w:rPr>
                <w:rFonts w:ascii="Aptos Narrow" w:eastAsia="Times New Roman" w:hAnsi="Aptos Narrow"/>
                <w:color w:val="000000"/>
                <w:sz w:val="16"/>
                <w:szCs w:val="16"/>
                <w:lang w:val="en-HK" w:eastAsia="zh-CN"/>
              </w:rPr>
              <w:lastRenderedPageBreak/>
              <w:t>CV8102, a new adjuvant for the treatment of liver cancer (hepatocellular carcinoma). It will be investigated whether IMA970A and CV8102 is safe and can trigger an immune response against the tumor, which may prevent the tumor (cancer) from recurring or spreading or may even lead to tumor shrinkage following the standard treatments the patients have previously received.</w:t>
            </w:r>
          </w:p>
        </w:tc>
        <w:tc>
          <w:tcPr>
            <w:tcW w:w="279" w:type="dxa"/>
            <w:tcBorders>
              <w:top w:val="nil"/>
              <w:left w:val="nil"/>
              <w:bottom w:val="nil"/>
              <w:right w:val="nil"/>
            </w:tcBorders>
            <w:shd w:val="clear" w:color="auto" w:fill="auto"/>
            <w:noWrap/>
            <w:vAlign w:val="center"/>
            <w:hideMark/>
          </w:tcPr>
          <w:p w14:paraId="516AB4E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5ABA7D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Hepatocellular Carcinoma</w:t>
            </w:r>
          </w:p>
        </w:tc>
        <w:tc>
          <w:tcPr>
            <w:tcW w:w="1574" w:type="dxa"/>
            <w:tcBorders>
              <w:top w:val="nil"/>
              <w:left w:val="nil"/>
              <w:bottom w:val="nil"/>
              <w:right w:val="nil"/>
            </w:tcBorders>
            <w:shd w:val="clear" w:color="auto" w:fill="auto"/>
            <w:noWrap/>
            <w:vAlign w:val="center"/>
            <w:hideMark/>
          </w:tcPr>
          <w:p w14:paraId="255392D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IMA970A plus CV8102 and Cyclophosphamide</w:t>
            </w:r>
          </w:p>
        </w:tc>
        <w:tc>
          <w:tcPr>
            <w:tcW w:w="1152" w:type="dxa"/>
            <w:tcBorders>
              <w:top w:val="nil"/>
              <w:left w:val="nil"/>
              <w:bottom w:val="nil"/>
              <w:right w:val="nil"/>
            </w:tcBorders>
            <w:shd w:val="clear" w:color="auto" w:fill="auto"/>
            <w:noWrap/>
            <w:vAlign w:val="center"/>
            <w:hideMark/>
          </w:tcPr>
          <w:p w14:paraId="123610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National Cancer Institute, Naples</w:t>
            </w:r>
          </w:p>
        </w:tc>
        <w:tc>
          <w:tcPr>
            <w:tcW w:w="1006" w:type="dxa"/>
            <w:tcBorders>
              <w:top w:val="nil"/>
              <w:left w:val="nil"/>
              <w:bottom w:val="nil"/>
              <w:right w:val="nil"/>
            </w:tcBorders>
            <w:shd w:val="clear" w:color="auto" w:fill="auto"/>
            <w:noWrap/>
            <w:vAlign w:val="center"/>
            <w:hideMark/>
          </w:tcPr>
          <w:p w14:paraId="3F1E7E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FF06F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5E7CCC1"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18/09/2017</w:t>
            </w:r>
          </w:p>
        </w:tc>
        <w:tc>
          <w:tcPr>
            <w:tcW w:w="766" w:type="dxa"/>
            <w:tcBorders>
              <w:top w:val="nil"/>
              <w:left w:val="nil"/>
              <w:bottom w:val="nil"/>
              <w:right w:val="nil"/>
            </w:tcBorders>
            <w:shd w:val="clear" w:color="auto" w:fill="auto"/>
            <w:noWrap/>
            <w:vAlign w:val="center"/>
            <w:hideMark/>
          </w:tcPr>
          <w:p w14:paraId="78A6C2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0BF2A45" w14:textId="77777777" w:rsidTr="00AB1828">
        <w:trPr>
          <w:trHeight w:val="360"/>
        </w:trPr>
        <w:tc>
          <w:tcPr>
            <w:tcW w:w="861" w:type="dxa"/>
            <w:tcBorders>
              <w:top w:val="nil"/>
              <w:left w:val="nil"/>
              <w:bottom w:val="nil"/>
              <w:right w:val="nil"/>
            </w:tcBorders>
            <w:shd w:val="clear" w:color="auto" w:fill="auto"/>
            <w:noWrap/>
            <w:vAlign w:val="center"/>
            <w:hideMark/>
          </w:tcPr>
          <w:p w14:paraId="48D9DAB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NCT03323398</w:t>
            </w:r>
          </w:p>
        </w:tc>
        <w:tc>
          <w:tcPr>
            <w:tcW w:w="1354" w:type="dxa"/>
            <w:tcBorders>
              <w:top w:val="nil"/>
              <w:left w:val="nil"/>
              <w:bottom w:val="nil"/>
              <w:right w:val="nil"/>
            </w:tcBorders>
            <w:shd w:val="clear" w:color="auto" w:fill="auto"/>
            <w:noWrap/>
            <w:vAlign w:val="center"/>
            <w:hideMark/>
          </w:tcPr>
          <w:p w14:paraId="68A891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Dose Escalation and Efficacy Study of mRNA-2416 for Intratumoral Injection Alone and in Combination With Durvalumab for Participants With Advanced Malignancies</w:t>
            </w:r>
          </w:p>
        </w:tc>
        <w:tc>
          <w:tcPr>
            <w:tcW w:w="1483" w:type="dxa"/>
            <w:tcBorders>
              <w:top w:val="nil"/>
              <w:left w:val="nil"/>
              <w:bottom w:val="nil"/>
              <w:right w:val="nil"/>
            </w:tcBorders>
            <w:shd w:val="clear" w:color="auto" w:fill="auto"/>
            <w:noWrap/>
            <w:vAlign w:val="center"/>
            <w:hideMark/>
          </w:tcPr>
          <w:p w14:paraId="25DFA8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104220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clinical study will assess the safety and tolerability of escalating doses of mRNA-2416 alone and in combination with administered fixed doses of durvalumab in participants with relapsed/refractory solid tumor malignancies or lymphoma, as well as the objective response rate (ORR) of mRNA-2416 alone or in </w:t>
            </w:r>
            <w:r w:rsidRPr="000A6EBE">
              <w:rPr>
                <w:rFonts w:ascii="Aptos Narrow" w:eastAsia="Times New Roman" w:hAnsi="Aptos Narrow"/>
                <w:color w:val="000000"/>
                <w:sz w:val="16"/>
                <w:szCs w:val="16"/>
                <w:lang w:val="en-HK" w:eastAsia="zh-CN"/>
              </w:rPr>
              <w:lastRenderedPageBreak/>
              <w:t>combination with durvalumab in ovarian cancer based on Response Evaluation Criteria in Solid Tumors (RECIST) v1.1. The applicable dose of mRNA-2416 will be injected directly into the participant's tumor (intratumoral) and the applicable dose of durvalumab will be administered intravenously.</w:t>
            </w:r>
          </w:p>
        </w:tc>
        <w:tc>
          <w:tcPr>
            <w:tcW w:w="279" w:type="dxa"/>
            <w:tcBorders>
              <w:top w:val="nil"/>
              <w:left w:val="nil"/>
              <w:bottom w:val="nil"/>
              <w:right w:val="nil"/>
            </w:tcBorders>
            <w:shd w:val="clear" w:color="auto" w:fill="auto"/>
            <w:noWrap/>
            <w:vAlign w:val="center"/>
            <w:hideMark/>
          </w:tcPr>
          <w:p w14:paraId="53EA992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A015C4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Relapsed/Refractory Solid Tumor Malignancies or Lymphoma|Ovarian Cancer</w:t>
            </w:r>
          </w:p>
        </w:tc>
        <w:tc>
          <w:tcPr>
            <w:tcW w:w="1574" w:type="dxa"/>
            <w:tcBorders>
              <w:top w:val="nil"/>
              <w:left w:val="nil"/>
              <w:bottom w:val="nil"/>
              <w:right w:val="nil"/>
            </w:tcBorders>
            <w:shd w:val="clear" w:color="auto" w:fill="auto"/>
            <w:noWrap/>
            <w:vAlign w:val="center"/>
            <w:hideMark/>
          </w:tcPr>
          <w:p w14:paraId="513D1E9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mRNA-2416|BIOLOGICAL: Durvalumab</w:t>
            </w:r>
          </w:p>
        </w:tc>
        <w:tc>
          <w:tcPr>
            <w:tcW w:w="1152" w:type="dxa"/>
            <w:tcBorders>
              <w:top w:val="nil"/>
              <w:left w:val="nil"/>
              <w:bottom w:val="nil"/>
              <w:right w:val="nil"/>
            </w:tcBorders>
            <w:shd w:val="clear" w:color="auto" w:fill="auto"/>
            <w:noWrap/>
            <w:vAlign w:val="center"/>
            <w:hideMark/>
          </w:tcPr>
          <w:p w14:paraId="30CADB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ModernaTX, Inc.</w:t>
            </w:r>
          </w:p>
        </w:tc>
        <w:tc>
          <w:tcPr>
            <w:tcW w:w="1006" w:type="dxa"/>
            <w:tcBorders>
              <w:top w:val="nil"/>
              <w:left w:val="nil"/>
              <w:bottom w:val="nil"/>
              <w:right w:val="nil"/>
            </w:tcBorders>
            <w:shd w:val="clear" w:color="auto" w:fill="auto"/>
            <w:noWrap/>
            <w:vAlign w:val="center"/>
            <w:hideMark/>
          </w:tcPr>
          <w:p w14:paraId="7166A35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996564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778582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15/08/2017</w:t>
            </w:r>
          </w:p>
        </w:tc>
        <w:tc>
          <w:tcPr>
            <w:tcW w:w="766" w:type="dxa"/>
            <w:tcBorders>
              <w:top w:val="nil"/>
              <w:left w:val="nil"/>
              <w:bottom w:val="nil"/>
              <w:right w:val="nil"/>
            </w:tcBorders>
            <w:shd w:val="clear" w:color="auto" w:fill="auto"/>
            <w:noWrap/>
            <w:vAlign w:val="center"/>
            <w:hideMark/>
          </w:tcPr>
          <w:p w14:paraId="0ED9B34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D337953" w14:textId="77777777" w:rsidTr="00AB1828">
        <w:trPr>
          <w:trHeight w:val="360"/>
        </w:trPr>
        <w:tc>
          <w:tcPr>
            <w:tcW w:w="861" w:type="dxa"/>
            <w:tcBorders>
              <w:top w:val="nil"/>
              <w:left w:val="nil"/>
              <w:bottom w:val="nil"/>
              <w:right w:val="nil"/>
            </w:tcBorders>
            <w:shd w:val="clear" w:color="auto" w:fill="auto"/>
            <w:noWrap/>
            <w:vAlign w:val="center"/>
            <w:hideMark/>
          </w:tcPr>
          <w:p w14:paraId="50C568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NCT03313778</w:t>
            </w:r>
          </w:p>
        </w:tc>
        <w:tc>
          <w:tcPr>
            <w:tcW w:w="1354" w:type="dxa"/>
            <w:tcBorders>
              <w:top w:val="nil"/>
              <w:left w:val="nil"/>
              <w:bottom w:val="nil"/>
              <w:right w:val="nil"/>
            </w:tcBorders>
            <w:shd w:val="clear" w:color="auto" w:fill="auto"/>
            <w:noWrap/>
            <w:vAlign w:val="center"/>
            <w:hideMark/>
          </w:tcPr>
          <w:p w14:paraId="404671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Safety, Tolerability, and Immunogenicity of mRNA-4157 Alone and in Combination in Participants With Solid Tumors</w:t>
            </w:r>
          </w:p>
        </w:tc>
        <w:tc>
          <w:tcPr>
            <w:tcW w:w="1483" w:type="dxa"/>
            <w:tcBorders>
              <w:top w:val="nil"/>
              <w:left w:val="nil"/>
              <w:bottom w:val="nil"/>
              <w:right w:val="nil"/>
            </w:tcBorders>
            <w:shd w:val="clear" w:color="auto" w:fill="auto"/>
            <w:noWrap/>
            <w:vAlign w:val="center"/>
            <w:hideMark/>
          </w:tcPr>
          <w:p w14:paraId="698D8E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76962D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assess the safety, tolerability, and immunogenicity of mRNA-4157 alone and in combination in participants with solid tumors.</w:t>
            </w:r>
          </w:p>
        </w:tc>
        <w:tc>
          <w:tcPr>
            <w:tcW w:w="279" w:type="dxa"/>
            <w:tcBorders>
              <w:top w:val="nil"/>
              <w:left w:val="nil"/>
              <w:bottom w:val="nil"/>
              <w:right w:val="nil"/>
            </w:tcBorders>
            <w:shd w:val="clear" w:color="auto" w:fill="auto"/>
            <w:noWrap/>
            <w:vAlign w:val="center"/>
            <w:hideMark/>
          </w:tcPr>
          <w:p w14:paraId="7A6D85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6B361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Solid Tumors</w:t>
            </w:r>
          </w:p>
        </w:tc>
        <w:tc>
          <w:tcPr>
            <w:tcW w:w="1574" w:type="dxa"/>
            <w:tcBorders>
              <w:top w:val="nil"/>
              <w:left w:val="nil"/>
              <w:bottom w:val="nil"/>
              <w:right w:val="nil"/>
            </w:tcBorders>
            <w:shd w:val="clear" w:color="auto" w:fill="auto"/>
            <w:noWrap/>
            <w:vAlign w:val="center"/>
            <w:hideMark/>
          </w:tcPr>
          <w:p w14:paraId="3ABB6B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mRNA-4157|BIOLOGICAL: Pembrolizumab|BIOLOGICAL: SoC Treatment</w:t>
            </w:r>
          </w:p>
        </w:tc>
        <w:tc>
          <w:tcPr>
            <w:tcW w:w="1152" w:type="dxa"/>
            <w:tcBorders>
              <w:top w:val="nil"/>
              <w:left w:val="nil"/>
              <w:bottom w:val="nil"/>
              <w:right w:val="nil"/>
            </w:tcBorders>
            <w:shd w:val="clear" w:color="auto" w:fill="auto"/>
            <w:noWrap/>
            <w:vAlign w:val="center"/>
            <w:hideMark/>
          </w:tcPr>
          <w:p w14:paraId="43182D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ModernaTX, Inc.</w:t>
            </w:r>
          </w:p>
        </w:tc>
        <w:tc>
          <w:tcPr>
            <w:tcW w:w="1006" w:type="dxa"/>
            <w:tcBorders>
              <w:top w:val="nil"/>
              <w:left w:val="nil"/>
              <w:bottom w:val="nil"/>
              <w:right w:val="nil"/>
            </w:tcBorders>
            <w:shd w:val="clear" w:color="auto" w:fill="auto"/>
            <w:noWrap/>
            <w:vAlign w:val="center"/>
            <w:hideMark/>
          </w:tcPr>
          <w:p w14:paraId="11A96C5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2BAD7A1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931278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14/08/2017</w:t>
            </w:r>
          </w:p>
        </w:tc>
        <w:tc>
          <w:tcPr>
            <w:tcW w:w="766" w:type="dxa"/>
            <w:tcBorders>
              <w:top w:val="nil"/>
              <w:left w:val="nil"/>
              <w:bottom w:val="nil"/>
              <w:right w:val="nil"/>
            </w:tcBorders>
            <w:shd w:val="clear" w:color="auto" w:fill="auto"/>
            <w:noWrap/>
            <w:vAlign w:val="center"/>
            <w:hideMark/>
          </w:tcPr>
          <w:p w14:paraId="2DC582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94ABC26" w14:textId="77777777" w:rsidTr="00AB1828">
        <w:trPr>
          <w:trHeight w:val="360"/>
        </w:trPr>
        <w:tc>
          <w:tcPr>
            <w:tcW w:w="861" w:type="dxa"/>
            <w:tcBorders>
              <w:top w:val="nil"/>
              <w:left w:val="nil"/>
              <w:bottom w:val="nil"/>
              <w:right w:val="nil"/>
            </w:tcBorders>
            <w:shd w:val="clear" w:color="auto" w:fill="auto"/>
            <w:noWrap/>
            <w:vAlign w:val="center"/>
            <w:hideMark/>
          </w:tcPr>
          <w:p w14:paraId="0AC221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NCT02649829</w:t>
            </w:r>
          </w:p>
        </w:tc>
        <w:tc>
          <w:tcPr>
            <w:tcW w:w="1354" w:type="dxa"/>
            <w:tcBorders>
              <w:top w:val="nil"/>
              <w:left w:val="nil"/>
              <w:bottom w:val="nil"/>
              <w:right w:val="nil"/>
            </w:tcBorders>
            <w:shd w:val="clear" w:color="auto" w:fill="auto"/>
            <w:noWrap/>
            <w:vAlign w:val="center"/>
            <w:hideMark/>
          </w:tcPr>
          <w:p w14:paraId="5487FB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Autologous Dendritic Cell Vaccination in Mesothelioma</w:t>
            </w:r>
          </w:p>
        </w:tc>
        <w:tc>
          <w:tcPr>
            <w:tcW w:w="1483" w:type="dxa"/>
            <w:tcBorders>
              <w:top w:val="nil"/>
              <w:left w:val="nil"/>
              <w:bottom w:val="nil"/>
              <w:right w:val="nil"/>
            </w:tcBorders>
            <w:shd w:val="clear" w:color="auto" w:fill="auto"/>
            <w:noWrap/>
            <w:vAlign w:val="center"/>
            <w:hideMark/>
          </w:tcPr>
          <w:p w14:paraId="7FB625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noWrap/>
            <w:vAlign w:val="center"/>
            <w:hideMark/>
          </w:tcPr>
          <w:p w14:paraId="09C926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In this multicenter phase I/II trial, dendritic cells (DCs) loaded with the mesothelioma-associated tumor antigen WT1 will be used in conjunction with conventional chemotherapy for the frontline treatment of </w:t>
            </w:r>
            <w:r w:rsidRPr="000A6EBE">
              <w:rPr>
                <w:rFonts w:ascii="Aptos Narrow" w:eastAsia="Times New Roman" w:hAnsi="Aptos Narrow"/>
                <w:color w:val="000000"/>
                <w:sz w:val="16"/>
                <w:szCs w:val="16"/>
                <w:lang w:val="en-HK" w:eastAsia="zh-CN"/>
              </w:rPr>
              <w:lastRenderedPageBreak/>
              <w:t>malignant pleural mesothelioma (MPM). The general objective is to provide the first-in-human experimental demonstration that the combination of platinum/pemetrexed-based chemotherapy with WT1-targeted DC vaccination is feasible and safe and enables the induction of both systemic and in situ mesothelioma-specific immune responses in patients with MPM.</w:t>
            </w:r>
          </w:p>
        </w:tc>
        <w:tc>
          <w:tcPr>
            <w:tcW w:w="279" w:type="dxa"/>
            <w:tcBorders>
              <w:top w:val="nil"/>
              <w:left w:val="nil"/>
              <w:bottom w:val="nil"/>
              <w:right w:val="nil"/>
            </w:tcBorders>
            <w:shd w:val="clear" w:color="auto" w:fill="auto"/>
            <w:noWrap/>
            <w:vAlign w:val="center"/>
            <w:hideMark/>
          </w:tcPr>
          <w:p w14:paraId="04D59F6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25071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Pleural Mesothelioma</w:t>
            </w:r>
          </w:p>
        </w:tc>
        <w:tc>
          <w:tcPr>
            <w:tcW w:w="1574" w:type="dxa"/>
            <w:tcBorders>
              <w:top w:val="nil"/>
              <w:left w:val="nil"/>
              <w:bottom w:val="nil"/>
              <w:right w:val="nil"/>
            </w:tcBorders>
            <w:shd w:val="clear" w:color="auto" w:fill="auto"/>
            <w:noWrap/>
            <w:vAlign w:val="center"/>
            <w:hideMark/>
          </w:tcPr>
          <w:p w14:paraId="33317B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 vaccination plus chemotherapy</w:t>
            </w:r>
          </w:p>
        </w:tc>
        <w:tc>
          <w:tcPr>
            <w:tcW w:w="1152" w:type="dxa"/>
            <w:tcBorders>
              <w:top w:val="nil"/>
              <w:left w:val="nil"/>
              <w:bottom w:val="nil"/>
              <w:right w:val="nil"/>
            </w:tcBorders>
            <w:shd w:val="clear" w:color="auto" w:fill="auto"/>
            <w:noWrap/>
            <w:vAlign w:val="center"/>
            <w:hideMark/>
          </w:tcPr>
          <w:p w14:paraId="0C6C39D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Antwerp</w:t>
            </w:r>
          </w:p>
        </w:tc>
        <w:tc>
          <w:tcPr>
            <w:tcW w:w="1006" w:type="dxa"/>
            <w:tcBorders>
              <w:top w:val="nil"/>
              <w:left w:val="nil"/>
              <w:bottom w:val="nil"/>
              <w:right w:val="nil"/>
            </w:tcBorders>
            <w:shd w:val="clear" w:color="auto" w:fill="auto"/>
            <w:noWrap/>
            <w:vAlign w:val="center"/>
            <w:hideMark/>
          </w:tcPr>
          <w:p w14:paraId="2EF2F7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3A09A9D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FC4A5B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01/08/2017</w:t>
            </w:r>
          </w:p>
        </w:tc>
        <w:tc>
          <w:tcPr>
            <w:tcW w:w="766" w:type="dxa"/>
            <w:tcBorders>
              <w:top w:val="nil"/>
              <w:left w:val="nil"/>
              <w:bottom w:val="nil"/>
              <w:right w:val="nil"/>
            </w:tcBorders>
            <w:shd w:val="clear" w:color="auto" w:fill="auto"/>
            <w:noWrap/>
            <w:vAlign w:val="center"/>
            <w:hideMark/>
          </w:tcPr>
          <w:p w14:paraId="56175CA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11FA3C7" w14:textId="77777777" w:rsidTr="00AB1828">
        <w:trPr>
          <w:trHeight w:val="360"/>
        </w:trPr>
        <w:tc>
          <w:tcPr>
            <w:tcW w:w="861" w:type="dxa"/>
            <w:tcBorders>
              <w:top w:val="nil"/>
              <w:left w:val="nil"/>
              <w:bottom w:val="nil"/>
              <w:right w:val="nil"/>
            </w:tcBorders>
            <w:shd w:val="clear" w:color="auto" w:fill="auto"/>
            <w:noWrap/>
            <w:vAlign w:val="center"/>
            <w:hideMark/>
          </w:tcPr>
          <w:p w14:paraId="2320E8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NCT03394937</w:t>
            </w:r>
          </w:p>
        </w:tc>
        <w:tc>
          <w:tcPr>
            <w:tcW w:w="1354" w:type="dxa"/>
            <w:tcBorders>
              <w:top w:val="nil"/>
              <w:left w:val="nil"/>
              <w:bottom w:val="nil"/>
              <w:right w:val="nil"/>
            </w:tcBorders>
            <w:shd w:val="clear" w:color="auto" w:fill="auto"/>
            <w:noWrap/>
            <w:vAlign w:val="center"/>
            <w:hideMark/>
          </w:tcPr>
          <w:p w14:paraId="4078EA0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Safety of Intranodal ECI-006 in Melanoma Patients</w:t>
            </w:r>
          </w:p>
        </w:tc>
        <w:tc>
          <w:tcPr>
            <w:tcW w:w="1483" w:type="dxa"/>
            <w:tcBorders>
              <w:top w:val="nil"/>
              <w:left w:val="nil"/>
              <w:bottom w:val="nil"/>
              <w:right w:val="nil"/>
            </w:tcBorders>
            <w:shd w:val="clear" w:color="auto" w:fill="auto"/>
            <w:noWrap/>
            <w:vAlign w:val="center"/>
            <w:hideMark/>
          </w:tcPr>
          <w:p w14:paraId="79B718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002A96A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assess the safety and tolerability of cancer immunotherapy ECI-006 and to determine its ability to induce a measurable immune response against the tumor associated antigens.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In Cohort 1, ECI-006 will be administered 5 times by intranodal </w:t>
            </w:r>
            <w:r w:rsidRPr="000A6EBE">
              <w:rPr>
                <w:rFonts w:ascii="Aptos Narrow" w:eastAsia="Times New Roman" w:hAnsi="Aptos Narrow"/>
                <w:color w:val="000000"/>
                <w:sz w:val="16"/>
                <w:szCs w:val="16"/>
                <w:lang w:val="en-HK" w:eastAsia="zh-CN"/>
              </w:rPr>
              <w:lastRenderedPageBreak/>
              <w:t>injection in melanoma patients after resection of their tumor.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In Cohort 2, ECI-006 will be administered 9 times by intranodal injection on top of standard of care anti PD1 in metastatic melanoma patients with stable disease after 3 to 12 months treatment.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ECI-006 activates key immunologically active cells to direct the immune system against the cancer. Expected potential risks for ECI-006 are non-serious and related to the local administration of the product. Hence, the therapy suggested here has the promise to offer considerable benefit to patients without any major risk.</w:t>
            </w:r>
          </w:p>
        </w:tc>
        <w:tc>
          <w:tcPr>
            <w:tcW w:w="279" w:type="dxa"/>
            <w:tcBorders>
              <w:top w:val="nil"/>
              <w:left w:val="nil"/>
              <w:bottom w:val="nil"/>
              <w:right w:val="nil"/>
            </w:tcBorders>
            <w:shd w:val="clear" w:color="auto" w:fill="auto"/>
            <w:noWrap/>
            <w:vAlign w:val="center"/>
            <w:hideMark/>
          </w:tcPr>
          <w:p w14:paraId="7CE1AC0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89166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7D2781C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ECI-006</w:t>
            </w:r>
          </w:p>
        </w:tc>
        <w:tc>
          <w:tcPr>
            <w:tcW w:w="1152" w:type="dxa"/>
            <w:tcBorders>
              <w:top w:val="nil"/>
              <w:left w:val="nil"/>
              <w:bottom w:val="nil"/>
              <w:right w:val="nil"/>
            </w:tcBorders>
            <w:shd w:val="clear" w:color="auto" w:fill="auto"/>
            <w:noWrap/>
            <w:vAlign w:val="center"/>
            <w:hideMark/>
          </w:tcPr>
          <w:p w14:paraId="6FAA486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eTheRNA immunotherapies</w:t>
            </w:r>
          </w:p>
        </w:tc>
        <w:tc>
          <w:tcPr>
            <w:tcW w:w="1006" w:type="dxa"/>
            <w:tcBorders>
              <w:top w:val="nil"/>
              <w:left w:val="nil"/>
              <w:bottom w:val="nil"/>
              <w:right w:val="nil"/>
            </w:tcBorders>
            <w:shd w:val="clear" w:color="auto" w:fill="auto"/>
            <w:noWrap/>
            <w:vAlign w:val="center"/>
            <w:hideMark/>
          </w:tcPr>
          <w:p w14:paraId="72A81E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36B3D0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B6513E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27/06/2017</w:t>
            </w:r>
          </w:p>
        </w:tc>
        <w:tc>
          <w:tcPr>
            <w:tcW w:w="766" w:type="dxa"/>
            <w:tcBorders>
              <w:top w:val="nil"/>
              <w:left w:val="nil"/>
              <w:bottom w:val="nil"/>
              <w:right w:val="nil"/>
            </w:tcBorders>
            <w:shd w:val="clear" w:color="auto" w:fill="auto"/>
            <w:noWrap/>
            <w:vAlign w:val="center"/>
            <w:hideMark/>
          </w:tcPr>
          <w:p w14:paraId="5FB9AC9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001D3EA" w14:textId="77777777" w:rsidTr="00AB1828">
        <w:trPr>
          <w:trHeight w:val="360"/>
        </w:trPr>
        <w:tc>
          <w:tcPr>
            <w:tcW w:w="861" w:type="dxa"/>
            <w:tcBorders>
              <w:top w:val="nil"/>
              <w:left w:val="nil"/>
              <w:bottom w:val="nil"/>
              <w:right w:val="nil"/>
            </w:tcBorders>
            <w:shd w:val="clear" w:color="auto" w:fill="auto"/>
            <w:noWrap/>
            <w:vAlign w:val="center"/>
            <w:hideMark/>
          </w:tcPr>
          <w:p w14:paraId="65DAF1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NCT02864836</w:t>
            </w:r>
          </w:p>
        </w:tc>
        <w:tc>
          <w:tcPr>
            <w:tcW w:w="1354" w:type="dxa"/>
            <w:tcBorders>
              <w:top w:val="nil"/>
              <w:left w:val="nil"/>
              <w:bottom w:val="nil"/>
              <w:right w:val="nil"/>
            </w:tcBorders>
            <w:shd w:val="clear" w:color="auto" w:fill="auto"/>
            <w:noWrap/>
            <w:vAlign w:val="center"/>
            <w:hideMark/>
          </w:tcPr>
          <w:p w14:paraId="1B73281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Copper Isotope in Head and Neck Cancer</w:t>
            </w:r>
          </w:p>
        </w:tc>
        <w:tc>
          <w:tcPr>
            <w:tcW w:w="1483" w:type="dxa"/>
            <w:tcBorders>
              <w:top w:val="nil"/>
              <w:left w:val="nil"/>
              <w:bottom w:val="nil"/>
              <w:right w:val="nil"/>
            </w:tcBorders>
            <w:shd w:val="clear" w:color="auto" w:fill="auto"/>
            <w:noWrap/>
            <w:vAlign w:val="center"/>
            <w:hideMark/>
          </w:tcPr>
          <w:p w14:paraId="2BD4D1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1E74B26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distribution of stable (non-radioactive) isotopes in living organisms is increasingly studied, in particular the zinc (Zn), copper (Cu) and iron (Fe), not only in primitive organisms, but also in mammals.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scientific community shows a growing interest in the study of the isotopic distribution of Cu in humans: this distribution can vary according to gender or nutrition. Concerning pathology, the isotopic distribution of Cu seems interesting in Wilson's disease or in cirrhosis.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Additionally, a promising area of study focuses on the role of Cu in cancerous tumors, neoangiogenesis, the mechanisms of free radicals reduction and signaling pathways.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lastRenderedPageBreak/>
              <w:br/>
              <w:t>Head and neck cancers are sensitive to platinum salts. Links between platinum and Cu are important: platinum penetrates into the cell through a Cu receptor, it interacts with the regulation mechanisms of Cu and platinum.</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Preliminary studies suggest a variation of the measurable isotopic distribution of Zn in patients with breast tumor and of Cu in patients presenting breast as well as colorectal tumors.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Larner et al. study suggest a promising role of Zn in breast cancer, indeed, results highlight a variation of distribution of Zn in 10 breast tumors. Concerning the study of T</w:t>
            </w:r>
            <w:r w:rsidRPr="000A6EBE">
              <w:rPr>
                <w:rFonts w:ascii="Microsoft JhengHei" w:eastAsia="Microsoft JhengHei" w:hAnsi="Microsoft JhengHei" w:cs="Microsoft JhengHei"/>
                <w:color w:val="000000"/>
                <w:sz w:val="16"/>
                <w:szCs w:val="16"/>
                <w:lang w:val="en-HK" w:eastAsia="zh-CN"/>
              </w:rPr>
              <w:t>茅</w:t>
            </w:r>
            <w:r w:rsidRPr="000A6EBE">
              <w:rPr>
                <w:rFonts w:ascii="Aptos Narrow" w:eastAsia="Times New Roman" w:hAnsi="Aptos Narrow"/>
                <w:color w:val="000000"/>
                <w:sz w:val="16"/>
                <w:szCs w:val="16"/>
                <w:lang w:val="en-HK" w:eastAsia="zh-CN"/>
              </w:rPr>
              <w:t xml:space="preserve">louk et al. on 8 patients </w:t>
            </w:r>
            <w:r w:rsidRPr="000A6EBE">
              <w:rPr>
                <w:rFonts w:ascii="Aptos Narrow" w:eastAsia="Times New Roman" w:hAnsi="Aptos Narrow"/>
                <w:color w:val="000000"/>
                <w:sz w:val="16"/>
                <w:szCs w:val="16"/>
                <w:lang w:val="en-HK" w:eastAsia="zh-CN"/>
              </w:rPr>
              <w:lastRenderedPageBreak/>
              <w:t>presenting colorectal tumors and 20 patients presenting breast tumors, results are in favor of an increase of mortality when Cu 65 is decreased in the serum and the isotopic modifications happen earlier than usual modifications of biochemical tumor markers such as: carbohydrate antigen (CA) 19.9, Carcinoma Antigen (CA) 15.3, Carcinoembryonic antigen (CEA).</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Currently, there is no information about the distribution of the stable isotopes of Cu in head and neck tumors.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objective of the study is to determine if the distribution of 65Cu / 63Cu is modified in tumoral tissues compared to healthy tissues. The isotopic distribution of the Cu in 2 tumor types, head and </w:t>
            </w:r>
            <w:r w:rsidRPr="000A6EBE">
              <w:rPr>
                <w:rFonts w:ascii="Aptos Narrow" w:eastAsia="Times New Roman" w:hAnsi="Aptos Narrow"/>
                <w:color w:val="000000"/>
                <w:sz w:val="16"/>
                <w:szCs w:val="16"/>
                <w:lang w:val="en-HK" w:eastAsia="zh-CN"/>
              </w:rPr>
              <w:lastRenderedPageBreak/>
              <w:t>neck tumors and lymphomas, will be also investigated in order to determine if this distribution is specific of a tumor type or not.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In case of positivity of this variation, the prognostic interest of these parameters will be evaluated.</w:t>
            </w:r>
          </w:p>
        </w:tc>
        <w:tc>
          <w:tcPr>
            <w:tcW w:w="279" w:type="dxa"/>
            <w:tcBorders>
              <w:top w:val="nil"/>
              <w:left w:val="nil"/>
              <w:bottom w:val="nil"/>
              <w:right w:val="nil"/>
            </w:tcBorders>
            <w:shd w:val="clear" w:color="auto" w:fill="auto"/>
            <w:noWrap/>
            <w:vAlign w:val="center"/>
            <w:hideMark/>
          </w:tcPr>
          <w:p w14:paraId="7DECC9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001A4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Head and Neck Tumors</w:t>
            </w:r>
          </w:p>
        </w:tc>
        <w:tc>
          <w:tcPr>
            <w:tcW w:w="1574" w:type="dxa"/>
            <w:tcBorders>
              <w:top w:val="nil"/>
              <w:left w:val="nil"/>
              <w:bottom w:val="nil"/>
              <w:right w:val="nil"/>
            </w:tcBorders>
            <w:shd w:val="clear" w:color="auto" w:fill="auto"/>
            <w:noWrap/>
            <w:vAlign w:val="center"/>
            <w:hideMark/>
          </w:tcPr>
          <w:p w14:paraId="5A0DB4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PROCEDURE: Samples collection</w:t>
            </w:r>
          </w:p>
        </w:tc>
        <w:tc>
          <w:tcPr>
            <w:tcW w:w="2158" w:type="dxa"/>
            <w:gridSpan w:val="2"/>
            <w:tcBorders>
              <w:top w:val="nil"/>
              <w:left w:val="nil"/>
              <w:bottom w:val="nil"/>
              <w:right w:val="nil"/>
            </w:tcBorders>
            <w:shd w:val="clear" w:color="auto" w:fill="auto"/>
            <w:noWrap/>
            <w:vAlign w:val="center"/>
            <w:hideMark/>
          </w:tcPr>
          <w:p w14:paraId="5AD08B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Lille Catholic University</w:t>
            </w:r>
          </w:p>
        </w:tc>
        <w:tc>
          <w:tcPr>
            <w:tcW w:w="1006" w:type="dxa"/>
            <w:tcBorders>
              <w:top w:val="nil"/>
              <w:left w:val="nil"/>
              <w:bottom w:val="nil"/>
              <w:right w:val="nil"/>
            </w:tcBorders>
            <w:shd w:val="clear" w:color="auto" w:fill="auto"/>
            <w:noWrap/>
            <w:vAlign w:val="center"/>
            <w:hideMark/>
          </w:tcPr>
          <w:p w14:paraId="0D7A03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1CE6AC5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15/05/2017</w:t>
            </w:r>
          </w:p>
        </w:tc>
        <w:tc>
          <w:tcPr>
            <w:tcW w:w="766" w:type="dxa"/>
            <w:tcBorders>
              <w:top w:val="nil"/>
              <w:left w:val="nil"/>
              <w:bottom w:val="nil"/>
              <w:right w:val="nil"/>
            </w:tcBorders>
            <w:shd w:val="clear" w:color="auto" w:fill="auto"/>
            <w:noWrap/>
            <w:vAlign w:val="center"/>
            <w:hideMark/>
          </w:tcPr>
          <w:p w14:paraId="586D31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10179A2" w14:textId="77777777" w:rsidTr="00AB1828">
        <w:trPr>
          <w:trHeight w:val="360"/>
        </w:trPr>
        <w:tc>
          <w:tcPr>
            <w:tcW w:w="861" w:type="dxa"/>
            <w:tcBorders>
              <w:top w:val="nil"/>
              <w:left w:val="nil"/>
              <w:bottom w:val="nil"/>
              <w:right w:val="nil"/>
            </w:tcBorders>
            <w:shd w:val="clear" w:color="auto" w:fill="auto"/>
            <w:noWrap/>
            <w:vAlign w:val="center"/>
            <w:hideMark/>
          </w:tcPr>
          <w:p w14:paraId="112BA2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NCT02872025</w:t>
            </w:r>
          </w:p>
        </w:tc>
        <w:tc>
          <w:tcPr>
            <w:tcW w:w="1354" w:type="dxa"/>
            <w:tcBorders>
              <w:top w:val="nil"/>
              <w:left w:val="nil"/>
              <w:bottom w:val="nil"/>
              <w:right w:val="nil"/>
            </w:tcBorders>
            <w:shd w:val="clear" w:color="auto" w:fill="auto"/>
            <w:noWrap/>
            <w:vAlign w:val="center"/>
            <w:hideMark/>
          </w:tcPr>
          <w:p w14:paraId="520806D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Immunotherapy in High-risk Ductal Carcinoma in Situ (DCIS)</w:t>
            </w:r>
          </w:p>
        </w:tc>
        <w:tc>
          <w:tcPr>
            <w:tcW w:w="1483" w:type="dxa"/>
            <w:tcBorders>
              <w:top w:val="nil"/>
              <w:left w:val="nil"/>
              <w:bottom w:val="nil"/>
              <w:right w:val="nil"/>
            </w:tcBorders>
            <w:shd w:val="clear" w:color="auto" w:fill="auto"/>
            <w:noWrap/>
            <w:vAlign w:val="center"/>
            <w:hideMark/>
          </w:tcPr>
          <w:p w14:paraId="18FA429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53DA4D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study to investigate the change in the immune microenvironment of high risk ductal carcinoma in situ (DCIS) after short term exposure to immunotherapy.</w:t>
            </w:r>
          </w:p>
        </w:tc>
        <w:tc>
          <w:tcPr>
            <w:tcW w:w="279" w:type="dxa"/>
            <w:tcBorders>
              <w:top w:val="nil"/>
              <w:left w:val="nil"/>
              <w:bottom w:val="nil"/>
              <w:right w:val="nil"/>
            </w:tcBorders>
            <w:shd w:val="clear" w:color="auto" w:fill="auto"/>
            <w:noWrap/>
            <w:vAlign w:val="center"/>
            <w:hideMark/>
          </w:tcPr>
          <w:p w14:paraId="78E8EB8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AA14DC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Carcinoma, Intraductal, Noninfiltrating</w:t>
            </w:r>
          </w:p>
        </w:tc>
        <w:tc>
          <w:tcPr>
            <w:tcW w:w="1574" w:type="dxa"/>
            <w:tcBorders>
              <w:top w:val="nil"/>
              <w:left w:val="nil"/>
              <w:bottom w:val="nil"/>
              <w:right w:val="nil"/>
            </w:tcBorders>
            <w:shd w:val="clear" w:color="auto" w:fill="auto"/>
            <w:noWrap/>
            <w:vAlign w:val="center"/>
            <w:hideMark/>
          </w:tcPr>
          <w:p w14:paraId="39317EC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Pembrolizumab|BIOLOGICAL: Intralesional mRNA 2752</w:t>
            </w:r>
          </w:p>
        </w:tc>
        <w:tc>
          <w:tcPr>
            <w:tcW w:w="1152" w:type="dxa"/>
            <w:tcBorders>
              <w:top w:val="nil"/>
              <w:left w:val="nil"/>
              <w:bottom w:val="nil"/>
              <w:right w:val="nil"/>
            </w:tcBorders>
            <w:shd w:val="clear" w:color="auto" w:fill="auto"/>
            <w:noWrap/>
            <w:vAlign w:val="center"/>
            <w:hideMark/>
          </w:tcPr>
          <w:p w14:paraId="3AD91D3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Laura Esserman</w:t>
            </w:r>
          </w:p>
        </w:tc>
        <w:tc>
          <w:tcPr>
            <w:tcW w:w="1006" w:type="dxa"/>
            <w:tcBorders>
              <w:top w:val="nil"/>
              <w:left w:val="nil"/>
              <w:bottom w:val="nil"/>
              <w:right w:val="nil"/>
            </w:tcBorders>
            <w:shd w:val="clear" w:color="auto" w:fill="auto"/>
            <w:noWrap/>
            <w:vAlign w:val="center"/>
            <w:hideMark/>
          </w:tcPr>
          <w:p w14:paraId="3643868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EARLY_PHASE1</w:t>
            </w:r>
          </w:p>
        </w:tc>
        <w:tc>
          <w:tcPr>
            <w:tcW w:w="1006" w:type="dxa"/>
            <w:tcBorders>
              <w:top w:val="nil"/>
              <w:left w:val="nil"/>
              <w:bottom w:val="nil"/>
              <w:right w:val="nil"/>
            </w:tcBorders>
            <w:shd w:val="clear" w:color="auto" w:fill="auto"/>
            <w:noWrap/>
            <w:vAlign w:val="center"/>
            <w:hideMark/>
          </w:tcPr>
          <w:p w14:paraId="578D9D7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EDE108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12/12/2016</w:t>
            </w:r>
          </w:p>
        </w:tc>
        <w:tc>
          <w:tcPr>
            <w:tcW w:w="766" w:type="dxa"/>
            <w:tcBorders>
              <w:top w:val="nil"/>
              <w:left w:val="nil"/>
              <w:bottom w:val="nil"/>
              <w:right w:val="nil"/>
            </w:tcBorders>
            <w:shd w:val="clear" w:color="auto" w:fill="auto"/>
            <w:noWrap/>
            <w:vAlign w:val="center"/>
            <w:hideMark/>
          </w:tcPr>
          <w:p w14:paraId="582CFD6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C3B9C3D" w14:textId="77777777" w:rsidTr="00AB1828">
        <w:trPr>
          <w:trHeight w:val="360"/>
        </w:trPr>
        <w:tc>
          <w:tcPr>
            <w:tcW w:w="861" w:type="dxa"/>
            <w:tcBorders>
              <w:top w:val="nil"/>
              <w:left w:val="nil"/>
              <w:bottom w:val="nil"/>
              <w:right w:val="nil"/>
            </w:tcBorders>
            <w:shd w:val="clear" w:color="auto" w:fill="auto"/>
            <w:noWrap/>
            <w:vAlign w:val="center"/>
            <w:hideMark/>
          </w:tcPr>
          <w:p w14:paraId="40A41E4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NCT02465268</w:t>
            </w:r>
          </w:p>
        </w:tc>
        <w:tc>
          <w:tcPr>
            <w:tcW w:w="1354" w:type="dxa"/>
            <w:tcBorders>
              <w:top w:val="nil"/>
              <w:left w:val="nil"/>
              <w:bottom w:val="nil"/>
              <w:right w:val="nil"/>
            </w:tcBorders>
            <w:shd w:val="clear" w:color="auto" w:fill="auto"/>
            <w:noWrap/>
            <w:vAlign w:val="center"/>
            <w:hideMark/>
          </w:tcPr>
          <w:p w14:paraId="732B8A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Vaccine Therapy for the Treatment of Newly Diagnosed Glioblastoma Multiforme</w:t>
            </w:r>
          </w:p>
        </w:tc>
        <w:tc>
          <w:tcPr>
            <w:tcW w:w="1483" w:type="dxa"/>
            <w:tcBorders>
              <w:top w:val="nil"/>
              <w:left w:val="nil"/>
              <w:bottom w:val="nil"/>
              <w:right w:val="nil"/>
            </w:tcBorders>
            <w:shd w:val="clear" w:color="auto" w:fill="auto"/>
            <w:noWrap/>
            <w:vAlign w:val="center"/>
            <w:hideMark/>
          </w:tcPr>
          <w:p w14:paraId="685DD34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727EF75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research study is to determine if an investigational dendritic cell vaccine, called pp65 DC, is effective for the treatment of a specific type of brain tumor called glioblastoma (GBM) when given with stronger doses of routine chemotherapy.</w:t>
            </w:r>
          </w:p>
        </w:tc>
        <w:tc>
          <w:tcPr>
            <w:tcW w:w="279" w:type="dxa"/>
            <w:tcBorders>
              <w:top w:val="nil"/>
              <w:left w:val="nil"/>
              <w:bottom w:val="nil"/>
              <w:right w:val="nil"/>
            </w:tcBorders>
            <w:shd w:val="clear" w:color="auto" w:fill="auto"/>
            <w:noWrap/>
            <w:vAlign w:val="center"/>
            <w:hideMark/>
          </w:tcPr>
          <w:p w14:paraId="0BE4FA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6A7014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 Multiforme|Glioblastoma|Malignant Glioma|Astrocytoma, Grade IV|GBM</w:t>
            </w:r>
          </w:p>
        </w:tc>
        <w:tc>
          <w:tcPr>
            <w:tcW w:w="1574" w:type="dxa"/>
            <w:tcBorders>
              <w:top w:val="nil"/>
              <w:left w:val="nil"/>
              <w:bottom w:val="nil"/>
              <w:right w:val="nil"/>
            </w:tcBorders>
            <w:shd w:val="clear" w:color="auto" w:fill="auto"/>
            <w:noWrap/>
            <w:vAlign w:val="center"/>
            <w:hideMark/>
          </w:tcPr>
          <w:p w14:paraId="68C6080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pp65-shLAMP DC with GM-CSF|BIOLOGICAL: unpulsed PBMC and saline|DRUG: Td|DRUG: Saline|BIOLOGICAL: pp65-flLAMP DC with GM-CSF</w:t>
            </w:r>
          </w:p>
        </w:tc>
        <w:tc>
          <w:tcPr>
            <w:tcW w:w="1152" w:type="dxa"/>
            <w:tcBorders>
              <w:top w:val="nil"/>
              <w:left w:val="nil"/>
              <w:bottom w:val="nil"/>
              <w:right w:val="nil"/>
            </w:tcBorders>
            <w:shd w:val="clear" w:color="auto" w:fill="auto"/>
            <w:noWrap/>
            <w:vAlign w:val="center"/>
            <w:hideMark/>
          </w:tcPr>
          <w:p w14:paraId="102F15D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Florida</w:t>
            </w:r>
          </w:p>
        </w:tc>
        <w:tc>
          <w:tcPr>
            <w:tcW w:w="1006" w:type="dxa"/>
            <w:tcBorders>
              <w:top w:val="nil"/>
              <w:left w:val="nil"/>
              <w:bottom w:val="nil"/>
              <w:right w:val="nil"/>
            </w:tcBorders>
            <w:shd w:val="clear" w:color="auto" w:fill="auto"/>
            <w:noWrap/>
            <w:vAlign w:val="center"/>
            <w:hideMark/>
          </w:tcPr>
          <w:p w14:paraId="79669B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70778D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57CB50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09/08/2016</w:t>
            </w:r>
          </w:p>
        </w:tc>
        <w:tc>
          <w:tcPr>
            <w:tcW w:w="766" w:type="dxa"/>
            <w:tcBorders>
              <w:top w:val="nil"/>
              <w:left w:val="nil"/>
              <w:bottom w:val="nil"/>
              <w:right w:val="nil"/>
            </w:tcBorders>
            <w:shd w:val="clear" w:color="auto" w:fill="auto"/>
            <w:noWrap/>
            <w:vAlign w:val="center"/>
            <w:hideMark/>
          </w:tcPr>
          <w:p w14:paraId="0C39B0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F78F717" w14:textId="77777777" w:rsidTr="00AB1828">
        <w:trPr>
          <w:trHeight w:val="360"/>
        </w:trPr>
        <w:tc>
          <w:tcPr>
            <w:tcW w:w="861" w:type="dxa"/>
            <w:tcBorders>
              <w:top w:val="nil"/>
              <w:left w:val="nil"/>
              <w:bottom w:val="nil"/>
              <w:right w:val="nil"/>
            </w:tcBorders>
            <w:shd w:val="clear" w:color="auto" w:fill="auto"/>
            <w:noWrap/>
            <w:vAlign w:val="center"/>
            <w:hideMark/>
          </w:tcPr>
          <w:p w14:paraId="35E59D4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NCT03083054</w:t>
            </w:r>
          </w:p>
        </w:tc>
        <w:tc>
          <w:tcPr>
            <w:tcW w:w="1354" w:type="dxa"/>
            <w:tcBorders>
              <w:top w:val="nil"/>
              <w:left w:val="nil"/>
              <w:bottom w:val="nil"/>
              <w:right w:val="nil"/>
            </w:tcBorders>
            <w:shd w:val="clear" w:color="auto" w:fill="auto"/>
            <w:noWrap/>
            <w:vAlign w:val="center"/>
            <w:hideMark/>
          </w:tcPr>
          <w:p w14:paraId="44CEE9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Cellular Immunotherapy for Patients With High Risk Myelodysplastic Syndromes and Acute Myeloid Leukemia</w:t>
            </w:r>
          </w:p>
        </w:tc>
        <w:tc>
          <w:tcPr>
            <w:tcW w:w="1483" w:type="dxa"/>
            <w:tcBorders>
              <w:top w:val="nil"/>
              <w:left w:val="nil"/>
              <w:bottom w:val="nil"/>
              <w:right w:val="nil"/>
            </w:tcBorders>
            <w:shd w:val="clear" w:color="auto" w:fill="auto"/>
            <w:noWrap/>
            <w:vAlign w:val="center"/>
            <w:hideMark/>
          </w:tcPr>
          <w:p w14:paraId="50E6B5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3DCC4B2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main objective of this work is to conduct a clinical study for the development and application of a vaccine with autologous dendritic cells submitted to electroporation with Wilm's tumor 1 (WT1) messenger ribonucleic acid (mRNA), as an adjuvant treatment of high-risk Myelodysplastic Syndromes and Acute Myeloid Leukemia, aiming to delay the progression of the disease or its relapse and increase overall and event-free survival.</w:t>
            </w:r>
          </w:p>
        </w:tc>
        <w:tc>
          <w:tcPr>
            <w:tcW w:w="279" w:type="dxa"/>
            <w:tcBorders>
              <w:top w:val="nil"/>
              <w:left w:val="nil"/>
              <w:bottom w:val="nil"/>
              <w:right w:val="nil"/>
            </w:tcBorders>
            <w:shd w:val="clear" w:color="auto" w:fill="auto"/>
            <w:noWrap/>
            <w:vAlign w:val="center"/>
            <w:hideMark/>
          </w:tcPr>
          <w:p w14:paraId="616B13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63E9E8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Myelodysplastic Syndromes|Acute Myeloid Leukemia</w:t>
            </w:r>
          </w:p>
        </w:tc>
        <w:tc>
          <w:tcPr>
            <w:tcW w:w="1574" w:type="dxa"/>
            <w:tcBorders>
              <w:top w:val="nil"/>
              <w:left w:val="nil"/>
              <w:bottom w:val="nil"/>
              <w:right w:val="nil"/>
            </w:tcBorders>
            <w:shd w:val="clear" w:color="auto" w:fill="auto"/>
            <w:noWrap/>
            <w:vAlign w:val="center"/>
            <w:hideMark/>
          </w:tcPr>
          <w:p w14:paraId="1F9907F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cells electroporated with WT1 mRNA</w:t>
            </w:r>
          </w:p>
        </w:tc>
        <w:tc>
          <w:tcPr>
            <w:tcW w:w="1152" w:type="dxa"/>
            <w:tcBorders>
              <w:top w:val="nil"/>
              <w:left w:val="nil"/>
              <w:bottom w:val="nil"/>
              <w:right w:val="nil"/>
            </w:tcBorders>
            <w:shd w:val="clear" w:color="auto" w:fill="auto"/>
            <w:noWrap/>
            <w:vAlign w:val="center"/>
            <w:hideMark/>
          </w:tcPr>
          <w:p w14:paraId="4CD44A7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Campinas, Brazil</w:t>
            </w:r>
          </w:p>
        </w:tc>
        <w:tc>
          <w:tcPr>
            <w:tcW w:w="1006" w:type="dxa"/>
            <w:tcBorders>
              <w:top w:val="nil"/>
              <w:left w:val="nil"/>
              <w:bottom w:val="nil"/>
              <w:right w:val="nil"/>
            </w:tcBorders>
            <w:shd w:val="clear" w:color="auto" w:fill="auto"/>
            <w:noWrap/>
            <w:vAlign w:val="center"/>
            <w:hideMark/>
          </w:tcPr>
          <w:p w14:paraId="073A14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A3C8D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01AE9C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01/08/2016</w:t>
            </w:r>
          </w:p>
        </w:tc>
        <w:tc>
          <w:tcPr>
            <w:tcW w:w="766" w:type="dxa"/>
            <w:tcBorders>
              <w:top w:val="nil"/>
              <w:left w:val="nil"/>
              <w:bottom w:val="nil"/>
              <w:right w:val="nil"/>
            </w:tcBorders>
            <w:shd w:val="clear" w:color="auto" w:fill="auto"/>
            <w:noWrap/>
            <w:vAlign w:val="center"/>
            <w:hideMark/>
          </w:tcPr>
          <w:p w14:paraId="0387E5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2ACE631A" w14:textId="77777777" w:rsidTr="00AB1828">
        <w:trPr>
          <w:trHeight w:val="360"/>
        </w:trPr>
        <w:tc>
          <w:tcPr>
            <w:tcW w:w="861" w:type="dxa"/>
            <w:tcBorders>
              <w:top w:val="nil"/>
              <w:left w:val="nil"/>
              <w:bottom w:val="nil"/>
              <w:right w:val="nil"/>
            </w:tcBorders>
            <w:shd w:val="clear" w:color="auto" w:fill="auto"/>
            <w:noWrap/>
            <w:vAlign w:val="center"/>
            <w:hideMark/>
          </w:tcPr>
          <w:p w14:paraId="2EABF03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NCT02700971</w:t>
            </w:r>
          </w:p>
        </w:tc>
        <w:tc>
          <w:tcPr>
            <w:tcW w:w="1354" w:type="dxa"/>
            <w:tcBorders>
              <w:top w:val="nil"/>
              <w:left w:val="nil"/>
              <w:bottom w:val="nil"/>
              <w:right w:val="nil"/>
            </w:tcBorders>
            <w:shd w:val="clear" w:color="auto" w:fill="auto"/>
            <w:noWrap/>
            <w:vAlign w:val="center"/>
            <w:hideMark/>
          </w:tcPr>
          <w:p w14:paraId="152A62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RATIO: Rational Approach To Immuno-Oncology</w:t>
            </w:r>
          </w:p>
        </w:tc>
        <w:tc>
          <w:tcPr>
            <w:tcW w:w="1483" w:type="dxa"/>
            <w:tcBorders>
              <w:top w:val="nil"/>
              <w:left w:val="nil"/>
              <w:bottom w:val="nil"/>
              <w:right w:val="nil"/>
            </w:tcBorders>
            <w:shd w:val="clear" w:color="auto" w:fill="auto"/>
            <w:noWrap/>
            <w:vAlign w:val="center"/>
            <w:hideMark/>
          </w:tcPr>
          <w:p w14:paraId="161320B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76DA415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trial will utilize a Molecular MicroscopeTM diagnostic system (MMDxTM) that combines the molecular and histopathological features of biopsies, plus clinical and laboratory parameters, to create the first Integrated Diagnostic </w:t>
            </w:r>
            <w:r w:rsidRPr="000A6EBE">
              <w:rPr>
                <w:rFonts w:ascii="Aptos Narrow" w:eastAsia="Times New Roman" w:hAnsi="Aptos Narrow"/>
                <w:color w:val="000000"/>
                <w:sz w:val="16"/>
                <w:szCs w:val="16"/>
                <w:lang w:val="en-HK" w:eastAsia="zh-CN"/>
              </w:rPr>
              <w:lastRenderedPageBreak/>
              <w:t>System. This MMDxTM will be utilized to phenotype cutaneous melanoma biopsy samples to detect an immune responsive mRNA signature.</w:t>
            </w:r>
          </w:p>
        </w:tc>
        <w:tc>
          <w:tcPr>
            <w:tcW w:w="279" w:type="dxa"/>
            <w:tcBorders>
              <w:top w:val="nil"/>
              <w:left w:val="nil"/>
              <w:bottom w:val="nil"/>
              <w:right w:val="nil"/>
            </w:tcBorders>
            <w:shd w:val="clear" w:color="auto" w:fill="auto"/>
            <w:noWrap/>
            <w:vAlign w:val="center"/>
            <w:hideMark/>
          </w:tcPr>
          <w:p w14:paraId="2E09063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B411A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Melanoma</w:t>
            </w:r>
          </w:p>
        </w:tc>
        <w:tc>
          <w:tcPr>
            <w:tcW w:w="1574" w:type="dxa"/>
            <w:tcBorders>
              <w:top w:val="nil"/>
              <w:left w:val="nil"/>
              <w:bottom w:val="nil"/>
              <w:right w:val="nil"/>
            </w:tcBorders>
            <w:shd w:val="clear" w:color="auto" w:fill="auto"/>
            <w:noWrap/>
            <w:vAlign w:val="center"/>
            <w:hideMark/>
          </w:tcPr>
          <w:p w14:paraId="7B8FEC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PROCEDURE: Molecular Microscope Diagnostic system</w:t>
            </w:r>
          </w:p>
        </w:tc>
        <w:tc>
          <w:tcPr>
            <w:tcW w:w="1152" w:type="dxa"/>
            <w:tcBorders>
              <w:top w:val="nil"/>
              <w:left w:val="nil"/>
              <w:bottom w:val="nil"/>
              <w:right w:val="nil"/>
            </w:tcBorders>
            <w:shd w:val="clear" w:color="auto" w:fill="auto"/>
            <w:noWrap/>
            <w:vAlign w:val="center"/>
            <w:hideMark/>
          </w:tcPr>
          <w:p w14:paraId="5B78D31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AHS Cancer Control Alberta</w:t>
            </w:r>
          </w:p>
        </w:tc>
        <w:tc>
          <w:tcPr>
            <w:tcW w:w="1006" w:type="dxa"/>
            <w:tcBorders>
              <w:top w:val="nil"/>
              <w:left w:val="nil"/>
              <w:bottom w:val="nil"/>
              <w:right w:val="nil"/>
            </w:tcBorders>
            <w:shd w:val="clear" w:color="auto" w:fill="auto"/>
            <w:noWrap/>
            <w:vAlign w:val="center"/>
            <w:hideMark/>
          </w:tcPr>
          <w:p w14:paraId="4547E7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7276320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B69615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23/06/2016</w:t>
            </w:r>
          </w:p>
        </w:tc>
        <w:tc>
          <w:tcPr>
            <w:tcW w:w="766" w:type="dxa"/>
            <w:tcBorders>
              <w:top w:val="nil"/>
              <w:left w:val="nil"/>
              <w:bottom w:val="nil"/>
              <w:right w:val="nil"/>
            </w:tcBorders>
            <w:shd w:val="clear" w:color="auto" w:fill="auto"/>
            <w:noWrap/>
            <w:vAlign w:val="center"/>
            <w:hideMark/>
          </w:tcPr>
          <w:p w14:paraId="54C87F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B64B43A" w14:textId="77777777" w:rsidTr="00AB1828">
        <w:trPr>
          <w:trHeight w:val="360"/>
        </w:trPr>
        <w:tc>
          <w:tcPr>
            <w:tcW w:w="861" w:type="dxa"/>
            <w:tcBorders>
              <w:top w:val="nil"/>
              <w:left w:val="nil"/>
              <w:bottom w:val="nil"/>
              <w:right w:val="nil"/>
            </w:tcBorders>
            <w:shd w:val="clear" w:color="auto" w:fill="auto"/>
            <w:noWrap/>
            <w:vAlign w:val="center"/>
            <w:hideMark/>
          </w:tcPr>
          <w:p w14:paraId="4ABCADB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NCT02564614</w:t>
            </w:r>
          </w:p>
        </w:tc>
        <w:tc>
          <w:tcPr>
            <w:tcW w:w="1354" w:type="dxa"/>
            <w:tcBorders>
              <w:top w:val="nil"/>
              <w:left w:val="nil"/>
              <w:bottom w:val="nil"/>
              <w:right w:val="nil"/>
            </w:tcBorders>
            <w:shd w:val="clear" w:color="auto" w:fill="auto"/>
            <w:noWrap/>
            <w:vAlign w:val="center"/>
            <w:hideMark/>
          </w:tcPr>
          <w:p w14:paraId="43622E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Hypoxia-inducible Factor 1a (HIF1A) Messenger Ribonucleic Acid (mRNA) Antagonist (RO7070179), to Demonstrate Proof-of-mechanism in Adult Participants With Hepatocellular Carcinoma (HCC)</w:t>
            </w:r>
          </w:p>
        </w:tc>
        <w:tc>
          <w:tcPr>
            <w:tcW w:w="1483" w:type="dxa"/>
            <w:tcBorders>
              <w:top w:val="nil"/>
              <w:left w:val="nil"/>
              <w:bottom w:val="nil"/>
              <w:right w:val="nil"/>
            </w:tcBorders>
            <w:shd w:val="clear" w:color="auto" w:fill="auto"/>
            <w:noWrap/>
            <w:vAlign w:val="center"/>
            <w:hideMark/>
          </w:tcPr>
          <w:p w14:paraId="28AF69A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6C751B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open-label study will demonstrate proof-of-mechanism of HIF1A inhibition by a decrease of HIF1A mRNA after intravenous (IV) infusion of RO7070179 in participants with hepatocellular carcinoma (HCC) who have failed at least one line of systemic therapy. This will be a single arm study and all participants will receive RO7070179, 13 milligram per kilogram per week (mg/kg/week), 2-hour IV infusion on Days 1 and 4 during Week 1 of Cycle 1, followed by once weekly in 6 week cycle. Treatment with RO7070179 will be continued until disease </w:t>
            </w:r>
            <w:r w:rsidRPr="000A6EBE">
              <w:rPr>
                <w:rFonts w:ascii="Aptos Narrow" w:eastAsia="Times New Roman" w:hAnsi="Aptos Narrow"/>
                <w:color w:val="000000"/>
                <w:sz w:val="16"/>
                <w:szCs w:val="16"/>
                <w:lang w:val="en-HK" w:eastAsia="zh-CN"/>
              </w:rPr>
              <w:lastRenderedPageBreak/>
              <w:t>progression or unacceptable toxicity.</w:t>
            </w:r>
          </w:p>
        </w:tc>
        <w:tc>
          <w:tcPr>
            <w:tcW w:w="279" w:type="dxa"/>
            <w:tcBorders>
              <w:top w:val="nil"/>
              <w:left w:val="nil"/>
              <w:bottom w:val="nil"/>
              <w:right w:val="nil"/>
            </w:tcBorders>
            <w:shd w:val="clear" w:color="auto" w:fill="auto"/>
            <w:noWrap/>
            <w:vAlign w:val="center"/>
            <w:hideMark/>
          </w:tcPr>
          <w:p w14:paraId="63BC97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50287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Carcinoma, Hepatocellular</w:t>
            </w:r>
          </w:p>
        </w:tc>
        <w:tc>
          <w:tcPr>
            <w:tcW w:w="1574" w:type="dxa"/>
            <w:tcBorders>
              <w:top w:val="nil"/>
              <w:left w:val="nil"/>
              <w:bottom w:val="nil"/>
              <w:right w:val="nil"/>
            </w:tcBorders>
            <w:shd w:val="clear" w:color="auto" w:fill="auto"/>
            <w:noWrap/>
            <w:vAlign w:val="center"/>
            <w:hideMark/>
          </w:tcPr>
          <w:p w14:paraId="5D0E73A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RO7070179</w:t>
            </w:r>
          </w:p>
        </w:tc>
        <w:tc>
          <w:tcPr>
            <w:tcW w:w="1152" w:type="dxa"/>
            <w:tcBorders>
              <w:top w:val="nil"/>
              <w:left w:val="nil"/>
              <w:bottom w:val="nil"/>
              <w:right w:val="nil"/>
            </w:tcBorders>
            <w:shd w:val="clear" w:color="auto" w:fill="auto"/>
            <w:noWrap/>
            <w:vAlign w:val="center"/>
            <w:hideMark/>
          </w:tcPr>
          <w:p w14:paraId="0E77110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Hoffmann-La Roche</w:t>
            </w:r>
          </w:p>
        </w:tc>
        <w:tc>
          <w:tcPr>
            <w:tcW w:w="1006" w:type="dxa"/>
            <w:tcBorders>
              <w:top w:val="nil"/>
              <w:left w:val="nil"/>
              <w:bottom w:val="nil"/>
              <w:right w:val="nil"/>
            </w:tcBorders>
            <w:shd w:val="clear" w:color="auto" w:fill="auto"/>
            <w:noWrap/>
            <w:vAlign w:val="center"/>
            <w:hideMark/>
          </w:tcPr>
          <w:p w14:paraId="08D5FB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42177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2F1F9F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02/05/2016</w:t>
            </w:r>
          </w:p>
        </w:tc>
        <w:tc>
          <w:tcPr>
            <w:tcW w:w="766" w:type="dxa"/>
            <w:tcBorders>
              <w:top w:val="nil"/>
              <w:left w:val="nil"/>
              <w:bottom w:val="nil"/>
              <w:right w:val="nil"/>
            </w:tcBorders>
            <w:shd w:val="clear" w:color="auto" w:fill="auto"/>
            <w:noWrap/>
            <w:vAlign w:val="center"/>
            <w:hideMark/>
          </w:tcPr>
          <w:p w14:paraId="781010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D3EB18B" w14:textId="77777777" w:rsidTr="00AB1828">
        <w:trPr>
          <w:trHeight w:val="360"/>
        </w:trPr>
        <w:tc>
          <w:tcPr>
            <w:tcW w:w="861" w:type="dxa"/>
            <w:tcBorders>
              <w:top w:val="nil"/>
              <w:left w:val="nil"/>
              <w:bottom w:val="nil"/>
              <w:right w:val="nil"/>
            </w:tcBorders>
            <w:shd w:val="clear" w:color="auto" w:fill="auto"/>
            <w:noWrap/>
            <w:vAlign w:val="center"/>
            <w:hideMark/>
          </w:tcPr>
          <w:p w14:paraId="0162CD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NCT02808364</w:t>
            </w:r>
          </w:p>
        </w:tc>
        <w:tc>
          <w:tcPr>
            <w:tcW w:w="1354" w:type="dxa"/>
            <w:tcBorders>
              <w:top w:val="nil"/>
              <w:left w:val="nil"/>
              <w:bottom w:val="nil"/>
              <w:right w:val="nil"/>
            </w:tcBorders>
            <w:shd w:val="clear" w:color="auto" w:fill="auto"/>
            <w:noWrap/>
            <w:vAlign w:val="center"/>
            <w:hideMark/>
          </w:tcPr>
          <w:p w14:paraId="46836B3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Personalized Cellular Vaccine for Recurrent Glioblastoma (PERCELLVAC2)</w:t>
            </w:r>
          </w:p>
        </w:tc>
        <w:tc>
          <w:tcPr>
            <w:tcW w:w="1483" w:type="dxa"/>
            <w:tcBorders>
              <w:top w:val="nil"/>
              <w:left w:val="nil"/>
              <w:bottom w:val="nil"/>
              <w:right w:val="nil"/>
            </w:tcBorders>
            <w:shd w:val="clear" w:color="auto" w:fill="auto"/>
            <w:noWrap/>
            <w:vAlign w:val="center"/>
            <w:hideMark/>
          </w:tcPr>
          <w:p w14:paraId="3AB526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52A320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treatment option for recurrent glioblastoma is limited. Immune cell based therapy for glioblastoma has shown some efficacy. This study is designed to perform a personalized clinical trial by first analyzing the expression of tumor associated antigens in patients with recurrent glioblastoma and then immunizing the patients with personalized antigen pulsed DCs. Immune responses to the immunized antigens will be monitored. Safety and efficacy will be observed in this study.</w:t>
            </w:r>
          </w:p>
        </w:tc>
        <w:tc>
          <w:tcPr>
            <w:tcW w:w="279" w:type="dxa"/>
            <w:tcBorders>
              <w:top w:val="nil"/>
              <w:left w:val="nil"/>
              <w:bottom w:val="nil"/>
              <w:right w:val="nil"/>
            </w:tcBorders>
            <w:shd w:val="clear" w:color="auto" w:fill="auto"/>
            <w:noWrap/>
            <w:vAlign w:val="center"/>
            <w:hideMark/>
          </w:tcPr>
          <w:p w14:paraId="571EBBC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116892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w:t>
            </w:r>
          </w:p>
        </w:tc>
        <w:tc>
          <w:tcPr>
            <w:tcW w:w="1574" w:type="dxa"/>
            <w:tcBorders>
              <w:top w:val="nil"/>
              <w:left w:val="nil"/>
              <w:bottom w:val="nil"/>
              <w:right w:val="nil"/>
            </w:tcBorders>
            <w:shd w:val="clear" w:color="auto" w:fill="auto"/>
            <w:noWrap/>
            <w:vAlign w:val="center"/>
            <w:hideMark/>
          </w:tcPr>
          <w:p w14:paraId="689858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Personalized cellular vaccine</w:t>
            </w:r>
          </w:p>
        </w:tc>
        <w:tc>
          <w:tcPr>
            <w:tcW w:w="1152" w:type="dxa"/>
            <w:tcBorders>
              <w:top w:val="nil"/>
              <w:left w:val="nil"/>
              <w:bottom w:val="nil"/>
              <w:right w:val="nil"/>
            </w:tcBorders>
            <w:shd w:val="clear" w:color="auto" w:fill="auto"/>
            <w:noWrap/>
            <w:vAlign w:val="center"/>
            <w:hideMark/>
          </w:tcPr>
          <w:p w14:paraId="37772ED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Guangdong 999 Brain Hospital</w:t>
            </w:r>
          </w:p>
        </w:tc>
        <w:tc>
          <w:tcPr>
            <w:tcW w:w="1006" w:type="dxa"/>
            <w:tcBorders>
              <w:top w:val="nil"/>
              <w:left w:val="nil"/>
              <w:bottom w:val="nil"/>
              <w:right w:val="nil"/>
            </w:tcBorders>
            <w:shd w:val="clear" w:color="auto" w:fill="auto"/>
            <w:noWrap/>
            <w:vAlign w:val="center"/>
            <w:hideMark/>
          </w:tcPr>
          <w:p w14:paraId="724BA29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AA9BA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C73D20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01/03/2016</w:t>
            </w:r>
          </w:p>
        </w:tc>
        <w:tc>
          <w:tcPr>
            <w:tcW w:w="766" w:type="dxa"/>
            <w:tcBorders>
              <w:top w:val="nil"/>
              <w:left w:val="nil"/>
              <w:bottom w:val="nil"/>
              <w:right w:val="nil"/>
            </w:tcBorders>
            <w:shd w:val="clear" w:color="auto" w:fill="auto"/>
            <w:noWrap/>
            <w:vAlign w:val="center"/>
            <w:hideMark/>
          </w:tcPr>
          <w:p w14:paraId="424C895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146C919" w14:textId="77777777" w:rsidTr="00AB1828">
        <w:trPr>
          <w:trHeight w:val="360"/>
        </w:trPr>
        <w:tc>
          <w:tcPr>
            <w:tcW w:w="861" w:type="dxa"/>
            <w:tcBorders>
              <w:top w:val="nil"/>
              <w:left w:val="nil"/>
              <w:bottom w:val="nil"/>
              <w:right w:val="nil"/>
            </w:tcBorders>
            <w:shd w:val="clear" w:color="auto" w:fill="auto"/>
            <w:noWrap/>
            <w:vAlign w:val="center"/>
            <w:hideMark/>
          </w:tcPr>
          <w:p w14:paraId="392DE5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NCT02808416</w:t>
            </w:r>
          </w:p>
        </w:tc>
        <w:tc>
          <w:tcPr>
            <w:tcW w:w="1354" w:type="dxa"/>
            <w:tcBorders>
              <w:top w:val="nil"/>
              <w:left w:val="nil"/>
              <w:bottom w:val="nil"/>
              <w:right w:val="nil"/>
            </w:tcBorders>
            <w:shd w:val="clear" w:color="auto" w:fill="auto"/>
            <w:noWrap/>
            <w:vAlign w:val="center"/>
            <w:hideMark/>
          </w:tcPr>
          <w:p w14:paraId="30CB698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Personalized Cellular Vaccine for Brain Metastases (PERCELLVAC3)</w:t>
            </w:r>
          </w:p>
        </w:tc>
        <w:tc>
          <w:tcPr>
            <w:tcW w:w="1483" w:type="dxa"/>
            <w:tcBorders>
              <w:top w:val="nil"/>
              <w:left w:val="nil"/>
              <w:bottom w:val="nil"/>
              <w:right w:val="nil"/>
            </w:tcBorders>
            <w:shd w:val="clear" w:color="auto" w:fill="auto"/>
            <w:noWrap/>
            <w:vAlign w:val="center"/>
            <w:hideMark/>
          </w:tcPr>
          <w:p w14:paraId="069D033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509129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Cancer patients with brain metastases (BM) have poor prognosis. Current treatments produce limited efficacy. Recent advance in cancer </w:t>
            </w:r>
            <w:r w:rsidRPr="000A6EBE">
              <w:rPr>
                <w:rFonts w:ascii="Aptos Narrow" w:eastAsia="Times New Roman" w:hAnsi="Aptos Narrow"/>
                <w:color w:val="000000"/>
                <w:sz w:val="16"/>
                <w:szCs w:val="16"/>
                <w:lang w:val="en-HK" w:eastAsia="zh-CN"/>
              </w:rPr>
              <w:lastRenderedPageBreak/>
              <w:t>immunotherapy has provided important new means to treat cancer patients at advanced stages. This study is designed to perform a clinical trial to treat advanced caner patients with brain metastases with personalized dendritic cell-based cellular vaccines. The patients will receive vaccines consisting of mRNA tumor antigen pulsed DCs. Immune response to the immunized tumor antigens will be monitored. Safety and efficacy will be observed in this study.</w:t>
            </w:r>
          </w:p>
        </w:tc>
        <w:tc>
          <w:tcPr>
            <w:tcW w:w="279" w:type="dxa"/>
            <w:tcBorders>
              <w:top w:val="nil"/>
              <w:left w:val="nil"/>
              <w:bottom w:val="nil"/>
              <w:right w:val="nil"/>
            </w:tcBorders>
            <w:shd w:val="clear" w:color="auto" w:fill="auto"/>
            <w:noWrap/>
            <w:vAlign w:val="center"/>
            <w:hideMark/>
          </w:tcPr>
          <w:p w14:paraId="6BE949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FB6BD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Brain Cancer|Neoplasm Metastases</w:t>
            </w:r>
          </w:p>
        </w:tc>
        <w:tc>
          <w:tcPr>
            <w:tcW w:w="1574" w:type="dxa"/>
            <w:tcBorders>
              <w:top w:val="nil"/>
              <w:left w:val="nil"/>
              <w:bottom w:val="nil"/>
              <w:right w:val="nil"/>
            </w:tcBorders>
            <w:shd w:val="clear" w:color="auto" w:fill="auto"/>
            <w:noWrap/>
            <w:vAlign w:val="center"/>
            <w:hideMark/>
          </w:tcPr>
          <w:p w14:paraId="509E06C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Personalized cellular vaccine</w:t>
            </w:r>
          </w:p>
        </w:tc>
        <w:tc>
          <w:tcPr>
            <w:tcW w:w="1152" w:type="dxa"/>
            <w:tcBorders>
              <w:top w:val="nil"/>
              <w:left w:val="nil"/>
              <w:bottom w:val="nil"/>
              <w:right w:val="nil"/>
            </w:tcBorders>
            <w:shd w:val="clear" w:color="auto" w:fill="auto"/>
            <w:noWrap/>
            <w:vAlign w:val="center"/>
            <w:hideMark/>
          </w:tcPr>
          <w:p w14:paraId="5976A4C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Guangdong 999 Brain Hospital</w:t>
            </w:r>
          </w:p>
        </w:tc>
        <w:tc>
          <w:tcPr>
            <w:tcW w:w="1006" w:type="dxa"/>
            <w:tcBorders>
              <w:top w:val="nil"/>
              <w:left w:val="nil"/>
              <w:bottom w:val="nil"/>
              <w:right w:val="nil"/>
            </w:tcBorders>
            <w:shd w:val="clear" w:color="auto" w:fill="auto"/>
            <w:noWrap/>
            <w:vAlign w:val="center"/>
            <w:hideMark/>
          </w:tcPr>
          <w:p w14:paraId="379C781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8B869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5B0FDE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01/03/2016</w:t>
            </w:r>
          </w:p>
        </w:tc>
        <w:tc>
          <w:tcPr>
            <w:tcW w:w="766" w:type="dxa"/>
            <w:tcBorders>
              <w:top w:val="nil"/>
              <w:left w:val="nil"/>
              <w:bottom w:val="nil"/>
              <w:right w:val="nil"/>
            </w:tcBorders>
            <w:shd w:val="clear" w:color="auto" w:fill="auto"/>
            <w:noWrap/>
            <w:vAlign w:val="center"/>
            <w:hideMark/>
          </w:tcPr>
          <w:p w14:paraId="120913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9D82AF6" w14:textId="77777777" w:rsidTr="00AB1828">
        <w:trPr>
          <w:trHeight w:val="360"/>
        </w:trPr>
        <w:tc>
          <w:tcPr>
            <w:tcW w:w="861" w:type="dxa"/>
            <w:tcBorders>
              <w:top w:val="nil"/>
              <w:left w:val="nil"/>
              <w:bottom w:val="nil"/>
              <w:right w:val="nil"/>
            </w:tcBorders>
            <w:shd w:val="clear" w:color="auto" w:fill="auto"/>
            <w:noWrap/>
            <w:vAlign w:val="center"/>
            <w:hideMark/>
          </w:tcPr>
          <w:p w14:paraId="139D879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NCT02528682</w:t>
            </w:r>
          </w:p>
        </w:tc>
        <w:tc>
          <w:tcPr>
            <w:tcW w:w="1354" w:type="dxa"/>
            <w:tcBorders>
              <w:top w:val="nil"/>
              <w:left w:val="nil"/>
              <w:bottom w:val="nil"/>
              <w:right w:val="nil"/>
            </w:tcBorders>
            <w:shd w:val="clear" w:color="auto" w:fill="auto"/>
            <w:noWrap/>
            <w:vAlign w:val="center"/>
            <w:hideMark/>
          </w:tcPr>
          <w:p w14:paraId="1D679E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MiHA-loaded PD-L-silenced DC Vaccination After Allogeneic SCT</w:t>
            </w:r>
          </w:p>
        </w:tc>
        <w:tc>
          <w:tcPr>
            <w:tcW w:w="1483" w:type="dxa"/>
            <w:tcBorders>
              <w:top w:val="nil"/>
              <w:left w:val="nil"/>
              <w:bottom w:val="nil"/>
              <w:right w:val="nil"/>
            </w:tcBorders>
            <w:shd w:val="clear" w:color="auto" w:fill="auto"/>
            <w:noWrap/>
            <w:vAlign w:val="center"/>
            <w:hideMark/>
          </w:tcPr>
          <w:p w14:paraId="2B498F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400990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Allogeneic stem cell transplantation (allo-SCT) is a potent treatment, and sometimes the only curative treatment for aggressive hematological malignancies. The therapeutic efficacy is attributed to the graft-versus-tumor (GVT) </w:t>
            </w:r>
            <w:r w:rsidRPr="000A6EBE">
              <w:rPr>
                <w:rFonts w:ascii="Aptos Narrow" w:eastAsia="Times New Roman" w:hAnsi="Aptos Narrow"/>
                <w:color w:val="000000"/>
                <w:sz w:val="16"/>
                <w:szCs w:val="16"/>
                <w:lang w:val="en-HK" w:eastAsia="zh-CN"/>
              </w:rPr>
              <w:lastRenderedPageBreak/>
              <w:t xml:space="preserve">response, during which donor-derived CD8+ T cells become activated by recipient minor histocompatibility antigens (MiHA) presented on dendritic cells (DC). Consequently, these alloreactive donor T cells clonally expand, acquire effector functions and kill MiHA-positive malignant cells. However, in a substantial number of patients persistence and recurrence of malignant disease is observed, indicating that insufficient GVT immunity is induced. This is reflected by our observation that not all patients develop a productive CD8+ T cell response towards MiHA mismatched between the recipient and donor. We found that the PD-1/PD-L1 co-inhibitory pathway is involved in </w:t>
            </w:r>
            <w:r w:rsidRPr="000A6EBE">
              <w:rPr>
                <w:rFonts w:ascii="Aptos Narrow" w:eastAsia="Times New Roman" w:hAnsi="Aptos Narrow"/>
                <w:color w:val="000000"/>
                <w:sz w:val="16"/>
                <w:szCs w:val="16"/>
                <w:lang w:val="en-HK" w:eastAsia="zh-CN"/>
              </w:rPr>
              <w:lastRenderedPageBreak/>
              <w:t xml:space="preserve">dampening MiHA-specific CD8+ T cell expansion and function post-transplantation. Therefore, a promising strategy to induce or boost GVT immune responses is pre-emptive or therapeutic vaccination with ex vivo-generated donor DCs loaded with MiHA that are exclusively expressed by recipient hematopoietic cells and their malignant counterparts. In contrast to pre-emptive donor lymphocyte infusion (DLI) with polyclonal donor T cells, this MiHA-DC vaccination approach has less risk of inducing graft-versus-host disease (GVHD) and the potency to induce more efficient GVT-associated T cell immunity. In addition, the potency of this DC vaccine will be further enhanced by interference with </w:t>
            </w:r>
            <w:r w:rsidRPr="000A6EBE">
              <w:rPr>
                <w:rFonts w:ascii="Aptos Narrow" w:eastAsia="Times New Roman" w:hAnsi="Aptos Narrow"/>
                <w:color w:val="000000"/>
                <w:sz w:val="16"/>
                <w:szCs w:val="16"/>
                <w:lang w:val="en-HK" w:eastAsia="zh-CN"/>
              </w:rPr>
              <w:lastRenderedPageBreak/>
              <w:t>the PD-1/PD-L1 co-inhibitory pathway, using siRNA mediated PD-L1/PD-L2 silencing.</w:t>
            </w:r>
          </w:p>
        </w:tc>
        <w:tc>
          <w:tcPr>
            <w:tcW w:w="279" w:type="dxa"/>
            <w:tcBorders>
              <w:top w:val="nil"/>
              <w:left w:val="nil"/>
              <w:bottom w:val="nil"/>
              <w:right w:val="nil"/>
            </w:tcBorders>
            <w:shd w:val="clear" w:color="auto" w:fill="auto"/>
            <w:noWrap/>
            <w:vAlign w:val="center"/>
            <w:hideMark/>
          </w:tcPr>
          <w:p w14:paraId="4A09FA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BE0AD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Hematological Malignancies</w:t>
            </w:r>
          </w:p>
        </w:tc>
        <w:tc>
          <w:tcPr>
            <w:tcW w:w="1574" w:type="dxa"/>
            <w:tcBorders>
              <w:top w:val="nil"/>
              <w:left w:val="nil"/>
              <w:bottom w:val="nil"/>
              <w:right w:val="nil"/>
            </w:tcBorders>
            <w:shd w:val="clear" w:color="auto" w:fill="auto"/>
            <w:noWrap/>
            <w:vAlign w:val="center"/>
            <w:hideMark/>
          </w:tcPr>
          <w:p w14:paraId="756E195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MiHA-loaded PD-L-silenced DC Vaccination</w:t>
            </w:r>
          </w:p>
        </w:tc>
        <w:tc>
          <w:tcPr>
            <w:tcW w:w="1152" w:type="dxa"/>
            <w:tcBorders>
              <w:top w:val="nil"/>
              <w:left w:val="nil"/>
              <w:bottom w:val="nil"/>
              <w:right w:val="nil"/>
            </w:tcBorders>
            <w:shd w:val="clear" w:color="auto" w:fill="auto"/>
            <w:noWrap/>
            <w:vAlign w:val="center"/>
            <w:hideMark/>
          </w:tcPr>
          <w:p w14:paraId="1BCEFD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6EECF5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13A0706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D041E7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01/01/2016</w:t>
            </w:r>
          </w:p>
        </w:tc>
        <w:tc>
          <w:tcPr>
            <w:tcW w:w="766" w:type="dxa"/>
            <w:tcBorders>
              <w:top w:val="nil"/>
              <w:left w:val="nil"/>
              <w:bottom w:val="nil"/>
              <w:right w:val="nil"/>
            </w:tcBorders>
            <w:shd w:val="clear" w:color="auto" w:fill="auto"/>
            <w:noWrap/>
            <w:vAlign w:val="center"/>
            <w:hideMark/>
          </w:tcPr>
          <w:p w14:paraId="7211A44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4AC9661" w14:textId="77777777" w:rsidTr="00AB1828">
        <w:trPr>
          <w:trHeight w:val="360"/>
        </w:trPr>
        <w:tc>
          <w:tcPr>
            <w:tcW w:w="861" w:type="dxa"/>
            <w:tcBorders>
              <w:top w:val="nil"/>
              <w:left w:val="nil"/>
              <w:bottom w:val="nil"/>
              <w:right w:val="nil"/>
            </w:tcBorders>
            <w:shd w:val="clear" w:color="auto" w:fill="auto"/>
            <w:noWrap/>
            <w:vAlign w:val="center"/>
            <w:hideMark/>
          </w:tcPr>
          <w:p w14:paraId="64F4D9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NCT02529072</w:t>
            </w:r>
          </w:p>
        </w:tc>
        <w:tc>
          <w:tcPr>
            <w:tcW w:w="1354" w:type="dxa"/>
            <w:tcBorders>
              <w:top w:val="nil"/>
              <w:left w:val="nil"/>
              <w:bottom w:val="nil"/>
              <w:right w:val="nil"/>
            </w:tcBorders>
            <w:shd w:val="clear" w:color="auto" w:fill="auto"/>
            <w:noWrap/>
            <w:vAlign w:val="center"/>
            <w:hideMark/>
          </w:tcPr>
          <w:p w14:paraId="2057AD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Nivolumab With DC Vaccines for Recurrent Brain Tumors</w:t>
            </w:r>
          </w:p>
        </w:tc>
        <w:tc>
          <w:tcPr>
            <w:tcW w:w="1483" w:type="dxa"/>
            <w:tcBorders>
              <w:top w:val="nil"/>
              <w:left w:val="nil"/>
              <w:bottom w:val="nil"/>
              <w:right w:val="nil"/>
            </w:tcBorders>
            <w:shd w:val="clear" w:color="auto" w:fill="auto"/>
            <w:noWrap/>
            <w:vAlign w:val="center"/>
            <w:hideMark/>
          </w:tcPr>
          <w:p w14:paraId="5EBA723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31BB8CE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Patients will be randomized to one of two treatment arms - Group I and Group II. Group I will receive nivolumab monotherapy until surgical resection, and Group II will receive nivolumab alone and with DC vaccine therapy until surgical resection. During surgical resection blood and tumor samples will be assessed and compared. Following surgery, both groups will continue to receive DC vaccines (total of 8) and nivolumab therapy until confirmed progression.</w:t>
            </w:r>
          </w:p>
        </w:tc>
        <w:tc>
          <w:tcPr>
            <w:tcW w:w="279" w:type="dxa"/>
            <w:tcBorders>
              <w:top w:val="nil"/>
              <w:left w:val="nil"/>
              <w:bottom w:val="nil"/>
              <w:right w:val="nil"/>
            </w:tcBorders>
            <w:shd w:val="clear" w:color="auto" w:fill="auto"/>
            <w:noWrap/>
            <w:vAlign w:val="center"/>
            <w:hideMark/>
          </w:tcPr>
          <w:p w14:paraId="03186D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YES</w:t>
            </w:r>
          </w:p>
        </w:tc>
        <w:tc>
          <w:tcPr>
            <w:tcW w:w="2048" w:type="dxa"/>
            <w:tcBorders>
              <w:top w:val="nil"/>
              <w:left w:val="nil"/>
              <w:bottom w:val="nil"/>
              <w:right w:val="nil"/>
            </w:tcBorders>
            <w:shd w:val="clear" w:color="auto" w:fill="auto"/>
            <w:noWrap/>
            <w:vAlign w:val="center"/>
            <w:hideMark/>
          </w:tcPr>
          <w:p w14:paraId="5B3658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Glioma|Astrocytoma|Glioblastoma</w:t>
            </w:r>
          </w:p>
        </w:tc>
        <w:tc>
          <w:tcPr>
            <w:tcW w:w="1574" w:type="dxa"/>
            <w:tcBorders>
              <w:top w:val="nil"/>
              <w:left w:val="nil"/>
              <w:bottom w:val="nil"/>
              <w:right w:val="nil"/>
            </w:tcBorders>
            <w:shd w:val="clear" w:color="auto" w:fill="auto"/>
            <w:noWrap/>
            <w:vAlign w:val="center"/>
            <w:hideMark/>
          </w:tcPr>
          <w:p w14:paraId="4EE1ADD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nivolumab|BIOLOGICAL: DC</w:t>
            </w:r>
          </w:p>
        </w:tc>
        <w:tc>
          <w:tcPr>
            <w:tcW w:w="1152" w:type="dxa"/>
            <w:tcBorders>
              <w:top w:val="nil"/>
              <w:left w:val="nil"/>
              <w:bottom w:val="nil"/>
              <w:right w:val="nil"/>
            </w:tcBorders>
            <w:shd w:val="clear" w:color="auto" w:fill="auto"/>
            <w:noWrap/>
            <w:vAlign w:val="center"/>
            <w:hideMark/>
          </w:tcPr>
          <w:p w14:paraId="42D7B6E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Gary Archer Ph.D.</w:t>
            </w:r>
          </w:p>
        </w:tc>
        <w:tc>
          <w:tcPr>
            <w:tcW w:w="1006" w:type="dxa"/>
            <w:tcBorders>
              <w:top w:val="nil"/>
              <w:left w:val="nil"/>
              <w:bottom w:val="nil"/>
              <w:right w:val="nil"/>
            </w:tcBorders>
            <w:shd w:val="clear" w:color="auto" w:fill="auto"/>
            <w:noWrap/>
            <w:vAlign w:val="center"/>
            <w:hideMark/>
          </w:tcPr>
          <w:p w14:paraId="689077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947994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ACFAA4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01/01/2016</w:t>
            </w:r>
          </w:p>
        </w:tc>
        <w:tc>
          <w:tcPr>
            <w:tcW w:w="766" w:type="dxa"/>
            <w:tcBorders>
              <w:top w:val="nil"/>
              <w:left w:val="nil"/>
              <w:bottom w:val="nil"/>
              <w:right w:val="nil"/>
            </w:tcBorders>
            <w:shd w:val="clear" w:color="auto" w:fill="auto"/>
            <w:noWrap/>
            <w:vAlign w:val="center"/>
            <w:hideMark/>
          </w:tcPr>
          <w:p w14:paraId="2BC376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BA4171B" w14:textId="77777777" w:rsidTr="00AB1828">
        <w:trPr>
          <w:trHeight w:val="360"/>
        </w:trPr>
        <w:tc>
          <w:tcPr>
            <w:tcW w:w="861" w:type="dxa"/>
            <w:tcBorders>
              <w:top w:val="nil"/>
              <w:left w:val="nil"/>
              <w:bottom w:val="nil"/>
              <w:right w:val="nil"/>
            </w:tcBorders>
            <w:shd w:val="clear" w:color="auto" w:fill="auto"/>
            <w:noWrap/>
            <w:vAlign w:val="center"/>
            <w:hideMark/>
          </w:tcPr>
          <w:p w14:paraId="6C11BE4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NCT02649582</w:t>
            </w:r>
          </w:p>
        </w:tc>
        <w:tc>
          <w:tcPr>
            <w:tcW w:w="1354" w:type="dxa"/>
            <w:tcBorders>
              <w:top w:val="nil"/>
              <w:left w:val="nil"/>
              <w:bottom w:val="nil"/>
              <w:right w:val="nil"/>
            </w:tcBorders>
            <w:shd w:val="clear" w:color="auto" w:fill="auto"/>
            <w:noWrap/>
            <w:vAlign w:val="center"/>
            <w:hideMark/>
          </w:tcPr>
          <w:p w14:paraId="7FBEC9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Adjuvant Dendritic Cell-immunotherapy Plus Temozolomide in Glioblastoma Patients</w:t>
            </w:r>
          </w:p>
        </w:tc>
        <w:tc>
          <w:tcPr>
            <w:tcW w:w="1483" w:type="dxa"/>
            <w:tcBorders>
              <w:top w:val="nil"/>
              <w:left w:val="nil"/>
              <w:bottom w:val="nil"/>
              <w:right w:val="nil"/>
            </w:tcBorders>
            <w:shd w:val="clear" w:color="auto" w:fill="auto"/>
            <w:noWrap/>
            <w:vAlign w:val="center"/>
            <w:hideMark/>
          </w:tcPr>
          <w:p w14:paraId="55561C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RECRUITING</w:t>
            </w:r>
          </w:p>
        </w:tc>
        <w:tc>
          <w:tcPr>
            <w:tcW w:w="1689" w:type="dxa"/>
            <w:tcBorders>
              <w:top w:val="nil"/>
              <w:left w:val="nil"/>
              <w:bottom w:val="nil"/>
              <w:right w:val="nil"/>
            </w:tcBorders>
            <w:shd w:val="clear" w:color="auto" w:fill="auto"/>
            <w:noWrap/>
            <w:vAlign w:val="center"/>
            <w:hideMark/>
          </w:tcPr>
          <w:p w14:paraId="638EA2B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In this phase I/II trial, the primary objective is to determine overall and progression-free survival of patients with newly diagnosed </w:t>
            </w:r>
            <w:r w:rsidRPr="000A6EBE">
              <w:rPr>
                <w:rFonts w:ascii="Aptos Narrow" w:eastAsia="Times New Roman" w:hAnsi="Aptos Narrow"/>
                <w:color w:val="000000"/>
                <w:sz w:val="16"/>
                <w:szCs w:val="16"/>
                <w:lang w:val="en-HK" w:eastAsia="zh-CN"/>
              </w:rPr>
              <w:lastRenderedPageBreak/>
              <w:t>glioblastoma when autologous Wilms' tumor 1 (WT1) messenger (m)RNA-loaded dendritic cell (DC) vaccination is added to adjuvant temozolomide maintenance treatment following (sub)total resection and temozolomide-based chemoradiation.</w:t>
            </w:r>
          </w:p>
        </w:tc>
        <w:tc>
          <w:tcPr>
            <w:tcW w:w="279" w:type="dxa"/>
            <w:tcBorders>
              <w:top w:val="nil"/>
              <w:left w:val="nil"/>
              <w:bottom w:val="nil"/>
              <w:right w:val="nil"/>
            </w:tcBorders>
            <w:shd w:val="clear" w:color="auto" w:fill="auto"/>
            <w:noWrap/>
            <w:vAlign w:val="center"/>
            <w:hideMark/>
          </w:tcPr>
          <w:p w14:paraId="720574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651CA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 Multiforme of Brain</w:t>
            </w:r>
          </w:p>
        </w:tc>
        <w:tc>
          <w:tcPr>
            <w:tcW w:w="1574" w:type="dxa"/>
            <w:tcBorders>
              <w:top w:val="nil"/>
              <w:left w:val="nil"/>
              <w:bottom w:val="nil"/>
              <w:right w:val="nil"/>
            </w:tcBorders>
            <w:shd w:val="clear" w:color="auto" w:fill="auto"/>
            <w:noWrap/>
            <w:vAlign w:val="center"/>
            <w:hideMark/>
          </w:tcPr>
          <w:p w14:paraId="1AC7FA8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 vaccine plus temozolomide chemotherapy</w:t>
            </w:r>
          </w:p>
        </w:tc>
        <w:tc>
          <w:tcPr>
            <w:tcW w:w="1152" w:type="dxa"/>
            <w:tcBorders>
              <w:top w:val="nil"/>
              <w:left w:val="nil"/>
              <w:bottom w:val="nil"/>
              <w:right w:val="nil"/>
            </w:tcBorders>
            <w:shd w:val="clear" w:color="auto" w:fill="auto"/>
            <w:noWrap/>
            <w:vAlign w:val="center"/>
            <w:hideMark/>
          </w:tcPr>
          <w:p w14:paraId="04E3A0C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Antwerp</w:t>
            </w:r>
          </w:p>
        </w:tc>
        <w:tc>
          <w:tcPr>
            <w:tcW w:w="1006" w:type="dxa"/>
            <w:tcBorders>
              <w:top w:val="nil"/>
              <w:left w:val="nil"/>
              <w:bottom w:val="nil"/>
              <w:right w:val="nil"/>
            </w:tcBorders>
            <w:shd w:val="clear" w:color="auto" w:fill="auto"/>
            <w:noWrap/>
            <w:vAlign w:val="center"/>
            <w:hideMark/>
          </w:tcPr>
          <w:p w14:paraId="2B9BDC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1576E9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DD7951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01/12/2015</w:t>
            </w:r>
          </w:p>
        </w:tc>
        <w:tc>
          <w:tcPr>
            <w:tcW w:w="766" w:type="dxa"/>
            <w:tcBorders>
              <w:top w:val="nil"/>
              <w:left w:val="nil"/>
              <w:bottom w:val="nil"/>
              <w:right w:val="nil"/>
            </w:tcBorders>
            <w:shd w:val="clear" w:color="auto" w:fill="auto"/>
            <w:noWrap/>
            <w:vAlign w:val="center"/>
            <w:hideMark/>
          </w:tcPr>
          <w:p w14:paraId="227EF5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6EC0A043" w14:textId="77777777" w:rsidTr="00AB1828">
        <w:trPr>
          <w:trHeight w:val="360"/>
        </w:trPr>
        <w:tc>
          <w:tcPr>
            <w:tcW w:w="861" w:type="dxa"/>
            <w:tcBorders>
              <w:top w:val="nil"/>
              <w:left w:val="nil"/>
              <w:bottom w:val="nil"/>
              <w:right w:val="nil"/>
            </w:tcBorders>
            <w:shd w:val="clear" w:color="auto" w:fill="auto"/>
            <w:noWrap/>
            <w:vAlign w:val="center"/>
            <w:hideMark/>
          </w:tcPr>
          <w:p w14:paraId="611773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NCT02366728</w:t>
            </w:r>
          </w:p>
        </w:tc>
        <w:tc>
          <w:tcPr>
            <w:tcW w:w="1354" w:type="dxa"/>
            <w:tcBorders>
              <w:top w:val="nil"/>
              <w:left w:val="nil"/>
              <w:bottom w:val="nil"/>
              <w:right w:val="nil"/>
            </w:tcBorders>
            <w:shd w:val="clear" w:color="auto" w:fill="auto"/>
            <w:noWrap/>
            <w:vAlign w:val="center"/>
            <w:hideMark/>
          </w:tcPr>
          <w:p w14:paraId="5BB7BA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DC Migration Study for Newly-Diagnosed GBM</w:t>
            </w:r>
          </w:p>
        </w:tc>
        <w:tc>
          <w:tcPr>
            <w:tcW w:w="1483" w:type="dxa"/>
            <w:tcBorders>
              <w:top w:val="nil"/>
              <w:left w:val="nil"/>
              <w:bottom w:val="nil"/>
              <w:right w:val="nil"/>
            </w:tcBorders>
            <w:shd w:val="clear" w:color="auto" w:fill="auto"/>
            <w:noWrap/>
            <w:vAlign w:val="center"/>
            <w:hideMark/>
          </w:tcPr>
          <w:p w14:paraId="327378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12EABC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randomized phase II study will assess the impact of pre-conditioning on migration and survival among newly diagnosed glioblastoma (GBM) patients who have undergone definitive resection and completed standard temozolomide (TMZ) and radiation treatment, as well as the impact of tetanus pre-conditioning and basiliximab together on survival. After completing standard of care radiotherapy with </w:t>
            </w:r>
            <w:r w:rsidRPr="000A6EBE">
              <w:rPr>
                <w:rFonts w:ascii="Aptos Narrow" w:eastAsia="Times New Roman" w:hAnsi="Aptos Narrow"/>
                <w:color w:val="000000"/>
                <w:sz w:val="16"/>
                <w:szCs w:val="16"/>
                <w:lang w:val="en-HK" w:eastAsia="zh-CN"/>
              </w:rPr>
              <w:lastRenderedPageBreak/>
              <w:t xml:space="preserve">concurrent TMZ, patients will be randomized to 1 of 3 treatment arms: 1). receive cytomegalovirus (CMV)-specific dendritic cell (DC) vaccines with unpulsed (not loaded) DC pre-conditioning prior to the 4th vaccine; 2). receive CMV-specific DC vaccines with Tetanus-Diphtheria Toxoid (Td) pre-conditioning prior to the 4th vaccine; 3). receive basiliximab infusions prior to the 1st and 2nd DC vaccines along with Td pre-conditioning prior to the 4th vaccine. A permuted block randomization algorithm using a 1:1:1 allocation ratio will be used to assign patients to a treatment arm. Randomization will be stratified by CMV status (positive, negative), with the assignment to </w:t>
            </w:r>
            <w:r w:rsidRPr="000A6EBE">
              <w:rPr>
                <w:rFonts w:ascii="Aptos Narrow" w:eastAsia="Times New Roman" w:hAnsi="Aptos Narrow"/>
                <w:color w:val="000000"/>
                <w:sz w:val="16"/>
                <w:szCs w:val="16"/>
                <w:lang w:val="en-HK" w:eastAsia="zh-CN"/>
              </w:rPr>
              <w:lastRenderedPageBreak/>
              <w:t>arms I and II being double-blinded. Effective March 2017, randomization to Group III has been terminated.</w:t>
            </w:r>
          </w:p>
        </w:tc>
        <w:tc>
          <w:tcPr>
            <w:tcW w:w="279" w:type="dxa"/>
            <w:tcBorders>
              <w:top w:val="nil"/>
              <w:left w:val="nil"/>
              <w:bottom w:val="nil"/>
              <w:right w:val="nil"/>
            </w:tcBorders>
            <w:shd w:val="clear" w:color="auto" w:fill="auto"/>
            <w:noWrap/>
            <w:vAlign w:val="center"/>
            <w:hideMark/>
          </w:tcPr>
          <w:p w14:paraId="5246BC2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YES</w:t>
            </w:r>
          </w:p>
        </w:tc>
        <w:tc>
          <w:tcPr>
            <w:tcW w:w="2048" w:type="dxa"/>
            <w:tcBorders>
              <w:top w:val="nil"/>
              <w:left w:val="nil"/>
              <w:bottom w:val="nil"/>
              <w:right w:val="nil"/>
            </w:tcBorders>
            <w:shd w:val="clear" w:color="auto" w:fill="auto"/>
            <w:noWrap/>
            <w:vAlign w:val="center"/>
            <w:hideMark/>
          </w:tcPr>
          <w:p w14:paraId="7EADDA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Glioblastoma|Astrocytoma, Grade IV|Giant Cell Glioblastoma|Glioblastoma Multiforme</w:t>
            </w:r>
          </w:p>
        </w:tc>
        <w:tc>
          <w:tcPr>
            <w:tcW w:w="1574" w:type="dxa"/>
            <w:tcBorders>
              <w:top w:val="nil"/>
              <w:left w:val="nil"/>
              <w:bottom w:val="nil"/>
              <w:right w:val="nil"/>
            </w:tcBorders>
            <w:shd w:val="clear" w:color="auto" w:fill="auto"/>
            <w:noWrap/>
            <w:vAlign w:val="center"/>
            <w:hideMark/>
          </w:tcPr>
          <w:p w14:paraId="6EB367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Unpulsed DCs|BIOLOGICAL: Td|BIOLOGICAL: Human CMV pp65-LAMP mRNA-pulsed autologous DCs|BIOLOGICAL: 111In-labeled DCs|DRUG: Temozolomide|DRUG: Saline|DRUG: Basiliximab</w:t>
            </w:r>
          </w:p>
        </w:tc>
        <w:tc>
          <w:tcPr>
            <w:tcW w:w="1152" w:type="dxa"/>
            <w:tcBorders>
              <w:top w:val="nil"/>
              <w:left w:val="nil"/>
              <w:bottom w:val="nil"/>
              <w:right w:val="nil"/>
            </w:tcBorders>
            <w:shd w:val="clear" w:color="auto" w:fill="auto"/>
            <w:noWrap/>
            <w:vAlign w:val="center"/>
            <w:hideMark/>
          </w:tcPr>
          <w:p w14:paraId="7388DC4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Mustafa Khasraw, MBChB, MD, FRCP, FRACP</w:t>
            </w:r>
          </w:p>
        </w:tc>
        <w:tc>
          <w:tcPr>
            <w:tcW w:w="1006" w:type="dxa"/>
            <w:tcBorders>
              <w:top w:val="nil"/>
              <w:left w:val="nil"/>
              <w:bottom w:val="nil"/>
              <w:right w:val="nil"/>
            </w:tcBorders>
            <w:shd w:val="clear" w:color="auto" w:fill="auto"/>
            <w:noWrap/>
            <w:vAlign w:val="center"/>
            <w:hideMark/>
          </w:tcPr>
          <w:p w14:paraId="647717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47C24B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3E4F73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12/10/2015</w:t>
            </w:r>
          </w:p>
        </w:tc>
        <w:tc>
          <w:tcPr>
            <w:tcW w:w="766" w:type="dxa"/>
            <w:tcBorders>
              <w:top w:val="nil"/>
              <w:left w:val="nil"/>
              <w:bottom w:val="nil"/>
              <w:right w:val="nil"/>
            </w:tcBorders>
            <w:shd w:val="clear" w:color="auto" w:fill="auto"/>
            <w:noWrap/>
            <w:vAlign w:val="center"/>
            <w:hideMark/>
          </w:tcPr>
          <w:p w14:paraId="01ECA69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D9ACE62" w14:textId="77777777" w:rsidTr="00AB1828">
        <w:trPr>
          <w:trHeight w:val="360"/>
        </w:trPr>
        <w:tc>
          <w:tcPr>
            <w:tcW w:w="861" w:type="dxa"/>
            <w:tcBorders>
              <w:top w:val="nil"/>
              <w:left w:val="nil"/>
              <w:bottom w:val="nil"/>
              <w:right w:val="nil"/>
            </w:tcBorders>
            <w:shd w:val="clear" w:color="auto" w:fill="auto"/>
            <w:noWrap/>
            <w:vAlign w:val="center"/>
            <w:hideMark/>
          </w:tcPr>
          <w:p w14:paraId="6ED1124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NCT02692976</w:t>
            </w:r>
          </w:p>
        </w:tc>
        <w:tc>
          <w:tcPr>
            <w:tcW w:w="1354" w:type="dxa"/>
            <w:tcBorders>
              <w:top w:val="nil"/>
              <w:left w:val="nil"/>
              <w:bottom w:val="nil"/>
              <w:right w:val="nil"/>
            </w:tcBorders>
            <w:shd w:val="clear" w:color="auto" w:fill="auto"/>
            <w:noWrap/>
            <w:vAlign w:val="center"/>
            <w:hideMark/>
          </w:tcPr>
          <w:p w14:paraId="65B6A91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Natural Dendritic Cells for Immunotherapy of Chemo-naive Metastatic Castration-resistant Prostate Cancer Patients</w:t>
            </w:r>
          </w:p>
        </w:tc>
        <w:tc>
          <w:tcPr>
            <w:tcW w:w="1483" w:type="dxa"/>
            <w:tcBorders>
              <w:top w:val="nil"/>
              <w:left w:val="nil"/>
              <w:bottom w:val="nil"/>
              <w:right w:val="nil"/>
            </w:tcBorders>
            <w:shd w:val="clear" w:color="auto" w:fill="auto"/>
            <w:noWrap/>
            <w:vAlign w:val="center"/>
            <w:hideMark/>
          </w:tcPr>
          <w:p w14:paraId="2B8106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0FEF02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 is the only type of cancer in which conventional dendritic cells (DC) treatment has a beneficial effect on the overall survival. In this study investigators aim to show immunologic efficacy of tumor-peptide loaded natural DC in metastatic castration-resistant prostate cancer patients (mCRPC).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immunomonitoring will include: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1. functional response and tetramer analysis of delayed-type hypersensitivity infiltrating lymphocytes against tumor peptides and</w:t>
            </w:r>
            <w:r w:rsidRPr="000A6EBE">
              <w:rPr>
                <w:rFonts w:ascii="Aptos Narrow" w:eastAsia="Times New Roman" w:hAnsi="Aptos Narrow"/>
                <w:color w:val="000000"/>
                <w:sz w:val="16"/>
                <w:szCs w:val="16"/>
                <w:lang w:val="en-HK" w:eastAsia="zh-CN"/>
              </w:rPr>
              <w:br/>
              <w:t xml:space="preserve">2. type I interferon (IFN) gene expression in peripheral blood </w:t>
            </w:r>
            <w:r w:rsidRPr="000A6EBE">
              <w:rPr>
                <w:rFonts w:ascii="Aptos Narrow" w:eastAsia="Times New Roman" w:hAnsi="Aptos Narrow"/>
                <w:color w:val="000000"/>
                <w:sz w:val="16"/>
                <w:szCs w:val="16"/>
                <w:lang w:val="en-HK" w:eastAsia="zh-CN"/>
              </w:rPr>
              <w:lastRenderedPageBreak/>
              <w:t>mononuclear cells, and</w:t>
            </w:r>
            <w:r w:rsidRPr="000A6EBE">
              <w:rPr>
                <w:rFonts w:ascii="Aptos Narrow" w:eastAsia="Times New Roman" w:hAnsi="Aptos Narrow"/>
                <w:color w:val="000000"/>
                <w:sz w:val="16"/>
                <w:szCs w:val="16"/>
                <w:lang w:val="en-HK" w:eastAsia="zh-CN"/>
              </w:rPr>
              <w:br/>
              <w:t>3. proliferative, effector cytokine- and humoral responses to keyhole limpet hemocyanin, a immunogenic protein providing T cell help.</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secondary objectives are the safety and feasibility of natural DC vaccinations, the influence on the quality of life during treatment with natural DC, and the clinical efficacy of treatment.</w:t>
            </w:r>
          </w:p>
        </w:tc>
        <w:tc>
          <w:tcPr>
            <w:tcW w:w="279" w:type="dxa"/>
            <w:tcBorders>
              <w:top w:val="nil"/>
              <w:left w:val="nil"/>
              <w:bottom w:val="nil"/>
              <w:right w:val="nil"/>
            </w:tcBorders>
            <w:shd w:val="clear" w:color="auto" w:fill="auto"/>
            <w:noWrap/>
            <w:vAlign w:val="center"/>
            <w:hideMark/>
          </w:tcPr>
          <w:p w14:paraId="5F4FFBC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A7A547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Prostatic Neoplasms|Immunotherapy|Dendritic Cells|Vaccines</w:t>
            </w:r>
          </w:p>
        </w:tc>
        <w:tc>
          <w:tcPr>
            <w:tcW w:w="1574" w:type="dxa"/>
            <w:tcBorders>
              <w:top w:val="nil"/>
              <w:left w:val="nil"/>
              <w:bottom w:val="nil"/>
              <w:right w:val="nil"/>
            </w:tcBorders>
            <w:shd w:val="clear" w:color="auto" w:fill="auto"/>
            <w:noWrap/>
            <w:vAlign w:val="center"/>
            <w:hideMark/>
          </w:tcPr>
          <w:p w14:paraId="620801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mDC vaccination|BIOLOGICAL: pDC vaccination|BIOLOGICAL: mDC and pDC vaccination</w:t>
            </w:r>
          </w:p>
        </w:tc>
        <w:tc>
          <w:tcPr>
            <w:tcW w:w="1152" w:type="dxa"/>
            <w:tcBorders>
              <w:top w:val="nil"/>
              <w:left w:val="nil"/>
              <w:bottom w:val="nil"/>
              <w:right w:val="nil"/>
            </w:tcBorders>
            <w:shd w:val="clear" w:color="auto" w:fill="auto"/>
            <w:noWrap/>
            <w:vAlign w:val="center"/>
            <w:hideMark/>
          </w:tcPr>
          <w:p w14:paraId="682B67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641D16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4B04195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74E249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01/09/2015</w:t>
            </w:r>
          </w:p>
        </w:tc>
        <w:tc>
          <w:tcPr>
            <w:tcW w:w="766" w:type="dxa"/>
            <w:tcBorders>
              <w:top w:val="nil"/>
              <w:left w:val="nil"/>
              <w:bottom w:val="nil"/>
              <w:right w:val="nil"/>
            </w:tcBorders>
            <w:shd w:val="clear" w:color="auto" w:fill="auto"/>
            <w:noWrap/>
            <w:vAlign w:val="center"/>
            <w:hideMark/>
          </w:tcPr>
          <w:p w14:paraId="0BDF39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12F69797" w14:textId="77777777" w:rsidTr="00AB1828">
        <w:trPr>
          <w:trHeight w:val="360"/>
        </w:trPr>
        <w:tc>
          <w:tcPr>
            <w:tcW w:w="861" w:type="dxa"/>
            <w:tcBorders>
              <w:top w:val="nil"/>
              <w:left w:val="nil"/>
              <w:bottom w:val="nil"/>
              <w:right w:val="nil"/>
            </w:tcBorders>
            <w:shd w:val="clear" w:color="auto" w:fill="auto"/>
            <w:noWrap/>
            <w:vAlign w:val="center"/>
            <w:hideMark/>
          </w:tcPr>
          <w:p w14:paraId="06EC321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NCT02438007</w:t>
            </w:r>
          </w:p>
        </w:tc>
        <w:tc>
          <w:tcPr>
            <w:tcW w:w="1354" w:type="dxa"/>
            <w:tcBorders>
              <w:top w:val="nil"/>
              <w:left w:val="nil"/>
              <w:bottom w:val="nil"/>
              <w:right w:val="nil"/>
            </w:tcBorders>
            <w:shd w:val="clear" w:color="auto" w:fill="auto"/>
            <w:noWrap/>
            <w:vAlign w:val="center"/>
            <w:hideMark/>
          </w:tcPr>
          <w:p w14:paraId="2E4B31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Galeterone Compared to Enzalutamide In Men Expressing Androgen Receptor Splice Variant-7 mRNA (AR-V7) Metastatic CRPC</w:t>
            </w:r>
          </w:p>
        </w:tc>
        <w:tc>
          <w:tcPr>
            <w:tcW w:w="1483" w:type="dxa"/>
            <w:tcBorders>
              <w:top w:val="nil"/>
              <w:left w:val="nil"/>
              <w:bottom w:val="nil"/>
              <w:right w:val="nil"/>
            </w:tcBorders>
            <w:shd w:val="clear" w:color="auto" w:fill="auto"/>
            <w:noWrap/>
            <w:vAlign w:val="center"/>
            <w:hideMark/>
          </w:tcPr>
          <w:p w14:paraId="15C8A9C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4E24D6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compare galeterone to enzalutamide in men expressing androgen receptor spice variant-7 mRNA (AR-V7) in metastatic (M1) castrate resistant prostate cancer (CRPC).</w:t>
            </w:r>
          </w:p>
        </w:tc>
        <w:tc>
          <w:tcPr>
            <w:tcW w:w="279" w:type="dxa"/>
            <w:tcBorders>
              <w:top w:val="nil"/>
              <w:left w:val="nil"/>
              <w:bottom w:val="nil"/>
              <w:right w:val="nil"/>
            </w:tcBorders>
            <w:shd w:val="clear" w:color="auto" w:fill="auto"/>
            <w:noWrap/>
            <w:vAlign w:val="center"/>
            <w:hideMark/>
          </w:tcPr>
          <w:p w14:paraId="7637B6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2692E3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w:t>
            </w:r>
          </w:p>
        </w:tc>
        <w:tc>
          <w:tcPr>
            <w:tcW w:w="1574" w:type="dxa"/>
            <w:tcBorders>
              <w:top w:val="nil"/>
              <w:left w:val="nil"/>
              <w:bottom w:val="nil"/>
              <w:right w:val="nil"/>
            </w:tcBorders>
            <w:shd w:val="clear" w:color="auto" w:fill="auto"/>
            <w:noWrap/>
            <w:vAlign w:val="center"/>
            <w:hideMark/>
          </w:tcPr>
          <w:p w14:paraId="281F0C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Galeterone|DRUG: Enzalutamide</w:t>
            </w:r>
          </w:p>
        </w:tc>
        <w:tc>
          <w:tcPr>
            <w:tcW w:w="1152" w:type="dxa"/>
            <w:tcBorders>
              <w:top w:val="nil"/>
              <w:left w:val="nil"/>
              <w:bottom w:val="nil"/>
              <w:right w:val="nil"/>
            </w:tcBorders>
            <w:shd w:val="clear" w:color="auto" w:fill="auto"/>
            <w:noWrap/>
            <w:vAlign w:val="center"/>
            <w:hideMark/>
          </w:tcPr>
          <w:p w14:paraId="4A3F161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LTN PHARMACEUTICALS, INC.</w:t>
            </w:r>
          </w:p>
        </w:tc>
        <w:tc>
          <w:tcPr>
            <w:tcW w:w="1006" w:type="dxa"/>
            <w:tcBorders>
              <w:top w:val="nil"/>
              <w:left w:val="nil"/>
              <w:bottom w:val="nil"/>
              <w:right w:val="nil"/>
            </w:tcBorders>
            <w:shd w:val="clear" w:color="auto" w:fill="auto"/>
            <w:noWrap/>
            <w:vAlign w:val="center"/>
            <w:hideMark/>
          </w:tcPr>
          <w:p w14:paraId="713E78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PHASE3</w:t>
            </w:r>
          </w:p>
        </w:tc>
        <w:tc>
          <w:tcPr>
            <w:tcW w:w="1006" w:type="dxa"/>
            <w:tcBorders>
              <w:top w:val="nil"/>
              <w:left w:val="nil"/>
              <w:bottom w:val="nil"/>
              <w:right w:val="nil"/>
            </w:tcBorders>
            <w:shd w:val="clear" w:color="auto" w:fill="auto"/>
            <w:noWrap/>
            <w:vAlign w:val="center"/>
            <w:hideMark/>
          </w:tcPr>
          <w:p w14:paraId="04A91B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68E31F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01/06/2015</w:t>
            </w:r>
          </w:p>
        </w:tc>
        <w:tc>
          <w:tcPr>
            <w:tcW w:w="766" w:type="dxa"/>
            <w:tcBorders>
              <w:top w:val="nil"/>
              <w:left w:val="nil"/>
              <w:bottom w:val="nil"/>
              <w:right w:val="nil"/>
            </w:tcBorders>
            <w:shd w:val="clear" w:color="auto" w:fill="auto"/>
            <w:noWrap/>
            <w:vAlign w:val="center"/>
            <w:hideMark/>
          </w:tcPr>
          <w:p w14:paraId="782087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11D6062" w14:textId="77777777" w:rsidTr="00AB1828">
        <w:trPr>
          <w:trHeight w:val="360"/>
        </w:trPr>
        <w:tc>
          <w:tcPr>
            <w:tcW w:w="861" w:type="dxa"/>
            <w:tcBorders>
              <w:top w:val="nil"/>
              <w:left w:val="nil"/>
              <w:bottom w:val="nil"/>
              <w:right w:val="nil"/>
            </w:tcBorders>
            <w:shd w:val="clear" w:color="auto" w:fill="auto"/>
            <w:noWrap/>
            <w:vAlign w:val="center"/>
            <w:hideMark/>
          </w:tcPr>
          <w:p w14:paraId="19223F5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NCT03357991</w:t>
            </w:r>
          </w:p>
        </w:tc>
        <w:tc>
          <w:tcPr>
            <w:tcW w:w="1354" w:type="dxa"/>
            <w:tcBorders>
              <w:top w:val="nil"/>
              <w:left w:val="nil"/>
              <w:bottom w:val="nil"/>
              <w:right w:val="nil"/>
            </w:tcBorders>
            <w:shd w:val="clear" w:color="auto" w:fill="auto"/>
            <w:noWrap/>
            <w:vAlign w:val="center"/>
            <w:hideMark/>
          </w:tcPr>
          <w:p w14:paraId="51E5C5E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E6/E7 mRNA Performance to Detect HSIL and Cost-effectiveness Analysis of This Screening </w:t>
            </w:r>
            <w:r w:rsidRPr="000A6EBE">
              <w:rPr>
                <w:rFonts w:ascii="Aptos Narrow" w:eastAsia="Times New Roman" w:hAnsi="Aptos Narrow"/>
                <w:color w:val="000000"/>
                <w:sz w:val="16"/>
                <w:szCs w:val="16"/>
                <w:lang w:val="en-HK" w:eastAsia="zh-CN"/>
              </w:rPr>
              <w:lastRenderedPageBreak/>
              <w:t>Strategy in HIV + MSM</w:t>
            </w:r>
          </w:p>
        </w:tc>
        <w:tc>
          <w:tcPr>
            <w:tcW w:w="1483" w:type="dxa"/>
            <w:tcBorders>
              <w:top w:val="nil"/>
              <w:left w:val="nil"/>
              <w:bottom w:val="nil"/>
              <w:right w:val="nil"/>
            </w:tcBorders>
            <w:shd w:val="clear" w:color="auto" w:fill="auto"/>
            <w:noWrap/>
            <w:vAlign w:val="center"/>
            <w:hideMark/>
          </w:tcPr>
          <w:p w14:paraId="76E4FC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UNKNOWN</w:t>
            </w:r>
          </w:p>
        </w:tc>
        <w:tc>
          <w:tcPr>
            <w:tcW w:w="1689" w:type="dxa"/>
            <w:tcBorders>
              <w:top w:val="nil"/>
              <w:left w:val="nil"/>
              <w:bottom w:val="nil"/>
              <w:right w:val="nil"/>
            </w:tcBorders>
            <w:shd w:val="clear" w:color="auto" w:fill="auto"/>
            <w:noWrap/>
            <w:vAlign w:val="center"/>
            <w:hideMark/>
          </w:tcPr>
          <w:p w14:paraId="49AC9BA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study evaluates the positive and negative predictive value of E6/E7 mRNA expression for </w:t>
            </w:r>
            <w:r w:rsidRPr="000A6EBE">
              <w:rPr>
                <w:rFonts w:ascii="Aptos Narrow" w:eastAsia="Times New Roman" w:hAnsi="Aptos Narrow"/>
                <w:color w:val="000000"/>
                <w:sz w:val="16"/>
                <w:szCs w:val="16"/>
                <w:lang w:val="en-HK" w:eastAsia="zh-CN"/>
              </w:rPr>
              <w:lastRenderedPageBreak/>
              <w:t>anal HSIL and its capacity to predict incident HSIL in HIV + MSM. We also analyse the cost-effectiveness of this new screening strategy. It is an ambispective study with 355 participants and a follow-up period of 2 to 5 years.</w:t>
            </w:r>
          </w:p>
        </w:tc>
        <w:tc>
          <w:tcPr>
            <w:tcW w:w="279" w:type="dxa"/>
            <w:tcBorders>
              <w:top w:val="nil"/>
              <w:left w:val="nil"/>
              <w:bottom w:val="nil"/>
              <w:right w:val="nil"/>
            </w:tcBorders>
            <w:shd w:val="clear" w:color="auto" w:fill="auto"/>
            <w:noWrap/>
            <w:vAlign w:val="center"/>
            <w:hideMark/>
          </w:tcPr>
          <w:p w14:paraId="7DDC2F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3622" w:type="dxa"/>
            <w:gridSpan w:val="2"/>
            <w:tcBorders>
              <w:top w:val="nil"/>
              <w:left w:val="nil"/>
              <w:bottom w:val="nil"/>
              <w:right w:val="nil"/>
            </w:tcBorders>
            <w:shd w:val="clear" w:color="auto" w:fill="auto"/>
            <w:noWrap/>
            <w:vAlign w:val="center"/>
            <w:hideMark/>
          </w:tcPr>
          <w:p w14:paraId="030BE0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HPV - Anogenital Human Papilloma Virus Infection|HSIL, High Grade Squamous Intraepithelial Lesions|Anal Cancer|Hiv</w:t>
            </w:r>
          </w:p>
        </w:tc>
        <w:tc>
          <w:tcPr>
            <w:tcW w:w="2158" w:type="dxa"/>
            <w:gridSpan w:val="2"/>
            <w:tcBorders>
              <w:top w:val="nil"/>
              <w:left w:val="nil"/>
              <w:bottom w:val="nil"/>
              <w:right w:val="nil"/>
            </w:tcBorders>
            <w:shd w:val="clear" w:color="auto" w:fill="auto"/>
            <w:noWrap/>
            <w:vAlign w:val="center"/>
            <w:hideMark/>
          </w:tcPr>
          <w:p w14:paraId="79AD2C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Hospital Universitari de Bellvitge</w:t>
            </w:r>
          </w:p>
        </w:tc>
        <w:tc>
          <w:tcPr>
            <w:tcW w:w="1006" w:type="dxa"/>
            <w:tcBorders>
              <w:top w:val="nil"/>
              <w:left w:val="nil"/>
              <w:bottom w:val="nil"/>
              <w:right w:val="nil"/>
            </w:tcBorders>
            <w:shd w:val="clear" w:color="auto" w:fill="auto"/>
            <w:noWrap/>
            <w:vAlign w:val="center"/>
            <w:hideMark/>
          </w:tcPr>
          <w:p w14:paraId="039238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1B7DF33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11/01/2015</w:t>
            </w:r>
          </w:p>
        </w:tc>
        <w:tc>
          <w:tcPr>
            <w:tcW w:w="766" w:type="dxa"/>
            <w:tcBorders>
              <w:top w:val="nil"/>
              <w:left w:val="nil"/>
              <w:bottom w:val="nil"/>
              <w:right w:val="nil"/>
            </w:tcBorders>
            <w:shd w:val="clear" w:color="auto" w:fill="auto"/>
            <w:noWrap/>
            <w:vAlign w:val="center"/>
            <w:hideMark/>
          </w:tcPr>
          <w:p w14:paraId="49E855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F921DEA" w14:textId="77777777" w:rsidTr="00AB1828">
        <w:trPr>
          <w:trHeight w:val="360"/>
        </w:trPr>
        <w:tc>
          <w:tcPr>
            <w:tcW w:w="861" w:type="dxa"/>
            <w:tcBorders>
              <w:top w:val="nil"/>
              <w:left w:val="nil"/>
              <w:bottom w:val="nil"/>
              <w:right w:val="nil"/>
            </w:tcBorders>
            <w:shd w:val="clear" w:color="auto" w:fill="auto"/>
            <w:noWrap/>
            <w:vAlign w:val="center"/>
            <w:hideMark/>
          </w:tcPr>
          <w:p w14:paraId="0F0781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NCT02294578</w:t>
            </w:r>
          </w:p>
        </w:tc>
        <w:tc>
          <w:tcPr>
            <w:tcW w:w="1354" w:type="dxa"/>
            <w:tcBorders>
              <w:top w:val="nil"/>
              <w:left w:val="nil"/>
              <w:bottom w:val="nil"/>
              <w:right w:val="nil"/>
            </w:tcBorders>
            <w:shd w:val="clear" w:color="auto" w:fill="auto"/>
            <w:noWrap/>
            <w:vAlign w:val="center"/>
            <w:hideMark/>
          </w:tcPr>
          <w:p w14:paraId="2E055C1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Salivary Biomarkers for Non-small Cell Lung Cancer Detection</w:t>
            </w:r>
          </w:p>
        </w:tc>
        <w:tc>
          <w:tcPr>
            <w:tcW w:w="1483" w:type="dxa"/>
            <w:tcBorders>
              <w:top w:val="nil"/>
              <w:left w:val="nil"/>
              <w:bottom w:val="nil"/>
              <w:right w:val="nil"/>
            </w:tcBorders>
            <w:shd w:val="clear" w:color="auto" w:fill="auto"/>
            <w:noWrap/>
            <w:vAlign w:val="center"/>
            <w:hideMark/>
          </w:tcPr>
          <w:p w14:paraId="1EAB1E0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noWrap/>
            <w:vAlign w:val="center"/>
            <w:hideMark/>
          </w:tcPr>
          <w:p w14:paraId="25AB981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investigators plan to recruit patients for a prospective study in patients in need of evaluation for lung lesions suspicious for cancer. Saliva samples will be collected before diagnostic evaluation including biopsy with subsequent blinded examination of the salivary markers without knowledge of the disease status. This prospective recruitment with retrospective blinded evaluation or PRoBE design satisfies the highest standards recommended by </w:t>
            </w:r>
            <w:r w:rsidRPr="000A6EBE">
              <w:rPr>
                <w:rFonts w:ascii="Aptos Narrow" w:eastAsia="Times New Roman" w:hAnsi="Aptos Narrow"/>
                <w:color w:val="000000"/>
                <w:sz w:val="16"/>
                <w:szCs w:val="16"/>
                <w:lang w:val="en-HK" w:eastAsia="zh-CN"/>
              </w:rPr>
              <w:lastRenderedPageBreak/>
              <w:t>the National Cancer Institute for biomarker development. This process limits the selection bias that can confound retrospective studies. As the primary endpoint, a pre-specified multi-marker panel will be evaluated based on the combination of sensitivity and specificity. In addition, seven pre-specified individual candidate mRNA cancer markers and six internal reference or "housekeeping" genes will be evaluated. The performance of new multi-marker panels will also be assessed and compared with the prior pre-specified model based on sensitivity and specificity combinations as well as the area under the receiver operating characteristic curve.</w:t>
            </w:r>
          </w:p>
        </w:tc>
        <w:tc>
          <w:tcPr>
            <w:tcW w:w="279" w:type="dxa"/>
            <w:tcBorders>
              <w:top w:val="nil"/>
              <w:left w:val="nil"/>
              <w:bottom w:val="nil"/>
              <w:right w:val="nil"/>
            </w:tcBorders>
            <w:shd w:val="clear" w:color="auto" w:fill="auto"/>
            <w:noWrap/>
            <w:vAlign w:val="center"/>
            <w:hideMark/>
          </w:tcPr>
          <w:p w14:paraId="42F637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3622" w:type="dxa"/>
            <w:gridSpan w:val="2"/>
            <w:tcBorders>
              <w:top w:val="nil"/>
              <w:left w:val="nil"/>
              <w:bottom w:val="nil"/>
              <w:right w:val="nil"/>
            </w:tcBorders>
            <w:shd w:val="clear" w:color="auto" w:fill="auto"/>
            <w:noWrap/>
            <w:vAlign w:val="center"/>
            <w:hideMark/>
          </w:tcPr>
          <w:p w14:paraId="7ABDA8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Lung Cancer</w:t>
            </w:r>
          </w:p>
        </w:tc>
        <w:tc>
          <w:tcPr>
            <w:tcW w:w="1152" w:type="dxa"/>
            <w:tcBorders>
              <w:top w:val="nil"/>
              <w:left w:val="nil"/>
              <w:bottom w:val="nil"/>
              <w:right w:val="nil"/>
            </w:tcBorders>
            <w:shd w:val="clear" w:color="auto" w:fill="auto"/>
            <w:noWrap/>
            <w:vAlign w:val="center"/>
            <w:hideMark/>
          </w:tcPr>
          <w:p w14:paraId="58E81BF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PeriRx</w:t>
            </w:r>
          </w:p>
        </w:tc>
        <w:tc>
          <w:tcPr>
            <w:tcW w:w="1006" w:type="dxa"/>
            <w:tcBorders>
              <w:top w:val="nil"/>
              <w:left w:val="nil"/>
              <w:bottom w:val="nil"/>
              <w:right w:val="nil"/>
            </w:tcBorders>
            <w:shd w:val="clear" w:color="auto" w:fill="auto"/>
            <w:noWrap/>
            <w:vAlign w:val="center"/>
            <w:hideMark/>
          </w:tcPr>
          <w:p w14:paraId="5B86614C" w14:textId="77777777" w:rsidR="000A6EBE" w:rsidRPr="000A6EBE" w:rsidRDefault="000A6EBE" w:rsidP="000A6EBE">
            <w:pPr>
              <w:rPr>
                <w:rFonts w:ascii="Aptos Narrow" w:eastAsia="Times New Roman" w:hAnsi="Aptos Narrow"/>
                <w:color w:val="000000"/>
                <w:sz w:val="16"/>
                <w:szCs w:val="16"/>
                <w:lang w:val="en-HK" w:eastAsia="zh-CN"/>
              </w:rPr>
            </w:pPr>
          </w:p>
        </w:tc>
        <w:tc>
          <w:tcPr>
            <w:tcW w:w="1006" w:type="dxa"/>
            <w:tcBorders>
              <w:top w:val="nil"/>
              <w:left w:val="nil"/>
              <w:bottom w:val="nil"/>
              <w:right w:val="nil"/>
            </w:tcBorders>
            <w:shd w:val="clear" w:color="auto" w:fill="auto"/>
            <w:noWrap/>
            <w:vAlign w:val="center"/>
            <w:hideMark/>
          </w:tcPr>
          <w:p w14:paraId="4D4F76C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7C8C85C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01/12/2014</w:t>
            </w:r>
          </w:p>
        </w:tc>
        <w:tc>
          <w:tcPr>
            <w:tcW w:w="766" w:type="dxa"/>
            <w:tcBorders>
              <w:top w:val="nil"/>
              <w:left w:val="nil"/>
              <w:bottom w:val="nil"/>
              <w:right w:val="nil"/>
            </w:tcBorders>
            <w:shd w:val="clear" w:color="auto" w:fill="auto"/>
            <w:noWrap/>
            <w:vAlign w:val="center"/>
            <w:hideMark/>
          </w:tcPr>
          <w:p w14:paraId="35F553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782CFA2A" w14:textId="77777777" w:rsidTr="00AB1828">
        <w:trPr>
          <w:trHeight w:val="360"/>
        </w:trPr>
        <w:tc>
          <w:tcPr>
            <w:tcW w:w="861" w:type="dxa"/>
            <w:tcBorders>
              <w:top w:val="nil"/>
              <w:left w:val="nil"/>
              <w:bottom w:val="nil"/>
              <w:right w:val="nil"/>
            </w:tcBorders>
            <w:shd w:val="clear" w:color="auto" w:fill="auto"/>
            <w:noWrap/>
            <w:vAlign w:val="center"/>
            <w:hideMark/>
          </w:tcPr>
          <w:p w14:paraId="439252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NCT02423590</w:t>
            </w:r>
          </w:p>
        </w:tc>
        <w:tc>
          <w:tcPr>
            <w:tcW w:w="1354" w:type="dxa"/>
            <w:tcBorders>
              <w:top w:val="nil"/>
              <w:left w:val="nil"/>
              <w:bottom w:val="nil"/>
              <w:right w:val="nil"/>
            </w:tcBorders>
            <w:shd w:val="clear" w:color="auto" w:fill="auto"/>
            <w:noWrap/>
            <w:vAlign w:val="center"/>
            <w:hideMark/>
          </w:tcPr>
          <w:p w14:paraId="5F73F70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Study of Gemcitabine/Carboplatin First-line Chemotherapy +/- Apatorsen in Advanced Squamous Cell Lung Cancers</w:t>
            </w:r>
          </w:p>
        </w:tc>
        <w:tc>
          <w:tcPr>
            <w:tcW w:w="1483" w:type="dxa"/>
            <w:tcBorders>
              <w:top w:val="nil"/>
              <w:left w:val="nil"/>
              <w:bottom w:val="nil"/>
              <w:right w:val="nil"/>
            </w:tcBorders>
            <w:shd w:val="clear" w:color="auto" w:fill="auto"/>
            <w:noWrap/>
            <w:vAlign w:val="center"/>
            <w:hideMark/>
          </w:tcPr>
          <w:p w14:paraId="7ED9A5E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7EBE9C9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study is being carried out to see if a new drug called Apatorsen in combination with standard gemcitabine/carboplatin chemotherapy is effective in treating squamous cell lung cancer.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This study is part of a research project for collecting information about the effectiveness and safety of Apatorsen when used with gemcitabine/carboplatin chemotherapy. The main purpose of this study is to see if Apatorsen, when combined with gemcitabine/carboplatin, is an effective treatment for squamous cell lung cancer.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Recent research has found that a protein called Hsp27 can help cancer cells protect themselves against the </w:t>
            </w:r>
            <w:r w:rsidRPr="000A6EBE">
              <w:rPr>
                <w:rFonts w:ascii="Aptos Narrow" w:eastAsia="Times New Roman" w:hAnsi="Aptos Narrow"/>
                <w:color w:val="000000"/>
                <w:sz w:val="16"/>
                <w:szCs w:val="16"/>
                <w:lang w:val="en-HK" w:eastAsia="zh-CN"/>
              </w:rPr>
              <w:lastRenderedPageBreak/>
              <w:t>effects of cancer treatments. Hsp27 is only found in some lung cancers but when it is present, cancer drugs might not work as well as they would without Hsp27 being present. Blocking the action of Hsp27 or removing Hsp27 from cancer cells with Apatorsen may slow down or stop the cancer growing. This study will therefore look at the relationship between the Hsp27 levels in tumour and blood and the effect of the treatment.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development of Apatorsen is intended to provide a new treatment option for patients with cancer. Apatorsen may also make the cancer more sensitive to gemcitabine and carboplatin and so make this chemotherapy treatment more effective.</w:t>
            </w:r>
          </w:p>
        </w:tc>
        <w:tc>
          <w:tcPr>
            <w:tcW w:w="279" w:type="dxa"/>
            <w:tcBorders>
              <w:top w:val="nil"/>
              <w:left w:val="nil"/>
              <w:bottom w:val="nil"/>
              <w:right w:val="nil"/>
            </w:tcBorders>
            <w:shd w:val="clear" w:color="auto" w:fill="auto"/>
            <w:noWrap/>
            <w:vAlign w:val="center"/>
            <w:hideMark/>
          </w:tcPr>
          <w:p w14:paraId="718AD2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5C3237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Squamous Cell Lung Cancer</w:t>
            </w:r>
          </w:p>
        </w:tc>
        <w:tc>
          <w:tcPr>
            <w:tcW w:w="1574" w:type="dxa"/>
            <w:tcBorders>
              <w:top w:val="nil"/>
              <w:left w:val="nil"/>
              <w:bottom w:val="nil"/>
              <w:right w:val="nil"/>
            </w:tcBorders>
            <w:shd w:val="clear" w:color="auto" w:fill="auto"/>
            <w:noWrap/>
            <w:vAlign w:val="center"/>
            <w:hideMark/>
          </w:tcPr>
          <w:p w14:paraId="5A34ED8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Apatorsen (OGX-427)|DRUG: Gemcitabine|DRUG: Carboplatin</w:t>
            </w:r>
          </w:p>
        </w:tc>
        <w:tc>
          <w:tcPr>
            <w:tcW w:w="1152" w:type="dxa"/>
            <w:tcBorders>
              <w:top w:val="nil"/>
              <w:left w:val="nil"/>
              <w:bottom w:val="nil"/>
              <w:right w:val="nil"/>
            </w:tcBorders>
            <w:shd w:val="clear" w:color="auto" w:fill="auto"/>
            <w:noWrap/>
            <w:vAlign w:val="center"/>
            <w:hideMark/>
          </w:tcPr>
          <w:p w14:paraId="3B89A8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Queen Mary University of London</w:t>
            </w:r>
          </w:p>
        </w:tc>
        <w:tc>
          <w:tcPr>
            <w:tcW w:w="1006" w:type="dxa"/>
            <w:tcBorders>
              <w:top w:val="nil"/>
              <w:left w:val="nil"/>
              <w:bottom w:val="nil"/>
              <w:right w:val="nil"/>
            </w:tcBorders>
            <w:shd w:val="clear" w:color="auto" w:fill="auto"/>
            <w:noWrap/>
            <w:vAlign w:val="center"/>
            <w:hideMark/>
          </w:tcPr>
          <w:p w14:paraId="2B10B53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3B04227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8AA3CB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01/06/2014</w:t>
            </w:r>
          </w:p>
        </w:tc>
        <w:tc>
          <w:tcPr>
            <w:tcW w:w="766" w:type="dxa"/>
            <w:tcBorders>
              <w:top w:val="nil"/>
              <w:left w:val="nil"/>
              <w:bottom w:val="nil"/>
              <w:right w:val="nil"/>
            </w:tcBorders>
            <w:shd w:val="clear" w:color="auto" w:fill="auto"/>
            <w:noWrap/>
            <w:vAlign w:val="center"/>
            <w:hideMark/>
          </w:tcPr>
          <w:p w14:paraId="25E909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CCA0786" w14:textId="77777777" w:rsidTr="00AB1828">
        <w:trPr>
          <w:trHeight w:val="360"/>
        </w:trPr>
        <w:tc>
          <w:tcPr>
            <w:tcW w:w="861" w:type="dxa"/>
            <w:tcBorders>
              <w:top w:val="nil"/>
              <w:left w:val="nil"/>
              <w:bottom w:val="nil"/>
              <w:right w:val="nil"/>
            </w:tcBorders>
            <w:shd w:val="clear" w:color="auto" w:fill="auto"/>
            <w:noWrap/>
            <w:vAlign w:val="center"/>
            <w:hideMark/>
          </w:tcPr>
          <w:p w14:paraId="7086200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NCT02140138</w:t>
            </w:r>
          </w:p>
        </w:tc>
        <w:tc>
          <w:tcPr>
            <w:tcW w:w="1354" w:type="dxa"/>
            <w:tcBorders>
              <w:top w:val="nil"/>
              <w:left w:val="nil"/>
              <w:bottom w:val="nil"/>
              <w:right w:val="nil"/>
            </w:tcBorders>
            <w:shd w:val="clear" w:color="auto" w:fill="auto"/>
            <w:noWrap/>
            <w:vAlign w:val="center"/>
            <w:hideMark/>
          </w:tcPr>
          <w:p w14:paraId="6486C53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An Open Label Randomised Trial of RNActive</w:t>
            </w:r>
            <w:r w:rsidRPr="000A6EBE">
              <w:rPr>
                <w:rFonts w:ascii="Microsoft JhengHei" w:eastAsia="Microsoft JhengHei" w:hAnsi="Microsoft JhengHei" w:cs="Microsoft JhengHei"/>
                <w:color w:val="000000"/>
                <w:sz w:val="16"/>
                <w:szCs w:val="16"/>
                <w:lang w:val="en-HK" w:eastAsia="zh-CN"/>
              </w:rPr>
              <w:t>庐</w:t>
            </w:r>
            <w:r w:rsidRPr="000A6EBE">
              <w:rPr>
                <w:rFonts w:ascii="Aptos Narrow" w:eastAsia="Times New Roman" w:hAnsi="Aptos Narrow"/>
                <w:color w:val="000000"/>
                <w:sz w:val="16"/>
                <w:szCs w:val="16"/>
                <w:lang w:val="en-HK" w:eastAsia="zh-CN"/>
              </w:rPr>
              <w:t xml:space="preserve"> Cancer Vaccine in High Risk and Intermediate Risk Patients With Prostate Cancer</w:t>
            </w:r>
          </w:p>
        </w:tc>
        <w:tc>
          <w:tcPr>
            <w:tcW w:w="1483" w:type="dxa"/>
            <w:tcBorders>
              <w:top w:val="nil"/>
              <w:left w:val="nil"/>
              <w:bottom w:val="nil"/>
              <w:right w:val="nil"/>
            </w:tcBorders>
            <w:shd w:val="clear" w:color="auto" w:fill="auto"/>
            <w:noWrap/>
            <w:vAlign w:val="center"/>
            <w:hideMark/>
          </w:tcPr>
          <w:p w14:paraId="2148BCC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7E7DEF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evaluate the induction of immune responses against CV9104 administered by conventional intradermal injection or with a needle-free intradermal injection device and to assess the safety and tolerability of CV9104 administered by conventional intradermal injection versus injection with a needle-free intradermal injection device versus no injection.</w:t>
            </w:r>
          </w:p>
        </w:tc>
        <w:tc>
          <w:tcPr>
            <w:tcW w:w="279" w:type="dxa"/>
            <w:tcBorders>
              <w:top w:val="nil"/>
              <w:left w:val="nil"/>
              <w:bottom w:val="nil"/>
              <w:right w:val="nil"/>
            </w:tcBorders>
            <w:shd w:val="clear" w:color="auto" w:fill="auto"/>
            <w:noWrap/>
            <w:vAlign w:val="center"/>
            <w:hideMark/>
          </w:tcPr>
          <w:p w14:paraId="405C2AA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2ADDEDB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Carcinoma</w:t>
            </w:r>
          </w:p>
        </w:tc>
        <w:tc>
          <w:tcPr>
            <w:tcW w:w="1574" w:type="dxa"/>
            <w:tcBorders>
              <w:top w:val="nil"/>
              <w:left w:val="nil"/>
              <w:bottom w:val="nil"/>
              <w:right w:val="nil"/>
            </w:tcBorders>
            <w:shd w:val="clear" w:color="auto" w:fill="auto"/>
            <w:noWrap/>
            <w:vAlign w:val="center"/>
            <w:hideMark/>
          </w:tcPr>
          <w:p w14:paraId="1EF5482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CV9104|DEVICE: needle free injection device (Tropis</w:t>
            </w:r>
            <w:r w:rsidRPr="000A6EBE">
              <w:rPr>
                <w:rFonts w:ascii="Microsoft JhengHei" w:eastAsia="Microsoft JhengHei" w:hAnsi="Microsoft JhengHei" w:cs="Microsoft JhengHei"/>
                <w:color w:val="000000"/>
                <w:sz w:val="16"/>
                <w:szCs w:val="16"/>
                <w:lang w:val="en-HK" w:eastAsia="zh-CN"/>
              </w:rPr>
              <w:t>庐</w:t>
            </w:r>
            <w:r w:rsidRPr="000A6EBE">
              <w:rPr>
                <w:rFonts w:ascii="Aptos Narrow" w:eastAsia="Times New Roman" w:hAnsi="Aptos Narrow"/>
                <w:color w:val="000000"/>
                <w:sz w:val="16"/>
                <w:szCs w:val="16"/>
                <w:lang w:val="en-HK" w:eastAsia="zh-CN"/>
              </w:rPr>
              <w:t>)</w:t>
            </w:r>
          </w:p>
        </w:tc>
        <w:tc>
          <w:tcPr>
            <w:tcW w:w="1152" w:type="dxa"/>
            <w:tcBorders>
              <w:top w:val="nil"/>
              <w:left w:val="nil"/>
              <w:bottom w:val="nil"/>
              <w:right w:val="nil"/>
            </w:tcBorders>
            <w:shd w:val="clear" w:color="auto" w:fill="auto"/>
            <w:noWrap/>
            <w:vAlign w:val="center"/>
            <w:hideMark/>
          </w:tcPr>
          <w:p w14:paraId="42DE66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CureVac</w:t>
            </w:r>
          </w:p>
        </w:tc>
        <w:tc>
          <w:tcPr>
            <w:tcW w:w="1006" w:type="dxa"/>
            <w:tcBorders>
              <w:top w:val="nil"/>
              <w:left w:val="nil"/>
              <w:bottom w:val="nil"/>
              <w:right w:val="nil"/>
            </w:tcBorders>
            <w:shd w:val="clear" w:color="auto" w:fill="auto"/>
            <w:noWrap/>
            <w:vAlign w:val="center"/>
            <w:hideMark/>
          </w:tcPr>
          <w:p w14:paraId="690C1E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10E9598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31D299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01/06/2014</w:t>
            </w:r>
          </w:p>
        </w:tc>
        <w:tc>
          <w:tcPr>
            <w:tcW w:w="766" w:type="dxa"/>
            <w:tcBorders>
              <w:top w:val="nil"/>
              <w:left w:val="nil"/>
              <w:bottom w:val="nil"/>
              <w:right w:val="nil"/>
            </w:tcBorders>
            <w:shd w:val="clear" w:color="auto" w:fill="auto"/>
            <w:noWrap/>
            <w:vAlign w:val="center"/>
            <w:hideMark/>
          </w:tcPr>
          <w:p w14:paraId="70D2A9D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625FF6C" w14:textId="77777777" w:rsidTr="00AB1828">
        <w:trPr>
          <w:trHeight w:val="360"/>
        </w:trPr>
        <w:tc>
          <w:tcPr>
            <w:tcW w:w="861" w:type="dxa"/>
            <w:tcBorders>
              <w:top w:val="nil"/>
              <w:left w:val="nil"/>
              <w:bottom w:val="nil"/>
              <w:right w:val="nil"/>
            </w:tcBorders>
            <w:shd w:val="clear" w:color="auto" w:fill="auto"/>
            <w:noWrap/>
            <w:vAlign w:val="center"/>
            <w:hideMark/>
          </w:tcPr>
          <w:p w14:paraId="4D8F93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NCT01995708</w:t>
            </w:r>
          </w:p>
        </w:tc>
        <w:tc>
          <w:tcPr>
            <w:tcW w:w="1354" w:type="dxa"/>
            <w:tcBorders>
              <w:top w:val="nil"/>
              <w:left w:val="nil"/>
              <w:bottom w:val="nil"/>
              <w:right w:val="nil"/>
            </w:tcBorders>
            <w:shd w:val="clear" w:color="auto" w:fill="auto"/>
            <w:noWrap/>
            <w:vAlign w:val="center"/>
            <w:hideMark/>
          </w:tcPr>
          <w:p w14:paraId="182987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CT7, MAGE-A3, and WT1 mRNA-electroporated Autologous Langerhans-type Dendritic Cells as Consolidation for Multiple Myeloma Patients Undergoing Autologous Stem Cell Transplantation</w:t>
            </w:r>
          </w:p>
        </w:tc>
        <w:tc>
          <w:tcPr>
            <w:tcW w:w="1483" w:type="dxa"/>
            <w:tcBorders>
              <w:top w:val="nil"/>
              <w:left w:val="nil"/>
              <w:bottom w:val="nil"/>
              <w:right w:val="nil"/>
            </w:tcBorders>
            <w:shd w:val="clear" w:color="auto" w:fill="auto"/>
            <w:noWrap/>
            <w:vAlign w:val="center"/>
            <w:hideMark/>
          </w:tcPr>
          <w:p w14:paraId="0C3EC0D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5E77CA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see if the investigator can help the immune system to work against myeloma.</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This study will see if a vaccine made with altered dendritic cells will make T cells work against tumor cells. The stem cells collected for the transplant will also be used to </w:t>
            </w:r>
            <w:r w:rsidRPr="000A6EBE">
              <w:rPr>
                <w:rFonts w:ascii="Aptos Narrow" w:eastAsia="Times New Roman" w:hAnsi="Aptos Narrow"/>
                <w:color w:val="000000"/>
                <w:sz w:val="16"/>
                <w:szCs w:val="16"/>
                <w:lang w:val="en-HK" w:eastAsia="zh-CN"/>
              </w:rPr>
              <w:lastRenderedPageBreak/>
              <w:t>grow dendritic cells in the lab. The dendritic cells will carry the antigens. These cells then will be injected under the skin. The investigators will do lab studies before and after the vaccination to find out if the vaccine is working.</w:t>
            </w:r>
          </w:p>
        </w:tc>
        <w:tc>
          <w:tcPr>
            <w:tcW w:w="279" w:type="dxa"/>
            <w:tcBorders>
              <w:top w:val="nil"/>
              <w:left w:val="nil"/>
              <w:bottom w:val="nil"/>
              <w:right w:val="nil"/>
            </w:tcBorders>
            <w:shd w:val="clear" w:color="auto" w:fill="auto"/>
            <w:noWrap/>
            <w:vAlign w:val="center"/>
            <w:hideMark/>
          </w:tcPr>
          <w:p w14:paraId="34A3292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YES</w:t>
            </w:r>
          </w:p>
        </w:tc>
        <w:tc>
          <w:tcPr>
            <w:tcW w:w="2048" w:type="dxa"/>
            <w:tcBorders>
              <w:top w:val="nil"/>
              <w:left w:val="nil"/>
              <w:bottom w:val="nil"/>
              <w:right w:val="nil"/>
            </w:tcBorders>
            <w:shd w:val="clear" w:color="auto" w:fill="auto"/>
            <w:noWrap/>
            <w:vAlign w:val="center"/>
            <w:hideMark/>
          </w:tcPr>
          <w:p w14:paraId="726F203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Multiple Myeloma</w:t>
            </w:r>
          </w:p>
        </w:tc>
        <w:tc>
          <w:tcPr>
            <w:tcW w:w="1574" w:type="dxa"/>
            <w:tcBorders>
              <w:top w:val="nil"/>
              <w:left w:val="nil"/>
              <w:bottom w:val="nil"/>
              <w:right w:val="nil"/>
            </w:tcBorders>
            <w:shd w:val="clear" w:color="auto" w:fill="auto"/>
            <w:noWrap/>
            <w:vAlign w:val="center"/>
            <w:hideMark/>
          </w:tcPr>
          <w:p w14:paraId="2C332C9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CT7, MAGE-A3, and WT1 mRNA-electroporated Langerhans cells ( LCs)|OTHER: Standard of care</w:t>
            </w:r>
          </w:p>
        </w:tc>
        <w:tc>
          <w:tcPr>
            <w:tcW w:w="1152" w:type="dxa"/>
            <w:tcBorders>
              <w:top w:val="nil"/>
              <w:left w:val="nil"/>
              <w:bottom w:val="nil"/>
              <w:right w:val="nil"/>
            </w:tcBorders>
            <w:shd w:val="clear" w:color="auto" w:fill="auto"/>
            <w:noWrap/>
            <w:vAlign w:val="center"/>
            <w:hideMark/>
          </w:tcPr>
          <w:p w14:paraId="4242F55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Memorial Sloan Kettering Cancer Center</w:t>
            </w:r>
          </w:p>
        </w:tc>
        <w:tc>
          <w:tcPr>
            <w:tcW w:w="1006" w:type="dxa"/>
            <w:tcBorders>
              <w:top w:val="nil"/>
              <w:left w:val="nil"/>
              <w:bottom w:val="nil"/>
              <w:right w:val="nil"/>
            </w:tcBorders>
            <w:shd w:val="clear" w:color="auto" w:fill="auto"/>
            <w:noWrap/>
            <w:vAlign w:val="center"/>
            <w:hideMark/>
          </w:tcPr>
          <w:p w14:paraId="1DCA41C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734A33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0B413C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31/01/2014</w:t>
            </w:r>
          </w:p>
        </w:tc>
        <w:tc>
          <w:tcPr>
            <w:tcW w:w="766" w:type="dxa"/>
            <w:tcBorders>
              <w:top w:val="nil"/>
              <w:left w:val="nil"/>
              <w:bottom w:val="nil"/>
              <w:right w:val="nil"/>
            </w:tcBorders>
            <w:shd w:val="clear" w:color="auto" w:fill="auto"/>
            <w:noWrap/>
            <w:vAlign w:val="center"/>
            <w:hideMark/>
          </w:tcPr>
          <w:p w14:paraId="176699C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17A0993" w14:textId="77777777" w:rsidTr="00AB1828">
        <w:trPr>
          <w:trHeight w:val="360"/>
        </w:trPr>
        <w:tc>
          <w:tcPr>
            <w:tcW w:w="861" w:type="dxa"/>
            <w:tcBorders>
              <w:top w:val="nil"/>
              <w:left w:val="nil"/>
              <w:bottom w:val="nil"/>
              <w:right w:val="nil"/>
            </w:tcBorders>
            <w:shd w:val="clear" w:color="auto" w:fill="auto"/>
            <w:noWrap/>
            <w:vAlign w:val="center"/>
            <w:hideMark/>
          </w:tcPr>
          <w:p w14:paraId="0AC4A3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NCT01734304</w:t>
            </w:r>
          </w:p>
        </w:tc>
        <w:tc>
          <w:tcPr>
            <w:tcW w:w="1354" w:type="dxa"/>
            <w:tcBorders>
              <w:top w:val="nil"/>
              <w:left w:val="nil"/>
              <w:bottom w:val="nil"/>
              <w:right w:val="nil"/>
            </w:tcBorders>
            <w:shd w:val="clear" w:color="auto" w:fill="auto"/>
            <w:noWrap/>
            <w:vAlign w:val="center"/>
            <w:hideMark/>
          </w:tcPr>
          <w:p w14:paraId="34D244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DC Vaccination for Postremission Therapy in AML</w:t>
            </w:r>
          </w:p>
        </w:tc>
        <w:tc>
          <w:tcPr>
            <w:tcW w:w="1483" w:type="dxa"/>
            <w:tcBorders>
              <w:top w:val="nil"/>
              <w:left w:val="nil"/>
              <w:bottom w:val="nil"/>
              <w:right w:val="nil"/>
            </w:tcBorders>
            <w:shd w:val="clear" w:color="auto" w:fill="auto"/>
            <w:noWrap/>
            <w:vAlign w:val="center"/>
            <w:hideMark/>
          </w:tcPr>
          <w:p w14:paraId="01A03D9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7B67A6E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aim of this study is to determine the feasibility and safety of an autologous DC immunotherapy in patients with AML of non-favorable risk profile.</w:t>
            </w:r>
          </w:p>
        </w:tc>
        <w:tc>
          <w:tcPr>
            <w:tcW w:w="279" w:type="dxa"/>
            <w:tcBorders>
              <w:top w:val="nil"/>
              <w:left w:val="nil"/>
              <w:bottom w:val="nil"/>
              <w:right w:val="nil"/>
            </w:tcBorders>
            <w:shd w:val="clear" w:color="auto" w:fill="auto"/>
            <w:noWrap/>
            <w:vAlign w:val="center"/>
            <w:hideMark/>
          </w:tcPr>
          <w:p w14:paraId="527B4FC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5FB052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Acute Myeloid Leukemia</w:t>
            </w:r>
          </w:p>
        </w:tc>
        <w:tc>
          <w:tcPr>
            <w:tcW w:w="1574" w:type="dxa"/>
            <w:tcBorders>
              <w:top w:val="nil"/>
              <w:left w:val="nil"/>
              <w:bottom w:val="nil"/>
              <w:right w:val="nil"/>
            </w:tcBorders>
            <w:shd w:val="clear" w:color="auto" w:fill="auto"/>
            <w:noWrap/>
            <w:vAlign w:val="center"/>
            <w:hideMark/>
          </w:tcPr>
          <w:p w14:paraId="0A5B82C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DC vaccination for postremission therapy in AML</w:t>
            </w:r>
          </w:p>
        </w:tc>
        <w:tc>
          <w:tcPr>
            <w:tcW w:w="1152" w:type="dxa"/>
            <w:tcBorders>
              <w:top w:val="nil"/>
              <w:left w:val="nil"/>
              <w:bottom w:val="nil"/>
              <w:right w:val="nil"/>
            </w:tcBorders>
            <w:shd w:val="clear" w:color="auto" w:fill="auto"/>
            <w:noWrap/>
            <w:vAlign w:val="center"/>
            <w:hideMark/>
          </w:tcPr>
          <w:p w14:paraId="73B3DA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Ludwig-Maximilians - University of Munich</w:t>
            </w:r>
          </w:p>
        </w:tc>
        <w:tc>
          <w:tcPr>
            <w:tcW w:w="1006" w:type="dxa"/>
            <w:tcBorders>
              <w:top w:val="nil"/>
              <w:left w:val="nil"/>
              <w:bottom w:val="nil"/>
              <w:right w:val="nil"/>
            </w:tcBorders>
            <w:shd w:val="clear" w:color="auto" w:fill="auto"/>
            <w:noWrap/>
            <w:vAlign w:val="center"/>
            <w:hideMark/>
          </w:tcPr>
          <w:p w14:paraId="55E3053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14B51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181173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05/11/2013</w:t>
            </w:r>
          </w:p>
        </w:tc>
        <w:tc>
          <w:tcPr>
            <w:tcW w:w="766" w:type="dxa"/>
            <w:tcBorders>
              <w:top w:val="nil"/>
              <w:left w:val="nil"/>
              <w:bottom w:val="nil"/>
              <w:right w:val="nil"/>
            </w:tcBorders>
            <w:shd w:val="clear" w:color="auto" w:fill="auto"/>
            <w:noWrap/>
            <w:vAlign w:val="center"/>
            <w:hideMark/>
          </w:tcPr>
          <w:p w14:paraId="1063D89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393CC9A" w14:textId="77777777" w:rsidTr="00AB1828">
        <w:trPr>
          <w:trHeight w:val="360"/>
        </w:trPr>
        <w:tc>
          <w:tcPr>
            <w:tcW w:w="861" w:type="dxa"/>
            <w:tcBorders>
              <w:top w:val="nil"/>
              <w:left w:val="nil"/>
              <w:bottom w:val="nil"/>
              <w:right w:val="nil"/>
            </w:tcBorders>
            <w:shd w:val="clear" w:color="auto" w:fill="auto"/>
            <w:noWrap/>
            <w:vAlign w:val="center"/>
            <w:hideMark/>
          </w:tcPr>
          <w:p w14:paraId="21CE46F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NCT01837693</w:t>
            </w:r>
          </w:p>
        </w:tc>
        <w:tc>
          <w:tcPr>
            <w:tcW w:w="1354" w:type="dxa"/>
            <w:tcBorders>
              <w:top w:val="nil"/>
              <w:left w:val="nil"/>
              <w:bottom w:val="nil"/>
              <w:right w:val="nil"/>
            </w:tcBorders>
            <w:shd w:val="clear" w:color="auto" w:fill="auto"/>
            <w:noWrap/>
            <w:vAlign w:val="center"/>
            <w:hideMark/>
          </w:tcPr>
          <w:p w14:paraId="018611A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Cervical Cancer Prevention: From DNA to mRNA? - New Technologies for Cervical Cancer Screening 2</w:t>
            </w:r>
          </w:p>
        </w:tc>
        <w:tc>
          <w:tcPr>
            <w:tcW w:w="1483" w:type="dxa"/>
            <w:tcBorders>
              <w:top w:val="nil"/>
              <w:left w:val="nil"/>
              <w:bottom w:val="nil"/>
              <w:right w:val="nil"/>
            </w:tcBorders>
            <w:shd w:val="clear" w:color="auto" w:fill="auto"/>
            <w:noWrap/>
            <w:vAlign w:val="center"/>
            <w:hideMark/>
          </w:tcPr>
          <w:p w14:paraId="0F611BC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1B7353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In industrialized countries, cervical cancer is a well controlled disease thanks to the diffusion of Pap test and, in particular, to organized screening programs, which are able to detect and treat pre-invasive lesions (cervical intraepithelial neoplasia, CIN). The human papilloma virus (HPV) has been recognised as the </w:t>
            </w:r>
            <w:r w:rsidRPr="000A6EBE">
              <w:rPr>
                <w:rFonts w:ascii="Aptos Narrow" w:eastAsia="Times New Roman" w:hAnsi="Aptos Narrow"/>
                <w:color w:val="000000"/>
                <w:sz w:val="16"/>
                <w:szCs w:val="16"/>
                <w:lang w:val="en-HK" w:eastAsia="zh-CN"/>
              </w:rPr>
              <w:lastRenderedPageBreak/>
              <w:t>necessary, but not sufficient, cause of cervical cancer, so a new screening test based on the identification of high risk (HR) HPV types has been developed(HPV DNA test). This test has demonstrated to be more effective than cytology in reducing the incidence and the mortality of cervical cancer, but it is less specific, so the use of a test triage is necessary to reduce the number of colposcopies and the risk of over-diagnosis (due to the potential regressivity of pre-invasive lesions). Until now, the triage test used is the cytology (Pap test).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Recently specific biomarkers (mRNA and p16 tests) have been introduced for high grade CIN, targeting the molecular alterations strictly </w:t>
            </w:r>
            <w:r w:rsidRPr="000A6EBE">
              <w:rPr>
                <w:rFonts w:ascii="Aptos Narrow" w:eastAsia="Times New Roman" w:hAnsi="Aptos Narrow"/>
                <w:color w:val="000000"/>
                <w:sz w:val="16"/>
                <w:szCs w:val="16"/>
                <w:lang w:val="en-HK" w:eastAsia="zh-CN"/>
              </w:rPr>
              <w:lastRenderedPageBreak/>
              <w:t>associated to transformation rather than simply detecting HR-HPV infections. These tests are more specific than HPV DNA test with a modest reduction of sensitivity for high-grade lesions.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This is a multicenter randomised trial nested into some Italian screening programs based on the use of HPV DNA test as primary test.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All women with positive HPV DNA test will be tested for cytology and also for mRNA and p16. Women with positive cytology will be referred to colposcopy, while women with negative cytology will be randomized into two arms.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This study aims to evaluate if mRNA and p16 could be used as test of triage of HPV DNA or as a primary screening test </w:t>
            </w:r>
            <w:r w:rsidRPr="000A6EBE">
              <w:rPr>
                <w:rFonts w:ascii="Aptos Narrow" w:eastAsia="Times New Roman" w:hAnsi="Aptos Narrow"/>
                <w:color w:val="000000"/>
                <w:sz w:val="16"/>
                <w:szCs w:val="16"/>
                <w:lang w:val="en-HK" w:eastAsia="zh-CN"/>
              </w:rPr>
              <w:lastRenderedPageBreak/>
              <w:t>with direct sending in colposcopy.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In particular the main objectives are: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Measuring the cumulative detection rate of CIN2+ in the five years following a HPV DNA positive test and mRNA or p16 negative.</w:t>
            </w:r>
            <w:r w:rsidRPr="000A6EBE">
              <w:rPr>
                <w:rFonts w:ascii="Aptos Narrow" w:eastAsia="Times New Roman" w:hAnsi="Aptos Narrow"/>
                <w:color w:val="000000"/>
                <w:sz w:val="16"/>
                <w:szCs w:val="16"/>
                <w:lang w:val="en-HK" w:eastAsia="zh-CN"/>
              </w:rPr>
              <w:br/>
              <w:t>* Measuring the potential reduction of overdiagnosis of using mRNA or p16 test instead of DNA, with direct sending in colposcopy</w:t>
            </w:r>
            <w:r w:rsidRPr="000A6EBE">
              <w:rPr>
                <w:rFonts w:ascii="Aptos Narrow" w:eastAsia="Times New Roman" w:hAnsi="Aptos Narrow"/>
                <w:color w:val="000000"/>
                <w:sz w:val="16"/>
                <w:szCs w:val="16"/>
                <w:lang w:val="en-HK" w:eastAsia="zh-CN"/>
              </w:rPr>
              <w:br/>
              <w:t>* Measuring the reduction of overdiagnosis of cytological triage or triage with mRNA or p16 compared to the direct sending in colposcopy in women with HPV DNA test positive.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Secondary objectives are: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to assess the feasibility of mRNA testing in primary screening</w:t>
            </w:r>
            <w:r w:rsidRPr="000A6EBE">
              <w:rPr>
                <w:rFonts w:ascii="Aptos Narrow" w:eastAsia="Times New Roman" w:hAnsi="Aptos Narrow"/>
                <w:color w:val="000000"/>
                <w:sz w:val="16"/>
                <w:szCs w:val="16"/>
                <w:lang w:val="en-HK" w:eastAsia="zh-CN"/>
              </w:rPr>
              <w:br/>
              <w:t xml:space="preserve">* to validate the sample </w:t>
            </w:r>
            <w:r w:rsidRPr="000A6EBE">
              <w:rPr>
                <w:rFonts w:ascii="Aptos Narrow" w:eastAsia="Times New Roman" w:hAnsi="Aptos Narrow"/>
                <w:color w:val="000000"/>
                <w:sz w:val="16"/>
                <w:szCs w:val="16"/>
                <w:lang w:val="en-HK" w:eastAsia="zh-CN"/>
              </w:rPr>
              <w:lastRenderedPageBreak/>
              <w:t>techniques for the new tests</w:t>
            </w:r>
            <w:r w:rsidRPr="000A6EBE">
              <w:rPr>
                <w:rFonts w:ascii="Aptos Narrow" w:eastAsia="Times New Roman" w:hAnsi="Aptos Narrow"/>
                <w:color w:val="000000"/>
                <w:sz w:val="16"/>
                <w:szCs w:val="16"/>
                <w:lang w:val="en-HK" w:eastAsia="zh-CN"/>
              </w:rPr>
              <w:br/>
              <w:t>* to standardize quality controls for the the new tests</w:t>
            </w:r>
          </w:p>
        </w:tc>
        <w:tc>
          <w:tcPr>
            <w:tcW w:w="279" w:type="dxa"/>
            <w:tcBorders>
              <w:top w:val="nil"/>
              <w:left w:val="nil"/>
              <w:bottom w:val="nil"/>
              <w:right w:val="nil"/>
            </w:tcBorders>
            <w:shd w:val="clear" w:color="auto" w:fill="auto"/>
            <w:noWrap/>
            <w:vAlign w:val="center"/>
            <w:hideMark/>
          </w:tcPr>
          <w:p w14:paraId="3254291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1B856A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Precancerous Conditions|Neoplasms</w:t>
            </w:r>
          </w:p>
        </w:tc>
        <w:tc>
          <w:tcPr>
            <w:tcW w:w="1574" w:type="dxa"/>
            <w:tcBorders>
              <w:top w:val="nil"/>
              <w:left w:val="nil"/>
              <w:bottom w:val="nil"/>
              <w:right w:val="nil"/>
            </w:tcBorders>
            <w:shd w:val="clear" w:color="auto" w:fill="auto"/>
            <w:noWrap/>
            <w:vAlign w:val="center"/>
            <w:hideMark/>
          </w:tcPr>
          <w:p w14:paraId="77E1A6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PROCEDURE: Experimental: immediate colposcopy</w:t>
            </w:r>
          </w:p>
        </w:tc>
        <w:tc>
          <w:tcPr>
            <w:tcW w:w="1152" w:type="dxa"/>
            <w:tcBorders>
              <w:top w:val="nil"/>
              <w:left w:val="nil"/>
              <w:bottom w:val="nil"/>
              <w:right w:val="nil"/>
            </w:tcBorders>
            <w:shd w:val="clear" w:color="auto" w:fill="auto"/>
            <w:noWrap/>
            <w:vAlign w:val="center"/>
            <w:hideMark/>
          </w:tcPr>
          <w:p w14:paraId="26AAB8F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Azienda Unit</w:t>
            </w:r>
            <w:r w:rsidRPr="000A6EBE">
              <w:rPr>
                <w:rFonts w:ascii="Microsoft JhengHei" w:eastAsia="Microsoft JhengHei" w:hAnsi="Microsoft JhengHei" w:cs="Microsoft JhengHei"/>
                <w:color w:val="000000"/>
                <w:sz w:val="16"/>
                <w:szCs w:val="16"/>
                <w:lang w:val="en-HK" w:eastAsia="zh-CN"/>
              </w:rPr>
              <w:t>脿</w:t>
            </w:r>
            <w:r w:rsidRPr="000A6EBE">
              <w:rPr>
                <w:rFonts w:ascii="Aptos Narrow" w:eastAsia="Times New Roman" w:hAnsi="Aptos Narrow"/>
                <w:color w:val="000000"/>
                <w:sz w:val="16"/>
                <w:szCs w:val="16"/>
                <w:lang w:val="en-HK" w:eastAsia="zh-CN"/>
              </w:rPr>
              <w:t xml:space="preserve"> Sanitaria Locale Reggio Emilia</w:t>
            </w:r>
          </w:p>
        </w:tc>
        <w:tc>
          <w:tcPr>
            <w:tcW w:w="1006" w:type="dxa"/>
            <w:tcBorders>
              <w:top w:val="nil"/>
              <w:left w:val="nil"/>
              <w:bottom w:val="nil"/>
              <w:right w:val="nil"/>
            </w:tcBorders>
            <w:shd w:val="clear" w:color="auto" w:fill="auto"/>
            <w:noWrap/>
            <w:vAlign w:val="center"/>
            <w:hideMark/>
          </w:tcPr>
          <w:p w14:paraId="7E871A4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NA</w:t>
            </w:r>
          </w:p>
        </w:tc>
        <w:tc>
          <w:tcPr>
            <w:tcW w:w="1006" w:type="dxa"/>
            <w:tcBorders>
              <w:top w:val="nil"/>
              <w:left w:val="nil"/>
              <w:bottom w:val="nil"/>
              <w:right w:val="nil"/>
            </w:tcBorders>
            <w:shd w:val="clear" w:color="auto" w:fill="auto"/>
            <w:noWrap/>
            <w:vAlign w:val="center"/>
            <w:hideMark/>
          </w:tcPr>
          <w:p w14:paraId="2007C5E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53FD3B5"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01/06/2013</w:t>
            </w:r>
          </w:p>
        </w:tc>
        <w:tc>
          <w:tcPr>
            <w:tcW w:w="766" w:type="dxa"/>
            <w:tcBorders>
              <w:top w:val="nil"/>
              <w:left w:val="nil"/>
              <w:bottom w:val="nil"/>
              <w:right w:val="nil"/>
            </w:tcBorders>
            <w:shd w:val="clear" w:color="auto" w:fill="auto"/>
            <w:noWrap/>
            <w:vAlign w:val="center"/>
            <w:hideMark/>
          </w:tcPr>
          <w:p w14:paraId="5CA9A7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69C84D1" w14:textId="77777777" w:rsidTr="00AB1828">
        <w:trPr>
          <w:trHeight w:val="360"/>
        </w:trPr>
        <w:tc>
          <w:tcPr>
            <w:tcW w:w="861" w:type="dxa"/>
            <w:tcBorders>
              <w:top w:val="nil"/>
              <w:left w:val="nil"/>
              <w:bottom w:val="nil"/>
              <w:right w:val="nil"/>
            </w:tcBorders>
            <w:shd w:val="clear" w:color="auto" w:fill="auto"/>
            <w:noWrap/>
            <w:vAlign w:val="center"/>
            <w:hideMark/>
          </w:tcPr>
          <w:p w14:paraId="081D27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NCT02116920</w:t>
            </w:r>
          </w:p>
        </w:tc>
        <w:tc>
          <w:tcPr>
            <w:tcW w:w="1354" w:type="dxa"/>
            <w:tcBorders>
              <w:top w:val="nil"/>
              <w:left w:val="nil"/>
              <w:bottom w:val="nil"/>
              <w:right w:val="nil"/>
            </w:tcBorders>
            <w:shd w:val="clear" w:color="auto" w:fill="auto"/>
            <w:noWrap/>
            <w:vAlign w:val="center"/>
            <w:hideMark/>
          </w:tcPr>
          <w:p w14:paraId="618DE1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HPV E6/E7 mRNA Versus HPV DNA as Triage for Cervical Cancer Screening</w:t>
            </w:r>
          </w:p>
        </w:tc>
        <w:tc>
          <w:tcPr>
            <w:tcW w:w="1483" w:type="dxa"/>
            <w:tcBorders>
              <w:top w:val="nil"/>
              <w:left w:val="nil"/>
              <w:bottom w:val="nil"/>
              <w:right w:val="nil"/>
            </w:tcBorders>
            <w:shd w:val="clear" w:color="auto" w:fill="auto"/>
            <w:noWrap/>
            <w:vAlign w:val="center"/>
            <w:hideMark/>
          </w:tcPr>
          <w:p w14:paraId="1B1D7E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559815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AIM: To develop and standardize a cost effective methodology or algorithm for mRNA E6/E7 for HPV genotypes 16, 18, 31, 33 and 45 as compared to commercially available assays which can be incorporated to triage excess false positives from primary screening for cervical cancers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1. Development and standardization of methodology /algorithm for mRNA E6/E7 testing for HPV genotypes 16, 18, 31, 33 and 45 using Real-time RT-PCR, in cervical samples.</w:t>
            </w:r>
            <w:r w:rsidRPr="000A6EBE">
              <w:rPr>
                <w:rFonts w:ascii="Aptos Narrow" w:eastAsia="Times New Roman" w:hAnsi="Aptos Narrow"/>
                <w:color w:val="000000"/>
                <w:sz w:val="16"/>
                <w:szCs w:val="16"/>
                <w:lang w:val="en-HK" w:eastAsia="zh-CN"/>
              </w:rPr>
              <w:br/>
              <w:t xml:space="preserve">2. To compare the test performance of this HPV E6/E7 mRNA assay to HPV DNA by HC 2 as secondary screening test, </w:t>
            </w:r>
            <w:r w:rsidRPr="000A6EBE">
              <w:rPr>
                <w:rFonts w:ascii="Aptos Narrow" w:eastAsia="Times New Roman" w:hAnsi="Aptos Narrow"/>
                <w:color w:val="000000"/>
                <w:sz w:val="16"/>
                <w:szCs w:val="16"/>
                <w:lang w:val="en-HK" w:eastAsia="zh-CN"/>
              </w:rPr>
              <w:lastRenderedPageBreak/>
              <w:t>with the reference standard of colposcopy with biopsy, to triage women found positive in primary screening by VIA , in a population based screening for cancer of cervix.</w:t>
            </w:r>
            <w:r w:rsidRPr="000A6EBE">
              <w:rPr>
                <w:rFonts w:ascii="Aptos Narrow" w:eastAsia="Times New Roman" w:hAnsi="Aptos Narrow"/>
                <w:color w:val="000000"/>
                <w:sz w:val="16"/>
                <w:szCs w:val="16"/>
                <w:lang w:val="en-HK" w:eastAsia="zh-CN"/>
              </w:rPr>
              <w:br/>
              <w:t>3. To determine number of false positives in the primary screening test after testing VIA positives with a known high specificity secondary screening test (HPV-DNA HC II ) compared to HPV E6/E7 mRNA testing.</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Study Population: Women in the age group of 30-65 years, who test positive on primary cervical screening test VIA will be enrolled for the proposed diagnostic tests along with reference standard of colposcopy with guided biopsy.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Methodology: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Women in the age group of 30-65 </w:t>
            </w:r>
            <w:r w:rsidRPr="000A6EBE">
              <w:rPr>
                <w:rFonts w:ascii="Aptos Narrow" w:eastAsia="Times New Roman" w:hAnsi="Aptos Narrow"/>
                <w:color w:val="000000"/>
                <w:sz w:val="16"/>
                <w:szCs w:val="16"/>
                <w:lang w:val="en-HK" w:eastAsia="zh-CN"/>
              </w:rPr>
              <w:lastRenderedPageBreak/>
              <w:t>years undergoing routine cervical cancer screening through hospital ( Preventive Oncology screening clinic) and community based screening programs with abnormal test result using the primary cervical cancer screening test VIA will be recruited in the study. The primary screening test VIA will be administered by application of 5% Acetic Acid to the cervix and visualizing the cervix with the help of a halogen focus lamp. VIA will be considered to be positive if definite acetowhite lesions are visualized close to the squamocolumnar junction.</w:t>
            </w:r>
          </w:p>
        </w:tc>
        <w:tc>
          <w:tcPr>
            <w:tcW w:w="279" w:type="dxa"/>
            <w:tcBorders>
              <w:top w:val="nil"/>
              <w:left w:val="nil"/>
              <w:bottom w:val="nil"/>
              <w:right w:val="nil"/>
            </w:tcBorders>
            <w:shd w:val="clear" w:color="auto" w:fill="auto"/>
            <w:noWrap/>
            <w:vAlign w:val="center"/>
            <w:hideMark/>
          </w:tcPr>
          <w:p w14:paraId="468A85C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3622" w:type="dxa"/>
            <w:gridSpan w:val="2"/>
            <w:tcBorders>
              <w:top w:val="nil"/>
              <w:left w:val="nil"/>
              <w:bottom w:val="nil"/>
              <w:right w:val="nil"/>
            </w:tcBorders>
            <w:shd w:val="clear" w:color="auto" w:fill="auto"/>
            <w:noWrap/>
            <w:vAlign w:val="center"/>
            <w:hideMark/>
          </w:tcPr>
          <w:p w14:paraId="4B3A6D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CIN|Cervix Cancer</w:t>
            </w:r>
          </w:p>
        </w:tc>
        <w:tc>
          <w:tcPr>
            <w:tcW w:w="2158" w:type="dxa"/>
            <w:gridSpan w:val="2"/>
            <w:tcBorders>
              <w:top w:val="nil"/>
              <w:left w:val="nil"/>
              <w:bottom w:val="nil"/>
              <w:right w:val="nil"/>
            </w:tcBorders>
            <w:shd w:val="clear" w:color="auto" w:fill="auto"/>
            <w:noWrap/>
            <w:vAlign w:val="center"/>
            <w:hideMark/>
          </w:tcPr>
          <w:p w14:paraId="1B8A4AD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Tata Memorial Hospital</w:t>
            </w:r>
          </w:p>
        </w:tc>
        <w:tc>
          <w:tcPr>
            <w:tcW w:w="1006" w:type="dxa"/>
            <w:tcBorders>
              <w:top w:val="nil"/>
              <w:left w:val="nil"/>
              <w:bottom w:val="nil"/>
              <w:right w:val="nil"/>
            </w:tcBorders>
            <w:shd w:val="clear" w:color="auto" w:fill="auto"/>
            <w:noWrap/>
            <w:vAlign w:val="center"/>
            <w:hideMark/>
          </w:tcPr>
          <w:p w14:paraId="2364E0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6FF478C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01/05/2013</w:t>
            </w:r>
          </w:p>
        </w:tc>
        <w:tc>
          <w:tcPr>
            <w:tcW w:w="766" w:type="dxa"/>
            <w:tcBorders>
              <w:top w:val="nil"/>
              <w:left w:val="nil"/>
              <w:bottom w:val="nil"/>
              <w:right w:val="nil"/>
            </w:tcBorders>
            <w:shd w:val="clear" w:color="auto" w:fill="auto"/>
            <w:noWrap/>
            <w:vAlign w:val="center"/>
            <w:hideMark/>
          </w:tcPr>
          <w:p w14:paraId="10C9BE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F077EEB" w14:textId="77777777" w:rsidTr="00AB1828">
        <w:trPr>
          <w:trHeight w:val="360"/>
        </w:trPr>
        <w:tc>
          <w:tcPr>
            <w:tcW w:w="861" w:type="dxa"/>
            <w:tcBorders>
              <w:top w:val="nil"/>
              <w:left w:val="nil"/>
              <w:bottom w:val="nil"/>
              <w:right w:val="nil"/>
            </w:tcBorders>
            <w:shd w:val="clear" w:color="auto" w:fill="auto"/>
            <w:noWrap/>
            <w:vAlign w:val="center"/>
            <w:hideMark/>
          </w:tcPr>
          <w:p w14:paraId="5DA018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NCT01676779</w:t>
            </w:r>
          </w:p>
        </w:tc>
        <w:tc>
          <w:tcPr>
            <w:tcW w:w="1354" w:type="dxa"/>
            <w:tcBorders>
              <w:top w:val="nil"/>
              <w:left w:val="nil"/>
              <w:bottom w:val="nil"/>
              <w:right w:val="nil"/>
            </w:tcBorders>
            <w:shd w:val="clear" w:color="auto" w:fill="auto"/>
            <w:noWrap/>
            <w:vAlign w:val="center"/>
            <w:hideMark/>
          </w:tcPr>
          <w:p w14:paraId="61D8A06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Electroporated Autologous Dendritic Cells for Stage III/IV Melanoma</w:t>
            </w:r>
          </w:p>
        </w:tc>
        <w:tc>
          <w:tcPr>
            <w:tcW w:w="1483" w:type="dxa"/>
            <w:tcBorders>
              <w:top w:val="nil"/>
              <w:left w:val="nil"/>
              <w:bottom w:val="nil"/>
              <w:right w:val="nil"/>
            </w:tcBorders>
            <w:shd w:val="clear" w:color="auto" w:fill="auto"/>
            <w:noWrap/>
            <w:vAlign w:val="center"/>
            <w:hideMark/>
          </w:tcPr>
          <w:p w14:paraId="4E8F125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61C096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an open label, 2-arm, 1-stage, randomized controlled phase II study in patients with AJCC stage IIIB/C \&amp; -IV melanoma. At baseline tumor </w:t>
            </w:r>
            <w:r w:rsidRPr="000A6EBE">
              <w:rPr>
                <w:rFonts w:ascii="Aptos Narrow" w:eastAsia="Times New Roman" w:hAnsi="Aptos Narrow"/>
                <w:color w:val="000000"/>
                <w:sz w:val="16"/>
                <w:szCs w:val="16"/>
                <w:lang w:val="en-HK" w:eastAsia="zh-CN"/>
              </w:rPr>
              <w:lastRenderedPageBreak/>
              <w:t>assessment (using total body FDG-PET/CT), patients should be free from measurable tumor lesions (according to RECISTv1.1 definitions) following prior local therapy (e.g. following surgical resection, isolated limb perfusion, radiofrequency ablation, cryotherapy, radiotherapy, electrochemotherapy, ...). Patients should not have symptomatic non-measurable tumor lesions (e.g. bone metastasis, or pleural effusion), and lesions treated by prior local therapy should be free from progression. Patients should not have received any prior systemic therapy (non-experimental or experimental).</w:t>
            </w:r>
          </w:p>
        </w:tc>
        <w:tc>
          <w:tcPr>
            <w:tcW w:w="279" w:type="dxa"/>
            <w:tcBorders>
              <w:top w:val="nil"/>
              <w:left w:val="nil"/>
              <w:bottom w:val="nil"/>
              <w:right w:val="nil"/>
            </w:tcBorders>
            <w:shd w:val="clear" w:color="auto" w:fill="auto"/>
            <w:noWrap/>
            <w:vAlign w:val="center"/>
            <w:hideMark/>
          </w:tcPr>
          <w:p w14:paraId="34647EE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E65F38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Melanoma Stage III|Malignant Melanoma Stage IV</w:t>
            </w:r>
          </w:p>
        </w:tc>
        <w:tc>
          <w:tcPr>
            <w:tcW w:w="1574" w:type="dxa"/>
            <w:tcBorders>
              <w:top w:val="nil"/>
              <w:left w:val="nil"/>
              <w:bottom w:val="nil"/>
              <w:right w:val="nil"/>
            </w:tcBorders>
            <w:shd w:val="clear" w:color="auto" w:fill="auto"/>
            <w:noWrap/>
            <w:vAlign w:val="center"/>
            <w:hideMark/>
          </w:tcPr>
          <w:p w14:paraId="783C936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 therapy</w:t>
            </w:r>
          </w:p>
        </w:tc>
        <w:tc>
          <w:tcPr>
            <w:tcW w:w="1152" w:type="dxa"/>
            <w:tcBorders>
              <w:top w:val="nil"/>
              <w:left w:val="nil"/>
              <w:bottom w:val="nil"/>
              <w:right w:val="nil"/>
            </w:tcBorders>
            <w:shd w:val="clear" w:color="auto" w:fill="auto"/>
            <w:noWrap/>
            <w:vAlign w:val="center"/>
            <w:hideMark/>
          </w:tcPr>
          <w:p w14:paraId="46EFBE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Universitair Ziekenhuis Brussel</w:t>
            </w:r>
          </w:p>
        </w:tc>
        <w:tc>
          <w:tcPr>
            <w:tcW w:w="1006" w:type="dxa"/>
            <w:tcBorders>
              <w:top w:val="nil"/>
              <w:left w:val="nil"/>
              <w:bottom w:val="nil"/>
              <w:right w:val="nil"/>
            </w:tcBorders>
            <w:shd w:val="clear" w:color="auto" w:fill="auto"/>
            <w:noWrap/>
            <w:vAlign w:val="center"/>
            <w:hideMark/>
          </w:tcPr>
          <w:p w14:paraId="767D0C5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36509D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DA90EA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01/10/2012</w:t>
            </w:r>
          </w:p>
        </w:tc>
        <w:tc>
          <w:tcPr>
            <w:tcW w:w="766" w:type="dxa"/>
            <w:tcBorders>
              <w:top w:val="nil"/>
              <w:left w:val="nil"/>
              <w:bottom w:val="nil"/>
              <w:right w:val="nil"/>
            </w:tcBorders>
            <w:shd w:val="clear" w:color="auto" w:fill="auto"/>
            <w:noWrap/>
            <w:vAlign w:val="center"/>
            <w:hideMark/>
          </w:tcPr>
          <w:p w14:paraId="69A4B6D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1DC07B10" w14:textId="77777777" w:rsidTr="00AB1828">
        <w:trPr>
          <w:trHeight w:val="360"/>
        </w:trPr>
        <w:tc>
          <w:tcPr>
            <w:tcW w:w="861" w:type="dxa"/>
            <w:tcBorders>
              <w:top w:val="nil"/>
              <w:left w:val="nil"/>
              <w:bottom w:val="nil"/>
              <w:right w:val="nil"/>
            </w:tcBorders>
            <w:shd w:val="clear" w:color="auto" w:fill="auto"/>
            <w:noWrap/>
            <w:vAlign w:val="center"/>
            <w:hideMark/>
          </w:tcPr>
          <w:p w14:paraId="0D9CE04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NCT01686334</w:t>
            </w:r>
          </w:p>
        </w:tc>
        <w:tc>
          <w:tcPr>
            <w:tcW w:w="1354" w:type="dxa"/>
            <w:tcBorders>
              <w:top w:val="nil"/>
              <w:left w:val="nil"/>
              <w:bottom w:val="nil"/>
              <w:right w:val="nil"/>
            </w:tcBorders>
            <w:shd w:val="clear" w:color="auto" w:fill="auto"/>
            <w:noWrap/>
            <w:vAlign w:val="center"/>
            <w:hideMark/>
          </w:tcPr>
          <w:p w14:paraId="5654D4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Efficacy Study of Dendritic Cell Vaccination in Patients With Acute Myeloid </w:t>
            </w:r>
            <w:r w:rsidRPr="000A6EBE">
              <w:rPr>
                <w:rFonts w:ascii="Aptos Narrow" w:eastAsia="Times New Roman" w:hAnsi="Aptos Narrow"/>
                <w:color w:val="000000"/>
                <w:sz w:val="16"/>
                <w:szCs w:val="16"/>
                <w:lang w:val="en-HK" w:eastAsia="zh-CN"/>
              </w:rPr>
              <w:lastRenderedPageBreak/>
              <w:t>Leukemia in Remission</w:t>
            </w:r>
          </w:p>
        </w:tc>
        <w:tc>
          <w:tcPr>
            <w:tcW w:w="1483" w:type="dxa"/>
            <w:tcBorders>
              <w:top w:val="nil"/>
              <w:left w:val="nil"/>
              <w:bottom w:val="nil"/>
              <w:right w:val="nil"/>
            </w:tcBorders>
            <w:shd w:val="clear" w:color="auto" w:fill="auto"/>
            <w:noWrap/>
            <w:vAlign w:val="center"/>
            <w:hideMark/>
          </w:tcPr>
          <w:p w14:paraId="0F6E710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ACTIVE_NOT_RECRUITING</w:t>
            </w:r>
          </w:p>
        </w:tc>
        <w:tc>
          <w:tcPr>
            <w:tcW w:w="1689" w:type="dxa"/>
            <w:tcBorders>
              <w:top w:val="nil"/>
              <w:left w:val="nil"/>
              <w:bottom w:val="nil"/>
              <w:right w:val="nil"/>
            </w:tcBorders>
            <w:shd w:val="clear" w:color="auto" w:fill="auto"/>
            <w:noWrap/>
            <w:vAlign w:val="center"/>
            <w:hideMark/>
          </w:tcPr>
          <w:p w14:paraId="1AF3883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primary aim of this innovative immunotherapeutic study is to determine whether the </w:t>
            </w:r>
            <w:r w:rsidRPr="000A6EBE">
              <w:rPr>
                <w:rFonts w:ascii="Aptos Narrow" w:eastAsia="Times New Roman" w:hAnsi="Aptos Narrow"/>
                <w:color w:val="000000"/>
                <w:sz w:val="16"/>
                <w:szCs w:val="16"/>
                <w:lang w:val="en-HK" w:eastAsia="zh-CN"/>
              </w:rPr>
              <w:lastRenderedPageBreak/>
              <w:t>antileukemic effects seen in our previous phase I/II study can be confirmed in a large cohort of patients and whether dendritic cell vaccination can significantly prevent relapse and increase survival of acute myeloid leukemia (AML) patients by eradicating minimal residual disease.</w:t>
            </w:r>
          </w:p>
        </w:tc>
        <w:tc>
          <w:tcPr>
            <w:tcW w:w="279" w:type="dxa"/>
            <w:tcBorders>
              <w:top w:val="nil"/>
              <w:left w:val="nil"/>
              <w:bottom w:val="nil"/>
              <w:right w:val="nil"/>
            </w:tcBorders>
            <w:shd w:val="clear" w:color="auto" w:fill="auto"/>
            <w:noWrap/>
            <w:vAlign w:val="center"/>
            <w:hideMark/>
          </w:tcPr>
          <w:p w14:paraId="0BBC87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AA479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Acute Myeloid Leukemia</w:t>
            </w:r>
          </w:p>
        </w:tc>
        <w:tc>
          <w:tcPr>
            <w:tcW w:w="1574" w:type="dxa"/>
            <w:tcBorders>
              <w:top w:val="nil"/>
              <w:left w:val="nil"/>
              <w:bottom w:val="nil"/>
              <w:right w:val="nil"/>
            </w:tcBorders>
            <w:shd w:val="clear" w:color="auto" w:fill="auto"/>
            <w:noWrap/>
            <w:vAlign w:val="center"/>
            <w:hideMark/>
          </w:tcPr>
          <w:p w14:paraId="72DCBF3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DC vaccine</w:t>
            </w:r>
          </w:p>
        </w:tc>
        <w:tc>
          <w:tcPr>
            <w:tcW w:w="1152" w:type="dxa"/>
            <w:tcBorders>
              <w:top w:val="nil"/>
              <w:left w:val="nil"/>
              <w:bottom w:val="nil"/>
              <w:right w:val="nil"/>
            </w:tcBorders>
            <w:shd w:val="clear" w:color="auto" w:fill="auto"/>
            <w:noWrap/>
            <w:vAlign w:val="center"/>
            <w:hideMark/>
          </w:tcPr>
          <w:p w14:paraId="19A03A8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Zwi Berneman</w:t>
            </w:r>
          </w:p>
        </w:tc>
        <w:tc>
          <w:tcPr>
            <w:tcW w:w="1006" w:type="dxa"/>
            <w:tcBorders>
              <w:top w:val="nil"/>
              <w:left w:val="nil"/>
              <w:bottom w:val="nil"/>
              <w:right w:val="nil"/>
            </w:tcBorders>
            <w:shd w:val="clear" w:color="auto" w:fill="auto"/>
            <w:noWrap/>
            <w:vAlign w:val="center"/>
            <w:hideMark/>
          </w:tcPr>
          <w:p w14:paraId="32F24B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1433FF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9DB4D9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01/10/2012</w:t>
            </w:r>
          </w:p>
        </w:tc>
        <w:tc>
          <w:tcPr>
            <w:tcW w:w="766" w:type="dxa"/>
            <w:tcBorders>
              <w:top w:val="nil"/>
              <w:left w:val="nil"/>
              <w:bottom w:val="nil"/>
              <w:right w:val="nil"/>
            </w:tcBorders>
            <w:shd w:val="clear" w:color="auto" w:fill="auto"/>
            <w:noWrap/>
            <w:vAlign w:val="center"/>
            <w:hideMark/>
          </w:tcPr>
          <w:p w14:paraId="5D3D8F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6F39210" w14:textId="77777777" w:rsidTr="00AB1828">
        <w:trPr>
          <w:trHeight w:val="360"/>
        </w:trPr>
        <w:tc>
          <w:tcPr>
            <w:tcW w:w="861" w:type="dxa"/>
            <w:tcBorders>
              <w:top w:val="nil"/>
              <w:left w:val="nil"/>
              <w:bottom w:val="nil"/>
              <w:right w:val="nil"/>
            </w:tcBorders>
            <w:shd w:val="clear" w:color="auto" w:fill="auto"/>
            <w:noWrap/>
            <w:vAlign w:val="center"/>
            <w:hideMark/>
          </w:tcPr>
          <w:p w14:paraId="7C3DE5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NCT01456104</w:t>
            </w:r>
          </w:p>
        </w:tc>
        <w:tc>
          <w:tcPr>
            <w:tcW w:w="1354" w:type="dxa"/>
            <w:tcBorders>
              <w:top w:val="nil"/>
              <w:left w:val="nil"/>
              <w:bottom w:val="nil"/>
              <w:right w:val="nil"/>
            </w:tcBorders>
            <w:shd w:val="clear" w:color="auto" w:fill="auto"/>
            <w:noWrap/>
            <w:vAlign w:val="center"/>
            <w:hideMark/>
          </w:tcPr>
          <w:p w14:paraId="6D8C3EC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Immune Responses to Autologous Langerhans-type Dendritic Cells Electroporated With mRNA Encoding a Tumor-associated Antigen in Patients With Malignancy: A Single-arm Phase I Trial in Melanoma</w:t>
            </w:r>
          </w:p>
        </w:tc>
        <w:tc>
          <w:tcPr>
            <w:tcW w:w="1483" w:type="dxa"/>
            <w:tcBorders>
              <w:top w:val="nil"/>
              <w:left w:val="nil"/>
              <w:bottom w:val="nil"/>
              <w:right w:val="nil"/>
            </w:tcBorders>
            <w:shd w:val="clear" w:color="auto" w:fill="auto"/>
            <w:noWrap/>
            <w:vAlign w:val="center"/>
            <w:hideMark/>
          </w:tcPr>
          <w:p w14:paraId="3850B0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0AA173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study is being done to see if the investigators can help the immune system to work against melanoma.</w:t>
            </w:r>
            <w:r w:rsidRPr="000A6EBE">
              <w:rPr>
                <w:rFonts w:ascii="Aptos Narrow" w:eastAsia="Times New Roman" w:hAnsi="Aptos Narrow"/>
                <w:color w:val="000000"/>
                <w:sz w:val="16"/>
                <w:szCs w:val="16"/>
                <w:lang w:val="en-HK" w:eastAsia="zh-CN"/>
              </w:rPr>
              <w:br w:type="page"/>
            </w:r>
            <w:r w:rsidRPr="000A6EBE">
              <w:rPr>
                <w:rFonts w:ascii="Aptos Narrow" w:eastAsia="Times New Roman" w:hAnsi="Aptos Narrow"/>
                <w:color w:val="000000"/>
                <w:sz w:val="16"/>
                <w:szCs w:val="16"/>
                <w:lang w:val="en-HK" w:eastAsia="zh-CN"/>
              </w:rPr>
              <w:br w:type="page"/>
              <w:t xml:space="preserve">A dendritic cell is another type of white blood cell. It has most, if not all, of the proteins needed to make T cells work to destroy cancer cells. However, dendritic cells do not normally have the cancer proteins on their surface. The challenge then is to combine the antigens with dendritic cells to make a vaccine. The investigators think that the </w:t>
            </w:r>
            <w:r w:rsidRPr="000A6EBE">
              <w:rPr>
                <w:rFonts w:ascii="Aptos Narrow" w:eastAsia="Times New Roman" w:hAnsi="Aptos Narrow"/>
                <w:color w:val="000000"/>
                <w:sz w:val="16"/>
                <w:szCs w:val="16"/>
                <w:lang w:val="en-HK" w:eastAsia="zh-CN"/>
              </w:rPr>
              <w:lastRenderedPageBreak/>
              <w:t>body's T cells might then react against the tumor and help destroy it.</w:t>
            </w:r>
            <w:r w:rsidRPr="000A6EBE">
              <w:rPr>
                <w:rFonts w:ascii="Aptos Narrow" w:eastAsia="Times New Roman" w:hAnsi="Aptos Narrow"/>
                <w:color w:val="000000"/>
                <w:sz w:val="16"/>
                <w:szCs w:val="16"/>
                <w:lang w:val="en-HK" w:eastAsia="zh-CN"/>
              </w:rPr>
              <w:br w:type="page"/>
            </w:r>
            <w:r w:rsidRPr="000A6EBE">
              <w:rPr>
                <w:rFonts w:ascii="Aptos Narrow" w:eastAsia="Times New Roman" w:hAnsi="Aptos Narrow"/>
                <w:color w:val="000000"/>
                <w:sz w:val="16"/>
                <w:szCs w:val="16"/>
                <w:lang w:val="en-HK" w:eastAsia="zh-CN"/>
              </w:rPr>
              <w:br w:type="page"/>
              <w:t>This study will see if altered dendritic cells will make T cells work against tumor cells. The dendritic cells will be made in a lab and will carry the antigens. These cells then will be injected under the skin.</w:t>
            </w:r>
            <w:r w:rsidRPr="000A6EBE">
              <w:rPr>
                <w:rFonts w:ascii="Aptos Narrow" w:eastAsia="Times New Roman" w:hAnsi="Aptos Narrow"/>
                <w:color w:val="000000"/>
                <w:sz w:val="16"/>
                <w:szCs w:val="16"/>
                <w:lang w:val="en-HK" w:eastAsia="zh-CN"/>
              </w:rPr>
              <w:br w:type="page"/>
            </w:r>
            <w:r w:rsidRPr="000A6EBE">
              <w:rPr>
                <w:rFonts w:ascii="Aptos Narrow" w:eastAsia="Times New Roman" w:hAnsi="Aptos Narrow"/>
                <w:color w:val="000000"/>
                <w:sz w:val="16"/>
                <w:szCs w:val="16"/>
                <w:lang w:val="en-HK" w:eastAsia="zh-CN"/>
              </w:rPr>
              <w:br w:type="page"/>
              <w:t xml:space="preserve">In this study, the investigators are trying to help the body make a stronger immune response against the cancer. The patient will get the same kind of dendritic cell vaccine used in the earlier study, but with one major difference. The dendritic cells will contain messenger-RNA (mRNA). Cells use mRNA to make proteins. The mRNA will be put into dendritic cells by a laboratory method called electroporation. The mRNA is never given to the patient directly. This mRNA will </w:t>
            </w:r>
            <w:r w:rsidRPr="000A6EBE">
              <w:rPr>
                <w:rFonts w:ascii="Aptos Narrow" w:eastAsia="Times New Roman" w:hAnsi="Aptos Narrow"/>
                <w:color w:val="000000"/>
                <w:sz w:val="16"/>
                <w:szCs w:val="16"/>
                <w:lang w:val="en-HK" w:eastAsia="zh-CN"/>
              </w:rPr>
              <w:lastRenderedPageBreak/>
              <w:t>help the dendritic cell make a tumor antigen like what the cancer expresses. The dendritic cell can then put this tumor antigen on its surface so that the body could make a stronger immune response against the tumor.</w:t>
            </w:r>
          </w:p>
        </w:tc>
        <w:tc>
          <w:tcPr>
            <w:tcW w:w="279" w:type="dxa"/>
            <w:tcBorders>
              <w:top w:val="nil"/>
              <w:left w:val="nil"/>
              <w:bottom w:val="nil"/>
              <w:right w:val="nil"/>
            </w:tcBorders>
            <w:shd w:val="clear" w:color="auto" w:fill="auto"/>
            <w:noWrap/>
            <w:vAlign w:val="center"/>
            <w:hideMark/>
          </w:tcPr>
          <w:p w14:paraId="6EC7C7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14E12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2B2BDA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Langerhans-type dendritic cells (a.k.a. Langerhans cells or LCs)</w:t>
            </w:r>
          </w:p>
        </w:tc>
        <w:tc>
          <w:tcPr>
            <w:tcW w:w="1152" w:type="dxa"/>
            <w:tcBorders>
              <w:top w:val="nil"/>
              <w:left w:val="nil"/>
              <w:bottom w:val="nil"/>
              <w:right w:val="nil"/>
            </w:tcBorders>
            <w:shd w:val="clear" w:color="auto" w:fill="auto"/>
            <w:noWrap/>
            <w:vAlign w:val="center"/>
            <w:hideMark/>
          </w:tcPr>
          <w:p w14:paraId="4C6D7B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Memorial Sloan Kettering Cancer Center</w:t>
            </w:r>
          </w:p>
        </w:tc>
        <w:tc>
          <w:tcPr>
            <w:tcW w:w="1006" w:type="dxa"/>
            <w:tcBorders>
              <w:top w:val="nil"/>
              <w:left w:val="nil"/>
              <w:bottom w:val="nil"/>
              <w:right w:val="nil"/>
            </w:tcBorders>
            <w:shd w:val="clear" w:color="auto" w:fill="auto"/>
            <w:noWrap/>
            <w:vAlign w:val="center"/>
            <w:hideMark/>
          </w:tcPr>
          <w:p w14:paraId="1F153B9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C9B8D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688E2C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17/10/2011</w:t>
            </w:r>
          </w:p>
        </w:tc>
        <w:tc>
          <w:tcPr>
            <w:tcW w:w="766" w:type="dxa"/>
            <w:tcBorders>
              <w:top w:val="nil"/>
              <w:left w:val="nil"/>
              <w:bottom w:val="nil"/>
              <w:right w:val="nil"/>
            </w:tcBorders>
            <w:shd w:val="clear" w:color="auto" w:fill="auto"/>
            <w:noWrap/>
            <w:vAlign w:val="center"/>
            <w:hideMark/>
          </w:tcPr>
          <w:p w14:paraId="0C7170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441D7F1A" w14:textId="77777777" w:rsidTr="00AB1828">
        <w:trPr>
          <w:trHeight w:val="360"/>
        </w:trPr>
        <w:tc>
          <w:tcPr>
            <w:tcW w:w="861" w:type="dxa"/>
            <w:tcBorders>
              <w:top w:val="nil"/>
              <w:left w:val="nil"/>
              <w:bottom w:val="nil"/>
              <w:right w:val="nil"/>
            </w:tcBorders>
            <w:shd w:val="clear" w:color="auto" w:fill="auto"/>
            <w:noWrap/>
            <w:vAlign w:val="center"/>
            <w:hideMark/>
          </w:tcPr>
          <w:p w14:paraId="7937690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NCT01446731</w:t>
            </w:r>
          </w:p>
        </w:tc>
        <w:tc>
          <w:tcPr>
            <w:tcW w:w="1354" w:type="dxa"/>
            <w:tcBorders>
              <w:top w:val="nil"/>
              <w:left w:val="nil"/>
              <w:bottom w:val="nil"/>
              <w:right w:val="nil"/>
            </w:tcBorders>
            <w:shd w:val="clear" w:color="auto" w:fill="auto"/>
            <w:noWrap/>
            <w:vAlign w:val="center"/>
            <w:hideMark/>
          </w:tcPr>
          <w:p w14:paraId="5DC5C74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Cell Vaccination and Docetaxel for Patients With Prostate Cancer</w:t>
            </w:r>
          </w:p>
        </w:tc>
        <w:tc>
          <w:tcPr>
            <w:tcW w:w="1483" w:type="dxa"/>
            <w:tcBorders>
              <w:top w:val="nil"/>
              <w:left w:val="nil"/>
              <w:bottom w:val="nil"/>
              <w:right w:val="nil"/>
            </w:tcBorders>
            <w:shd w:val="clear" w:color="auto" w:fill="auto"/>
            <w:noWrap/>
            <w:vAlign w:val="center"/>
            <w:hideMark/>
          </w:tcPr>
          <w:p w14:paraId="077BBC0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30E81C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randomized phase II trial including 40 patients with castration resistant metastatic cancer prostate (CRMPC).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Patients will be randomized between treatment with a dendritic cell vaccine plus docetaxel and docetaxel alone.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primary objective is to evaluate the vaccine specific immune response and patients will be evlauated with blood tests and DTH reactions during the treatment course.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Secondary </w:t>
            </w:r>
            <w:r w:rsidRPr="000A6EBE">
              <w:rPr>
                <w:rFonts w:ascii="Aptos Narrow" w:eastAsia="Times New Roman" w:hAnsi="Aptos Narrow"/>
                <w:color w:val="000000"/>
                <w:sz w:val="16"/>
                <w:szCs w:val="16"/>
                <w:lang w:val="en-HK" w:eastAsia="zh-CN"/>
              </w:rPr>
              <w:lastRenderedPageBreak/>
              <w:t>objectives are to evaluate clinical response by objective response (RECIST-criteria, 18F-NaF-PET/CT scan), PSA response, pain response and finally we determine time to progression and overall survival.</w:t>
            </w:r>
          </w:p>
        </w:tc>
        <w:tc>
          <w:tcPr>
            <w:tcW w:w="279" w:type="dxa"/>
            <w:tcBorders>
              <w:top w:val="nil"/>
              <w:left w:val="nil"/>
              <w:bottom w:val="nil"/>
              <w:right w:val="nil"/>
            </w:tcBorders>
            <w:shd w:val="clear" w:color="auto" w:fill="auto"/>
            <w:noWrap/>
            <w:vAlign w:val="center"/>
            <w:hideMark/>
          </w:tcPr>
          <w:p w14:paraId="53992A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611495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Prostatic Neoplasms</w:t>
            </w:r>
          </w:p>
        </w:tc>
        <w:tc>
          <w:tcPr>
            <w:tcW w:w="1574" w:type="dxa"/>
            <w:tcBorders>
              <w:top w:val="nil"/>
              <w:left w:val="nil"/>
              <w:bottom w:val="nil"/>
              <w:right w:val="nil"/>
            </w:tcBorders>
            <w:shd w:val="clear" w:color="auto" w:fill="auto"/>
            <w:noWrap/>
            <w:vAlign w:val="center"/>
            <w:hideMark/>
          </w:tcPr>
          <w:p w14:paraId="5037C77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mRNA transfected dendritic cell|DRUG: Docetaxel</w:t>
            </w:r>
          </w:p>
        </w:tc>
        <w:tc>
          <w:tcPr>
            <w:tcW w:w="1152" w:type="dxa"/>
            <w:tcBorders>
              <w:top w:val="nil"/>
              <w:left w:val="nil"/>
              <w:bottom w:val="nil"/>
              <w:right w:val="nil"/>
            </w:tcBorders>
            <w:shd w:val="clear" w:color="auto" w:fill="auto"/>
            <w:noWrap/>
            <w:vAlign w:val="center"/>
            <w:hideMark/>
          </w:tcPr>
          <w:p w14:paraId="06EB8B1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Inge Marie Svane</w:t>
            </w:r>
          </w:p>
        </w:tc>
        <w:tc>
          <w:tcPr>
            <w:tcW w:w="1006" w:type="dxa"/>
            <w:tcBorders>
              <w:top w:val="nil"/>
              <w:left w:val="nil"/>
              <w:bottom w:val="nil"/>
              <w:right w:val="nil"/>
            </w:tcBorders>
            <w:shd w:val="clear" w:color="auto" w:fill="auto"/>
            <w:noWrap/>
            <w:vAlign w:val="center"/>
            <w:hideMark/>
          </w:tcPr>
          <w:p w14:paraId="154435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74CE96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48131A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01/10/2011</w:t>
            </w:r>
          </w:p>
        </w:tc>
        <w:tc>
          <w:tcPr>
            <w:tcW w:w="766" w:type="dxa"/>
            <w:tcBorders>
              <w:top w:val="nil"/>
              <w:left w:val="nil"/>
              <w:bottom w:val="nil"/>
              <w:right w:val="nil"/>
            </w:tcBorders>
            <w:shd w:val="clear" w:color="auto" w:fill="auto"/>
            <w:noWrap/>
            <w:vAlign w:val="center"/>
            <w:hideMark/>
          </w:tcPr>
          <w:p w14:paraId="5B5AC3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35B28FA3" w14:textId="77777777" w:rsidTr="00AB1828">
        <w:trPr>
          <w:trHeight w:val="360"/>
        </w:trPr>
        <w:tc>
          <w:tcPr>
            <w:tcW w:w="861" w:type="dxa"/>
            <w:tcBorders>
              <w:top w:val="nil"/>
              <w:left w:val="nil"/>
              <w:bottom w:val="nil"/>
              <w:right w:val="nil"/>
            </w:tcBorders>
            <w:shd w:val="clear" w:color="auto" w:fill="auto"/>
            <w:noWrap/>
            <w:vAlign w:val="center"/>
            <w:hideMark/>
          </w:tcPr>
          <w:p w14:paraId="3AA1D9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NCT01334047</w:t>
            </w:r>
          </w:p>
        </w:tc>
        <w:tc>
          <w:tcPr>
            <w:tcW w:w="1354" w:type="dxa"/>
            <w:tcBorders>
              <w:top w:val="nil"/>
              <w:left w:val="nil"/>
              <w:bottom w:val="nil"/>
              <w:right w:val="nil"/>
            </w:tcBorders>
            <w:shd w:val="clear" w:color="auto" w:fill="auto"/>
            <w:noWrap/>
            <w:vAlign w:val="center"/>
            <w:hideMark/>
          </w:tcPr>
          <w:p w14:paraId="6E142B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Trial of Vaccine Therapy in Recurrent Platinum Sensitive Ovarian Cancer Patients</w:t>
            </w:r>
          </w:p>
        </w:tc>
        <w:tc>
          <w:tcPr>
            <w:tcW w:w="1483" w:type="dxa"/>
            <w:tcBorders>
              <w:top w:val="nil"/>
              <w:left w:val="nil"/>
              <w:bottom w:val="nil"/>
              <w:right w:val="nil"/>
            </w:tcBorders>
            <w:shd w:val="clear" w:color="auto" w:fill="auto"/>
            <w:noWrap/>
            <w:vAlign w:val="center"/>
            <w:hideMark/>
          </w:tcPr>
          <w:p w14:paraId="16E7A68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4FEC76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 this study the investigators will include patients with relapsed epithelial ovarian cancer. In spite of increased rates of complete response to initial chemotherapy, most patients with advanced ovarian cancer relapse and succumb to progressive disease. Immunotherapy may have potential for consolidation therapy. Dendritic cell vaccine is well toleranted in previous studies, with minor side effects and no serious adverse events registrated In this study, patients will receive DC-</w:t>
            </w:r>
            <w:r w:rsidRPr="000A6EBE">
              <w:rPr>
                <w:rFonts w:ascii="Aptos Narrow" w:eastAsia="Times New Roman" w:hAnsi="Aptos Narrow"/>
                <w:color w:val="000000"/>
                <w:sz w:val="16"/>
                <w:szCs w:val="16"/>
                <w:lang w:val="en-HK" w:eastAsia="zh-CN"/>
              </w:rPr>
              <w:lastRenderedPageBreak/>
              <w:t>vaccine therapy after response to platinum treatment at relapse. The investigtors include patients in good clinical condition with no severe symptoms of the disease. If patients relapse during vaccine treatment, they will be discontinued from the study.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investigators have included hTERT- and survivin mRNA in addition to amplified cancer stem cell mRNA in the vaccine.</w:t>
            </w:r>
          </w:p>
        </w:tc>
        <w:tc>
          <w:tcPr>
            <w:tcW w:w="279" w:type="dxa"/>
            <w:tcBorders>
              <w:top w:val="nil"/>
              <w:left w:val="nil"/>
              <w:bottom w:val="nil"/>
              <w:right w:val="nil"/>
            </w:tcBorders>
            <w:shd w:val="clear" w:color="auto" w:fill="auto"/>
            <w:noWrap/>
            <w:vAlign w:val="center"/>
            <w:hideMark/>
          </w:tcPr>
          <w:p w14:paraId="3D85A82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B9095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Recurrent Epithelial Ovarian Cancer</w:t>
            </w:r>
          </w:p>
        </w:tc>
        <w:tc>
          <w:tcPr>
            <w:tcW w:w="1574" w:type="dxa"/>
            <w:tcBorders>
              <w:top w:val="nil"/>
              <w:left w:val="nil"/>
              <w:bottom w:val="nil"/>
              <w:right w:val="nil"/>
            </w:tcBorders>
            <w:shd w:val="clear" w:color="auto" w:fill="auto"/>
            <w:noWrap/>
            <w:vAlign w:val="center"/>
            <w:hideMark/>
          </w:tcPr>
          <w:p w14:paraId="04D32EB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DC-006 vaccine</w:t>
            </w:r>
          </w:p>
        </w:tc>
        <w:tc>
          <w:tcPr>
            <w:tcW w:w="1152" w:type="dxa"/>
            <w:tcBorders>
              <w:top w:val="nil"/>
              <w:left w:val="nil"/>
              <w:bottom w:val="nil"/>
              <w:right w:val="nil"/>
            </w:tcBorders>
            <w:shd w:val="clear" w:color="auto" w:fill="auto"/>
            <w:noWrap/>
            <w:vAlign w:val="center"/>
            <w:hideMark/>
          </w:tcPr>
          <w:p w14:paraId="34B4B3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Steinar Aamdal</w:t>
            </w:r>
          </w:p>
        </w:tc>
        <w:tc>
          <w:tcPr>
            <w:tcW w:w="1006" w:type="dxa"/>
            <w:tcBorders>
              <w:top w:val="nil"/>
              <w:left w:val="nil"/>
              <w:bottom w:val="nil"/>
              <w:right w:val="nil"/>
            </w:tcBorders>
            <w:shd w:val="clear" w:color="auto" w:fill="auto"/>
            <w:noWrap/>
            <w:vAlign w:val="center"/>
            <w:hideMark/>
          </w:tcPr>
          <w:p w14:paraId="13496B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2BD78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9C3A7F4"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01/04/2011</w:t>
            </w:r>
          </w:p>
        </w:tc>
        <w:tc>
          <w:tcPr>
            <w:tcW w:w="766" w:type="dxa"/>
            <w:tcBorders>
              <w:top w:val="nil"/>
              <w:left w:val="nil"/>
              <w:bottom w:val="nil"/>
              <w:right w:val="nil"/>
            </w:tcBorders>
            <w:shd w:val="clear" w:color="auto" w:fill="auto"/>
            <w:noWrap/>
            <w:vAlign w:val="center"/>
            <w:hideMark/>
          </w:tcPr>
          <w:p w14:paraId="220F07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50739131" w14:textId="77777777" w:rsidTr="00AB1828">
        <w:trPr>
          <w:trHeight w:val="360"/>
        </w:trPr>
        <w:tc>
          <w:tcPr>
            <w:tcW w:w="861" w:type="dxa"/>
            <w:tcBorders>
              <w:top w:val="nil"/>
              <w:left w:val="nil"/>
              <w:bottom w:val="nil"/>
              <w:right w:val="nil"/>
            </w:tcBorders>
            <w:shd w:val="clear" w:color="auto" w:fill="auto"/>
            <w:noWrap/>
            <w:vAlign w:val="center"/>
            <w:hideMark/>
          </w:tcPr>
          <w:p w14:paraId="1E3D3D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NCT01337518</w:t>
            </w:r>
          </w:p>
        </w:tc>
        <w:tc>
          <w:tcPr>
            <w:tcW w:w="1354" w:type="dxa"/>
            <w:tcBorders>
              <w:top w:val="nil"/>
              <w:left w:val="nil"/>
              <w:bottom w:val="nil"/>
              <w:right w:val="nil"/>
            </w:tcBorders>
            <w:shd w:val="clear" w:color="auto" w:fill="auto"/>
            <w:noWrap/>
            <w:vAlign w:val="center"/>
            <w:hideMark/>
          </w:tcPr>
          <w:p w14:paraId="2E6A56F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Phase 1a/1b Study to Evaluate the Safety of EZN-4176, in Adult Patients With Castration-Resistant Prostate Cancer</w:t>
            </w:r>
          </w:p>
        </w:tc>
        <w:tc>
          <w:tcPr>
            <w:tcW w:w="1483" w:type="dxa"/>
            <w:tcBorders>
              <w:top w:val="nil"/>
              <w:left w:val="nil"/>
              <w:bottom w:val="nil"/>
              <w:right w:val="nil"/>
            </w:tcBorders>
            <w:shd w:val="clear" w:color="auto" w:fill="auto"/>
            <w:noWrap/>
            <w:vAlign w:val="center"/>
            <w:hideMark/>
          </w:tcPr>
          <w:p w14:paraId="409614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SUSPENDED</w:t>
            </w:r>
          </w:p>
        </w:tc>
        <w:tc>
          <w:tcPr>
            <w:tcW w:w="1689" w:type="dxa"/>
            <w:tcBorders>
              <w:top w:val="nil"/>
              <w:left w:val="nil"/>
              <w:bottom w:val="nil"/>
              <w:right w:val="nil"/>
            </w:tcBorders>
            <w:shd w:val="clear" w:color="auto" w:fill="auto"/>
            <w:noWrap/>
            <w:vAlign w:val="center"/>
            <w:hideMark/>
          </w:tcPr>
          <w:p w14:paraId="58AE66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study will evaluate an experimental drug called EZN-4176 to determine the anticancer effects when it is given to patients with an advanced form of prostate cancer called castration-resistant prostate cancer (CRPC). Goals of this phase I study include finding out the dose of EZN-4176 that can be safely given without </w:t>
            </w:r>
            <w:r w:rsidRPr="000A6EBE">
              <w:rPr>
                <w:rFonts w:ascii="Aptos Narrow" w:eastAsia="Times New Roman" w:hAnsi="Aptos Narrow"/>
                <w:color w:val="000000"/>
                <w:sz w:val="16"/>
                <w:szCs w:val="16"/>
                <w:lang w:val="en-HK" w:eastAsia="zh-CN"/>
              </w:rPr>
              <w:lastRenderedPageBreak/>
              <w:t>serious side effects and to determine the amount of EZN-4176 that should be given in future studies.</w:t>
            </w:r>
          </w:p>
        </w:tc>
        <w:tc>
          <w:tcPr>
            <w:tcW w:w="279" w:type="dxa"/>
            <w:tcBorders>
              <w:top w:val="nil"/>
              <w:left w:val="nil"/>
              <w:bottom w:val="nil"/>
              <w:right w:val="nil"/>
            </w:tcBorders>
            <w:shd w:val="clear" w:color="auto" w:fill="auto"/>
            <w:noWrap/>
            <w:vAlign w:val="center"/>
            <w:hideMark/>
          </w:tcPr>
          <w:p w14:paraId="35B231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02ABE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Prostatic Neoplasm</w:t>
            </w:r>
          </w:p>
        </w:tc>
        <w:tc>
          <w:tcPr>
            <w:tcW w:w="1574" w:type="dxa"/>
            <w:tcBorders>
              <w:top w:val="nil"/>
              <w:left w:val="nil"/>
              <w:bottom w:val="nil"/>
              <w:right w:val="nil"/>
            </w:tcBorders>
            <w:shd w:val="clear" w:color="auto" w:fill="auto"/>
            <w:noWrap/>
            <w:vAlign w:val="center"/>
            <w:hideMark/>
          </w:tcPr>
          <w:p w14:paraId="52E4DA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EZN-4176</w:t>
            </w:r>
          </w:p>
        </w:tc>
        <w:tc>
          <w:tcPr>
            <w:tcW w:w="1152" w:type="dxa"/>
            <w:tcBorders>
              <w:top w:val="nil"/>
              <w:left w:val="nil"/>
              <w:bottom w:val="nil"/>
              <w:right w:val="nil"/>
            </w:tcBorders>
            <w:shd w:val="clear" w:color="auto" w:fill="auto"/>
            <w:noWrap/>
            <w:vAlign w:val="center"/>
            <w:hideMark/>
          </w:tcPr>
          <w:p w14:paraId="30A1A81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Enzon Pharmaceuticals, Inc.</w:t>
            </w:r>
          </w:p>
        </w:tc>
        <w:tc>
          <w:tcPr>
            <w:tcW w:w="1006" w:type="dxa"/>
            <w:tcBorders>
              <w:top w:val="nil"/>
              <w:left w:val="nil"/>
              <w:bottom w:val="nil"/>
              <w:right w:val="nil"/>
            </w:tcBorders>
            <w:shd w:val="clear" w:color="auto" w:fill="auto"/>
            <w:noWrap/>
            <w:vAlign w:val="center"/>
            <w:hideMark/>
          </w:tcPr>
          <w:p w14:paraId="44BA7C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138EE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03209D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01/03/2011</w:t>
            </w:r>
          </w:p>
        </w:tc>
        <w:tc>
          <w:tcPr>
            <w:tcW w:w="766" w:type="dxa"/>
            <w:tcBorders>
              <w:top w:val="nil"/>
              <w:left w:val="nil"/>
              <w:bottom w:val="nil"/>
              <w:right w:val="nil"/>
            </w:tcBorders>
            <w:shd w:val="clear" w:color="auto" w:fill="auto"/>
            <w:noWrap/>
            <w:vAlign w:val="center"/>
            <w:hideMark/>
          </w:tcPr>
          <w:p w14:paraId="5AB0ECA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60E8D171" w14:textId="77777777" w:rsidTr="00AB1828">
        <w:trPr>
          <w:trHeight w:val="360"/>
        </w:trPr>
        <w:tc>
          <w:tcPr>
            <w:tcW w:w="861" w:type="dxa"/>
            <w:tcBorders>
              <w:top w:val="nil"/>
              <w:left w:val="nil"/>
              <w:bottom w:val="nil"/>
              <w:right w:val="nil"/>
            </w:tcBorders>
            <w:shd w:val="clear" w:color="auto" w:fill="auto"/>
            <w:noWrap/>
            <w:vAlign w:val="center"/>
            <w:hideMark/>
          </w:tcPr>
          <w:p w14:paraId="7C95EC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NCT02285413</w:t>
            </w:r>
          </w:p>
        </w:tc>
        <w:tc>
          <w:tcPr>
            <w:tcW w:w="1354" w:type="dxa"/>
            <w:tcBorders>
              <w:top w:val="nil"/>
              <w:left w:val="nil"/>
              <w:bottom w:val="nil"/>
              <w:right w:val="nil"/>
            </w:tcBorders>
            <w:shd w:val="clear" w:color="auto" w:fill="auto"/>
            <w:noWrap/>
            <w:vAlign w:val="center"/>
            <w:hideMark/>
          </w:tcPr>
          <w:p w14:paraId="1E9BF3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Platin-based Chemotherapeutics to Enhance Dendritic Cell Vaccine Efficacy in Melanoma Patients</w:t>
            </w:r>
          </w:p>
        </w:tc>
        <w:tc>
          <w:tcPr>
            <w:tcW w:w="1483" w:type="dxa"/>
            <w:tcBorders>
              <w:top w:val="nil"/>
              <w:left w:val="nil"/>
              <w:bottom w:val="nil"/>
              <w:right w:val="nil"/>
            </w:tcBorders>
            <w:shd w:val="clear" w:color="auto" w:fill="auto"/>
            <w:noWrap/>
            <w:vAlign w:val="center"/>
            <w:hideMark/>
          </w:tcPr>
          <w:p w14:paraId="5FD78B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6B1619D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an exploratory study and the primary objective is the immunogenicity and feasibility of combined chemotherapy-DC vaccination. The secondary objectives are the toxicity and clinical efficacy. This study will provide important data on the immunological efficacy of DC immunochemotherapy.</w:t>
            </w:r>
          </w:p>
        </w:tc>
        <w:tc>
          <w:tcPr>
            <w:tcW w:w="279" w:type="dxa"/>
            <w:tcBorders>
              <w:top w:val="nil"/>
              <w:left w:val="nil"/>
              <w:bottom w:val="nil"/>
              <w:right w:val="nil"/>
            </w:tcBorders>
            <w:shd w:val="clear" w:color="auto" w:fill="auto"/>
            <w:noWrap/>
            <w:vAlign w:val="center"/>
            <w:hideMark/>
          </w:tcPr>
          <w:p w14:paraId="49EAAE4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B2C3A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7ABDB1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DC vaccination|BIOLOGICAL: DC vaccination with cisplatinum</w:t>
            </w:r>
          </w:p>
        </w:tc>
        <w:tc>
          <w:tcPr>
            <w:tcW w:w="1152" w:type="dxa"/>
            <w:tcBorders>
              <w:top w:val="nil"/>
              <w:left w:val="nil"/>
              <w:bottom w:val="nil"/>
              <w:right w:val="nil"/>
            </w:tcBorders>
            <w:shd w:val="clear" w:color="auto" w:fill="auto"/>
            <w:noWrap/>
            <w:vAlign w:val="center"/>
            <w:hideMark/>
          </w:tcPr>
          <w:p w14:paraId="5A47466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7B6524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724773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3A1FB9C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01/02/2011</w:t>
            </w:r>
          </w:p>
        </w:tc>
        <w:tc>
          <w:tcPr>
            <w:tcW w:w="766" w:type="dxa"/>
            <w:tcBorders>
              <w:top w:val="nil"/>
              <w:left w:val="nil"/>
              <w:bottom w:val="nil"/>
              <w:right w:val="nil"/>
            </w:tcBorders>
            <w:shd w:val="clear" w:color="auto" w:fill="auto"/>
            <w:noWrap/>
            <w:vAlign w:val="center"/>
            <w:hideMark/>
          </w:tcPr>
          <w:p w14:paraId="6E26C88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67DC4E57" w14:textId="77777777" w:rsidTr="00AB1828">
        <w:trPr>
          <w:trHeight w:val="360"/>
        </w:trPr>
        <w:tc>
          <w:tcPr>
            <w:tcW w:w="861" w:type="dxa"/>
            <w:tcBorders>
              <w:top w:val="nil"/>
              <w:left w:val="nil"/>
              <w:bottom w:val="nil"/>
              <w:right w:val="nil"/>
            </w:tcBorders>
            <w:shd w:val="clear" w:color="auto" w:fill="auto"/>
            <w:noWrap/>
            <w:vAlign w:val="center"/>
            <w:hideMark/>
          </w:tcPr>
          <w:p w14:paraId="5EB7BE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NCT01197625</w:t>
            </w:r>
          </w:p>
        </w:tc>
        <w:tc>
          <w:tcPr>
            <w:tcW w:w="1354" w:type="dxa"/>
            <w:tcBorders>
              <w:top w:val="nil"/>
              <w:left w:val="nil"/>
              <w:bottom w:val="nil"/>
              <w:right w:val="nil"/>
            </w:tcBorders>
            <w:shd w:val="clear" w:color="auto" w:fill="auto"/>
            <w:noWrap/>
            <w:vAlign w:val="center"/>
            <w:hideMark/>
          </w:tcPr>
          <w:p w14:paraId="4A172E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Vaccine Therapy in Curative Resected Prostate Cancer Patients</w:t>
            </w:r>
          </w:p>
        </w:tc>
        <w:tc>
          <w:tcPr>
            <w:tcW w:w="1483" w:type="dxa"/>
            <w:tcBorders>
              <w:top w:val="nil"/>
              <w:left w:val="nil"/>
              <w:bottom w:val="nil"/>
              <w:right w:val="nil"/>
            </w:tcBorders>
            <w:shd w:val="clear" w:color="auto" w:fill="auto"/>
            <w:noWrap/>
            <w:vAlign w:val="center"/>
            <w:hideMark/>
          </w:tcPr>
          <w:p w14:paraId="765FAC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ACTIVE_NOT_RECRUITING</w:t>
            </w:r>
          </w:p>
        </w:tc>
        <w:tc>
          <w:tcPr>
            <w:tcW w:w="1689" w:type="dxa"/>
            <w:tcBorders>
              <w:top w:val="nil"/>
              <w:left w:val="nil"/>
              <w:bottom w:val="nil"/>
              <w:right w:val="nil"/>
            </w:tcBorders>
            <w:shd w:val="clear" w:color="auto" w:fill="auto"/>
            <w:noWrap/>
            <w:vAlign w:val="center"/>
            <w:hideMark/>
          </w:tcPr>
          <w:p w14:paraId="4F5E409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In this study the investigators will include patients with high risk of PSA relapse scheduled to receive curative surgical treatment. This include patients with high Gleason score (9-10) or micrometastatic disease (tumor cells detected in specimens obtained from bone marrow). They are </w:t>
            </w:r>
            <w:r w:rsidRPr="000A6EBE">
              <w:rPr>
                <w:rFonts w:ascii="Aptos Narrow" w:eastAsia="Times New Roman" w:hAnsi="Aptos Narrow"/>
                <w:color w:val="000000"/>
                <w:sz w:val="16"/>
                <w:szCs w:val="16"/>
                <w:lang w:val="en-HK" w:eastAsia="zh-CN"/>
              </w:rPr>
              <w:lastRenderedPageBreak/>
              <w:t>scheduled for regular follow-ups with PSA measurements. We have previously published that some patients with metastatic prostate cancer may respond to DC-vaccination with tumor mRNA, with a decrease in PSA. PSA response is related to immunological response. Patients receiving DC-vaccination may have a reduced risk of PSA relapse or increased time to PSA relapse. Previous experience with different DC-vaccine protocols in our hospital has resulted in only minor side-effects (grade 1-2 fever, rubor, fatigue, local swelling or pain).</w:t>
            </w:r>
          </w:p>
        </w:tc>
        <w:tc>
          <w:tcPr>
            <w:tcW w:w="279" w:type="dxa"/>
            <w:tcBorders>
              <w:top w:val="nil"/>
              <w:left w:val="nil"/>
              <w:bottom w:val="nil"/>
              <w:right w:val="nil"/>
            </w:tcBorders>
            <w:shd w:val="clear" w:color="auto" w:fill="auto"/>
            <w:noWrap/>
            <w:vAlign w:val="center"/>
            <w:hideMark/>
          </w:tcPr>
          <w:p w14:paraId="6DE020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A511A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w:t>
            </w:r>
          </w:p>
        </w:tc>
        <w:tc>
          <w:tcPr>
            <w:tcW w:w="1574" w:type="dxa"/>
            <w:tcBorders>
              <w:top w:val="nil"/>
              <w:left w:val="nil"/>
              <w:bottom w:val="nil"/>
              <w:right w:val="nil"/>
            </w:tcBorders>
            <w:shd w:val="clear" w:color="auto" w:fill="auto"/>
            <w:noWrap/>
            <w:vAlign w:val="center"/>
            <w:hideMark/>
          </w:tcPr>
          <w:p w14:paraId="24681D9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 vaccine</w:t>
            </w:r>
          </w:p>
        </w:tc>
        <w:tc>
          <w:tcPr>
            <w:tcW w:w="1152" w:type="dxa"/>
            <w:tcBorders>
              <w:top w:val="nil"/>
              <w:left w:val="nil"/>
              <w:bottom w:val="nil"/>
              <w:right w:val="nil"/>
            </w:tcBorders>
            <w:shd w:val="clear" w:color="auto" w:fill="auto"/>
            <w:noWrap/>
            <w:vAlign w:val="center"/>
            <w:hideMark/>
          </w:tcPr>
          <w:p w14:paraId="49438F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Oslo University Hospital</w:t>
            </w:r>
          </w:p>
        </w:tc>
        <w:tc>
          <w:tcPr>
            <w:tcW w:w="1006" w:type="dxa"/>
            <w:tcBorders>
              <w:top w:val="nil"/>
              <w:left w:val="nil"/>
              <w:bottom w:val="nil"/>
              <w:right w:val="nil"/>
            </w:tcBorders>
            <w:shd w:val="clear" w:color="auto" w:fill="auto"/>
            <w:noWrap/>
            <w:vAlign w:val="center"/>
            <w:hideMark/>
          </w:tcPr>
          <w:p w14:paraId="3FF57D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47CECC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38A54C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01/09/2010</w:t>
            </w:r>
          </w:p>
        </w:tc>
        <w:tc>
          <w:tcPr>
            <w:tcW w:w="766" w:type="dxa"/>
            <w:tcBorders>
              <w:top w:val="nil"/>
              <w:left w:val="nil"/>
              <w:bottom w:val="nil"/>
              <w:right w:val="nil"/>
            </w:tcBorders>
            <w:shd w:val="clear" w:color="auto" w:fill="auto"/>
            <w:noWrap/>
            <w:vAlign w:val="center"/>
            <w:hideMark/>
          </w:tcPr>
          <w:p w14:paraId="4CE427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6F5AC615" w14:textId="77777777" w:rsidTr="00AB1828">
        <w:trPr>
          <w:trHeight w:val="360"/>
        </w:trPr>
        <w:tc>
          <w:tcPr>
            <w:tcW w:w="861" w:type="dxa"/>
            <w:tcBorders>
              <w:top w:val="nil"/>
              <w:left w:val="nil"/>
              <w:bottom w:val="nil"/>
              <w:right w:val="nil"/>
            </w:tcBorders>
            <w:shd w:val="clear" w:color="auto" w:fill="auto"/>
            <w:noWrap/>
            <w:vAlign w:val="center"/>
            <w:hideMark/>
          </w:tcPr>
          <w:p w14:paraId="09B655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NCT01186328</w:t>
            </w:r>
          </w:p>
        </w:tc>
        <w:tc>
          <w:tcPr>
            <w:tcW w:w="1354" w:type="dxa"/>
            <w:tcBorders>
              <w:top w:val="nil"/>
              <w:left w:val="nil"/>
              <w:bottom w:val="nil"/>
              <w:right w:val="nil"/>
            </w:tcBorders>
            <w:shd w:val="clear" w:color="auto" w:fill="auto"/>
            <w:noWrap/>
            <w:vAlign w:val="center"/>
            <w:hideMark/>
          </w:tcPr>
          <w:p w14:paraId="330DCAD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EZN-3042 Administered With Re-induction Chemotherapy in Children With Relapsed Acute Lymphoblastic Leukemia (ALL)</w:t>
            </w:r>
          </w:p>
        </w:tc>
        <w:tc>
          <w:tcPr>
            <w:tcW w:w="1483" w:type="dxa"/>
            <w:tcBorders>
              <w:top w:val="nil"/>
              <w:left w:val="nil"/>
              <w:bottom w:val="nil"/>
              <w:right w:val="nil"/>
            </w:tcBorders>
            <w:shd w:val="clear" w:color="auto" w:fill="auto"/>
            <w:noWrap/>
            <w:vAlign w:val="center"/>
            <w:hideMark/>
          </w:tcPr>
          <w:p w14:paraId="332A69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7D26C81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An experimental drug called EZN-3042 targets survivin, a protein expressed in leukemia cells at relapse that promotes the leukemia cells to </w:t>
            </w:r>
            <w:r w:rsidRPr="000A6EBE">
              <w:rPr>
                <w:rFonts w:ascii="Aptos Narrow" w:eastAsia="Times New Roman" w:hAnsi="Aptos Narrow"/>
                <w:color w:val="000000"/>
                <w:sz w:val="16"/>
                <w:szCs w:val="16"/>
                <w:lang w:val="en-HK" w:eastAsia="zh-CN"/>
              </w:rPr>
              <w:lastRenderedPageBreak/>
              <w:t>grow. The main goal of this phase I study is to find out the dose of EZN-3042 that can be safely given without serious side effects both alone and in combination with standard chemotherapy drugs during re-induction.</w:t>
            </w:r>
          </w:p>
        </w:tc>
        <w:tc>
          <w:tcPr>
            <w:tcW w:w="279" w:type="dxa"/>
            <w:tcBorders>
              <w:top w:val="nil"/>
              <w:left w:val="nil"/>
              <w:bottom w:val="nil"/>
              <w:right w:val="nil"/>
            </w:tcBorders>
            <w:shd w:val="clear" w:color="auto" w:fill="auto"/>
            <w:noWrap/>
            <w:vAlign w:val="center"/>
            <w:hideMark/>
          </w:tcPr>
          <w:p w14:paraId="53D69A5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YES</w:t>
            </w:r>
          </w:p>
        </w:tc>
        <w:tc>
          <w:tcPr>
            <w:tcW w:w="2048" w:type="dxa"/>
            <w:tcBorders>
              <w:top w:val="nil"/>
              <w:left w:val="nil"/>
              <w:bottom w:val="nil"/>
              <w:right w:val="nil"/>
            </w:tcBorders>
            <w:shd w:val="clear" w:color="auto" w:fill="auto"/>
            <w:noWrap/>
            <w:vAlign w:val="center"/>
            <w:hideMark/>
          </w:tcPr>
          <w:p w14:paraId="6AEC6E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Lymphoblastic Leukemia, Acute|Lymphoblastic Leukemia, Acute, Childhood|Leukemia, Lymphoblastic, Acute, T Cell|Leukemia, Lymphoblastic, Acute</w:t>
            </w:r>
          </w:p>
        </w:tc>
        <w:tc>
          <w:tcPr>
            <w:tcW w:w="1574" w:type="dxa"/>
            <w:tcBorders>
              <w:top w:val="nil"/>
              <w:left w:val="nil"/>
              <w:bottom w:val="nil"/>
              <w:right w:val="nil"/>
            </w:tcBorders>
            <w:shd w:val="clear" w:color="auto" w:fill="auto"/>
            <w:noWrap/>
            <w:vAlign w:val="center"/>
            <w:hideMark/>
          </w:tcPr>
          <w:p w14:paraId="0B673F3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DRUG: EZN-3042|DRUG: Cytarabine|DRUG: Doxorubicin|DRUG: Prednisone|DRUG: Vincristine|DRUG: PEG-asparaginase|DRUG: </w:t>
            </w:r>
            <w:r w:rsidRPr="000A6EBE">
              <w:rPr>
                <w:rFonts w:ascii="Aptos Narrow" w:eastAsia="Times New Roman" w:hAnsi="Aptos Narrow"/>
                <w:color w:val="000000"/>
                <w:sz w:val="16"/>
                <w:szCs w:val="16"/>
                <w:lang w:val="en-HK" w:eastAsia="zh-CN"/>
              </w:rPr>
              <w:lastRenderedPageBreak/>
              <w:t>Methotrexate|DRUG: Hydrocortisone</w:t>
            </w:r>
          </w:p>
        </w:tc>
        <w:tc>
          <w:tcPr>
            <w:tcW w:w="1152" w:type="dxa"/>
            <w:tcBorders>
              <w:top w:val="nil"/>
              <w:left w:val="nil"/>
              <w:bottom w:val="nil"/>
              <w:right w:val="nil"/>
            </w:tcBorders>
            <w:shd w:val="clear" w:color="auto" w:fill="auto"/>
            <w:noWrap/>
            <w:vAlign w:val="center"/>
            <w:hideMark/>
          </w:tcPr>
          <w:p w14:paraId="12F16D9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Therapeutic Advances in Childhood Leukemia Consortium</w:t>
            </w:r>
          </w:p>
        </w:tc>
        <w:tc>
          <w:tcPr>
            <w:tcW w:w="1006" w:type="dxa"/>
            <w:tcBorders>
              <w:top w:val="nil"/>
              <w:left w:val="nil"/>
              <w:bottom w:val="nil"/>
              <w:right w:val="nil"/>
            </w:tcBorders>
            <w:shd w:val="clear" w:color="auto" w:fill="auto"/>
            <w:noWrap/>
            <w:vAlign w:val="center"/>
            <w:hideMark/>
          </w:tcPr>
          <w:p w14:paraId="5306D5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4846364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89C285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24/08/2010</w:t>
            </w:r>
          </w:p>
        </w:tc>
        <w:tc>
          <w:tcPr>
            <w:tcW w:w="766" w:type="dxa"/>
            <w:tcBorders>
              <w:top w:val="nil"/>
              <w:left w:val="nil"/>
              <w:bottom w:val="nil"/>
              <w:right w:val="nil"/>
            </w:tcBorders>
            <w:shd w:val="clear" w:color="auto" w:fill="auto"/>
            <w:noWrap/>
            <w:vAlign w:val="center"/>
            <w:hideMark/>
          </w:tcPr>
          <w:p w14:paraId="29C46B7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45E8FC3" w14:textId="77777777" w:rsidTr="00AB1828">
        <w:trPr>
          <w:trHeight w:val="360"/>
        </w:trPr>
        <w:tc>
          <w:tcPr>
            <w:tcW w:w="861" w:type="dxa"/>
            <w:tcBorders>
              <w:top w:val="nil"/>
              <w:left w:val="nil"/>
              <w:bottom w:val="nil"/>
              <w:right w:val="nil"/>
            </w:tcBorders>
            <w:shd w:val="clear" w:color="auto" w:fill="auto"/>
            <w:noWrap/>
            <w:vAlign w:val="center"/>
            <w:hideMark/>
          </w:tcPr>
          <w:p w14:paraId="086E136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NCT01291420</w:t>
            </w:r>
          </w:p>
        </w:tc>
        <w:tc>
          <w:tcPr>
            <w:tcW w:w="1354" w:type="dxa"/>
            <w:tcBorders>
              <w:top w:val="nil"/>
              <w:left w:val="nil"/>
              <w:bottom w:val="nil"/>
              <w:right w:val="nil"/>
            </w:tcBorders>
            <w:shd w:val="clear" w:color="auto" w:fill="auto"/>
            <w:noWrap/>
            <w:vAlign w:val="center"/>
            <w:hideMark/>
          </w:tcPr>
          <w:p w14:paraId="01EA64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Cell Vaccination for Patients With Solid Tumors</w:t>
            </w:r>
          </w:p>
        </w:tc>
        <w:tc>
          <w:tcPr>
            <w:tcW w:w="1483" w:type="dxa"/>
            <w:tcBorders>
              <w:top w:val="nil"/>
              <w:left w:val="nil"/>
              <w:bottom w:val="nil"/>
              <w:right w:val="nil"/>
            </w:tcBorders>
            <w:shd w:val="clear" w:color="auto" w:fill="auto"/>
            <w:noWrap/>
            <w:vAlign w:val="center"/>
            <w:hideMark/>
          </w:tcPr>
          <w:p w14:paraId="182DC4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2EDD8F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aim of this study is to evaluate the immunogenicity and clinical efficacy of intradermal vaccination with autologous RNA-modified dendritic cells (DCs) - engineered to express the WT1 protein - in patients with limited spread metastatic solid tumors, i.e. breast cancers, glioblastoma grade IV, sarcomas, malignant mesothelioma and colorectal tumors. Based on the results of our previously performed phase I study with </w:t>
            </w:r>
            <w:r w:rsidRPr="000A6EBE">
              <w:rPr>
                <w:rFonts w:ascii="Aptos Narrow" w:eastAsia="Times New Roman" w:hAnsi="Aptos Narrow"/>
                <w:color w:val="000000"/>
                <w:sz w:val="16"/>
                <w:szCs w:val="16"/>
                <w:lang w:val="en-HK" w:eastAsia="zh-CN"/>
              </w:rPr>
              <w:lastRenderedPageBreak/>
              <w:t>autologous WT1 mRNA-transfected DC, the investigators hypothesize that the vaccination with DC will be well-tolerated and will result in an increase in WT1-specific CD8+ T cell responses.</w:t>
            </w:r>
          </w:p>
        </w:tc>
        <w:tc>
          <w:tcPr>
            <w:tcW w:w="279" w:type="dxa"/>
            <w:tcBorders>
              <w:top w:val="nil"/>
              <w:left w:val="nil"/>
              <w:bottom w:val="nil"/>
              <w:right w:val="nil"/>
            </w:tcBorders>
            <w:shd w:val="clear" w:color="auto" w:fill="auto"/>
            <w:noWrap/>
            <w:vAlign w:val="center"/>
            <w:hideMark/>
          </w:tcPr>
          <w:p w14:paraId="04D48D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9487B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Glioblastoma|Renal Cell Carcinoma|Sarcomas|Breast Cancers|Malignant Mesothelioma|Colorectal Tumors</w:t>
            </w:r>
          </w:p>
        </w:tc>
        <w:tc>
          <w:tcPr>
            <w:tcW w:w="1574" w:type="dxa"/>
            <w:tcBorders>
              <w:top w:val="nil"/>
              <w:left w:val="nil"/>
              <w:bottom w:val="nil"/>
              <w:right w:val="nil"/>
            </w:tcBorders>
            <w:shd w:val="clear" w:color="auto" w:fill="auto"/>
            <w:noWrap/>
            <w:vAlign w:val="center"/>
            <w:hideMark/>
          </w:tcPr>
          <w:p w14:paraId="1CB3C6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 vaccination</w:t>
            </w:r>
          </w:p>
        </w:tc>
        <w:tc>
          <w:tcPr>
            <w:tcW w:w="1152" w:type="dxa"/>
            <w:tcBorders>
              <w:top w:val="nil"/>
              <w:left w:val="nil"/>
              <w:bottom w:val="nil"/>
              <w:right w:val="nil"/>
            </w:tcBorders>
            <w:shd w:val="clear" w:color="auto" w:fill="auto"/>
            <w:noWrap/>
            <w:vAlign w:val="center"/>
            <w:hideMark/>
          </w:tcPr>
          <w:p w14:paraId="37D169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Antwerp</w:t>
            </w:r>
          </w:p>
        </w:tc>
        <w:tc>
          <w:tcPr>
            <w:tcW w:w="1006" w:type="dxa"/>
            <w:tcBorders>
              <w:top w:val="nil"/>
              <w:left w:val="nil"/>
              <w:bottom w:val="nil"/>
              <w:right w:val="nil"/>
            </w:tcBorders>
            <w:shd w:val="clear" w:color="auto" w:fill="auto"/>
            <w:noWrap/>
            <w:vAlign w:val="center"/>
            <w:hideMark/>
          </w:tcPr>
          <w:p w14:paraId="77D285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6263D2E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A9EC20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03/05/2010</w:t>
            </w:r>
          </w:p>
        </w:tc>
        <w:tc>
          <w:tcPr>
            <w:tcW w:w="766" w:type="dxa"/>
            <w:tcBorders>
              <w:top w:val="nil"/>
              <w:left w:val="nil"/>
              <w:bottom w:val="nil"/>
              <w:right w:val="nil"/>
            </w:tcBorders>
            <w:shd w:val="clear" w:color="auto" w:fill="auto"/>
            <w:noWrap/>
            <w:vAlign w:val="center"/>
            <w:hideMark/>
          </w:tcPr>
          <w:p w14:paraId="278780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61D12993" w14:textId="77777777" w:rsidTr="00AB1828">
        <w:trPr>
          <w:trHeight w:val="360"/>
        </w:trPr>
        <w:tc>
          <w:tcPr>
            <w:tcW w:w="861" w:type="dxa"/>
            <w:tcBorders>
              <w:top w:val="nil"/>
              <w:left w:val="nil"/>
              <w:bottom w:val="nil"/>
              <w:right w:val="nil"/>
            </w:tcBorders>
            <w:shd w:val="clear" w:color="auto" w:fill="auto"/>
            <w:noWrap/>
            <w:vAlign w:val="center"/>
            <w:hideMark/>
          </w:tcPr>
          <w:p w14:paraId="0ABDD53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NCT01530698</w:t>
            </w:r>
          </w:p>
        </w:tc>
        <w:tc>
          <w:tcPr>
            <w:tcW w:w="1354" w:type="dxa"/>
            <w:tcBorders>
              <w:top w:val="nil"/>
              <w:left w:val="nil"/>
              <w:bottom w:val="nil"/>
              <w:right w:val="nil"/>
            </w:tcBorders>
            <w:shd w:val="clear" w:color="auto" w:fill="auto"/>
            <w:noWrap/>
            <w:vAlign w:val="center"/>
            <w:hideMark/>
          </w:tcPr>
          <w:p w14:paraId="2FA8E98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Single-step Antigen Loading and TLR Activation of Dendritic Cells in Melanoma Patients</w:t>
            </w:r>
          </w:p>
        </w:tc>
        <w:tc>
          <w:tcPr>
            <w:tcW w:w="1483" w:type="dxa"/>
            <w:tcBorders>
              <w:top w:val="nil"/>
              <w:left w:val="nil"/>
              <w:bottom w:val="nil"/>
              <w:right w:val="nil"/>
            </w:tcBorders>
            <w:shd w:val="clear" w:color="auto" w:fill="auto"/>
            <w:noWrap/>
            <w:vAlign w:val="center"/>
            <w:hideMark/>
          </w:tcPr>
          <w:p w14:paraId="7E14D9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00DE94D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Objectives: This is an exploratory study, consisting of two parts. In part I dose escalation is performed and the primary objective is the safety of different doses of TLR-DC and Trimix DC. In part II Trimix DC vaccination will be compared with TLR-DC vaccination and the primary objective of this part is the immunological response, with toxicity and clinical efficacy being secondary objectives. These studies will provide important data on the safety and immunological effects of TLR-DC and Trimix DC.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lastRenderedPageBreak/>
              <w:t>Study design: Part I of this study is an open label dose escalation study. Part II of this study is an open label randomized phase II study.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Study population: Our study population consists of melanoma patients, with proven expression of melanoma associated tumor antigens gp100 and tyrosinase. Melanoma patients with regional lymph node metastasis in whom a radical lymph node dissection is performed within 2 months of inclusion in this study (further referred to as stage III) and melanoma patients with measurable distant metastases (further referred to as stage IV) will be included.</w:t>
            </w:r>
          </w:p>
        </w:tc>
        <w:tc>
          <w:tcPr>
            <w:tcW w:w="279" w:type="dxa"/>
            <w:tcBorders>
              <w:top w:val="nil"/>
              <w:left w:val="nil"/>
              <w:bottom w:val="nil"/>
              <w:right w:val="nil"/>
            </w:tcBorders>
            <w:shd w:val="clear" w:color="auto" w:fill="auto"/>
            <w:noWrap/>
            <w:vAlign w:val="center"/>
            <w:hideMark/>
          </w:tcPr>
          <w:p w14:paraId="75FFA4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B46C67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1539C7B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 vaccine|BIOLOGICAL: autologous dendritic cell vaccine</w:t>
            </w:r>
          </w:p>
        </w:tc>
        <w:tc>
          <w:tcPr>
            <w:tcW w:w="1152" w:type="dxa"/>
            <w:tcBorders>
              <w:top w:val="nil"/>
              <w:left w:val="nil"/>
              <w:bottom w:val="nil"/>
              <w:right w:val="nil"/>
            </w:tcBorders>
            <w:shd w:val="clear" w:color="auto" w:fill="auto"/>
            <w:noWrap/>
            <w:vAlign w:val="center"/>
            <w:hideMark/>
          </w:tcPr>
          <w:p w14:paraId="64B049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5A0BCA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11538F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DA4756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01/04/2010</w:t>
            </w:r>
          </w:p>
        </w:tc>
        <w:tc>
          <w:tcPr>
            <w:tcW w:w="766" w:type="dxa"/>
            <w:tcBorders>
              <w:top w:val="nil"/>
              <w:left w:val="nil"/>
              <w:bottom w:val="nil"/>
              <w:right w:val="nil"/>
            </w:tcBorders>
            <w:shd w:val="clear" w:color="auto" w:fill="auto"/>
            <w:noWrap/>
            <w:vAlign w:val="center"/>
            <w:hideMark/>
          </w:tcPr>
          <w:p w14:paraId="39392F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218254CB" w14:textId="77777777" w:rsidTr="00AB1828">
        <w:trPr>
          <w:trHeight w:val="360"/>
        </w:trPr>
        <w:tc>
          <w:tcPr>
            <w:tcW w:w="861" w:type="dxa"/>
            <w:tcBorders>
              <w:top w:val="nil"/>
              <w:left w:val="nil"/>
              <w:bottom w:val="nil"/>
              <w:right w:val="nil"/>
            </w:tcBorders>
            <w:shd w:val="clear" w:color="auto" w:fill="auto"/>
            <w:noWrap/>
            <w:vAlign w:val="center"/>
            <w:hideMark/>
          </w:tcPr>
          <w:p w14:paraId="3034D5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NCT00965224</w:t>
            </w:r>
          </w:p>
        </w:tc>
        <w:tc>
          <w:tcPr>
            <w:tcW w:w="1354" w:type="dxa"/>
            <w:tcBorders>
              <w:top w:val="nil"/>
              <w:left w:val="nil"/>
              <w:bottom w:val="nil"/>
              <w:right w:val="nil"/>
            </w:tcBorders>
            <w:shd w:val="clear" w:color="auto" w:fill="auto"/>
            <w:noWrap/>
            <w:vAlign w:val="center"/>
            <w:hideMark/>
          </w:tcPr>
          <w:p w14:paraId="75F06F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Efficacy of Dendritic Cell Therapy for Myeloid </w:t>
            </w:r>
            <w:r w:rsidRPr="000A6EBE">
              <w:rPr>
                <w:rFonts w:ascii="Aptos Narrow" w:eastAsia="Times New Roman" w:hAnsi="Aptos Narrow"/>
                <w:color w:val="000000"/>
                <w:sz w:val="16"/>
                <w:szCs w:val="16"/>
                <w:lang w:val="en-HK" w:eastAsia="zh-CN"/>
              </w:rPr>
              <w:lastRenderedPageBreak/>
              <w:t>Leukemia and Myeloma</w:t>
            </w:r>
          </w:p>
        </w:tc>
        <w:tc>
          <w:tcPr>
            <w:tcW w:w="1483" w:type="dxa"/>
            <w:tcBorders>
              <w:top w:val="nil"/>
              <w:left w:val="nil"/>
              <w:bottom w:val="nil"/>
              <w:right w:val="nil"/>
            </w:tcBorders>
            <w:shd w:val="clear" w:color="auto" w:fill="auto"/>
            <w:noWrap/>
            <w:vAlign w:val="center"/>
            <w:hideMark/>
          </w:tcPr>
          <w:p w14:paraId="23FE5B4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UNKNOWN</w:t>
            </w:r>
          </w:p>
        </w:tc>
        <w:tc>
          <w:tcPr>
            <w:tcW w:w="1689" w:type="dxa"/>
            <w:tcBorders>
              <w:top w:val="nil"/>
              <w:left w:val="nil"/>
              <w:bottom w:val="nil"/>
              <w:right w:val="nil"/>
            </w:tcBorders>
            <w:shd w:val="clear" w:color="auto" w:fill="auto"/>
            <w:noWrap/>
            <w:vAlign w:val="center"/>
            <w:hideMark/>
          </w:tcPr>
          <w:p w14:paraId="6FFF743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Dendritic cell therapy is a promising strategy for </w:t>
            </w:r>
            <w:r w:rsidRPr="000A6EBE">
              <w:rPr>
                <w:rFonts w:ascii="Aptos Narrow" w:eastAsia="Times New Roman" w:hAnsi="Aptos Narrow"/>
                <w:color w:val="000000"/>
                <w:sz w:val="16"/>
                <w:szCs w:val="16"/>
                <w:lang w:val="en-HK" w:eastAsia="zh-CN"/>
              </w:rPr>
              <w:lastRenderedPageBreak/>
              <w:t xml:space="preserve">adjuvant cancer therapy in the setting of minimal residual disease (MRD) to fight off cancer relapse and/or progression. The investigators already performed a phase I safety study in leukemia patients that were in complete remission demonstrating the absence of side effects and feasibility of the therapy. Here, the investigators want to extend on this strategy by studying the clinical efficacy of autologous DC vaccination in patients with acute and chronic myeloid leukemia and myeloma patients. Effects of DC therapy on the immune reactivity towards leukemia cells as well as clinical parameters such molecular MRD monitoring, time to relapse (TTR), progression-free survival (PFS) and overall survival(OS) will </w:t>
            </w:r>
            <w:r w:rsidRPr="000A6EBE">
              <w:rPr>
                <w:rFonts w:ascii="Aptos Narrow" w:eastAsia="Times New Roman" w:hAnsi="Aptos Narrow"/>
                <w:color w:val="000000"/>
                <w:sz w:val="16"/>
                <w:szCs w:val="16"/>
                <w:lang w:val="en-HK" w:eastAsia="zh-CN"/>
              </w:rPr>
              <w:lastRenderedPageBreak/>
              <w:t>be studied in vaccinated and non-vaccinated (control) patients. Patients will be vaccinated using their own dendritic cells electroporated with mRNA coding for the full-length Wilms' tumor antigen WT1.</w:t>
            </w:r>
          </w:p>
        </w:tc>
        <w:tc>
          <w:tcPr>
            <w:tcW w:w="279" w:type="dxa"/>
            <w:tcBorders>
              <w:top w:val="nil"/>
              <w:left w:val="nil"/>
              <w:bottom w:val="nil"/>
              <w:right w:val="nil"/>
            </w:tcBorders>
            <w:shd w:val="clear" w:color="auto" w:fill="auto"/>
            <w:noWrap/>
            <w:vAlign w:val="center"/>
            <w:hideMark/>
          </w:tcPr>
          <w:p w14:paraId="361B98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BB4BF3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Acute Myeloid Leukemia|Chronic Myeloid Leukemia|Multiple Myeloma</w:t>
            </w:r>
          </w:p>
        </w:tc>
        <w:tc>
          <w:tcPr>
            <w:tcW w:w="1574" w:type="dxa"/>
            <w:tcBorders>
              <w:top w:val="nil"/>
              <w:left w:val="nil"/>
              <w:bottom w:val="nil"/>
              <w:right w:val="nil"/>
            </w:tcBorders>
            <w:shd w:val="clear" w:color="auto" w:fill="auto"/>
            <w:noWrap/>
            <w:vAlign w:val="center"/>
            <w:hideMark/>
          </w:tcPr>
          <w:p w14:paraId="401834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BIOLOGICAL: dendritic cell vaccination (active </w:t>
            </w:r>
            <w:r w:rsidRPr="000A6EBE">
              <w:rPr>
                <w:rFonts w:ascii="Aptos Narrow" w:eastAsia="Times New Roman" w:hAnsi="Aptos Narrow"/>
                <w:color w:val="000000"/>
                <w:sz w:val="16"/>
                <w:szCs w:val="16"/>
                <w:lang w:val="en-HK" w:eastAsia="zh-CN"/>
              </w:rPr>
              <w:lastRenderedPageBreak/>
              <w:t>specific immunotherapy)</w:t>
            </w:r>
          </w:p>
        </w:tc>
        <w:tc>
          <w:tcPr>
            <w:tcW w:w="1152" w:type="dxa"/>
            <w:tcBorders>
              <w:top w:val="nil"/>
              <w:left w:val="nil"/>
              <w:bottom w:val="nil"/>
              <w:right w:val="nil"/>
            </w:tcBorders>
            <w:shd w:val="clear" w:color="auto" w:fill="auto"/>
            <w:noWrap/>
            <w:vAlign w:val="center"/>
            <w:hideMark/>
          </w:tcPr>
          <w:p w14:paraId="7B9036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University Hospital, Antwerp</w:t>
            </w:r>
          </w:p>
        </w:tc>
        <w:tc>
          <w:tcPr>
            <w:tcW w:w="1006" w:type="dxa"/>
            <w:tcBorders>
              <w:top w:val="nil"/>
              <w:left w:val="nil"/>
              <w:bottom w:val="nil"/>
              <w:right w:val="nil"/>
            </w:tcBorders>
            <w:shd w:val="clear" w:color="auto" w:fill="auto"/>
            <w:noWrap/>
            <w:vAlign w:val="center"/>
            <w:hideMark/>
          </w:tcPr>
          <w:p w14:paraId="667B231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1CFDA21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9400E71"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01/01/2010</w:t>
            </w:r>
          </w:p>
        </w:tc>
        <w:tc>
          <w:tcPr>
            <w:tcW w:w="766" w:type="dxa"/>
            <w:tcBorders>
              <w:top w:val="nil"/>
              <w:left w:val="nil"/>
              <w:bottom w:val="nil"/>
              <w:right w:val="nil"/>
            </w:tcBorders>
            <w:shd w:val="clear" w:color="auto" w:fill="auto"/>
            <w:noWrap/>
            <w:vAlign w:val="center"/>
            <w:hideMark/>
          </w:tcPr>
          <w:p w14:paraId="3976E6D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650DE5D1" w14:textId="77777777" w:rsidTr="00AB1828">
        <w:trPr>
          <w:trHeight w:val="360"/>
        </w:trPr>
        <w:tc>
          <w:tcPr>
            <w:tcW w:w="861" w:type="dxa"/>
            <w:tcBorders>
              <w:top w:val="nil"/>
              <w:left w:val="nil"/>
              <w:bottom w:val="nil"/>
              <w:right w:val="nil"/>
            </w:tcBorders>
            <w:shd w:val="clear" w:color="auto" w:fill="auto"/>
            <w:noWrap/>
            <w:vAlign w:val="center"/>
            <w:hideMark/>
          </w:tcPr>
          <w:p w14:paraId="1FFBBA4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NCT01066390</w:t>
            </w:r>
          </w:p>
        </w:tc>
        <w:tc>
          <w:tcPr>
            <w:tcW w:w="1354" w:type="dxa"/>
            <w:tcBorders>
              <w:top w:val="nil"/>
              <w:left w:val="nil"/>
              <w:bottom w:val="nil"/>
              <w:right w:val="nil"/>
            </w:tcBorders>
            <w:shd w:val="clear" w:color="auto" w:fill="auto"/>
            <w:noWrap/>
            <w:vAlign w:val="center"/>
            <w:hideMark/>
          </w:tcPr>
          <w:p w14:paraId="1726EB8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on the Safety and Immunogenicity of Combined Intradermal and Intravenous Administration of an Autologous mRNA Electroporated Dendritic Cell Vaccine in Patients With Previously Treated Unresectable Stage III or IV Melanoma</w:t>
            </w:r>
          </w:p>
        </w:tc>
        <w:tc>
          <w:tcPr>
            <w:tcW w:w="1483" w:type="dxa"/>
            <w:tcBorders>
              <w:top w:val="nil"/>
              <w:left w:val="nil"/>
              <w:bottom w:val="nil"/>
              <w:right w:val="nil"/>
            </w:tcBorders>
            <w:shd w:val="clear" w:color="auto" w:fill="auto"/>
            <w:noWrap/>
            <w:vAlign w:val="center"/>
            <w:hideMark/>
          </w:tcPr>
          <w:p w14:paraId="4B272F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3967722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phase I study plan is divided in the following four phases: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Eligibility Screen Phase (week -4 to -1): Following written informed consent patients with metastatic melanoma (AJCC stage III/IV with unresectable disease) will undergo an eligibility screen (incl. blood analysis and PET/CT-scan).</w:t>
            </w:r>
            <w:r w:rsidRPr="000A6EBE">
              <w:rPr>
                <w:rFonts w:ascii="Aptos Narrow" w:eastAsia="Times New Roman" w:hAnsi="Aptos Narrow"/>
                <w:color w:val="000000"/>
                <w:sz w:val="16"/>
                <w:szCs w:val="16"/>
                <w:lang w:val="en-HK" w:eastAsia="zh-CN"/>
              </w:rPr>
              <w:br/>
              <w:t xml:space="preserve">* TriMix-DC Vaccine Manufacturing Phase (week I to IV): eligible patients will undergo a leucapheresis (15 liter of venous blood) for the preparation of autologous TriMix-DC </w:t>
            </w:r>
            <w:r w:rsidRPr="000A6EBE">
              <w:rPr>
                <w:rFonts w:ascii="Aptos Narrow" w:eastAsia="Times New Roman" w:hAnsi="Aptos Narrow"/>
                <w:color w:val="000000"/>
                <w:sz w:val="16"/>
                <w:szCs w:val="16"/>
                <w:lang w:val="en-HK" w:eastAsia="zh-CN"/>
              </w:rPr>
              <w:lastRenderedPageBreak/>
              <w:t>vaccine. Vaccine preparations will be manufactured and quality-controlled (during an interval of 4 weeks following the leucapheresis) and released for patient administration if the TriMix-DC preparation fulfills the predefined quality requirements.</w:t>
            </w:r>
            <w:r w:rsidRPr="000A6EBE">
              <w:rPr>
                <w:rFonts w:ascii="Aptos Narrow" w:eastAsia="Times New Roman" w:hAnsi="Aptos Narrow"/>
                <w:color w:val="000000"/>
                <w:sz w:val="16"/>
                <w:szCs w:val="16"/>
                <w:lang w:val="en-HK" w:eastAsia="zh-CN"/>
              </w:rPr>
              <w:br/>
              <w:t>* TriMix-DC Vaccine Administration Phase (Week 1 to 24): 4 weeks after the leucapheresis patients will initiate therapeutic vaccination with the TriMix-DC vaccine by IV and ID administration. The vaccines will be administered at 4 different visits that will be separated with an interval of 2 weeks. At each vaccination a total of 12.106 DC per antigen will be administered.</w:t>
            </w:r>
            <w:r w:rsidRPr="000A6EBE">
              <w:rPr>
                <w:rFonts w:ascii="Aptos Narrow" w:eastAsia="Times New Roman" w:hAnsi="Aptos Narrow"/>
                <w:color w:val="000000"/>
                <w:sz w:val="16"/>
                <w:szCs w:val="16"/>
                <w:lang w:val="en-HK" w:eastAsia="zh-CN"/>
              </w:rPr>
              <w:br/>
              <w:t>* Patients will be allocated to three different cohorts: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 The first cohort </w:t>
            </w:r>
            <w:r w:rsidRPr="000A6EBE">
              <w:rPr>
                <w:rFonts w:ascii="Aptos Narrow" w:eastAsia="Times New Roman" w:hAnsi="Aptos Narrow"/>
                <w:color w:val="000000"/>
                <w:sz w:val="16"/>
                <w:szCs w:val="16"/>
                <w:lang w:val="en-HK" w:eastAsia="zh-CN"/>
              </w:rPr>
              <w:lastRenderedPageBreak/>
              <w:t>will receive 10% of TriMix-DC by iv and 90% by id injection.</w:t>
            </w:r>
            <w:r w:rsidRPr="000A6EBE">
              <w:rPr>
                <w:rFonts w:ascii="Aptos Narrow" w:eastAsia="Times New Roman" w:hAnsi="Aptos Narrow"/>
                <w:color w:val="000000"/>
                <w:sz w:val="16"/>
                <w:szCs w:val="16"/>
                <w:lang w:val="en-HK" w:eastAsia="zh-CN"/>
              </w:rPr>
              <w:br/>
              <w:t xml:space="preserve">  * The second cohort 25% by iv and 75% by id injection.</w:t>
            </w:r>
            <w:r w:rsidRPr="000A6EBE">
              <w:rPr>
                <w:rFonts w:ascii="Aptos Narrow" w:eastAsia="Times New Roman" w:hAnsi="Aptos Narrow"/>
                <w:color w:val="000000"/>
                <w:sz w:val="16"/>
                <w:szCs w:val="16"/>
                <w:lang w:val="en-HK" w:eastAsia="zh-CN"/>
              </w:rPr>
              <w:br/>
              <w:t xml:space="preserve">  * The third cohort 50% by iv and 50% by id injection.</w:t>
            </w:r>
            <w:r w:rsidRPr="000A6EBE">
              <w:rPr>
                <w:rFonts w:ascii="Aptos Narrow" w:eastAsia="Times New Roman" w:hAnsi="Aptos Narrow"/>
                <w:color w:val="000000"/>
                <w:sz w:val="16"/>
                <w:szCs w:val="16"/>
                <w:lang w:val="en-HK" w:eastAsia="zh-CN"/>
              </w:rPr>
              <w:br/>
              <w:t>* During the week following the administration of the fourth vaccine (= week 8), a DTH-test and punch biopsy of the injection site will be performed as well as a second leucapheresis (for the purpose of immuno-monitoring) and tumor evaluation (by PET-CT).</w:t>
            </w:r>
            <w:r w:rsidRPr="000A6EBE">
              <w:rPr>
                <w:rFonts w:ascii="Aptos Narrow" w:eastAsia="Times New Roman" w:hAnsi="Aptos Narrow"/>
                <w:color w:val="000000"/>
                <w:sz w:val="16"/>
                <w:szCs w:val="16"/>
                <w:lang w:val="en-HK" w:eastAsia="zh-CN"/>
              </w:rPr>
              <w:br/>
              <w:t>* A fifth vaccine will be administered and a repeat tumor staging performed in week 16 (= 8w after the fourth vaccine).</w:t>
            </w:r>
            <w:r w:rsidRPr="000A6EBE">
              <w:rPr>
                <w:rFonts w:ascii="Aptos Narrow" w:eastAsia="Times New Roman" w:hAnsi="Aptos Narrow"/>
                <w:color w:val="000000"/>
                <w:sz w:val="16"/>
                <w:szCs w:val="16"/>
                <w:lang w:val="en-HK" w:eastAsia="zh-CN"/>
              </w:rPr>
              <w:br/>
              <w:t>* End of study visit: Patients will perform an "end of study visit" 8 weeks after the fifth vaccine (= week 24) as well as a new tumor evaluation (PET/CT).</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lastRenderedPageBreak/>
              <w:t>* Follow-up Phase: survival data will be obtained until 3 years after the initiation of vaccine therapy or the time of death.</w:t>
            </w:r>
          </w:p>
        </w:tc>
        <w:tc>
          <w:tcPr>
            <w:tcW w:w="279" w:type="dxa"/>
            <w:tcBorders>
              <w:top w:val="nil"/>
              <w:left w:val="nil"/>
              <w:bottom w:val="nil"/>
              <w:right w:val="nil"/>
            </w:tcBorders>
            <w:shd w:val="clear" w:color="auto" w:fill="auto"/>
            <w:noWrap/>
            <w:vAlign w:val="center"/>
            <w:hideMark/>
          </w:tcPr>
          <w:p w14:paraId="50939C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49F66B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0D98786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TriMix-DC</w:t>
            </w:r>
          </w:p>
        </w:tc>
        <w:tc>
          <w:tcPr>
            <w:tcW w:w="1152" w:type="dxa"/>
            <w:tcBorders>
              <w:top w:val="nil"/>
              <w:left w:val="nil"/>
              <w:bottom w:val="nil"/>
              <w:right w:val="nil"/>
            </w:tcBorders>
            <w:shd w:val="clear" w:color="auto" w:fill="auto"/>
            <w:noWrap/>
            <w:vAlign w:val="center"/>
            <w:hideMark/>
          </w:tcPr>
          <w:p w14:paraId="2D4F34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Bart Neyns</w:t>
            </w:r>
          </w:p>
        </w:tc>
        <w:tc>
          <w:tcPr>
            <w:tcW w:w="1006" w:type="dxa"/>
            <w:tcBorders>
              <w:top w:val="nil"/>
              <w:left w:val="nil"/>
              <w:bottom w:val="nil"/>
              <w:right w:val="nil"/>
            </w:tcBorders>
            <w:shd w:val="clear" w:color="auto" w:fill="auto"/>
            <w:noWrap/>
            <w:vAlign w:val="center"/>
            <w:hideMark/>
          </w:tcPr>
          <w:p w14:paraId="5299FD0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788BE1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9676E1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01/12/2009</w:t>
            </w:r>
          </w:p>
        </w:tc>
        <w:tc>
          <w:tcPr>
            <w:tcW w:w="766" w:type="dxa"/>
            <w:tcBorders>
              <w:top w:val="nil"/>
              <w:left w:val="nil"/>
              <w:bottom w:val="nil"/>
              <w:right w:val="nil"/>
            </w:tcBorders>
            <w:shd w:val="clear" w:color="auto" w:fill="auto"/>
            <w:noWrap/>
            <w:vAlign w:val="center"/>
            <w:hideMark/>
          </w:tcPr>
          <w:p w14:paraId="7FF7EB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373E7CB1" w14:textId="77777777" w:rsidTr="00AB1828">
        <w:trPr>
          <w:trHeight w:val="360"/>
        </w:trPr>
        <w:tc>
          <w:tcPr>
            <w:tcW w:w="861" w:type="dxa"/>
            <w:tcBorders>
              <w:top w:val="nil"/>
              <w:left w:val="nil"/>
              <w:bottom w:val="nil"/>
              <w:right w:val="nil"/>
            </w:tcBorders>
            <w:shd w:val="clear" w:color="auto" w:fill="auto"/>
            <w:noWrap/>
            <w:vAlign w:val="center"/>
            <w:hideMark/>
          </w:tcPr>
          <w:p w14:paraId="61366D3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NCT01010256</w:t>
            </w:r>
          </w:p>
        </w:tc>
        <w:tc>
          <w:tcPr>
            <w:tcW w:w="1354" w:type="dxa"/>
            <w:tcBorders>
              <w:top w:val="nil"/>
              <w:left w:val="nil"/>
              <w:bottom w:val="nil"/>
              <w:right w:val="nil"/>
            </w:tcBorders>
            <w:shd w:val="clear" w:color="auto" w:fill="auto"/>
            <w:noWrap/>
            <w:vAlign w:val="center"/>
            <w:hideMark/>
          </w:tcPr>
          <w:p w14:paraId="000A00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Expression of PTEN Protein and mRNA in Malignant Cells of Chronic Myelomonocytic Leukemia</w:t>
            </w:r>
          </w:p>
        </w:tc>
        <w:tc>
          <w:tcPr>
            <w:tcW w:w="1483" w:type="dxa"/>
            <w:tcBorders>
              <w:top w:val="nil"/>
              <w:left w:val="nil"/>
              <w:bottom w:val="nil"/>
              <w:right w:val="nil"/>
            </w:tcBorders>
            <w:shd w:val="clear" w:color="auto" w:fill="auto"/>
            <w:noWrap/>
            <w:vAlign w:val="center"/>
            <w:hideMark/>
          </w:tcPr>
          <w:p w14:paraId="1ABF16B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2FD718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study is to evaluate the level of a specific protein (PTEN) in the cancer cells of chronic myelomonocytic leukemia (CMML) patients. This protein might be involved in the transformation from normal blood cells to leukemia cells. The PTEN protein has not been investigated in CMML specifically but it has been discovered in closely related cancers. If this study demonstrates an abnormality in this protein, future testing will be designed to evaluate the genetic abnormality that resulted in lack of the normal presence of this protein. The goal </w:t>
            </w:r>
            <w:r w:rsidRPr="000A6EBE">
              <w:rPr>
                <w:rFonts w:ascii="Aptos Narrow" w:eastAsia="Times New Roman" w:hAnsi="Aptos Narrow"/>
                <w:color w:val="000000"/>
                <w:sz w:val="16"/>
                <w:szCs w:val="16"/>
                <w:lang w:val="en-HK" w:eastAsia="zh-CN"/>
              </w:rPr>
              <w:lastRenderedPageBreak/>
              <w:t>is that the results of this study will help to develop new drugs and strategies to treat the future patients with CMML by understanding the abnormality of the disease at the cellular and molecular levels. The results of this study can also be utilized by future studies to develop individualized treatment to patients who have abnormal levels of this protein.</w:t>
            </w:r>
          </w:p>
        </w:tc>
        <w:tc>
          <w:tcPr>
            <w:tcW w:w="279" w:type="dxa"/>
            <w:tcBorders>
              <w:top w:val="nil"/>
              <w:left w:val="nil"/>
              <w:bottom w:val="nil"/>
              <w:right w:val="nil"/>
            </w:tcBorders>
            <w:shd w:val="clear" w:color="auto" w:fill="auto"/>
            <w:noWrap/>
            <w:vAlign w:val="center"/>
            <w:hideMark/>
          </w:tcPr>
          <w:p w14:paraId="69C209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3622" w:type="dxa"/>
            <w:gridSpan w:val="2"/>
            <w:tcBorders>
              <w:top w:val="nil"/>
              <w:left w:val="nil"/>
              <w:bottom w:val="nil"/>
              <w:right w:val="nil"/>
            </w:tcBorders>
            <w:shd w:val="clear" w:color="auto" w:fill="auto"/>
            <w:noWrap/>
            <w:vAlign w:val="center"/>
            <w:hideMark/>
          </w:tcPr>
          <w:p w14:paraId="53F46E5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Chronic Myelomonocytic Leukemia</w:t>
            </w:r>
          </w:p>
        </w:tc>
        <w:tc>
          <w:tcPr>
            <w:tcW w:w="2158" w:type="dxa"/>
            <w:gridSpan w:val="2"/>
            <w:tcBorders>
              <w:top w:val="nil"/>
              <w:left w:val="nil"/>
              <w:bottom w:val="nil"/>
              <w:right w:val="nil"/>
            </w:tcBorders>
            <w:shd w:val="clear" w:color="auto" w:fill="auto"/>
            <w:noWrap/>
            <w:vAlign w:val="center"/>
            <w:hideMark/>
          </w:tcPr>
          <w:p w14:paraId="6339C1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Arkansas</w:t>
            </w:r>
          </w:p>
        </w:tc>
        <w:tc>
          <w:tcPr>
            <w:tcW w:w="1006" w:type="dxa"/>
            <w:tcBorders>
              <w:top w:val="nil"/>
              <w:left w:val="nil"/>
              <w:bottom w:val="nil"/>
              <w:right w:val="nil"/>
            </w:tcBorders>
            <w:shd w:val="clear" w:color="auto" w:fill="auto"/>
            <w:noWrap/>
            <w:vAlign w:val="center"/>
            <w:hideMark/>
          </w:tcPr>
          <w:p w14:paraId="39BFE57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11D3145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01/11/2009</w:t>
            </w:r>
          </w:p>
        </w:tc>
        <w:tc>
          <w:tcPr>
            <w:tcW w:w="766" w:type="dxa"/>
            <w:tcBorders>
              <w:top w:val="nil"/>
              <w:left w:val="nil"/>
              <w:bottom w:val="nil"/>
              <w:right w:val="nil"/>
            </w:tcBorders>
            <w:shd w:val="clear" w:color="auto" w:fill="auto"/>
            <w:noWrap/>
            <w:vAlign w:val="center"/>
            <w:hideMark/>
          </w:tcPr>
          <w:p w14:paraId="69C149F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2F5CDB77" w14:textId="77777777" w:rsidTr="00AB1828">
        <w:trPr>
          <w:trHeight w:val="360"/>
        </w:trPr>
        <w:tc>
          <w:tcPr>
            <w:tcW w:w="861" w:type="dxa"/>
            <w:tcBorders>
              <w:top w:val="nil"/>
              <w:left w:val="nil"/>
              <w:bottom w:val="nil"/>
              <w:right w:val="nil"/>
            </w:tcBorders>
            <w:shd w:val="clear" w:color="auto" w:fill="auto"/>
            <w:noWrap/>
            <w:vAlign w:val="center"/>
            <w:hideMark/>
          </w:tcPr>
          <w:p w14:paraId="7342597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NCT00978913</w:t>
            </w:r>
          </w:p>
        </w:tc>
        <w:tc>
          <w:tcPr>
            <w:tcW w:w="1354" w:type="dxa"/>
            <w:tcBorders>
              <w:top w:val="nil"/>
              <w:left w:val="nil"/>
              <w:bottom w:val="nil"/>
              <w:right w:val="nil"/>
            </w:tcBorders>
            <w:shd w:val="clear" w:color="auto" w:fill="auto"/>
            <w:noWrap/>
            <w:vAlign w:val="center"/>
            <w:hideMark/>
          </w:tcPr>
          <w:p w14:paraId="536FB2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Transfected Dendritic Cell Based Therapy for Patients With Breast Cancer or Malignant Melanoma</w:t>
            </w:r>
          </w:p>
        </w:tc>
        <w:tc>
          <w:tcPr>
            <w:tcW w:w="1483" w:type="dxa"/>
            <w:tcBorders>
              <w:top w:val="nil"/>
              <w:left w:val="nil"/>
              <w:bottom w:val="nil"/>
              <w:right w:val="nil"/>
            </w:tcBorders>
            <w:shd w:val="clear" w:color="auto" w:fill="auto"/>
            <w:noWrap/>
            <w:vAlign w:val="center"/>
            <w:hideMark/>
          </w:tcPr>
          <w:p w14:paraId="7F310A7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176A55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primary aim of this study is to evaluate the toxicity of the vaccine and the combination of the vaccine and Cyclophosphamide, and to evaluate the immune response induced by the vaccine. The secondary aim is to investigate the clinical tumour response and duration of tumour and immune response.</w:t>
            </w:r>
          </w:p>
        </w:tc>
        <w:tc>
          <w:tcPr>
            <w:tcW w:w="279" w:type="dxa"/>
            <w:tcBorders>
              <w:top w:val="nil"/>
              <w:left w:val="nil"/>
              <w:bottom w:val="nil"/>
              <w:right w:val="nil"/>
            </w:tcBorders>
            <w:shd w:val="clear" w:color="auto" w:fill="auto"/>
            <w:noWrap/>
            <w:vAlign w:val="center"/>
            <w:hideMark/>
          </w:tcPr>
          <w:p w14:paraId="656603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591BE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Breast Cancer|Malignant Melanoma</w:t>
            </w:r>
          </w:p>
        </w:tc>
        <w:tc>
          <w:tcPr>
            <w:tcW w:w="1574" w:type="dxa"/>
            <w:tcBorders>
              <w:top w:val="nil"/>
              <w:left w:val="nil"/>
              <w:bottom w:val="nil"/>
              <w:right w:val="nil"/>
            </w:tcBorders>
            <w:shd w:val="clear" w:color="auto" w:fill="auto"/>
            <w:noWrap/>
            <w:vAlign w:val="center"/>
            <w:hideMark/>
          </w:tcPr>
          <w:p w14:paraId="1352C8A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DC vaccine</w:t>
            </w:r>
          </w:p>
        </w:tc>
        <w:tc>
          <w:tcPr>
            <w:tcW w:w="1152" w:type="dxa"/>
            <w:tcBorders>
              <w:top w:val="nil"/>
              <w:left w:val="nil"/>
              <w:bottom w:val="nil"/>
              <w:right w:val="nil"/>
            </w:tcBorders>
            <w:shd w:val="clear" w:color="auto" w:fill="auto"/>
            <w:noWrap/>
            <w:vAlign w:val="center"/>
            <w:hideMark/>
          </w:tcPr>
          <w:p w14:paraId="69E9396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Inge Marie Svane</w:t>
            </w:r>
          </w:p>
        </w:tc>
        <w:tc>
          <w:tcPr>
            <w:tcW w:w="1006" w:type="dxa"/>
            <w:tcBorders>
              <w:top w:val="nil"/>
              <w:left w:val="nil"/>
              <w:bottom w:val="nil"/>
              <w:right w:val="nil"/>
            </w:tcBorders>
            <w:shd w:val="clear" w:color="auto" w:fill="auto"/>
            <w:noWrap/>
            <w:vAlign w:val="center"/>
            <w:hideMark/>
          </w:tcPr>
          <w:p w14:paraId="334C63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14944CC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85324E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01/09/2009</w:t>
            </w:r>
          </w:p>
        </w:tc>
        <w:tc>
          <w:tcPr>
            <w:tcW w:w="766" w:type="dxa"/>
            <w:tcBorders>
              <w:top w:val="nil"/>
              <w:left w:val="nil"/>
              <w:bottom w:val="nil"/>
              <w:right w:val="nil"/>
            </w:tcBorders>
            <w:shd w:val="clear" w:color="auto" w:fill="auto"/>
            <w:noWrap/>
            <w:vAlign w:val="center"/>
            <w:hideMark/>
          </w:tcPr>
          <w:p w14:paraId="48BA55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9877315" w14:textId="77777777" w:rsidTr="00AB1828">
        <w:trPr>
          <w:trHeight w:val="360"/>
        </w:trPr>
        <w:tc>
          <w:tcPr>
            <w:tcW w:w="861" w:type="dxa"/>
            <w:tcBorders>
              <w:top w:val="nil"/>
              <w:left w:val="nil"/>
              <w:bottom w:val="nil"/>
              <w:right w:val="nil"/>
            </w:tcBorders>
            <w:shd w:val="clear" w:color="auto" w:fill="auto"/>
            <w:noWrap/>
            <w:vAlign w:val="center"/>
            <w:hideMark/>
          </w:tcPr>
          <w:p w14:paraId="185C299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NCT00890032</w:t>
            </w:r>
          </w:p>
        </w:tc>
        <w:tc>
          <w:tcPr>
            <w:tcW w:w="1354" w:type="dxa"/>
            <w:tcBorders>
              <w:top w:val="nil"/>
              <w:left w:val="nil"/>
              <w:bottom w:val="nil"/>
              <w:right w:val="nil"/>
            </w:tcBorders>
            <w:shd w:val="clear" w:color="auto" w:fill="auto"/>
            <w:noWrap/>
            <w:vAlign w:val="center"/>
            <w:hideMark/>
          </w:tcPr>
          <w:p w14:paraId="22B54D8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Vaccine Therapy in Treating Patients </w:t>
            </w:r>
            <w:r w:rsidRPr="000A6EBE">
              <w:rPr>
                <w:rFonts w:ascii="Aptos Narrow" w:eastAsia="Times New Roman" w:hAnsi="Aptos Narrow"/>
                <w:color w:val="000000"/>
                <w:sz w:val="16"/>
                <w:szCs w:val="16"/>
                <w:lang w:val="en-HK" w:eastAsia="zh-CN"/>
              </w:rPr>
              <w:lastRenderedPageBreak/>
              <w:t>Undergoing Surgery for Recurrent Glioblastoma Multiforme</w:t>
            </w:r>
          </w:p>
        </w:tc>
        <w:tc>
          <w:tcPr>
            <w:tcW w:w="1483" w:type="dxa"/>
            <w:tcBorders>
              <w:top w:val="nil"/>
              <w:left w:val="nil"/>
              <w:bottom w:val="nil"/>
              <w:right w:val="nil"/>
            </w:tcBorders>
            <w:shd w:val="clear" w:color="auto" w:fill="auto"/>
            <w:noWrap/>
            <w:vAlign w:val="center"/>
            <w:hideMark/>
          </w:tcPr>
          <w:p w14:paraId="206BA6D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COMPLETED</w:t>
            </w:r>
          </w:p>
        </w:tc>
        <w:tc>
          <w:tcPr>
            <w:tcW w:w="1689" w:type="dxa"/>
            <w:tcBorders>
              <w:top w:val="nil"/>
              <w:left w:val="nil"/>
              <w:bottom w:val="nil"/>
              <w:right w:val="nil"/>
            </w:tcBorders>
            <w:shd w:val="clear" w:color="auto" w:fill="auto"/>
            <w:vAlign w:val="center"/>
            <w:hideMark/>
          </w:tcPr>
          <w:p w14:paraId="5CECFA9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RATIONALE: Vaccines made from a person's </w:t>
            </w:r>
            <w:r w:rsidRPr="000A6EBE">
              <w:rPr>
                <w:rFonts w:ascii="Aptos Narrow" w:eastAsia="Times New Roman" w:hAnsi="Aptos Narrow"/>
                <w:color w:val="000000"/>
                <w:sz w:val="16"/>
                <w:szCs w:val="16"/>
                <w:lang w:val="en-HK" w:eastAsia="zh-CN"/>
              </w:rPr>
              <w:lastRenderedPageBreak/>
              <w:t>tumor cells and dendritic cells may help the body build an effective immune response to kill tumor cells.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PURPOSE: This phase I trial is studying the side effects of vaccine therapy in treating patients undergoing surgery for recurrent glioblastoma multiforme (GBM).</w:t>
            </w:r>
          </w:p>
        </w:tc>
        <w:tc>
          <w:tcPr>
            <w:tcW w:w="279" w:type="dxa"/>
            <w:tcBorders>
              <w:top w:val="nil"/>
              <w:left w:val="nil"/>
              <w:bottom w:val="nil"/>
              <w:right w:val="nil"/>
            </w:tcBorders>
            <w:shd w:val="clear" w:color="auto" w:fill="auto"/>
            <w:noWrap/>
            <w:vAlign w:val="center"/>
            <w:hideMark/>
          </w:tcPr>
          <w:p w14:paraId="0A568DA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5854A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Recurrent Central Nervous System Neoplasm</w:t>
            </w:r>
          </w:p>
        </w:tc>
        <w:tc>
          <w:tcPr>
            <w:tcW w:w="1574" w:type="dxa"/>
            <w:tcBorders>
              <w:top w:val="nil"/>
              <w:left w:val="nil"/>
              <w:bottom w:val="nil"/>
              <w:right w:val="nil"/>
            </w:tcBorders>
            <w:shd w:val="clear" w:color="auto" w:fill="auto"/>
            <w:noWrap/>
            <w:vAlign w:val="center"/>
            <w:hideMark/>
          </w:tcPr>
          <w:p w14:paraId="557CCDD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BTSC mRNA-loaded DCs</w:t>
            </w:r>
          </w:p>
        </w:tc>
        <w:tc>
          <w:tcPr>
            <w:tcW w:w="1152" w:type="dxa"/>
            <w:tcBorders>
              <w:top w:val="nil"/>
              <w:left w:val="nil"/>
              <w:bottom w:val="nil"/>
              <w:right w:val="nil"/>
            </w:tcBorders>
            <w:shd w:val="clear" w:color="auto" w:fill="auto"/>
            <w:noWrap/>
            <w:vAlign w:val="center"/>
            <w:hideMark/>
          </w:tcPr>
          <w:p w14:paraId="2FF16AE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John Sampson</w:t>
            </w:r>
          </w:p>
        </w:tc>
        <w:tc>
          <w:tcPr>
            <w:tcW w:w="1006" w:type="dxa"/>
            <w:tcBorders>
              <w:top w:val="nil"/>
              <w:left w:val="nil"/>
              <w:bottom w:val="nil"/>
              <w:right w:val="nil"/>
            </w:tcBorders>
            <w:shd w:val="clear" w:color="auto" w:fill="auto"/>
            <w:noWrap/>
            <w:vAlign w:val="center"/>
            <w:hideMark/>
          </w:tcPr>
          <w:p w14:paraId="5B9DEEF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4E445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451EB8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01/09/2009</w:t>
            </w:r>
          </w:p>
        </w:tc>
        <w:tc>
          <w:tcPr>
            <w:tcW w:w="766" w:type="dxa"/>
            <w:tcBorders>
              <w:top w:val="nil"/>
              <w:left w:val="nil"/>
              <w:bottom w:val="nil"/>
              <w:right w:val="nil"/>
            </w:tcBorders>
            <w:shd w:val="clear" w:color="auto" w:fill="auto"/>
            <w:noWrap/>
            <w:vAlign w:val="center"/>
            <w:hideMark/>
          </w:tcPr>
          <w:p w14:paraId="65C60A5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1B798C83" w14:textId="77777777" w:rsidTr="00AB1828">
        <w:trPr>
          <w:trHeight w:val="360"/>
        </w:trPr>
        <w:tc>
          <w:tcPr>
            <w:tcW w:w="861" w:type="dxa"/>
            <w:tcBorders>
              <w:top w:val="nil"/>
              <w:left w:val="nil"/>
              <w:bottom w:val="nil"/>
              <w:right w:val="nil"/>
            </w:tcBorders>
            <w:shd w:val="clear" w:color="auto" w:fill="auto"/>
            <w:noWrap/>
            <w:vAlign w:val="center"/>
            <w:hideMark/>
          </w:tcPr>
          <w:p w14:paraId="5C56F7C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NCT00961844</w:t>
            </w:r>
          </w:p>
        </w:tc>
        <w:tc>
          <w:tcPr>
            <w:tcW w:w="1354" w:type="dxa"/>
            <w:tcBorders>
              <w:top w:val="nil"/>
              <w:left w:val="nil"/>
              <w:bottom w:val="nil"/>
              <w:right w:val="nil"/>
            </w:tcBorders>
            <w:shd w:val="clear" w:color="auto" w:fill="auto"/>
            <w:noWrap/>
            <w:vAlign w:val="center"/>
            <w:hideMark/>
          </w:tcPr>
          <w:p w14:paraId="0F6C263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Trial for Vaccine Therapy With Dendritic Cells in Patients With Metastatic Malignant Melanoma</w:t>
            </w:r>
          </w:p>
        </w:tc>
        <w:tc>
          <w:tcPr>
            <w:tcW w:w="1483" w:type="dxa"/>
            <w:tcBorders>
              <w:top w:val="nil"/>
              <w:left w:val="nil"/>
              <w:bottom w:val="nil"/>
              <w:right w:val="nil"/>
            </w:tcBorders>
            <w:shd w:val="clear" w:color="auto" w:fill="auto"/>
            <w:noWrap/>
            <w:vAlign w:val="center"/>
            <w:hideMark/>
          </w:tcPr>
          <w:p w14:paraId="430405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noWrap/>
            <w:vAlign w:val="center"/>
            <w:hideMark/>
          </w:tcPr>
          <w:p w14:paraId="0C416B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 this trial the investigators want to combine chemotherapy with immunotherapy by giving the patients Temozolomide, before vaccination. The investigators have also included hTERT and survivin mRNA in the vaccine. Finally, the investigators want to introduce ex vivo T cell expansion after lymphodepletion for the patients who show an immune response.</w:t>
            </w:r>
          </w:p>
        </w:tc>
        <w:tc>
          <w:tcPr>
            <w:tcW w:w="279" w:type="dxa"/>
            <w:tcBorders>
              <w:top w:val="nil"/>
              <w:left w:val="nil"/>
              <w:bottom w:val="nil"/>
              <w:right w:val="nil"/>
            </w:tcBorders>
            <w:shd w:val="clear" w:color="auto" w:fill="auto"/>
            <w:noWrap/>
            <w:vAlign w:val="center"/>
            <w:hideMark/>
          </w:tcPr>
          <w:p w14:paraId="44BC7F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0E7AA1E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Malignant Melanoma</w:t>
            </w:r>
          </w:p>
        </w:tc>
        <w:tc>
          <w:tcPr>
            <w:tcW w:w="1574" w:type="dxa"/>
            <w:tcBorders>
              <w:top w:val="nil"/>
              <w:left w:val="nil"/>
              <w:bottom w:val="nil"/>
              <w:right w:val="nil"/>
            </w:tcBorders>
            <w:shd w:val="clear" w:color="auto" w:fill="auto"/>
            <w:noWrap/>
            <w:vAlign w:val="center"/>
            <w:hideMark/>
          </w:tcPr>
          <w:p w14:paraId="11A212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cells - transfected with hTERT-, survivin- and tumor cell derived mRNA + ex vivo T cell expansion and reinfusion|DRUG: Temozolomide</w:t>
            </w:r>
          </w:p>
        </w:tc>
        <w:tc>
          <w:tcPr>
            <w:tcW w:w="1152" w:type="dxa"/>
            <w:tcBorders>
              <w:top w:val="nil"/>
              <w:left w:val="nil"/>
              <w:bottom w:val="nil"/>
              <w:right w:val="nil"/>
            </w:tcBorders>
            <w:shd w:val="clear" w:color="auto" w:fill="auto"/>
            <w:noWrap/>
            <w:vAlign w:val="center"/>
            <w:hideMark/>
          </w:tcPr>
          <w:p w14:paraId="11ACB4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Steinar Aamdal</w:t>
            </w:r>
          </w:p>
        </w:tc>
        <w:tc>
          <w:tcPr>
            <w:tcW w:w="1006" w:type="dxa"/>
            <w:tcBorders>
              <w:top w:val="nil"/>
              <w:left w:val="nil"/>
              <w:bottom w:val="nil"/>
              <w:right w:val="nil"/>
            </w:tcBorders>
            <w:shd w:val="clear" w:color="auto" w:fill="auto"/>
            <w:noWrap/>
            <w:vAlign w:val="center"/>
            <w:hideMark/>
          </w:tcPr>
          <w:p w14:paraId="29A129C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26CCF3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FB52C93"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01/08/2009</w:t>
            </w:r>
          </w:p>
        </w:tc>
        <w:tc>
          <w:tcPr>
            <w:tcW w:w="766" w:type="dxa"/>
            <w:tcBorders>
              <w:top w:val="nil"/>
              <w:left w:val="nil"/>
              <w:bottom w:val="nil"/>
              <w:right w:val="nil"/>
            </w:tcBorders>
            <w:shd w:val="clear" w:color="auto" w:fill="auto"/>
            <w:noWrap/>
            <w:vAlign w:val="center"/>
            <w:hideMark/>
          </w:tcPr>
          <w:p w14:paraId="047BC6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40ECF5EE" w14:textId="77777777" w:rsidTr="00AB1828">
        <w:trPr>
          <w:trHeight w:val="360"/>
        </w:trPr>
        <w:tc>
          <w:tcPr>
            <w:tcW w:w="861" w:type="dxa"/>
            <w:tcBorders>
              <w:top w:val="nil"/>
              <w:left w:val="nil"/>
              <w:bottom w:val="nil"/>
              <w:right w:val="nil"/>
            </w:tcBorders>
            <w:shd w:val="clear" w:color="auto" w:fill="auto"/>
            <w:noWrap/>
            <w:vAlign w:val="center"/>
            <w:hideMark/>
          </w:tcPr>
          <w:p w14:paraId="211049C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NCT01022333</w:t>
            </w:r>
          </w:p>
        </w:tc>
        <w:tc>
          <w:tcPr>
            <w:tcW w:w="1354" w:type="dxa"/>
            <w:tcBorders>
              <w:top w:val="nil"/>
              <w:left w:val="nil"/>
              <w:bottom w:val="nil"/>
              <w:right w:val="nil"/>
            </w:tcBorders>
            <w:shd w:val="clear" w:color="auto" w:fill="auto"/>
            <w:noWrap/>
            <w:vAlign w:val="center"/>
            <w:hideMark/>
          </w:tcPr>
          <w:p w14:paraId="08EBC0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Potential for Oral Diindolylmethane (DIM) Supplementation to Increase the Production of the BRCA1 Protein in BRCA1 Mutation Carriers</w:t>
            </w:r>
          </w:p>
        </w:tc>
        <w:tc>
          <w:tcPr>
            <w:tcW w:w="1483" w:type="dxa"/>
            <w:tcBorders>
              <w:top w:val="nil"/>
              <w:left w:val="nil"/>
              <w:bottom w:val="nil"/>
              <w:right w:val="nil"/>
            </w:tcBorders>
            <w:shd w:val="clear" w:color="auto" w:fill="auto"/>
            <w:noWrap/>
            <w:vAlign w:val="center"/>
            <w:hideMark/>
          </w:tcPr>
          <w:p w14:paraId="5738202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UNKNOWN</w:t>
            </w:r>
          </w:p>
        </w:tc>
        <w:tc>
          <w:tcPr>
            <w:tcW w:w="1689" w:type="dxa"/>
            <w:tcBorders>
              <w:top w:val="nil"/>
              <w:left w:val="nil"/>
              <w:bottom w:val="nil"/>
              <w:right w:val="nil"/>
            </w:tcBorders>
            <w:shd w:val="clear" w:color="auto" w:fill="auto"/>
            <w:vAlign w:val="center"/>
            <w:hideMark/>
          </w:tcPr>
          <w:p w14:paraId="1F35DBD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Women with a BRCA1 mutation face a lifetime risk of breast cancer of approximately 70% and a lifetime risk of ovarian cancer of approximately 40%. A number of potential anti-cancer nutrients have been proposed, however, it is important that diet supplements be evaluated prior to general recommendation.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The risk of breast and ovarian cancer in carriers of a BRCA1 mutation might be lowered by some nutritional supplements. For example, green tea, broccoli and vitamin D are of potential interest. One dietary supplement that is thought to have potential for BRCA1 carriers is diindolylmethane (DIM), which is an active ingredient in broccoli and other green vegetables. DIM - is found in vegetables like </w:t>
            </w:r>
            <w:r w:rsidRPr="000A6EBE">
              <w:rPr>
                <w:rFonts w:ascii="Aptos Narrow" w:eastAsia="Times New Roman" w:hAnsi="Aptos Narrow"/>
                <w:color w:val="000000"/>
                <w:sz w:val="16"/>
                <w:szCs w:val="16"/>
                <w:lang w:val="en-HK" w:eastAsia="zh-CN"/>
              </w:rPr>
              <w:lastRenderedPageBreak/>
              <w:t>broccoli and is available as a supplement in health food stores. The investigators think that DIM may increase the production of the normal copy of BRCA1 and offset the effect of the mutation.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purpose of this study is to determine that there is a potential for oral DIM supplementation to result in the increased production of the BRCA1 protein in BRCA1 mutation carriers. The results of the study will also serve as an evaluation of the current use and success of preventive strategies for BRCA1 mutation carriers.</w:t>
            </w:r>
          </w:p>
        </w:tc>
        <w:tc>
          <w:tcPr>
            <w:tcW w:w="279" w:type="dxa"/>
            <w:tcBorders>
              <w:top w:val="nil"/>
              <w:left w:val="nil"/>
              <w:bottom w:val="nil"/>
              <w:right w:val="nil"/>
            </w:tcBorders>
            <w:shd w:val="clear" w:color="auto" w:fill="auto"/>
            <w:noWrap/>
            <w:vAlign w:val="center"/>
            <w:hideMark/>
          </w:tcPr>
          <w:p w14:paraId="703FD45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BC21CD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Breast Cancer</w:t>
            </w:r>
          </w:p>
        </w:tc>
        <w:tc>
          <w:tcPr>
            <w:tcW w:w="1574" w:type="dxa"/>
            <w:tcBorders>
              <w:top w:val="nil"/>
              <w:left w:val="nil"/>
              <w:bottom w:val="nil"/>
              <w:right w:val="nil"/>
            </w:tcBorders>
            <w:shd w:val="clear" w:color="auto" w:fill="auto"/>
            <w:noWrap/>
            <w:vAlign w:val="center"/>
            <w:hideMark/>
          </w:tcPr>
          <w:p w14:paraId="40DA55E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DIETARY_SUPPLEMENT: Diindolylmethane (DIM)</w:t>
            </w:r>
          </w:p>
        </w:tc>
        <w:tc>
          <w:tcPr>
            <w:tcW w:w="1152" w:type="dxa"/>
            <w:tcBorders>
              <w:top w:val="nil"/>
              <w:left w:val="nil"/>
              <w:bottom w:val="nil"/>
              <w:right w:val="nil"/>
            </w:tcBorders>
            <w:shd w:val="clear" w:color="auto" w:fill="auto"/>
            <w:noWrap/>
            <w:vAlign w:val="center"/>
            <w:hideMark/>
          </w:tcPr>
          <w:p w14:paraId="131D5B6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Women's College Hospital</w:t>
            </w:r>
          </w:p>
        </w:tc>
        <w:tc>
          <w:tcPr>
            <w:tcW w:w="1006" w:type="dxa"/>
            <w:tcBorders>
              <w:top w:val="nil"/>
              <w:left w:val="nil"/>
              <w:bottom w:val="nil"/>
              <w:right w:val="nil"/>
            </w:tcBorders>
            <w:shd w:val="clear" w:color="auto" w:fill="auto"/>
            <w:noWrap/>
            <w:vAlign w:val="center"/>
            <w:hideMark/>
          </w:tcPr>
          <w:p w14:paraId="6849316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5AF8F6D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C2349D7"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01/07/2009</w:t>
            </w:r>
          </w:p>
        </w:tc>
        <w:tc>
          <w:tcPr>
            <w:tcW w:w="766" w:type="dxa"/>
            <w:tcBorders>
              <w:top w:val="nil"/>
              <w:left w:val="nil"/>
              <w:bottom w:val="nil"/>
              <w:right w:val="nil"/>
            </w:tcBorders>
            <w:shd w:val="clear" w:color="auto" w:fill="auto"/>
            <w:noWrap/>
            <w:vAlign w:val="center"/>
            <w:hideMark/>
          </w:tcPr>
          <w:p w14:paraId="10D4708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0BD60993" w14:textId="77777777" w:rsidTr="00AB1828">
        <w:trPr>
          <w:trHeight w:val="360"/>
        </w:trPr>
        <w:tc>
          <w:tcPr>
            <w:tcW w:w="861" w:type="dxa"/>
            <w:tcBorders>
              <w:top w:val="nil"/>
              <w:left w:val="nil"/>
              <w:bottom w:val="nil"/>
              <w:right w:val="nil"/>
            </w:tcBorders>
            <w:shd w:val="clear" w:color="auto" w:fill="auto"/>
            <w:noWrap/>
            <w:vAlign w:val="center"/>
            <w:hideMark/>
          </w:tcPr>
          <w:p w14:paraId="5DA388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NCT00929019</w:t>
            </w:r>
          </w:p>
        </w:tc>
        <w:tc>
          <w:tcPr>
            <w:tcW w:w="1354" w:type="dxa"/>
            <w:tcBorders>
              <w:top w:val="nil"/>
              <w:left w:val="nil"/>
              <w:bottom w:val="nil"/>
              <w:right w:val="nil"/>
            </w:tcBorders>
            <w:shd w:val="clear" w:color="auto" w:fill="auto"/>
            <w:noWrap/>
            <w:vAlign w:val="center"/>
            <w:hideMark/>
          </w:tcPr>
          <w:p w14:paraId="65CA86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Messenger Ribonucleic Acid (mRNA) Transfected Dendritic Cell Vaccination in High Risk Uveal Melanoma Patients</w:t>
            </w:r>
          </w:p>
        </w:tc>
        <w:tc>
          <w:tcPr>
            <w:tcW w:w="1483" w:type="dxa"/>
            <w:tcBorders>
              <w:top w:val="nil"/>
              <w:left w:val="nil"/>
              <w:bottom w:val="nil"/>
              <w:right w:val="nil"/>
            </w:tcBorders>
            <w:shd w:val="clear" w:color="auto" w:fill="auto"/>
            <w:noWrap/>
            <w:vAlign w:val="center"/>
            <w:hideMark/>
          </w:tcPr>
          <w:p w14:paraId="258F53F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0695580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1. Rationale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Immunotherapy applying ex vivo generated and tumor antigen-loaded dendritic cells (DC) has now successfully </w:t>
            </w:r>
            <w:r w:rsidRPr="000A6EBE">
              <w:rPr>
                <w:rFonts w:ascii="Aptos Narrow" w:eastAsia="Times New Roman" w:hAnsi="Aptos Narrow"/>
                <w:color w:val="000000"/>
                <w:sz w:val="16"/>
                <w:szCs w:val="16"/>
                <w:lang w:val="en-HK" w:eastAsia="zh-CN"/>
              </w:rPr>
              <w:lastRenderedPageBreak/>
              <w:t>been introduced in the clinic. A limited, but consistent, number of objective immunological and clinical responses have been observed. Most of the successful results have been observed in patients with minimal residual disease, rather than patients with advanced metastatic disease. Moreover, the investigators' preliminary results show that presence of tumor epitope specific T cells in biopsies taken from delayed type hypersensitivity (DTH) reaction sites highly correlates with prolonged progression free survival (PFS).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Within uveal melanoma patients, a group with high risk of metastatic disease can be identified on basis of tumor specific </w:t>
            </w:r>
            <w:r w:rsidRPr="000A6EBE">
              <w:rPr>
                <w:rFonts w:ascii="Aptos Narrow" w:eastAsia="Times New Roman" w:hAnsi="Aptos Narrow"/>
                <w:color w:val="000000"/>
                <w:sz w:val="16"/>
                <w:szCs w:val="16"/>
                <w:lang w:val="en-HK" w:eastAsia="zh-CN"/>
              </w:rPr>
              <w:lastRenderedPageBreak/>
              <w:t>genetic changes in loss of chromosome 3.</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At present no standard adjuvant or systemic treatment is available. Applying DC-based immunotherapy in this group of high risk patients might reduce the risk of recurrence without interference in the current treatment guidelines.</w:t>
            </w:r>
            <w:r w:rsidRPr="000A6EBE">
              <w:rPr>
                <w:rFonts w:ascii="Aptos Narrow" w:eastAsia="Times New Roman" w:hAnsi="Aptos Narrow"/>
                <w:color w:val="000000"/>
                <w:sz w:val="16"/>
                <w:szCs w:val="16"/>
                <w:lang w:val="en-HK" w:eastAsia="zh-CN"/>
              </w:rPr>
              <w:br/>
              <w:t>2. 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In this joint clinical study of Radboud University Nijmegen Medical Centre (RUNMC) and Rotterdam Eye Hospital, the investigators aim to determine the in vivo immunological response induced in high risk uveal melanoma patients vaccinated with mRNA-transfected DC.</w:t>
            </w:r>
            <w:r w:rsidRPr="000A6EBE">
              <w:rPr>
                <w:rFonts w:ascii="Aptos Narrow" w:eastAsia="Times New Roman" w:hAnsi="Aptos Narrow"/>
                <w:color w:val="000000"/>
                <w:sz w:val="16"/>
                <w:szCs w:val="16"/>
                <w:lang w:val="en-HK" w:eastAsia="zh-CN"/>
              </w:rPr>
              <w:br/>
              <w:t>3. Study design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This study is an open label non-randomized </w:t>
            </w:r>
            <w:r w:rsidRPr="000A6EBE">
              <w:rPr>
                <w:rFonts w:ascii="Aptos Narrow" w:eastAsia="Times New Roman" w:hAnsi="Aptos Narrow"/>
                <w:color w:val="000000"/>
                <w:sz w:val="16"/>
                <w:szCs w:val="16"/>
                <w:lang w:val="en-HK" w:eastAsia="zh-CN"/>
              </w:rPr>
              <w:lastRenderedPageBreak/>
              <w:t>phase II intervention study.</w:t>
            </w:r>
            <w:r w:rsidRPr="000A6EBE">
              <w:rPr>
                <w:rFonts w:ascii="Aptos Narrow" w:eastAsia="Times New Roman" w:hAnsi="Aptos Narrow"/>
                <w:color w:val="000000"/>
                <w:sz w:val="16"/>
                <w:szCs w:val="16"/>
                <w:lang w:val="en-HK" w:eastAsia="zh-CN"/>
              </w:rPr>
              <w:br/>
              <w:t>4. Study population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   The investigators' study population consists of HLA-A2 positive patients with a high risk uveal melanoma with proven expression of melanoma associated antigens tyrosinase and/or gp100.</w:t>
            </w:r>
            <w:r w:rsidRPr="000A6EBE">
              <w:rPr>
                <w:rFonts w:ascii="Aptos Narrow" w:eastAsia="Times New Roman" w:hAnsi="Aptos Narrow"/>
                <w:color w:val="000000"/>
                <w:sz w:val="16"/>
                <w:szCs w:val="16"/>
                <w:lang w:val="en-HK" w:eastAsia="zh-CN"/>
              </w:rPr>
              <w:br/>
              <w:t>5. Main study endpoints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This is an exploratory study aiming to demonstrate proof of principle. The first study endpoints are in vivo immunological response induced in high risk uveal melanoma patients vaccinated with mRNA-transfected DC, administered i.v./i.d. and toxicity. Secondary study endpoints are progression free survival, overall </w:t>
            </w:r>
            <w:r w:rsidRPr="000A6EBE">
              <w:rPr>
                <w:rFonts w:ascii="Aptos Narrow" w:eastAsia="Times New Roman" w:hAnsi="Aptos Narrow"/>
                <w:color w:val="000000"/>
                <w:sz w:val="16"/>
                <w:szCs w:val="16"/>
                <w:lang w:val="en-HK" w:eastAsia="zh-CN"/>
              </w:rPr>
              <w:lastRenderedPageBreak/>
              <w:t>survival, and toxicity.</w:t>
            </w:r>
          </w:p>
        </w:tc>
        <w:tc>
          <w:tcPr>
            <w:tcW w:w="279" w:type="dxa"/>
            <w:tcBorders>
              <w:top w:val="nil"/>
              <w:left w:val="nil"/>
              <w:bottom w:val="nil"/>
              <w:right w:val="nil"/>
            </w:tcBorders>
            <w:shd w:val="clear" w:color="auto" w:fill="auto"/>
            <w:noWrap/>
            <w:vAlign w:val="center"/>
            <w:hideMark/>
          </w:tcPr>
          <w:p w14:paraId="2A5F56A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268BB7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Uveal Melanoma</w:t>
            </w:r>
          </w:p>
        </w:tc>
        <w:tc>
          <w:tcPr>
            <w:tcW w:w="1574" w:type="dxa"/>
            <w:tcBorders>
              <w:top w:val="nil"/>
              <w:left w:val="nil"/>
              <w:bottom w:val="nil"/>
              <w:right w:val="nil"/>
            </w:tcBorders>
            <w:shd w:val="clear" w:color="auto" w:fill="auto"/>
            <w:noWrap/>
            <w:vAlign w:val="center"/>
            <w:hideMark/>
          </w:tcPr>
          <w:p w14:paraId="5913645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cells electroporated with mRNA</w:t>
            </w:r>
          </w:p>
        </w:tc>
        <w:tc>
          <w:tcPr>
            <w:tcW w:w="1152" w:type="dxa"/>
            <w:tcBorders>
              <w:top w:val="nil"/>
              <w:left w:val="nil"/>
              <w:bottom w:val="nil"/>
              <w:right w:val="nil"/>
            </w:tcBorders>
            <w:shd w:val="clear" w:color="auto" w:fill="auto"/>
            <w:noWrap/>
            <w:vAlign w:val="center"/>
            <w:hideMark/>
          </w:tcPr>
          <w:p w14:paraId="57FCF8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1EE78D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343D469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DC917B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01/06/2009</w:t>
            </w:r>
          </w:p>
        </w:tc>
        <w:tc>
          <w:tcPr>
            <w:tcW w:w="766" w:type="dxa"/>
            <w:tcBorders>
              <w:top w:val="nil"/>
              <w:left w:val="nil"/>
              <w:bottom w:val="nil"/>
              <w:right w:val="nil"/>
            </w:tcBorders>
            <w:shd w:val="clear" w:color="auto" w:fill="auto"/>
            <w:noWrap/>
            <w:vAlign w:val="center"/>
            <w:hideMark/>
          </w:tcPr>
          <w:p w14:paraId="169FCF0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129C0F9E" w14:textId="77777777" w:rsidTr="00AB1828">
        <w:trPr>
          <w:trHeight w:val="360"/>
        </w:trPr>
        <w:tc>
          <w:tcPr>
            <w:tcW w:w="861" w:type="dxa"/>
            <w:tcBorders>
              <w:top w:val="nil"/>
              <w:left w:val="nil"/>
              <w:bottom w:val="nil"/>
              <w:right w:val="nil"/>
            </w:tcBorders>
            <w:shd w:val="clear" w:color="auto" w:fill="auto"/>
            <w:noWrap/>
            <w:vAlign w:val="center"/>
            <w:hideMark/>
          </w:tcPr>
          <w:p w14:paraId="2D3A119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NCT00940004</w:t>
            </w:r>
          </w:p>
        </w:tc>
        <w:tc>
          <w:tcPr>
            <w:tcW w:w="1354" w:type="dxa"/>
            <w:tcBorders>
              <w:top w:val="nil"/>
              <w:left w:val="nil"/>
              <w:bottom w:val="nil"/>
              <w:right w:val="nil"/>
            </w:tcBorders>
            <w:shd w:val="clear" w:color="auto" w:fill="auto"/>
            <w:noWrap/>
            <w:vAlign w:val="center"/>
            <w:hideMark/>
          </w:tcPr>
          <w:p w14:paraId="27C08DE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Toll-like Receptor (TLR) Ligand Matured Dendritic Cell Vaccination in Melanoma Patients</w:t>
            </w:r>
          </w:p>
        </w:tc>
        <w:tc>
          <w:tcPr>
            <w:tcW w:w="1483" w:type="dxa"/>
            <w:tcBorders>
              <w:top w:val="nil"/>
              <w:left w:val="nil"/>
              <w:bottom w:val="nil"/>
              <w:right w:val="nil"/>
            </w:tcBorders>
            <w:shd w:val="clear" w:color="auto" w:fill="auto"/>
            <w:noWrap/>
            <w:vAlign w:val="center"/>
            <w:hideMark/>
          </w:tcPr>
          <w:p w14:paraId="21102F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0503F2D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This is an exploratory study, consisting of two parts. In part I a dose escalation is performed and the primary objective is the safety of different doses of TLR-dendritic cell (TLR-DC). In part II TLR-DC vaccination will be compared with cytokine-matured DC vaccination and the primary objective of this part is the immunological response to TLR-DC vaccination, with toxicity and clinical efficacy being secondary objectives. These studies will provide important data on the safety and immunological effects of TLR-matured DC.</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Study design: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This study is an open label prospective exploratory intervention </w:t>
            </w:r>
            <w:r w:rsidRPr="000A6EBE">
              <w:rPr>
                <w:rFonts w:ascii="Aptos Narrow" w:eastAsia="Times New Roman" w:hAnsi="Aptos Narrow"/>
                <w:color w:val="000000"/>
                <w:sz w:val="16"/>
                <w:szCs w:val="16"/>
                <w:lang w:val="en-HK" w:eastAsia="zh-CN"/>
              </w:rPr>
              <w:lastRenderedPageBreak/>
              <w:t>study.</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Study population: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investigators' study population consists of HLA-A2.1 positive melanoma patients, with proven expression of melanoma associated tumor antigens gp100 and tyrosinase. Melanoma patients with regional lymph node metastasis in whom a radical lymph node dissection is planned or performed within 2 months of inclusion in this study (further referred to as stage III) and melanoma patients with measurable distant metastases (further referred to as stage IV) will be included.</w:t>
            </w:r>
          </w:p>
        </w:tc>
        <w:tc>
          <w:tcPr>
            <w:tcW w:w="279" w:type="dxa"/>
            <w:tcBorders>
              <w:top w:val="nil"/>
              <w:left w:val="nil"/>
              <w:bottom w:val="nil"/>
              <w:right w:val="nil"/>
            </w:tcBorders>
            <w:shd w:val="clear" w:color="auto" w:fill="auto"/>
            <w:noWrap/>
            <w:vAlign w:val="center"/>
            <w:hideMark/>
          </w:tcPr>
          <w:p w14:paraId="0388477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E2AC23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w:t>
            </w:r>
          </w:p>
        </w:tc>
        <w:tc>
          <w:tcPr>
            <w:tcW w:w="1574" w:type="dxa"/>
            <w:tcBorders>
              <w:top w:val="nil"/>
              <w:left w:val="nil"/>
              <w:bottom w:val="nil"/>
              <w:right w:val="nil"/>
            </w:tcBorders>
            <w:shd w:val="clear" w:color="auto" w:fill="auto"/>
            <w:noWrap/>
            <w:vAlign w:val="center"/>
            <w:hideMark/>
          </w:tcPr>
          <w:p w14:paraId="6969F9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 vaccination</w:t>
            </w:r>
          </w:p>
        </w:tc>
        <w:tc>
          <w:tcPr>
            <w:tcW w:w="1152" w:type="dxa"/>
            <w:tcBorders>
              <w:top w:val="nil"/>
              <w:left w:val="nil"/>
              <w:bottom w:val="nil"/>
              <w:right w:val="nil"/>
            </w:tcBorders>
            <w:shd w:val="clear" w:color="auto" w:fill="auto"/>
            <w:noWrap/>
            <w:vAlign w:val="center"/>
            <w:hideMark/>
          </w:tcPr>
          <w:p w14:paraId="219C03B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794761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42695D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F3DDEB8"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01/06/2009</w:t>
            </w:r>
          </w:p>
        </w:tc>
        <w:tc>
          <w:tcPr>
            <w:tcW w:w="766" w:type="dxa"/>
            <w:tcBorders>
              <w:top w:val="nil"/>
              <w:left w:val="nil"/>
              <w:bottom w:val="nil"/>
              <w:right w:val="nil"/>
            </w:tcBorders>
            <w:shd w:val="clear" w:color="auto" w:fill="auto"/>
            <w:noWrap/>
            <w:vAlign w:val="center"/>
            <w:hideMark/>
          </w:tcPr>
          <w:p w14:paraId="6396287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2B71C544" w14:textId="77777777" w:rsidTr="00AB1828">
        <w:trPr>
          <w:trHeight w:val="360"/>
        </w:trPr>
        <w:tc>
          <w:tcPr>
            <w:tcW w:w="861" w:type="dxa"/>
            <w:tcBorders>
              <w:top w:val="nil"/>
              <w:left w:val="nil"/>
              <w:bottom w:val="nil"/>
              <w:right w:val="nil"/>
            </w:tcBorders>
            <w:shd w:val="clear" w:color="auto" w:fill="auto"/>
            <w:noWrap/>
            <w:vAlign w:val="center"/>
            <w:hideMark/>
          </w:tcPr>
          <w:p w14:paraId="080FC9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NCT00846456</w:t>
            </w:r>
          </w:p>
        </w:tc>
        <w:tc>
          <w:tcPr>
            <w:tcW w:w="1354" w:type="dxa"/>
            <w:tcBorders>
              <w:top w:val="nil"/>
              <w:left w:val="nil"/>
              <w:bottom w:val="nil"/>
              <w:right w:val="nil"/>
            </w:tcBorders>
            <w:shd w:val="clear" w:color="auto" w:fill="auto"/>
            <w:noWrap/>
            <w:vAlign w:val="center"/>
            <w:hideMark/>
          </w:tcPr>
          <w:p w14:paraId="60B07C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Safe Study of Dendritic Cell (DC) Based Therapy Targeting Tumor Stem Cells in Glioblastoma</w:t>
            </w:r>
          </w:p>
        </w:tc>
        <w:tc>
          <w:tcPr>
            <w:tcW w:w="1483" w:type="dxa"/>
            <w:tcBorders>
              <w:top w:val="nil"/>
              <w:left w:val="nil"/>
              <w:bottom w:val="nil"/>
              <w:right w:val="nil"/>
            </w:tcBorders>
            <w:shd w:val="clear" w:color="auto" w:fill="auto"/>
            <w:noWrap/>
            <w:vAlign w:val="center"/>
            <w:hideMark/>
          </w:tcPr>
          <w:p w14:paraId="6D92C8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3333D2C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study induces an immune response towards the stem-cell like part of glioblastomas in combination with standard therapy. The aim is to </w:t>
            </w:r>
            <w:r w:rsidRPr="000A6EBE">
              <w:rPr>
                <w:rFonts w:ascii="Aptos Narrow" w:eastAsia="Times New Roman" w:hAnsi="Aptos Narrow"/>
                <w:color w:val="000000"/>
                <w:sz w:val="16"/>
                <w:szCs w:val="16"/>
                <w:lang w:val="en-HK" w:eastAsia="zh-CN"/>
              </w:rPr>
              <w:lastRenderedPageBreak/>
              <w:t>define and characterize the feasibility, potential adverse effects of such therapy and measure time to progression and survival.</w:t>
            </w:r>
          </w:p>
        </w:tc>
        <w:tc>
          <w:tcPr>
            <w:tcW w:w="279" w:type="dxa"/>
            <w:tcBorders>
              <w:top w:val="nil"/>
              <w:left w:val="nil"/>
              <w:bottom w:val="nil"/>
              <w:right w:val="nil"/>
            </w:tcBorders>
            <w:shd w:val="clear" w:color="auto" w:fill="auto"/>
            <w:noWrap/>
            <w:vAlign w:val="center"/>
            <w:hideMark/>
          </w:tcPr>
          <w:p w14:paraId="662A785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0658274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Glioblastoma|Brain Tumor</w:t>
            </w:r>
          </w:p>
        </w:tc>
        <w:tc>
          <w:tcPr>
            <w:tcW w:w="1574" w:type="dxa"/>
            <w:tcBorders>
              <w:top w:val="nil"/>
              <w:left w:val="nil"/>
              <w:bottom w:val="nil"/>
              <w:right w:val="nil"/>
            </w:tcBorders>
            <w:shd w:val="clear" w:color="auto" w:fill="auto"/>
            <w:noWrap/>
            <w:vAlign w:val="center"/>
            <w:hideMark/>
          </w:tcPr>
          <w:p w14:paraId="7EE6CD8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 vaccine with mRNA from tumor stem cells</w:t>
            </w:r>
          </w:p>
        </w:tc>
        <w:tc>
          <w:tcPr>
            <w:tcW w:w="1152" w:type="dxa"/>
            <w:tcBorders>
              <w:top w:val="nil"/>
              <w:left w:val="nil"/>
              <w:bottom w:val="nil"/>
              <w:right w:val="nil"/>
            </w:tcBorders>
            <w:shd w:val="clear" w:color="auto" w:fill="auto"/>
            <w:noWrap/>
            <w:vAlign w:val="center"/>
            <w:hideMark/>
          </w:tcPr>
          <w:p w14:paraId="77681A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Oslo University Hospital</w:t>
            </w:r>
          </w:p>
        </w:tc>
        <w:tc>
          <w:tcPr>
            <w:tcW w:w="1006" w:type="dxa"/>
            <w:tcBorders>
              <w:top w:val="nil"/>
              <w:left w:val="nil"/>
              <w:bottom w:val="nil"/>
              <w:right w:val="nil"/>
            </w:tcBorders>
            <w:shd w:val="clear" w:color="auto" w:fill="auto"/>
            <w:noWrap/>
            <w:vAlign w:val="center"/>
            <w:hideMark/>
          </w:tcPr>
          <w:p w14:paraId="6FD415E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3659C5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D01F1B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01/01/2009</w:t>
            </w:r>
          </w:p>
        </w:tc>
        <w:tc>
          <w:tcPr>
            <w:tcW w:w="766" w:type="dxa"/>
            <w:tcBorders>
              <w:top w:val="nil"/>
              <w:left w:val="nil"/>
              <w:bottom w:val="nil"/>
              <w:right w:val="nil"/>
            </w:tcBorders>
            <w:shd w:val="clear" w:color="auto" w:fill="auto"/>
            <w:noWrap/>
            <w:vAlign w:val="center"/>
            <w:hideMark/>
          </w:tcPr>
          <w:p w14:paraId="3EA3C2B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53851756" w14:textId="77777777" w:rsidTr="00AB1828">
        <w:trPr>
          <w:trHeight w:val="360"/>
        </w:trPr>
        <w:tc>
          <w:tcPr>
            <w:tcW w:w="861" w:type="dxa"/>
            <w:tcBorders>
              <w:top w:val="nil"/>
              <w:left w:val="nil"/>
              <w:bottom w:val="nil"/>
              <w:right w:val="nil"/>
            </w:tcBorders>
            <w:shd w:val="clear" w:color="auto" w:fill="auto"/>
            <w:noWrap/>
            <w:vAlign w:val="center"/>
            <w:hideMark/>
          </w:tcPr>
          <w:p w14:paraId="46A992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NCT01153113</w:t>
            </w:r>
          </w:p>
        </w:tc>
        <w:tc>
          <w:tcPr>
            <w:tcW w:w="1354" w:type="dxa"/>
            <w:tcBorders>
              <w:top w:val="nil"/>
              <w:left w:val="nil"/>
              <w:bottom w:val="nil"/>
              <w:right w:val="nil"/>
            </w:tcBorders>
            <w:shd w:val="clear" w:color="auto" w:fill="auto"/>
            <w:noWrap/>
            <w:vAlign w:val="center"/>
            <w:hideMark/>
          </w:tcPr>
          <w:p w14:paraId="727664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Human Telomerase Reverse Transcriptase Messenger RNA (hTERT mRNA) Transfected Dendritic Cell Vaccines</w:t>
            </w:r>
          </w:p>
        </w:tc>
        <w:tc>
          <w:tcPr>
            <w:tcW w:w="1483" w:type="dxa"/>
            <w:tcBorders>
              <w:top w:val="nil"/>
              <w:left w:val="nil"/>
              <w:bottom w:val="nil"/>
              <w:right w:val="nil"/>
            </w:tcBorders>
            <w:shd w:val="clear" w:color="auto" w:fill="auto"/>
            <w:noWrap/>
            <w:vAlign w:val="center"/>
            <w:hideMark/>
          </w:tcPr>
          <w:p w14:paraId="42E8BA9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WITHDRAWN</w:t>
            </w:r>
          </w:p>
        </w:tc>
        <w:tc>
          <w:tcPr>
            <w:tcW w:w="1689" w:type="dxa"/>
            <w:tcBorders>
              <w:top w:val="nil"/>
              <w:left w:val="nil"/>
              <w:bottom w:val="nil"/>
              <w:right w:val="nil"/>
            </w:tcBorders>
            <w:shd w:val="clear" w:color="auto" w:fill="auto"/>
            <w:vAlign w:val="center"/>
            <w:hideMark/>
          </w:tcPr>
          <w:p w14:paraId="754AD6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research is to develop a new and powerful type of immune therapy for prostate cancer patients. This therapy involves vaccinations with special stimulator cells found in the human body called dendritic cells. These dendritic cells can take up proteins released from cancer cells and present pieces of these proteins to immune cells called T lymphocytes to create a strong stimulatory signal to fight the cancer.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One of these proteins is called telomerase, which is found on prostate cancers and is critically important for </w:t>
            </w:r>
            <w:r w:rsidRPr="000A6EBE">
              <w:rPr>
                <w:rFonts w:ascii="Aptos Narrow" w:eastAsia="Times New Roman" w:hAnsi="Aptos Narrow"/>
                <w:color w:val="000000"/>
                <w:sz w:val="16"/>
                <w:szCs w:val="16"/>
                <w:lang w:val="en-HK" w:eastAsia="zh-CN"/>
              </w:rPr>
              <w:lastRenderedPageBreak/>
              <w:t>prostate cancer cells to grow. However, in most cancer patients, the immune system does not adequately destroy the tumor because the T cells are not stimulated sufficiently. T cells require strong stimulation before they grow and become active against cancer cells.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We have discovered that substances called ribonucleic acids (RNA), which carry the genetic instructions for the production of telomerase, can be used to overcome this problem and stimulate a strong immune response in cancer patients.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In order to test this hypothesis we have designed a clinical study and will enroll patients with metastatic prostate cancer expressing telomerase in </w:t>
            </w:r>
            <w:r w:rsidRPr="000A6EBE">
              <w:rPr>
                <w:rFonts w:ascii="Aptos Narrow" w:eastAsia="Times New Roman" w:hAnsi="Aptos Narrow"/>
                <w:color w:val="000000"/>
                <w:sz w:val="16"/>
                <w:szCs w:val="16"/>
                <w:lang w:val="en-HK" w:eastAsia="zh-CN"/>
              </w:rPr>
              <w:lastRenderedPageBreak/>
              <w:t>order to determine whether or not this vaccine will stimulate T cells, which can recognize and kill prostate tumor cells.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The main objectives of this study are to find out whether injections with dendritic cells grown from blood cells and "pulsed" (mixed together for a short period of time) with RNA derived from the patient's own tumor are: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1. Safe without inducing any major side effects.</w:t>
            </w:r>
            <w:r w:rsidRPr="000A6EBE">
              <w:rPr>
                <w:rFonts w:ascii="Aptos Narrow" w:eastAsia="Times New Roman" w:hAnsi="Aptos Narrow"/>
                <w:color w:val="000000"/>
                <w:sz w:val="16"/>
                <w:szCs w:val="16"/>
                <w:lang w:val="en-HK" w:eastAsia="zh-CN"/>
              </w:rPr>
              <w:br/>
              <w:t>2. And effective in boosting the patient body's immunity against telomerase expressing prostate cancer cells.</w:t>
            </w:r>
            <w:r w:rsidRPr="000A6EBE">
              <w:rPr>
                <w:rFonts w:ascii="Aptos Narrow" w:eastAsia="Times New Roman" w:hAnsi="Aptos Narrow"/>
                <w:color w:val="000000"/>
                <w:sz w:val="16"/>
                <w:szCs w:val="16"/>
                <w:lang w:val="en-HK" w:eastAsia="zh-CN"/>
              </w:rPr>
              <w:br/>
              <w:t>3. Finally, we will test whether or not tumor shrinkage based on serum PSA levels or on X-ray studies will occur.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We hope that this </w:t>
            </w:r>
            <w:r w:rsidRPr="000A6EBE">
              <w:rPr>
                <w:rFonts w:ascii="Aptos Narrow" w:eastAsia="Times New Roman" w:hAnsi="Aptos Narrow"/>
                <w:color w:val="000000"/>
                <w:sz w:val="16"/>
                <w:szCs w:val="16"/>
                <w:lang w:val="en-HK" w:eastAsia="zh-CN"/>
              </w:rPr>
              <w:lastRenderedPageBreak/>
              <w:t>new form of immune therapy, although in its infancy, will ultimately slow down tumor growth and prolong survival of prostate cancer patients.</w:t>
            </w:r>
          </w:p>
        </w:tc>
        <w:tc>
          <w:tcPr>
            <w:tcW w:w="279" w:type="dxa"/>
            <w:tcBorders>
              <w:top w:val="nil"/>
              <w:left w:val="nil"/>
              <w:bottom w:val="nil"/>
              <w:right w:val="nil"/>
            </w:tcBorders>
            <w:shd w:val="clear" w:color="auto" w:fill="auto"/>
            <w:noWrap/>
            <w:vAlign w:val="center"/>
            <w:hideMark/>
          </w:tcPr>
          <w:p w14:paraId="5306387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30B1CE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Metastatic Prostate Cancer</w:t>
            </w:r>
          </w:p>
        </w:tc>
        <w:tc>
          <w:tcPr>
            <w:tcW w:w="1574" w:type="dxa"/>
            <w:tcBorders>
              <w:top w:val="nil"/>
              <w:left w:val="nil"/>
              <w:bottom w:val="nil"/>
              <w:right w:val="nil"/>
            </w:tcBorders>
            <w:shd w:val="clear" w:color="auto" w:fill="auto"/>
            <w:noWrap/>
            <w:vAlign w:val="center"/>
            <w:hideMark/>
          </w:tcPr>
          <w:p w14:paraId="3047373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hTERT mRNA DC|BIOLOGICAL: hTERT mRNA DC</w:t>
            </w:r>
          </w:p>
        </w:tc>
        <w:tc>
          <w:tcPr>
            <w:tcW w:w="1152" w:type="dxa"/>
            <w:tcBorders>
              <w:top w:val="nil"/>
              <w:left w:val="nil"/>
              <w:bottom w:val="nil"/>
              <w:right w:val="nil"/>
            </w:tcBorders>
            <w:shd w:val="clear" w:color="auto" w:fill="auto"/>
            <w:noWrap/>
            <w:vAlign w:val="center"/>
            <w:hideMark/>
          </w:tcPr>
          <w:p w14:paraId="371DA9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Florida</w:t>
            </w:r>
          </w:p>
        </w:tc>
        <w:tc>
          <w:tcPr>
            <w:tcW w:w="1006" w:type="dxa"/>
            <w:tcBorders>
              <w:top w:val="nil"/>
              <w:left w:val="nil"/>
              <w:bottom w:val="nil"/>
              <w:right w:val="nil"/>
            </w:tcBorders>
            <w:shd w:val="clear" w:color="auto" w:fill="auto"/>
            <w:noWrap/>
            <w:vAlign w:val="center"/>
            <w:hideMark/>
          </w:tcPr>
          <w:p w14:paraId="07EFCA5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153123E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93BEBC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01/01/2008</w:t>
            </w:r>
          </w:p>
        </w:tc>
        <w:tc>
          <w:tcPr>
            <w:tcW w:w="766" w:type="dxa"/>
            <w:tcBorders>
              <w:top w:val="nil"/>
              <w:left w:val="nil"/>
              <w:bottom w:val="nil"/>
              <w:right w:val="nil"/>
            </w:tcBorders>
            <w:shd w:val="clear" w:color="auto" w:fill="auto"/>
            <w:noWrap/>
            <w:vAlign w:val="center"/>
            <w:hideMark/>
          </w:tcPr>
          <w:p w14:paraId="2AD1F3D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84F99A8" w14:textId="77777777" w:rsidTr="00AB1828">
        <w:trPr>
          <w:trHeight w:val="360"/>
        </w:trPr>
        <w:tc>
          <w:tcPr>
            <w:tcW w:w="861" w:type="dxa"/>
            <w:tcBorders>
              <w:top w:val="nil"/>
              <w:left w:val="nil"/>
              <w:bottom w:val="nil"/>
              <w:right w:val="nil"/>
            </w:tcBorders>
            <w:shd w:val="clear" w:color="auto" w:fill="auto"/>
            <w:noWrap/>
            <w:vAlign w:val="center"/>
            <w:hideMark/>
          </w:tcPr>
          <w:p w14:paraId="33DD24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NCT00514189</w:t>
            </w:r>
          </w:p>
        </w:tc>
        <w:tc>
          <w:tcPr>
            <w:tcW w:w="1354" w:type="dxa"/>
            <w:tcBorders>
              <w:top w:val="nil"/>
              <w:left w:val="nil"/>
              <w:bottom w:val="nil"/>
              <w:right w:val="nil"/>
            </w:tcBorders>
            <w:shd w:val="clear" w:color="auto" w:fill="auto"/>
            <w:noWrap/>
            <w:vAlign w:val="center"/>
            <w:hideMark/>
          </w:tcPr>
          <w:p w14:paraId="45E019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Feasibility Study of Acute Myelogenous Leukemia mRNA Plus Lysate Loaded Dendritic Cell Vaccines</w:t>
            </w:r>
          </w:p>
        </w:tc>
        <w:tc>
          <w:tcPr>
            <w:tcW w:w="1483" w:type="dxa"/>
            <w:tcBorders>
              <w:top w:val="nil"/>
              <w:left w:val="nil"/>
              <w:bottom w:val="nil"/>
              <w:right w:val="nil"/>
            </w:tcBorders>
            <w:shd w:val="clear" w:color="auto" w:fill="auto"/>
            <w:noWrap/>
            <w:vAlign w:val="center"/>
            <w:hideMark/>
          </w:tcPr>
          <w:p w14:paraId="412E1B8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TERMINATED</w:t>
            </w:r>
          </w:p>
        </w:tc>
        <w:tc>
          <w:tcPr>
            <w:tcW w:w="1689" w:type="dxa"/>
            <w:tcBorders>
              <w:top w:val="nil"/>
              <w:left w:val="nil"/>
              <w:bottom w:val="nil"/>
              <w:right w:val="nil"/>
            </w:tcBorders>
            <w:shd w:val="clear" w:color="auto" w:fill="auto"/>
            <w:vAlign w:val="center"/>
            <w:hideMark/>
          </w:tcPr>
          <w:p w14:paraId="20E3FEE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Primary 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1. To determine the feasibility of delivering autologous dendritic cells (DCs) loaded with acute myelogenous leukemia (AML) lysate plus messenger RNA (mRNA) to AML patients following consolidation therapy.</w:t>
            </w:r>
            <w:r w:rsidRPr="000A6EBE">
              <w:rPr>
                <w:rFonts w:ascii="Aptos Narrow" w:eastAsia="Times New Roman" w:hAnsi="Aptos Narrow"/>
                <w:color w:val="000000"/>
                <w:sz w:val="16"/>
                <w:szCs w:val="16"/>
                <w:lang w:val="en-HK" w:eastAsia="zh-CN"/>
              </w:rPr>
              <w:br/>
              <w:t>2. To determine the toxicity of autologous DCs loaded with AML lysate plus mRNA.</w:t>
            </w:r>
            <w:r w:rsidRPr="000A6EBE">
              <w:rPr>
                <w:rFonts w:ascii="Aptos Narrow" w:eastAsia="Times New Roman" w:hAnsi="Aptos Narrow"/>
                <w:color w:val="000000"/>
                <w:sz w:val="16"/>
                <w:szCs w:val="16"/>
                <w:lang w:val="en-HK" w:eastAsia="zh-CN"/>
              </w:rPr>
              <w:br/>
              <w:t>3. To quantitate immune responses in patients who receive autologous DCs loaded with AML lysate plus mRNA.</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Secondary 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1. To evaluate </w:t>
            </w:r>
            <w:r w:rsidRPr="000A6EBE">
              <w:rPr>
                <w:rFonts w:ascii="Aptos Narrow" w:eastAsia="Times New Roman" w:hAnsi="Aptos Narrow"/>
                <w:color w:val="000000"/>
                <w:sz w:val="16"/>
                <w:szCs w:val="16"/>
                <w:lang w:val="en-HK" w:eastAsia="zh-CN"/>
              </w:rPr>
              <w:lastRenderedPageBreak/>
              <w:t>minimal residual disease following DC therapy using the polymerase chain reaction assay for the Wilm's Tumor-1 gene.</w:t>
            </w:r>
            <w:r w:rsidRPr="000A6EBE">
              <w:rPr>
                <w:rFonts w:ascii="Aptos Narrow" w:eastAsia="Times New Roman" w:hAnsi="Aptos Narrow"/>
                <w:color w:val="000000"/>
                <w:sz w:val="16"/>
                <w:szCs w:val="16"/>
                <w:lang w:val="en-HK" w:eastAsia="zh-CN"/>
              </w:rPr>
              <w:br/>
              <w:t>2. To asses the disease-free and overall survival of AML patients who receive the autologous DCs loaded with AML lysate plus mRNA.</w:t>
            </w:r>
          </w:p>
        </w:tc>
        <w:tc>
          <w:tcPr>
            <w:tcW w:w="279" w:type="dxa"/>
            <w:tcBorders>
              <w:top w:val="nil"/>
              <w:left w:val="nil"/>
              <w:bottom w:val="nil"/>
              <w:right w:val="nil"/>
            </w:tcBorders>
            <w:shd w:val="clear" w:color="auto" w:fill="auto"/>
            <w:noWrap/>
            <w:vAlign w:val="center"/>
            <w:hideMark/>
          </w:tcPr>
          <w:p w14:paraId="65B61E4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6B5A05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Leukemia</w:t>
            </w:r>
          </w:p>
        </w:tc>
        <w:tc>
          <w:tcPr>
            <w:tcW w:w="1574" w:type="dxa"/>
            <w:tcBorders>
              <w:top w:val="nil"/>
              <w:left w:val="nil"/>
              <w:bottom w:val="nil"/>
              <w:right w:val="nil"/>
            </w:tcBorders>
            <w:shd w:val="clear" w:color="auto" w:fill="auto"/>
            <w:noWrap/>
            <w:vAlign w:val="center"/>
            <w:hideMark/>
          </w:tcPr>
          <w:p w14:paraId="50D58CD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Cells</w:t>
            </w:r>
          </w:p>
        </w:tc>
        <w:tc>
          <w:tcPr>
            <w:tcW w:w="1152" w:type="dxa"/>
            <w:tcBorders>
              <w:top w:val="nil"/>
              <w:left w:val="nil"/>
              <w:bottom w:val="nil"/>
              <w:right w:val="nil"/>
            </w:tcBorders>
            <w:shd w:val="clear" w:color="auto" w:fill="auto"/>
            <w:noWrap/>
            <w:vAlign w:val="center"/>
            <w:hideMark/>
          </w:tcPr>
          <w:p w14:paraId="2B89D0E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M.D. Anderson Cancer Center</w:t>
            </w:r>
          </w:p>
        </w:tc>
        <w:tc>
          <w:tcPr>
            <w:tcW w:w="1006" w:type="dxa"/>
            <w:tcBorders>
              <w:top w:val="nil"/>
              <w:left w:val="nil"/>
              <w:bottom w:val="nil"/>
              <w:right w:val="nil"/>
            </w:tcBorders>
            <w:shd w:val="clear" w:color="auto" w:fill="auto"/>
            <w:noWrap/>
            <w:vAlign w:val="center"/>
            <w:hideMark/>
          </w:tcPr>
          <w:p w14:paraId="612006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24B3F0B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2625E78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01/07/2007</w:t>
            </w:r>
          </w:p>
        </w:tc>
        <w:tc>
          <w:tcPr>
            <w:tcW w:w="766" w:type="dxa"/>
            <w:tcBorders>
              <w:top w:val="nil"/>
              <w:left w:val="nil"/>
              <w:bottom w:val="nil"/>
              <w:right w:val="nil"/>
            </w:tcBorders>
            <w:shd w:val="clear" w:color="auto" w:fill="auto"/>
            <w:noWrap/>
            <w:vAlign w:val="center"/>
            <w:hideMark/>
          </w:tcPr>
          <w:p w14:paraId="172F2F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BAEB265" w14:textId="77777777" w:rsidTr="00AB1828">
        <w:trPr>
          <w:trHeight w:val="360"/>
        </w:trPr>
        <w:tc>
          <w:tcPr>
            <w:tcW w:w="861" w:type="dxa"/>
            <w:tcBorders>
              <w:top w:val="nil"/>
              <w:left w:val="nil"/>
              <w:bottom w:val="nil"/>
              <w:right w:val="nil"/>
            </w:tcBorders>
            <w:shd w:val="clear" w:color="auto" w:fill="auto"/>
            <w:noWrap/>
            <w:vAlign w:val="center"/>
            <w:hideMark/>
          </w:tcPr>
          <w:p w14:paraId="70C678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NCT00510133</w:t>
            </w:r>
          </w:p>
        </w:tc>
        <w:tc>
          <w:tcPr>
            <w:tcW w:w="1354" w:type="dxa"/>
            <w:tcBorders>
              <w:top w:val="nil"/>
              <w:left w:val="nil"/>
              <w:bottom w:val="nil"/>
              <w:right w:val="nil"/>
            </w:tcBorders>
            <w:shd w:val="clear" w:color="auto" w:fill="auto"/>
            <w:noWrap/>
            <w:vAlign w:val="center"/>
            <w:hideMark/>
          </w:tcPr>
          <w:p w14:paraId="0912685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 Study of Active Immunotherapy With GRNVAC1 in Patients With Acute Myelogenous Leukemia (AML)</w:t>
            </w:r>
          </w:p>
        </w:tc>
        <w:tc>
          <w:tcPr>
            <w:tcW w:w="1483" w:type="dxa"/>
            <w:tcBorders>
              <w:top w:val="nil"/>
              <w:left w:val="nil"/>
              <w:bottom w:val="nil"/>
              <w:right w:val="nil"/>
            </w:tcBorders>
            <w:shd w:val="clear" w:color="auto" w:fill="auto"/>
            <w:noWrap/>
            <w:vAlign w:val="center"/>
            <w:hideMark/>
          </w:tcPr>
          <w:p w14:paraId="2239935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15D56F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This is a phase II study to evaluate the safety, feasibility and efficacy of immunotherapy with GRNVAC1 in patients with AML.</w:t>
            </w:r>
          </w:p>
        </w:tc>
        <w:tc>
          <w:tcPr>
            <w:tcW w:w="279" w:type="dxa"/>
            <w:tcBorders>
              <w:top w:val="nil"/>
              <w:left w:val="nil"/>
              <w:bottom w:val="nil"/>
              <w:right w:val="nil"/>
            </w:tcBorders>
            <w:shd w:val="clear" w:color="auto" w:fill="auto"/>
            <w:noWrap/>
            <w:vAlign w:val="center"/>
            <w:hideMark/>
          </w:tcPr>
          <w:p w14:paraId="382C229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037C38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Acute Myelogenous Leukemia</w:t>
            </w:r>
          </w:p>
        </w:tc>
        <w:tc>
          <w:tcPr>
            <w:tcW w:w="1574" w:type="dxa"/>
            <w:tcBorders>
              <w:top w:val="nil"/>
              <w:left w:val="nil"/>
              <w:bottom w:val="nil"/>
              <w:right w:val="nil"/>
            </w:tcBorders>
            <w:shd w:val="clear" w:color="auto" w:fill="auto"/>
            <w:noWrap/>
            <w:vAlign w:val="center"/>
            <w:hideMark/>
          </w:tcPr>
          <w:p w14:paraId="46553FF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GRNVAC1</w:t>
            </w:r>
          </w:p>
        </w:tc>
        <w:tc>
          <w:tcPr>
            <w:tcW w:w="1152" w:type="dxa"/>
            <w:tcBorders>
              <w:top w:val="nil"/>
              <w:left w:val="nil"/>
              <w:bottom w:val="nil"/>
              <w:right w:val="nil"/>
            </w:tcBorders>
            <w:shd w:val="clear" w:color="auto" w:fill="auto"/>
            <w:noWrap/>
            <w:vAlign w:val="center"/>
            <w:hideMark/>
          </w:tcPr>
          <w:p w14:paraId="4F833DA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Asterias Biotherapeutics, Inc.</w:t>
            </w:r>
          </w:p>
        </w:tc>
        <w:tc>
          <w:tcPr>
            <w:tcW w:w="1006" w:type="dxa"/>
            <w:tcBorders>
              <w:top w:val="nil"/>
              <w:left w:val="nil"/>
              <w:bottom w:val="nil"/>
              <w:right w:val="nil"/>
            </w:tcBorders>
            <w:shd w:val="clear" w:color="auto" w:fill="auto"/>
            <w:noWrap/>
            <w:vAlign w:val="center"/>
            <w:hideMark/>
          </w:tcPr>
          <w:p w14:paraId="78E1B4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PHASE2</w:t>
            </w:r>
          </w:p>
        </w:tc>
        <w:tc>
          <w:tcPr>
            <w:tcW w:w="1006" w:type="dxa"/>
            <w:tcBorders>
              <w:top w:val="nil"/>
              <w:left w:val="nil"/>
              <w:bottom w:val="nil"/>
              <w:right w:val="nil"/>
            </w:tcBorders>
            <w:shd w:val="clear" w:color="auto" w:fill="auto"/>
            <w:noWrap/>
            <w:vAlign w:val="center"/>
            <w:hideMark/>
          </w:tcPr>
          <w:p w14:paraId="05DBEA8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60C0BC5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01/07/2007</w:t>
            </w:r>
          </w:p>
        </w:tc>
        <w:tc>
          <w:tcPr>
            <w:tcW w:w="766" w:type="dxa"/>
            <w:tcBorders>
              <w:top w:val="nil"/>
              <w:left w:val="nil"/>
              <w:bottom w:val="nil"/>
              <w:right w:val="nil"/>
            </w:tcBorders>
            <w:shd w:val="clear" w:color="auto" w:fill="auto"/>
            <w:noWrap/>
            <w:vAlign w:val="center"/>
            <w:hideMark/>
          </w:tcPr>
          <w:p w14:paraId="5D0749F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CA17368" w14:textId="77777777" w:rsidTr="00AB1828">
        <w:trPr>
          <w:trHeight w:val="360"/>
        </w:trPr>
        <w:tc>
          <w:tcPr>
            <w:tcW w:w="861" w:type="dxa"/>
            <w:tcBorders>
              <w:top w:val="nil"/>
              <w:left w:val="nil"/>
              <w:bottom w:val="nil"/>
              <w:right w:val="nil"/>
            </w:tcBorders>
            <w:shd w:val="clear" w:color="auto" w:fill="auto"/>
            <w:noWrap/>
            <w:vAlign w:val="center"/>
            <w:hideMark/>
          </w:tcPr>
          <w:p w14:paraId="77FEC91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NCT00626483</w:t>
            </w:r>
          </w:p>
        </w:tc>
        <w:tc>
          <w:tcPr>
            <w:tcW w:w="1354" w:type="dxa"/>
            <w:tcBorders>
              <w:top w:val="nil"/>
              <w:left w:val="nil"/>
              <w:bottom w:val="nil"/>
              <w:right w:val="nil"/>
            </w:tcBorders>
            <w:shd w:val="clear" w:color="auto" w:fill="auto"/>
            <w:noWrap/>
            <w:vAlign w:val="center"/>
            <w:hideMark/>
          </w:tcPr>
          <w:p w14:paraId="0474A57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Basiliximab in Treating Patients With Newly Diagnosed Glioblastoma Multiforme Undergoing Targeted Immunotherapy and Temozolomide-Caused Lymphopenia</w:t>
            </w:r>
          </w:p>
        </w:tc>
        <w:tc>
          <w:tcPr>
            <w:tcW w:w="1483" w:type="dxa"/>
            <w:tcBorders>
              <w:top w:val="nil"/>
              <w:left w:val="nil"/>
              <w:bottom w:val="nil"/>
              <w:right w:val="nil"/>
            </w:tcBorders>
            <w:shd w:val="clear" w:color="auto" w:fill="auto"/>
            <w:noWrap/>
            <w:vAlign w:val="center"/>
            <w:hideMark/>
          </w:tcPr>
          <w:p w14:paraId="09FC65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32C8099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RATIONALE: Monoclonal antibodies, such as basiliximab, can block tumor growth in different ways. Some block the ability of tumor cells to grow and spread. Others find tumor cells and help kill them or carry tumor-killing substances to them. Drugs used in chemotherapy, such as temozolomide, work in different ways to stop the </w:t>
            </w:r>
            <w:r w:rsidRPr="000A6EBE">
              <w:rPr>
                <w:rFonts w:ascii="Aptos Narrow" w:eastAsia="Times New Roman" w:hAnsi="Aptos Narrow"/>
                <w:color w:val="000000"/>
                <w:sz w:val="16"/>
                <w:szCs w:val="16"/>
                <w:lang w:val="en-HK" w:eastAsia="zh-CN"/>
              </w:rPr>
              <w:lastRenderedPageBreak/>
              <w:t>growth of tumor cells, either by killing the cells or by stopping them from dividing. Radiation therapy uses high-energy x-rays to kill tumor cells. Vaccines may help the body build an effective immune response to kill tumor cells. Giving these treatments together may kill more tumor cells. Granulocyte Macrophage-Colony Stimulating Factor (GM-CSF) is a powerful adjuvant capable of stimulating macrophage function, inducing proliferation and maturation of DCs, and is able to enhance T-lymphocyte stimulatory function. Intradermal administration of GM-CSF enhances the immunization efficacy at the site of administration</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PURPOSE: This clinical trial is studying how well </w:t>
            </w:r>
            <w:r w:rsidRPr="000A6EBE">
              <w:rPr>
                <w:rFonts w:ascii="Aptos Narrow" w:eastAsia="Times New Roman" w:hAnsi="Aptos Narrow"/>
                <w:color w:val="000000"/>
                <w:sz w:val="16"/>
                <w:szCs w:val="16"/>
                <w:lang w:val="en-HK" w:eastAsia="zh-CN"/>
              </w:rPr>
              <w:lastRenderedPageBreak/>
              <w:t>basiliximab works in treating patients with newly diagnosed glioblastoma multiforme and temozolomide-caused lymphopenia who are undergoing targeted immunotherapy.</w:t>
            </w:r>
          </w:p>
        </w:tc>
        <w:tc>
          <w:tcPr>
            <w:tcW w:w="279" w:type="dxa"/>
            <w:tcBorders>
              <w:top w:val="nil"/>
              <w:left w:val="nil"/>
              <w:bottom w:val="nil"/>
              <w:right w:val="nil"/>
            </w:tcBorders>
            <w:shd w:val="clear" w:color="auto" w:fill="auto"/>
            <w:noWrap/>
            <w:vAlign w:val="center"/>
            <w:hideMark/>
          </w:tcPr>
          <w:p w14:paraId="3F253A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24ACC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Neoplasms Brain</w:t>
            </w:r>
          </w:p>
        </w:tc>
        <w:tc>
          <w:tcPr>
            <w:tcW w:w="1574" w:type="dxa"/>
            <w:tcBorders>
              <w:top w:val="nil"/>
              <w:left w:val="nil"/>
              <w:bottom w:val="nil"/>
              <w:right w:val="nil"/>
            </w:tcBorders>
            <w:shd w:val="clear" w:color="auto" w:fill="auto"/>
            <w:noWrap/>
            <w:vAlign w:val="center"/>
            <w:hideMark/>
          </w:tcPr>
          <w:p w14:paraId="5AA6AA1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RNA-loaded dendritic cell vaccine|DRUG: basiliximab</w:t>
            </w:r>
          </w:p>
        </w:tc>
        <w:tc>
          <w:tcPr>
            <w:tcW w:w="1152" w:type="dxa"/>
            <w:tcBorders>
              <w:top w:val="nil"/>
              <w:left w:val="nil"/>
              <w:bottom w:val="nil"/>
              <w:right w:val="nil"/>
            </w:tcBorders>
            <w:shd w:val="clear" w:color="auto" w:fill="auto"/>
            <w:noWrap/>
            <w:vAlign w:val="center"/>
            <w:hideMark/>
          </w:tcPr>
          <w:p w14:paraId="46D8770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Gary Archer Ph.D.</w:t>
            </w:r>
          </w:p>
        </w:tc>
        <w:tc>
          <w:tcPr>
            <w:tcW w:w="1006" w:type="dxa"/>
            <w:tcBorders>
              <w:top w:val="nil"/>
              <w:left w:val="nil"/>
              <w:bottom w:val="nil"/>
              <w:right w:val="nil"/>
            </w:tcBorders>
            <w:shd w:val="clear" w:color="auto" w:fill="auto"/>
            <w:noWrap/>
            <w:vAlign w:val="center"/>
            <w:hideMark/>
          </w:tcPr>
          <w:p w14:paraId="795AD0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2C0D49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14BCDE4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24/04/2007</w:t>
            </w:r>
          </w:p>
        </w:tc>
        <w:tc>
          <w:tcPr>
            <w:tcW w:w="766" w:type="dxa"/>
            <w:tcBorders>
              <w:top w:val="nil"/>
              <w:left w:val="nil"/>
              <w:bottom w:val="nil"/>
              <w:right w:val="nil"/>
            </w:tcBorders>
            <w:shd w:val="clear" w:color="auto" w:fill="auto"/>
            <w:noWrap/>
            <w:vAlign w:val="center"/>
            <w:hideMark/>
          </w:tcPr>
          <w:p w14:paraId="2CA6F8B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601A44C" w14:textId="77777777" w:rsidTr="00AB1828">
        <w:trPr>
          <w:trHeight w:val="360"/>
        </w:trPr>
        <w:tc>
          <w:tcPr>
            <w:tcW w:w="861" w:type="dxa"/>
            <w:tcBorders>
              <w:top w:val="nil"/>
              <w:left w:val="nil"/>
              <w:bottom w:val="nil"/>
              <w:right w:val="nil"/>
            </w:tcBorders>
            <w:shd w:val="clear" w:color="auto" w:fill="auto"/>
            <w:noWrap/>
            <w:vAlign w:val="center"/>
            <w:hideMark/>
          </w:tcPr>
          <w:p w14:paraId="78D5233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NCT00204516</w:t>
            </w:r>
          </w:p>
        </w:tc>
        <w:tc>
          <w:tcPr>
            <w:tcW w:w="1354" w:type="dxa"/>
            <w:tcBorders>
              <w:top w:val="nil"/>
              <w:left w:val="nil"/>
              <w:bottom w:val="nil"/>
              <w:right w:val="nil"/>
            </w:tcBorders>
            <w:shd w:val="clear" w:color="auto" w:fill="auto"/>
            <w:noWrap/>
            <w:vAlign w:val="center"/>
            <w:hideMark/>
          </w:tcPr>
          <w:p w14:paraId="23B4C4E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Vaccination With Tumor mRNA in Metastatic Melanoma - Fixed Combination Versus Individual Selection of Targeted Antigens</w:t>
            </w:r>
          </w:p>
        </w:tc>
        <w:tc>
          <w:tcPr>
            <w:tcW w:w="1483" w:type="dxa"/>
            <w:tcBorders>
              <w:top w:val="nil"/>
              <w:left w:val="nil"/>
              <w:bottom w:val="nil"/>
              <w:right w:val="nil"/>
            </w:tcBorders>
            <w:shd w:val="clear" w:color="auto" w:fill="auto"/>
            <w:noWrap/>
            <w:vAlign w:val="center"/>
            <w:hideMark/>
          </w:tcPr>
          <w:p w14:paraId="68F3B11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67DE400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the vaccination protocol is to induce specific immune responses against melanoma associated antigens by intradermal injections of mRNA coding for the corresponding antigen.</w:t>
            </w:r>
          </w:p>
        </w:tc>
        <w:tc>
          <w:tcPr>
            <w:tcW w:w="279" w:type="dxa"/>
            <w:tcBorders>
              <w:top w:val="nil"/>
              <w:left w:val="nil"/>
              <w:bottom w:val="nil"/>
              <w:right w:val="nil"/>
            </w:tcBorders>
            <w:shd w:val="clear" w:color="auto" w:fill="auto"/>
            <w:noWrap/>
            <w:vAlign w:val="center"/>
            <w:hideMark/>
          </w:tcPr>
          <w:p w14:paraId="544C64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11C4E9A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Melanoma</w:t>
            </w:r>
          </w:p>
        </w:tc>
        <w:tc>
          <w:tcPr>
            <w:tcW w:w="1574" w:type="dxa"/>
            <w:tcBorders>
              <w:top w:val="nil"/>
              <w:left w:val="nil"/>
              <w:bottom w:val="nil"/>
              <w:right w:val="nil"/>
            </w:tcBorders>
            <w:shd w:val="clear" w:color="auto" w:fill="auto"/>
            <w:noWrap/>
            <w:vAlign w:val="center"/>
            <w:hideMark/>
          </w:tcPr>
          <w:p w14:paraId="4A43FD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mRNA coding for melanoma associated antigens|DRUG: GM-CSF</w:t>
            </w:r>
          </w:p>
        </w:tc>
        <w:tc>
          <w:tcPr>
            <w:tcW w:w="1152" w:type="dxa"/>
            <w:tcBorders>
              <w:top w:val="nil"/>
              <w:left w:val="nil"/>
              <w:bottom w:val="nil"/>
              <w:right w:val="nil"/>
            </w:tcBorders>
            <w:shd w:val="clear" w:color="auto" w:fill="auto"/>
            <w:noWrap/>
            <w:vAlign w:val="center"/>
            <w:hideMark/>
          </w:tcPr>
          <w:p w14:paraId="2D53094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Tuebingen</w:t>
            </w:r>
          </w:p>
        </w:tc>
        <w:tc>
          <w:tcPr>
            <w:tcW w:w="1006" w:type="dxa"/>
            <w:tcBorders>
              <w:top w:val="nil"/>
              <w:left w:val="nil"/>
              <w:bottom w:val="nil"/>
              <w:right w:val="nil"/>
            </w:tcBorders>
            <w:shd w:val="clear" w:color="auto" w:fill="auto"/>
            <w:noWrap/>
            <w:vAlign w:val="center"/>
            <w:hideMark/>
          </w:tcPr>
          <w:p w14:paraId="659788E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016D361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5C1784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01/04/2007</w:t>
            </w:r>
          </w:p>
        </w:tc>
        <w:tc>
          <w:tcPr>
            <w:tcW w:w="766" w:type="dxa"/>
            <w:tcBorders>
              <w:top w:val="nil"/>
              <w:left w:val="nil"/>
              <w:bottom w:val="nil"/>
              <w:right w:val="nil"/>
            </w:tcBorders>
            <w:shd w:val="clear" w:color="auto" w:fill="auto"/>
            <w:noWrap/>
            <w:vAlign w:val="center"/>
            <w:hideMark/>
          </w:tcPr>
          <w:p w14:paraId="7A2F5CA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7C9A1953" w14:textId="77777777" w:rsidTr="00AB1828">
        <w:trPr>
          <w:trHeight w:val="360"/>
        </w:trPr>
        <w:tc>
          <w:tcPr>
            <w:tcW w:w="861" w:type="dxa"/>
            <w:tcBorders>
              <w:top w:val="nil"/>
              <w:left w:val="nil"/>
              <w:bottom w:val="nil"/>
              <w:right w:val="nil"/>
            </w:tcBorders>
            <w:shd w:val="clear" w:color="auto" w:fill="auto"/>
            <w:noWrap/>
            <w:vAlign w:val="center"/>
            <w:hideMark/>
          </w:tcPr>
          <w:p w14:paraId="0808AB6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NCT00204594</w:t>
            </w:r>
          </w:p>
        </w:tc>
        <w:tc>
          <w:tcPr>
            <w:tcW w:w="1354" w:type="dxa"/>
            <w:tcBorders>
              <w:top w:val="nil"/>
              <w:left w:val="nil"/>
              <w:bottom w:val="nil"/>
              <w:right w:val="nil"/>
            </w:tcBorders>
            <w:shd w:val="clear" w:color="auto" w:fill="auto"/>
            <w:noWrap/>
            <w:vAlign w:val="center"/>
            <w:hideMark/>
          </w:tcPr>
          <w:p w14:paraId="4FA3BC2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Local Treatment of Metastatic Melanoma With Autologous Lymphocytes and the Bispecific Antibody rM28</w:t>
            </w:r>
          </w:p>
        </w:tc>
        <w:tc>
          <w:tcPr>
            <w:tcW w:w="1483" w:type="dxa"/>
            <w:tcBorders>
              <w:top w:val="nil"/>
              <w:left w:val="nil"/>
              <w:bottom w:val="nil"/>
              <w:right w:val="nil"/>
            </w:tcBorders>
            <w:shd w:val="clear" w:color="auto" w:fill="auto"/>
            <w:noWrap/>
            <w:vAlign w:val="center"/>
            <w:hideMark/>
          </w:tcPr>
          <w:p w14:paraId="5775C6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5C5503D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 I/II clinical trial to analyze safety and efficiency of intralesional application of the bispecific single chain antibody rM28 and autologous PBMCs in patients with metastatic melanoma stage III/IV and unresectable metastasis.</w:t>
            </w:r>
          </w:p>
        </w:tc>
        <w:tc>
          <w:tcPr>
            <w:tcW w:w="279" w:type="dxa"/>
            <w:tcBorders>
              <w:top w:val="nil"/>
              <w:left w:val="nil"/>
              <w:bottom w:val="nil"/>
              <w:right w:val="nil"/>
            </w:tcBorders>
            <w:shd w:val="clear" w:color="auto" w:fill="auto"/>
            <w:noWrap/>
            <w:vAlign w:val="center"/>
            <w:hideMark/>
          </w:tcPr>
          <w:p w14:paraId="448133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2B938C0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Melanoma</w:t>
            </w:r>
          </w:p>
        </w:tc>
        <w:tc>
          <w:tcPr>
            <w:tcW w:w="1574" w:type="dxa"/>
            <w:tcBorders>
              <w:top w:val="nil"/>
              <w:left w:val="nil"/>
              <w:bottom w:val="nil"/>
              <w:right w:val="nil"/>
            </w:tcBorders>
            <w:shd w:val="clear" w:color="auto" w:fill="auto"/>
            <w:noWrap/>
            <w:vAlign w:val="center"/>
            <w:hideMark/>
          </w:tcPr>
          <w:p w14:paraId="566E9E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rM28|DRUG: autologous PBMCs</w:t>
            </w:r>
          </w:p>
        </w:tc>
        <w:tc>
          <w:tcPr>
            <w:tcW w:w="1152" w:type="dxa"/>
            <w:tcBorders>
              <w:top w:val="nil"/>
              <w:left w:val="nil"/>
              <w:bottom w:val="nil"/>
              <w:right w:val="nil"/>
            </w:tcBorders>
            <w:shd w:val="clear" w:color="auto" w:fill="auto"/>
            <w:noWrap/>
            <w:vAlign w:val="center"/>
            <w:hideMark/>
          </w:tcPr>
          <w:p w14:paraId="6CB0B3E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Tuebingen</w:t>
            </w:r>
          </w:p>
        </w:tc>
        <w:tc>
          <w:tcPr>
            <w:tcW w:w="1006" w:type="dxa"/>
            <w:tcBorders>
              <w:top w:val="nil"/>
              <w:left w:val="nil"/>
              <w:bottom w:val="nil"/>
              <w:right w:val="nil"/>
            </w:tcBorders>
            <w:shd w:val="clear" w:color="auto" w:fill="auto"/>
            <w:noWrap/>
            <w:vAlign w:val="center"/>
            <w:hideMark/>
          </w:tcPr>
          <w:p w14:paraId="51F284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FD020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E779CC1"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01/10/2005</w:t>
            </w:r>
          </w:p>
        </w:tc>
        <w:tc>
          <w:tcPr>
            <w:tcW w:w="766" w:type="dxa"/>
            <w:tcBorders>
              <w:top w:val="nil"/>
              <w:left w:val="nil"/>
              <w:bottom w:val="nil"/>
              <w:right w:val="nil"/>
            </w:tcBorders>
            <w:shd w:val="clear" w:color="auto" w:fill="auto"/>
            <w:noWrap/>
            <w:vAlign w:val="center"/>
            <w:hideMark/>
          </w:tcPr>
          <w:p w14:paraId="5DC57EB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5F37D79F" w14:textId="77777777" w:rsidTr="00AB1828">
        <w:trPr>
          <w:trHeight w:val="360"/>
        </w:trPr>
        <w:tc>
          <w:tcPr>
            <w:tcW w:w="861" w:type="dxa"/>
            <w:tcBorders>
              <w:top w:val="nil"/>
              <w:left w:val="nil"/>
              <w:bottom w:val="nil"/>
              <w:right w:val="nil"/>
            </w:tcBorders>
            <w:shd w:val="clear" w:color="auto" w:fill="auto"/>
            <w:noWrap/>
            <w:vAlign w:val="center"/>
            <w:hideMark/>
          </w:tcPr>
          <w:p w14:paraId="3ECA7AD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NCT00315653</w:t>
            </w:r>
          </w:p>
        </w:tc>
        <w:tc>
          <w:tcPr>
            <w:tcW w:w="1354" w:type="dxa"/>
            <w:tcBorders>
              <w:top w:val="nil"/>
              <w:left w:val="nil"/>
              <w:bottom w:val="nil"/>
              <w:right w:val="nil"/>
            </w:tcBorders>
            <w:shd w:val="clear" w:color="auto" w:fill="auto"/>
            <w:noWrap/>
            <w:vAlign w:val="center"/>
            <w:hideMark/>
          </w:tcPr>
          <w:p w14:paraId="78D857E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Survivin Urine mRNA Assay Risk of Bladder Cancer Study</w:t>
            </w:r>
          </w:p>
        </w:tc>
        <w:tc>
          <w:tcPr>
            <w:tcW w:w="1483" w:type="dxa"/>
            <w:tcBorders>
              <w:top w:val="nil"/>
              <w:left w:val="nil"/>
              <w:bottom w:val="nil"/>
              <w:right w:val="nil"/>
            </w:tcBorders>
            <w:shd w:val="clear" w:color="auto" w:fill="auto"/>
            <w:noWrap/>
            <w:vAlign w:val="center"/>
            <w:hideMark/>
          </w:tcPr>
          <w:p w14:paraId="1EB1678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16DC7C0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The purpose of this clinical trial is to evaluate the ability of urinary </w:t>
            </w:r>
            <w:r w:rsidRPr="000A6EBE">
              <w:rPr>
                <w:rFonts w:ascii="Aptos Narrow" w:eastAsia="Times New Roman" w:hAnsi="Aptos Narrow"/>
                <w:color w:val="000000"/>
                <w:sz w:val="16"/>
                <w:szCs w:val="16"/>
                <w:lang w:val="en-HK" w:eastAsia="zh-CN"/>
              </w:rPr>
              <w:lastRenderedPageBreak/>
              <w:t>Survivin mRNA measurement to estimate the risk of bladder cancer at the time of cystoscopy in subjects with no prior history of bladder cancer presenting with microscopic or macroscopic hematuria.</w:t>
            </w:r>
          </w:p>
        </w:tc>
        <w:tc>
          <w:tcPr>
            <w:tcW w:w="279" w:type="dxa"/>
            <w:tcBorders>
              <w:top w:val="nil"/>
              <w:left w:val="nil"/>
              <w:bottom w:val="nil"/>
              <w:right w:val="nil"/>
            </w:tcBorders>
            <w:shd w:val="clear" w:color="auto" w:fill="auto"/>
            <w:noWrap/>
            <w:vAlign w:val="center"/>
            <w:hideMark/>
          </w:tcPr>
          <w:p w14:paraId="238F134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3622" w:type="dxa"/>
            <w:gridSpan w:val="2"/>
            <w:tcBorders>
              <w:top w:val="nil"/>
              <w:left w:val="nil"/>
              <w:bottom w:val="nil"/>
              <w:right w:val="nil"/>
            </w:tcBorders>
            <w:shd w:val="clear" w:color="auto" w:fill="auto"/>
            <w:noWrap/>
            <w:vAlign w:val="center"/>
            <w:hideMark/>
          </w:tcPr>
          <w:p w14:paraId="42E3528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Bladder Cancer</w:t>
            </w:r>
          </w:p>
        </w:tc>
        <w:tc>
          <w:tcPr>
            <w:tcW w:w="2158" w:type="dxa"/>
            <w:gridSpan w:val="2"/>
            <w:tcBorders>
              <w:top w:val="nil"/>
              <w:left w:val="nil"/>
              <w:bottom w:val="nil"/>
              <w:right w:val="nil"/>
            </w:tcBorders>
            <w:shd w:val="clear" w:color="auto" w:fill="auto"/>
            <w:noWrap/>
            <w:vAlign w:val="center"/>
            <w:hideMark/>
          </w:tcPr>
          <w:p w14:paraId="25E0CBD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Fujirebio Diagnostics, Inc.</w:t>
            </w:r>
          </w:p>
        </w:tc>
        <w:tc>
          <w:tcPr>
            <w:tcW w:w="1006" w:type="dxa"/>
            <w:tcBorders>
              <w:top w:val="nil"/>
              <w:left w:val="nil"/>
              <w:bottom w:val="nil"/>
              <w:right w:val="nil"/>
            </w:tcBorders>
            <w:shd w:val="clear" w:color="auto" w:fill="auto"/>
            <w:noWrap/>
            <w:vAlign w:val="center"/>
            <w:hideMark/>
          </w:tcPr>
          <w:p w14:paraId="3BF8108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740" w:type="dxa"/>
            <w:tcBorders>
              <w:top w:val="nil"/>
              <w:left w:val="nil"/>
              <w:bottom w:val="nil"/>
              <w:right w:val="nil"/>
            </w:tcBorders>
            <w:shd w:val="clear" w:color="auto" w:fill="auto"/>
            <w:noWrap/>
            <w:vAlign w:val="center"/>
            <w:hideMark/>
          </w:tcPr>
          <w:p w14:paraId="369EF1B2"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01/09/2005</w:t>
            </w:r>
          </w:p>
        </w:tc>
        <w:tc>
          <w:tcPr>
            <w:tcW w:w="766" w:type="dxa"/>
            <w:tcBorders>
              <w:top w:val="nil"/>
              <w:left w:val="nil"/>
              <w:bottom w:val="nil"/>
              <w:right w:val="nil"/>
            </w:tcBorders>
            <w:shd w:val="clear" w:color="auto" w:fill="auto"/>
            <w:noWrap/>
            <w:vAlign w:val="center"/>
            <w:hideMark/>
          </w:tcPr>
          <w:p w14:paraId="0AAB0DA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73DB678" w14:textId="77777777" w:rsidTr="00AB1828">
        <w:trPr>
          <w:trHeight w:val="360"/>
        </w:trPr>
        <w:tc>
          <w:tcPr>
            <w:tcW w:w="861" w:type="dxa"/>
            <w:tcBorders>
              <w:top w:val="nil"/>
              <w:left w:val="nil"/>
              <w:bottom w:val="nil"/>
              <w:right w:val="nil"/>
            </w:tcBorders>
            <w:shd w:val="clear" w:color="auto" w:fill="auto"/>
            <w:noWrap/>
            <w:vAlign w:val="center"/>
            <w:hideMark/>
          </w:tcPr>
          <w:p w14:paraId="7C57D6A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NCT00449137</w:t>
            </w:r>
          </w:p>
        </w:tc>
        <w:tc>
          <w:tcPr>
            <w:tcW w:w="1354" w:type="dxa"/>
            <w:tcBorders>
              <w:top w:val="nil"/>
              <w:left w:val="nil"/>
              <w:bottom w:val="nil"/>
              <w:right w:val="nil"/>
            </w:tcBorders>
            <w:shd w:val="clear" w:color="auto" w:fill="auto"/>
            <w:noWrap/>
            <w:vAlign w:val="center"/>
            <w:hideMark/>
          </w:tcPr>
          <w:p w14:paraId="50D3F5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Arsenic Trioxide, Fluorouracil, and Leucovorin in Treating Patients With Stage IV Colorectal Cancer That Has Relapsed or Not Responded to Treatment</w:t>
            </w:r>
          </w:p>
        </w:tc>
        <w:tc>
          <w:tcPr>
            <w:tcW w:w="1483" w:type="dxa"/>
            <w:tcBorders>
              <w:top w:val="nil"/>
              <w:left w:val="nil"/>
              <w:bottom w:val="nil"/>
              <w:right w:val="nil"/>
            </w:tcBorders>
            <w:shd w:val="clear" w:color="auto" w:fill="auto"/>
            <w:noWrap/>
            <w:vAlign w:val="center"/>
            <w:hideMark/>
          </w:tcPr>
          <w:p w14:paraId="6E76836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539B1C7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RATIONALE: Drugs used in chemotherapy, such as fluorouracil and leucovorin, work in different ways to stop the growth of tumor cells, either by killing the cells or by stopping them from dividing. Arsenic trioxide may help fluorouracil and leucovorin work better by making tumor cells more sensitive to the drugs. Giving arsenic trioxide together with fluorouracil and leucovorin may kill more tumor cells.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PURPOSE: This phase I trial is studying the side effects and best dose of arsenic </w:t>
            </w:r>
            <w:r w:rsidRPr="000A6EBE">
              <w:rPr>
                <w:rFonts w:ascii="Aptos Narrow" w:eastAsia="Times New Roman" w:hAnsi="Aptos Narrow"/>
                <w:color w:val="000000"/>
                <w:sz w:val="16"/>
                <w:szCs w:val="16"/>
                <w:lang w:val="en-HK" w:eastAsia="zh-CN"/>
              </w:rPr>
              <w:lastRenderedPageBreak/>
              <w:t>trioxide and fluorouracil when given together with leucovorin in treating patients with stage IV colorectal cancer that has relapsed or not responded to treatment.</w:t>
            </w:r>
          </w:p>
        </w:tc>
        <w:tc>
          <w:tcPr>
            <w:tcW w:w="279" w:type="dxa"/>
            <w:tcBorders>
              <w:top w:val="nil"/>
              <w:left w:val="nil"/>
              <w:bottom w:val="nil"/>
              <w:right w:val="nil"/>
            </w:tcBorders>
            <w:shd w:val="clear" w:color="auto" w:fill="auto"/>
            <w:noWrap/>
            <w:vAlign w:val="center"/>
            <w:hideMark/>
          </w:tcPr>
          <w:p w14:paraId="00A007B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655462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Colorectal Cancer</w:t>
            </w:r>
          </w:p>
        </w:tc>
        <w:tc>
          <w:tcPr>
            <w:tcW w:w="1574" w:type="dxa"/>
            <w:tcBorders>
              <w:top w:val="nil"/>
              <w:left w:val="nil"/>
              <w:bottom w:val="nil"/>
              <w:right w:val="nil"/>
            </w:tcBorders>
            <w:shd w:val="clear" w:color="auto" w:fill="auto"/>
            <w:noWrap/>
            <w:vAlign w:val="center"/>
            <w:hideMark/>
          </w:tcPr>
          <w:p w14:paraId="60705ED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Arsenic trioxide|DRUG: Fluorouracil|DRUG: Leucovorin calcium|OTHER: Plasma levels of elemental arsenic|GENETIC: Peripheral Blood Mononuclear Cells (PBMC) for mRNA analysis|PROCEDURE: Tumor Biopsy (Fine-Needle Aspiration)</w:t>
            </w:r>
          </w:p>
        </w:tc>
        <w:tc>
          <w:tcPr>
            <w:tcW w:w="1152" w:type="dxa"/>
            <w:tcBorders>
              <w:top w:val="nil"/>
              <w:left w:val="nil"/>
              <w:bottom w:val="nil"/>
              <w:right w:val="nil"/>
            </w:tcBorders>
            <w:shd w:val="clear" w:color="auto" w:fill="auto"/>
            <w:noWrap/>
            <w:vAlign w:val="center"/>
            <w:hideMark/>
          </w:tcPr>
          <w:p w14:paraId="51F3574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of Miami</w:t>
            </w:r>
          </w:p>
        </w:tc>
        <w:tc>
          <w:tcPr>
            <w:tcW w:w="1006" w:type="dxa"/>
            <w:tcBorders>
              <w:top w:val="nil"/>
              <w:left w:val="nil"/>
              <w:bottom w:val="nil"/>
              <w:right w:val="nil"/>
            </w:tcBorders>
            <w:shd w:val="clear" w:color="auto" w:fill="auto"/>
            <w:noWrap/>
            <w:vAlign w:val="center"/>
            <w:hideMark/>
          </w:tcPr>
          <w:p w14:paraId="7F690A6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7BC1CF2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5364B50"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01/06/2005</w:t>
            </w:r>
          </w:p>
        </w:tc>
        <w:tc>
          <w:tcPr>
            <w:tcW w:w="766" w:type="dxa"/>
            <w:tcBorders>
              <w:top w:val="nil"/>
              <w:left w:val="nil"/>
              <w:bottom w:val="nil"/>
              <w:right w:val="nil"/>
            </w:tcBorders>
            <w:shd w:val="clear" w:color="auto" w:fill="auto"/>
            <w:noWrap/>
            <w:vAlign w:val="center"/>
            <w:hideMark/>
          </w:tcPr>
          <w:p w14:paraId="1EF425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C04EED4" w14:textId="77777777" w:rsidTr="00AB1828">
        <w:trPr>
          <w:trHeight w:val="360"/>
        </w:trPr>
        <w:tc>
          <w:tcPr>
            <w:tcW w:w="861" w:type="dxa"/>
            <w:tcBorders>
              <w:top w:val="nil"/>
              <w:left w:val="nil"/>
              <w:bottom w:val="nil"/>
              <w:right w:val="nil"/>
            </w:tcBorders>
            <w:shd w:val="clear" w:color="auto" w:fill="auto"/>
            <w:noWrap/>
            <w:vAlign w:val="center"/>
            <w:hideMark/>
          </w:tcPr>
          <w:p w14:paraId="358DD82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NCT00285103</w:t>
            </w:r>
          </w:p>
        </w:tc>
        <w:tc>
          <w:tcPr>
            <w:tcW w:w="1354" w:type="dxa"/>
            <w:tcBorders>
              <w:top w:val="nil"/>
              <w:left w:val="nil"/>
              <w:bottom w:val="nil"/>
              <w:right w:val="nil"/>
            </w:tcBorders>
            <w:shd w:val="clear" w:color="auto" w:fill="auto"/>
            <w:noWrap/>
            <w:vAlign w:val="center"/>
            <w:hideMark/>
          </w:tcPr>
          <w:p w14:paraId="1DAA6A1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SPC2996 in Chronic Lymphocytic Leukaemia</w:t>
            </w:r>
          </w:p>
        </w:tc>
        <w:tc>
          <w:tcPr>
            <w:tcW w:w="1483" w:type="dxa"/>
            <w:tcBorders>
              <w:top w:val="nil"/>
              <w:left w:val="nil"/>
              <w:bottom w:val="nil"/>
              <w:right w:val="nil"/>
            </w:tcBorders>
            <w:shd w:val="clear" w:color="auto" w:fill="auto"/>
            <w:noWrap/>
            <w:vAlign w:val="center"/>
            <w:hideMark/>
          </w:tcPr>
          <w:p w14:paraId="2DB411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701CAAF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The purpose of this study is to determine whether SPC2996 is effective and safe in the treatment of Chronic Lymphocytic Leukaemia (CLL)</w:t>
            </w:r>
          </w:p>
        </w:tc>
        <w:tc>
          <w:tcPr>
            <w:tcW w:w="279" w:type="dxa"/>
            <w:tcBorders>
              <w:top w:val="nil"/>
              <w:left w:val="nil"/>
              <w:bottom w:val="nil"/>
              <w:right w:val="nil"/>
            </w:tcBorders>
            <w:shd w:val="clear" w:color="auto" w:fill="auto"/>
            <w:noWrap/>
            <w:vAlign w:val="center"/>
            <w:hideMark/>
          </w:tcPr>
          <w:p w14:paraId="16D77B0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6396B4E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Chronic Lymphocytic Leukemia</w:t>
            </w:r>
          </w:p>
        </w:tc>
        <w:tc>
          <w:tcPr>
            <w:tcW w:w="1574" w:type="dxa"/>
            <w:tcBorders>
              <w:top w:val="nil"/>
              <w:left w:val="nil"/>
              <w:bottom w:val="nil"/>
              <w:right w:val="nil"/>
            </w:tcBorders>
            <w:shd w:val="clear" w:color="auto" w:fill="auto"/>
            <w:noWrap/>
            <w:vAlign w:val="center"/>
            <w:hideMark/>
          </w:tcPr>
          <w:p w14:paraId="27A6A5B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DRUG: SPC2996</w:t>
            </w:r>
          </w:p>
        </w:tc>
        <w:tc>
          <w:tcPr>
            <w:tcW w:w="1152" w:type="dxa"/>
            <w:tcBorders>
              <w:top w:val="nil"/>
              <w:left w:val="nil"/>
              <w:bottom w:val="nil"/>
              <w:right w:val="nil"/>
            </w:tcBorders>
            <w:shd w:val="clear" w:color="auto" w:fill="auto"/>
            <w:noWrap/>
            <w:vAlign w:val="center"/>
            <w:hideMark/>
          </w:tcPr>
          <w:p w14:paraId="3F30F06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Santaris Pharma A/S</w:t>
            </w:r>
          </w:p>
        </w:tc>
        <w:tc>
          <w:tcPr>
            <w:tcW w:w="1006" w:type="dxa"/>
            <w:tcBorders>
              <w:top w:val="nil"/>
              <w:left w:val="nil"/>
              <w:bottom w:val="nil"/>
              <w:right w:val="nil"/>
            </w:tcBorders>
            <w:shd w:val="clear" w:color="auto" w:fill="auto"/>
            <w:noWrap/>
            <w:vAlign w:val="center"/>
            <w:hideMark/>
          </w:tcPr>
          <w:p w14:paraId="5383170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6717343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03A350A"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01/06/2005</w:t>
            </w:r>
          </w:p>
        </w:tc>
        <w:tc>
          <w:tcPr>
            <w:tcW w:w="766" w:type="dxa"/>
            <w:tcBorders>
              <w:top w:val="nil"/>
              <w:left w:val="nil"/>
              <w:bottom w:val="nil"/>
              <w:right w:val="nil"/>
            </w:tcBorders>
            <w:shd w:val="clear" w:color="auto" w:fill="auto"/>
            <w:noWrap/>
            <w:vAlign w:val="center"/>
            <w:hideMark/>
          </w:tcPr>
          <w:p w14:paraId="5411701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1C278E58" w14:textId="77777777" w:rsidTr="00AB1828">
        <w:trPr>
          <w:trHeight w:val="360"/>
        </w:trPr>
        <w:tc>
          <w:tcPr>
            <w:tcW w:w="861" w:type="dxa"/>
            <w:tcBorders>
              <w:top w:val="nil"/>
              <w:left w:val="nil"/>
              <w:bottom w:val="nil"/>
              <w:right w:val="nil"/>
            </w:tcBorders>
            <w:shd w:val="clear" w:color="auto" w:fill="auto"/>
            <w:noWrap/>
            <w:vAlign w:val="center"/>
            <w:hideMark/>
          </w:tcPr>
          <w:p w14:paraId="244B1B2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NCT00834002</w:t>
            </w:r>
          </w:p>
        </w:tc>
        <w:tc>
          <w:tcPr>
            <w:tcW w:w="1354" w:type="dxa"/>
            <w:tcBorders>
              <w:top w:val="nil"/>
              <w:left w:val="nil"/>
              <w:bottom w:val="nil"/>
              <w:right w:val="nil"/>
            </w:tcBorders>
            <w:shd w:val="clear" w:color="auto" w:fill="auto"/>
            <w:noWrap/>
            <w:vAlign w:val="center"/>
            <w:hideMark/>
          </w:tcPr>
          <w:p w14:paraId="705D5C5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Cell Vaccination for Patients With Acute Myeloid Leukemia in Remission</w:t>
            </w:r>
          </w:p>
        </w:tc>
        <w:tc>
          <w:tcPr>
            <w:tcW w:w="1483" w:type="dxa"/>
            <w:tcBorders>
              <w:top w:val="nil"/>
              <w:left w:val="nil"/>
              <w:bottom w:val="nil"/>
              <w:right w:val="nil"/>
            </w:tcBorders>
            <w:shd w:val="clear" w:color="auto" w:fill="auto"/>
            <w:noWrap/>
            <w:vAlign w:val="center"/>
            <w:hideMark/>
          </w:tcPr>
          <w:p w14:paraId="48AD5AA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3D7B0C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RATIONALE: Vaccines made from a patient's white blood cells (dendritic cells) and a specific leukemia antigen (Wilms tumor antigen-1) may induce an effective immune response to kill residual leukemic cells and/or prevent leukemia relapse.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xml:space="preserve">PURPOSE: This phase I/II trial is studying the feasibility, safety and efficacy of intradermal mRNA-transfected dendritic cell </w:t>
            </w:r>
            <w:r w:rsidRPr="000A6EBE">
              <w:rPr>
                <w:rFonts w:ascii="Aptos Narrow" w:eastAsia="Times New Roman" w:hAnsi="Aptos Narrow"/>
                <w:color w:val="000000"/>
                <w:sz w:val="16"/>
                <w:szCs w:val="16"/>
                <w:lang w:val="en-HK" w:eastAsia="zh-CN"/>
              </w:rPr>
              <w:lastRenderedPageBreak/>
              <w:t>vaccination therapy in patients with acute myeloid leukemia.</w:t>
            </w:r>
          </w:p>
        </w:tc>
        <w:tc>
          <w:tcPr>
            <w:tcW w:w="279" w:type="dxa"/>
            <w:tcBorders>
              <w:top w:val="nil"/>
              <w:left w:val="nil"/>
              <w:bottom w:val="nil"/>
              <w:right w:val="nil"/>
            </w:tcBorders>
            <w:shd w:val="clear" w:color="auto" w:fill="auto"/>
            <w:noWrap/>
            <w:vAlign w:val="center"/>
            <w:hideMark/>
          </w:tcPr>
          <w:p w14:paraId="34ADFD5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1DD75C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Acute Myeloid Leukemia (AML)</w:t>
            </w:r>
          </w:p>
        </w:tc>
        <w:tc>
          <w:tcPr>
            <w:tcW w:w="1574" w:type="dxa"/>
            <w:tcBorders>
              <w:top w:val="nil"/>
              <w:left w:val="nil"/>
              <w:bottom w:val="nil"/>
              <w:right w:val="nil"/>
            </w:tcBorders>
            <w:shd w:val="clear" w:color="auto" w:fill="auto"/>
            <w:noWrap/>
            <w:vAlign w:val="center"/>
            <w:hideMark/>
          </w:tcPr>
          <w:p w14:paraId="77FC5EC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injection of antigen-loaded cultured dendritic cells</w:t>
            </w:r>
          </w:p>
        </w:tc>
        <w:tc>
          <w:tcPr>
            <w:tcW w:w="1152" w:type="dxa"/>
            <w:tcBorders>
              <w:top w:val="nil"/>
              <w:left w:val="nil"/>
              <w:bottom w:val="nil"/>
              <w:right w:val="nil"/>
            </w:tcBorders>
            <w:shd w:val="clear" w:color="auto" w:fill="auto"/>
            <w:noWrap/>
            <w:vAlign w:val="center"/>
            <w:hideMark/>
          </w:tcPr>
          <w:p w14:paraId="27CE0D4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Antwerp</w:t>
            </w:r>
          </w:p>
        </w:tc>
        <w:tc>
          <w:tcPr>
            <w:tcW w:w="1006" w:type="dxa"/>
            <w:tcBorders>
              <w:top w:val="nil"/>
              <w:left w:val="nil"/>
              <w:bottom w:val="nil"/>
              <w:right w:val="nil"/>
            </w:tcBorders>
            <w:shd w:val="clear" w:color="auto" w:fill="auto"/>
            <w:noWrap/>
            <w:vAlign w:val="center"/>
            <w:hideMark/>
          </w:tcPr>
          <w:p w14:paraId="26E0542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w:t>
            </w:r>
          </w:p>
        </w:tc>
        <w:tc>
          <w:tcPr>
            <w:tcW w:w="1006" w:type="dxa"/>
            <w:tcBorders>
              <w:top w:val="nil"/>
              <w:left w:val="nil"/>
              <w:bottom w:val="nil"/>
              <w:right w:val="nil"/>
            </w:tcBorders>
            <w:shd w:val="clear" w:color="auto" w:fill="auto"/>
            <w:noWrap/>
            <w:vAlign w:val="center"/>
            <w:hideMark/>
          </w:tcPr>
          <w:p w14:paraId="0709439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97204FE"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01/03/2005</w:t>
            </w:r>
          </w:p>
        </w:tc>
        <w:tc>
          <w:tcPr>
            <w:tcW w:w="766" w:type="dxa"/>
            <w:tcBorders>
              <w:top w:val="nil"/>
              <w:left w:val="nil"/>
              <w:bottom w:val="nil"/>
              <w:right w:val="nil"/>
            </w:tcBorders>
            <w:shd w:val="clear" w:color="auto" w:fill="auto"/>
            <w:noWrap/>
            <w:vAlign w:val="center"/>
            <w:hideMark/>
          </w:tcPr>
          <w:p w14:paraId="76364CA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5DC93B97" w14:textId="77777777" w:rsidTr="00AB1828">
        <w:trPr>
          <w:trHeight w:val="360"/>
        </w:trPr>
        <w:tc>
          <w:tcPr>
            <w:tcW w:w="861" w:type="dxa"/>
            <w:tcBorders>
              <w:top w:val="nil"/>
              <w:left w:val="nil"/>
              <w:bottom w:val="nil"/>
              <w:right w:val="nil"/>
            </w:tcBorders>
            <w:shd w:val="clear" w:color="auto" w:fill="auto"/>
            <w:noWrap/>
            <w:vAlign w:val="center"/>
            <w:hideMark/>
          </w:tcPr>
          <w:p w14:paraId="348C7A3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NCT00204607</w:t>
            </w:r>
          </w:p>
        </w:tc>
        <w:tc>
          <w:tcPr>
            <w:tcW w:w="1354" w:type="dxa"/>
            <w:tcBorders>
              <w:top w:val="nil"/>
              <w:left w:val="nil"/>
              <w:bottom w:val="nil"/>
              <w:right w:val="nil"/>
            </w:tcBorders>
            <w:shd w:val="clear" w:color="auto" w:fill="auto"/>
            <w:noWrap/>
            <w:vAlign w:val="center"/>
            <w:hideMark/>
          </w:tcPr>
          <w:p w14:paraId="0C389A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Intradermal Vaccination With Stabilized Tumor mRNA - a Clinical Phase I/II Trial in Melanoma Patients</w:t>
            </w:r>
          </w:p>
        </w:tc>
        <w:tc>
          <w:tcPr>
            <w:tcW w:w="1483" w:type="dxa"/>
            <w:tcBorders>
              <w:top w:val="nil"/>
              <w:left w:val="nil"/>
              <w:bottom w:val="nil"/>
              <w:right w:val="nil"/>
            </w:tcBorders>
            <w:shd w:val="clear" w:color="auto" w:fill="auto"/>
            <w:noWrap/>
            <w:vAlign w:val="center"/>
            <w:hideMark/>
          </w:tcPr>
          <w:p w14:paraId="729734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2DBDCCD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vaccination protocol to induce specific immune responses against melanoma associated antigens by intradermal injections of mRNA coding for the corresponding antigen</w:t>
            </w:r>
          </w:p>
        </w:tc>
        <w:tc>
          <w:tcPr>
            <w:tcW w:w="279" w:type="dxa"/>
            <w:tcBorders>
              <w:top w:val="nil"/>
              <w:left w:val="nil"/>
              <w:bottom w:val="nil"/>
              <w:right w:val="nil"/>
            </w:tcBorders>
            <w:shd w:val="clear" w:color="auto" w:fill="auto"/>
            <w:noWrap/>
            <w:vAlign w:val="center"/>
            <w:hideMark/>
          </w:tcPr>
          <w:p w14:paraId="6568BC9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7E18785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Melanoma</w:t>
            </w:r>
          </w:p>
        </w:tc>
        <w:tc>
          <w:tcPr>
            <w:tcW w:w="1574" w:type="dxa"/>
            <w:tcBorders>
              <w:top w:val="nil"/>
              <w:left w:val="nil"/>
              <w:bottom w:val="nil"/>
              <w:right w:val="nil"/>
            </w:tcBorders>
            <w:shd w:val="clear" w:color="auto" w:fill="auto"/>
            <w:noWrap/>
            <w:vAlign w:val="center"/>
            <w:hideMark/>
          </w:tcPr>
          <w:p w14:paraId="0BCDD9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mRNA|DRUG: GM-CSF s.c.</w:t>
            </w:r>
          </w:p>
        </w:tc>
        <w:tc>
          <w:tcPr>
            <w:tcW w:w="1152" w:type="dxa"/>
            <w:tcBorders>
              <w:top w:val="nil"/>
              <w:left w:val="nil"/>
              <w:bottom w:val="nil"/>
              <w:right w:val="nil"/>
            </w:tcBorders>
            <w:shd w:val="clear" w:color="auto" w:fill="auto"/>
            <w:noWrap/>
            <w:vAlign w:val="center"/>
            <w:hideMark/>
          </w:tcPr>
          <w:p w14:paraId="7325B3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University Hospital Tuebingen</w:t>
            </w:r>
          </w:p>
        </w:tc>
        <w:tc>
          <w:tcPr>
            <w:tcW w:w="1006" w:type="dxa"/>
            <w:tcBorders>
              <w:top w:val="nil"/>
              <w:left w:val="nil"/>
              <w:bottom w:val="nil"/>
              <w:right w:val="nil"/>
            </w:tcBorders>
            <w:shd w:val="clear" w:color="auto" w:fill="auto"/>
            <w:noWrap/>
            <w:vAlign w:val="center"/>
            <w:hideMark/>
          </w:tcPr>
          <w:p w14:paraId="0862DD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3E03DC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5CAF9B2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01/07/2004</w:t>
            </w:r>
          </w:p>
        </w:tc>
        <w:tc>
          <w:tcPr>
            <w:tcW w:w="766" w:type="dxa"/>
            <w:tcBorders>
              <w:top w:val="nil"/>
              <w:left w:val="nil"/>
              <w:bottom w:val="nil"/>
              <w:right w:val="nil"/>
            </w:tcBorders>
            <w:shd w:val="clear" w:color="auto" w:fill="auto"/>
            <w:noWrap/>
            <w:vAlign w:val="center"/>
            <w:hideMark/>
          </w:tcPr>
          <w:p w14:paraId="57E0953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neoantigen mRNA treatment</w:t>
            </w:r>
          </w:p>
        </w:tc>
      </w:tr>
      <w:tr w:rsidR="000A6EBE" w:rsidRPr="000A6EBE" w14:paraId="277BD4FC" w14:textId="77777777" w:rsidTr="00AB1828">
        <w:trPr>
          <w:trHeight w:val="360"/>
        </w:trPr>
        <w:tc>
          <w:tcPr>
            <w:tcW w:w="861" w:type="dxa"/>
            <w:tcBorders>
              <w:top w:val="nil"/>
              <w:left w:val="nil"/>
              <w:bottom w:val="nil"/>
              <w:right w:val="nil"/>
            </w:tcBorders>
            <w:shd w:val="clear" w:color="auto" w:fill="auto"/>
            <w:noWrap/>
            <w:vAlign w:val="center"/>
            <w:hideMark/>
          </w:tcPr>
          <w:p w14:paraId="0BFFFD2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NCT00243529</w:t>
            </w:r>
          </w:p>
        </w:tc>
        <w:tc>
          <w:tcPr>
            <w:tcW w:w="1354" w:type="dxa"/>
            <w:tcBorders>
              <w:top w:val="nil"/>
              <w:left w:val="nil"/>
              <w:bottom w:val="nil"/>
              <w:right w:val="nil"/>
            </w:tcBorders>
            <w:shd w:val="clear" w:color="auto" w:fill="auto"/>
            <w:noWrap/>
            <w:vAlign w:val="center"/>
            <w:hideMark/>
          </w:tcPr>
          <w:p w14:paraId="76A081B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Peptide-pulsed vs. RNA-transfected Dendritic Cell Vaccines in Melanoma Patients</w:t>
            </w:r>
          </w:p>
        </w:tc>
        <w:tc>
          <w:tcPr>
            <w:tcW w:w="1483" w:type="dxa"/>
            <w:tcBorders>
              <w:top w:val="nil"/>
              <w:left w:val="nil"/>
              <w:bottom w:val="nil"/>
              <w:right w:val="nil"/>
            </w:tcBorders>
            <w:shd w:val="clear" w:color="auto" w:fill="auto"/>
            <w:noWrap/>
            <w:vAlign w:val="center"/>
            <w:hideMark/>
          </w:tcPr>
          <w:p w14:paraId="069CFF3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4FF750D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Dendritic cells (DCs)are the most potent antigen-presenting cells of the immune system, as such they are able to direct the immune system specifically against cancer cells. Currently DCs are used in clinical vaccination studies and immunological and clinical responses have been observed. For inducing anti-tumor immunity, the DCs have to be loaded with tumor antigen (i.e. molecular structures that are presented by </w:t>
            </w:r>
            <w:r w:rsidRPr="000A6EBE">
              <w:rPr>
                <w:rFonts w:ascii="Aptos Narrow" w:eastAsia="Times New Roman" w:hAnsi="Aptos Narrow"/>
                <w:color w:val="000000"/>
                <w:sz w:val="16"/>
                <w:szCs w:val="16"/>
                <w:lang w:val="en-HK" w:eastAsia="zh-CN"/>
              </w:rPr>
              <w:lastRenderedPageBreak/>
              <w:t>the tumor, that are recognized by the immune system). Currently most studies use tumor peptides (small protein fragments) for this purpose. This approach has several disadvantages: only patients with a certain HLA-type can be treated and the immune response that is induced by the vaccine is limited to the used peptides. These disadvantages do not exist when the DCs present antigen which is endogenously processed, for example after RNA transfection. For this reason we investigate the immunogenicity of DCs that are pulsed with peptides or transfected with mRNA encoding melanoma associated antigens in stage III and IV melanoma patients.</w:t>
            </w:r>
          </w:p>
        </w:tc>
        <w:tc>
          <w:tcPr>
            <w:tcW w:w="279" w:type="dxa"/>
            <w:tcBorders>
              <w:top w:val="nil"/>
              <w:left w:val="nil"/>
              <w:bottom w:val="nil"/>
              <w:right w:val="nil"/>
            </w:tcBorders>
            <w:shd w:val="clear" w:color="auto" w:fill="auto"/>
            <w:noWrap/>
            <w:vAlign w:val="center"/>
            <w:hideMark/>
          </w:tcPr>
          <w:p w14:paraId="5DE652D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6804645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Melanoma Stage III or IV</w:t>
            </w:r>
          </w:p>
        </w:tc>
        <w:tc>
          <w:tcPr>
            <w:tcW w:w="1574" w:type="dxa"/>
            <w:tcBorders>
              <w:top w:val="nil"/>
              <w:left w:val="nil"/>
              <w:bottom w:val="nil"/>
              <w:right w:val="nil"/>
            </w:tcBorders>
            <w:shd w:val="clear" w:color="auto" w:fill="auto"/>
            <w:noWrap/>
            <w:vAlign w:val="center"/>
            <w:hideMark/>
          </w:tcPr>
          <w:p w14:paraId="0B8AF2F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autologous dendritic cell vaccine</w:t>
            </w:r>
          </w:p>
        </w:tc>
        <w:tc>
          <w:tcPr>
            <w:tcW w:w="1152" w:type="dxa"/>
            <w:tcBorders>
              <w:top w:val="nil"/>
              <w:left w:val="nil"/>
              <w:bottom w:val="nil"/>
              <w:right w:val="nil"/>
            </w:tcBorders>
            <w:shd w:val="clear" w:color="auto" w:fill="auto"/>
            <w:noWrap/>
            <w:vAlign w:val="center"/>
            <w:hideMark/>
          </w:tcPr>
          <w:p w14:paraId="6C98BE6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3ACC93B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54B8C5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4E542D5D"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01/04/2004</w:t>
            </w:r>
          </w:p>
        </w:tc>
        <w:tc>
          <w:tcPr>
            <w:tcW w:w="766" w:type="dxa"/>
            <w:tcBorders>
              <w:top w:val="nil"/>
              <w:left w:val="nil"/>
              <w:bottom w:val="nil"/>
              <w:right w:val="nil"/>
            </w:tcBorders>
            <w:shd w:val="clear" w:color="auto" w:fill="auto"/>
            <w:noWrap/>
            <w:vAlign w:val="center"/>
            <w:hideMark/>
          </w:tcPr>
          <w:p w14:paraId="0E5D2C5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051F277A" w14:textId="77777777" w:rsidTr="00AB1828">
        <w:trPr>
          <w:trHeight w:val="360"/>
        </w:trPr>
        <w:tc>
          <w:tcPr>
            <w:tcW w:w="861" w:type="dxa"/>
            <w:tcBorders>
              <w:top w:val="nil"/>
              <w:left w:val="nil"/>
              <w:bottom w:val="nil"/>
              <w:right w:val="nil"/>
            </w:tcBorders>
            <w:shd w:val="clear" w:color="auto" w:fill="auto"/>
            <w:noWrap/>
            <w:vAlign w:val="center"/>
            <w:hideMark/>
          </w:tcPr>
          <w:p w14:paraId="54A6A2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NCT00228189</w:t>
            </w:r>
          </w:p>
        </w:tc>
        <w:tc>
          <w:tcPr>
            <w:tcW w:w="1354" w:type="dxa"/>
            <w:tcBorders>
              <w:top w:val="nil"/>
              <w:left w:val="nil"/>
              <w:bottom w:val="nil"/>
              <w:right w:val="nil"/>
            </w:tcBorders>
            <w:shd w:val="clear" w:color="auto" w:fill="auto"/>
            <w:noWrap/>
            <w:vAlign w:val="center"/>
            <w:hideMark/>
          </w:tcPr>
          <w:p w14:paraId="17ACA3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Carcinoembryonic Antigen-loaded Dendritic Cells in Advanced Colorectal Cancer Patients</w:t>
            </w:r>
          </w:p>
        </w:tc>
        <w:tc>
          <w:tcPr>
            <w:tcW w:w="1483" w:type="dxa"/>
            <w:tcBorders>
              <w:top w:val="nil"/>
              <w:left w:val="nil"/>
              <w:bottom w:val="nil"/>
              <w:right w:val="nil"/>
            </w:tcBorders>
            <w:shd w:val="clear" w:color="auto" w:fill="auto"/>
            <w:noWrap/>
            <w:vAlign w:val="center"/>
            <w:hideMark/>
          </w:tcPr>
          <w:p w14:paraId="54F9514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noWrap/>
            <w:vAlign w:val="center"/>
            <w:hideMark/>
          </w:tcPr>
          <w:p w14:paraId="7BB07CF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Dendritic cells (DCs) are the professional antigen-presenting cells of the immune system. As such they are currently used in clinical vaccination protocols in cancer patients. We evaluate the ability of mature DCs pulsed with carcinoembryonic antigen (CEA)-peptide (arm A) or electroporated with CEA-mRNA (arm B) to induce CEA-specific T cell responses in patients with resectable liver metastases from colorectal cancer. To evaluate immune responses, CEA-specific T cell reactivity is monitored in peripheral blood, resected abdominal lymph nodes, tumor tissue and biopsies of vaccination sites and post-treatment DTH skin tests. Patients are vaccinated intradermally and </w:t>
            </w:r>
            <w:r w:rsidRPr="000A6EBE">
              <w:rPr>
                <w:rFonts w:ascii="Aptos Narrow" w:eastAsia="Times New Roman" w:hAnsi="Aptos Narrow"/>
                <w:color w:val="000000"/>
                <w:sz w:val="16"/>
                <w:szCs w:val="16"/>
                <w:lang w:val="en-HK" w:eastAsia="zh-CN"/>
              </w:rPr>
              <w:lastRenderedPageBreak/>
              <w:t>intravenously with CEA-peptide pulsed mature DCs three times prior to resection of liver metastases. In 2007 a side-study has been added (arm C), in which patients with stage III or high-risk stage II colorectal cancer that are amenable for standard adjuvant oxaliplatin/capecitabine therapy are vaccinated with CEApeptide-pulsed DCs. Also in this group, safety and immune responses in peripheral blood and the DTH-skin test are the primary endpoints. Results are compared with the results obtained in arm A.</w:t>
            </w:r>
          </w:p>
        </w:tc>
        <w:tc>
          <w:tcPr>
            <w:tcW w:w="279" w:type="dxa"/>
            <w:tcBorders>
              <w:top w:val="nil"/>
              <w:left w:val="nil"/>
              <w:bottom w:val="nil"/>
              <w:right w:val="nil"/>
            </w:tcBorders>
            <w:shd w:val="clear" w:color="auto" w:fill="auto"/>
            <w:noWrap/>
            <w:vAlign w:val="center"/>
            <w:hideMark/>
          </w:tcPr>
          <w:p w14:paraId="3CB6FDF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5339349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Colorectal Cancer|Liver Metastases</w:t>
            </w:r>
          </w:p>
        </w:tc>
        <w:tc>
          <w:tcPr>
            <w:tcW w:w="1574" w:type="dxa"/>
            <w:tcBorders>
              <w:top w:val="nil"/>
              <w:left w:val="nil"/>
              <w:bottom w:val="nil"/>
              <w:right w:val="nil"/>
            </w:tcBorders>
            <w:shd w:val="clear" w:color="auto" w:fill="auto"/>
            <w:noWrap/>
            <w:vAlign w:val="center"/>
            <w:hideMark/>
          </w:tcPr>
          <w:p w14:paraId="54A41CA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CEA-loaded dendritic cell vaccine</w:t>
            </w:r>
          </w:p>
        </w:tc>
        <w:tc>
          <w:tcPr>
            <w:tcW w:w="1152" w:type="dxa"/>
            <w:tcBorders>
              <w:top w:val="nil"/>
              <w:left w:val="nil"/>
              <w:bottom w:val="nil"/>
              <w:right w:val="nil"/>
            </w:tcBorders>
            <w:shd w:val="clear" w:color="auto" w:fill="auto"/>
            <w:noWrap/>
            <w:vAlign w:val="center"/>
            <w:hideMark/>
          </w:tcPr>
          <w:p w14:paraId="36EB7C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Radboud University Medical Center</w:t>
            </w:r>
          </w:p>
        </w:tc>
        <w:tc>
          <w:tcPr>
            <w:tcW w:w="1006" w:type="dxa"/>
            <w:tcBorders>
              <w:top w:val="nil"/>
              <w:left w:val="nil"/>
              <w:bottom w:val="nil"/>
              <w:right w:val="nil"/>
            </w:tcBorders>
            <w:shd w:val="clear" w:color="auto" w:fill="auto"/>
            <w:noWrap/>
            <w:vAlign w:val="center"/>
            <w:hideMark/>
          </w:tcPr>
          <w:p w14:paraId="0313E17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2CBD5717"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6C2E46C"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01/12/2003</w:t>
            </w:r>
          </w:p>
        </w:tc>
        <w:tc>
          <w:tcPr>
            <w:tcW w:w="766" w:type="dxa"/>
            <w:tcBorders>
              <w:top w:val="nil"/>
              <w:left w:val="nil"/>
              <w:bottom w:val="nil"/>
              <w:right w:val="nil"/>
            </w:tcBorders>
            <w:shd w:val="clear" w:color="auto" w:fill="auto"/>
            <w:noWrap/>
            <w:vAlign w:val="center"/>
            <w:hideMark/>
          </w:tcPr>
          <w:p w14:paraId="2DC1F6A0"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5047D8BB" w14:textId="77777777" w:rsidTr="00AB1828">
        <w:trPr>
          <w:trHeight w:val="360"/>
        </w:trPr>
        <w:tc>
          <w:tcPr>
            <w:tcW w:w="861" w:type="dxa"/>
            <w:tcBorders>
              <w:top w:val="nil"/>
              <w:left w:val="nil"/>
              <w:bottom w:val="nil"/>
              <w:right w:val="nil"/>
            </w:tcBorders>
            <w:shd w:val="clear" w:color="auto" w:fill="auto"/>
            <w:noWrap/>
            <w:vAlign w:val="center"/>
            <w:hideMark/>
          </w:tcPr>
          <w:p w14:paraId="173A348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NCT01278940</w:t>
            </w:r>
          </w:p>
        </w:tc>
        <w:tc>
          <w:tcPr>
            <w:tcW w:w="1354" w:type="dxa"/>
            <w:tcBorders>
              <w:top w:val="nil"/>
              <w:left w:val="nil"/>
              <w:bottom w:val="nil"/>
              <w:right w:val="nil"/>
            </w:tcBorders>
            <w:shd w:val="clear" w:color="auto" w:fill="auto"/>
            <w:noWrap/>
            <w:vAlign w:val="center"/>
            <w:hideMark/>
          </w:tcPr>
          <w:p w14:paraId="2EFD3A1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Trial of Vaccine Therapy With mRNA- Transfected Dendritic Cells in Patients With Advanced Malignant Melanoma</w:t>
            </w:r>
          </w:p>
        </w:tc>
        <w:tc>
          <w:tcPr>
            <w:tcW w:w="1483" w:type="dxa"/>
            <w:tcBorders>
              <w:top w:val="nil"/>
              <w:left w:val="nil"/>
              <w:bottom w:val="nil"/>
              <w:right w:val="nil"/>
            </w:tcBorders>
            <w:shd w:val="clear" w:color="auto" w:fill="auto"/>
            <w:noWrap/>
            <w:vAlign w:val="center"/>
            <w:hideMark/>
          </w:tcPr>
          <w:p w14:paraId="43AB51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1E50B2B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PRIMARY OBJECTIVES: Determination of safety and toxicity of vaccination with patients' tumour mRNA transfected DCs .</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SECONDARY OBJECTIVES:Dete</w:t>
            </w:r>
            <w:r w:rsidRPr="000A6EBE">
              <w:rPr>
                <w:rFonts w:ascii="Aptos Narrow" w:eastAsia="Times New Roman" w:hAnsi="Aptos Narrow"/>
                <w:color w:val="000000"/>
                <w:sz w:val="16"/>
                <w:szCs w:val="16"/>
                <w:lang w:val="en-HK" w:eastAsia="zh-CN"/>
              </w:rPr>
              <w:lastRenderedPageBreak/>
              <w:t>rmine immunological response to the vaccine (induction of specific T-cell response) and assessment of tumour response</w:t>
            </w:r>
          </w:p>
        </w:tc>
        <w:tc>
          <w:tcPr>
            <w:tcW w:w="279" w:type="dxa"/>
            <w:tcBorders>
              <w:top w:val="nil"/>
              <w:left w:val="nil"/>
              <w:bottom w:val="nil"/>
              <w:right w:val="nil"/>
            </w:tcBorders>
            <w:shd w:val="clear" w:color="auto" w:fill="auto"/>
            <w:noWrap/>
            <w:vAlign w:val="center"/>
            <w:hideMark/>
          </w:tcPr>
          <w:p w14:paraId="18E403C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7E7183B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Malignant Melanoma</w:t>
            </w:r>
          </w:p>
        </w:tc>
        <w:tc>
          <w:tcPr>
            <w:tcW w:w="1574" w:type="dxa"/>
            <w:tcBorders>
              <w:top w:val="nil"/>
              <w:left w:val="nil"/>
              <w:bottom w:val="nil"/>
              <w:right w:val="nil"/>
            </w:tcBorders>
            <w:shd w:val="clear" w:color="auto" w:fill="auto"/>
            <w:noWrap/>
            <w:vAlign w:val="center"/>
            <w:hideMark/>
          </w:tcPr>
          <w:p w14:paraId="63D7EE6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Cells (DC) malignant melanoma|PROCEDURE: IL-2</w:t>
            </w:r>
          </w:p>
        </w:tc>
        <w:tc>
          <w:tcPr>
            <w:tcW w:w="1152" w:type="dxa"/>
            <w:tcBorders>
              <w:top w:val="nil"/>
              <w:left w:val="nil"/>
              <w:bottom w:val="nil"/>
              <w:right w:val="nil"/>
            </w:tcBorders>
            <w:shd w:val="clear" w:color="auto" w:fill="auto"/>
            <w:noWrap/>
            <w:vAlign w:val="center"/>
            <w:hideMark/>
          </w:tcPr>
          <w:p w14:paraId="6DE2ED1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Oslo University Hospital</w:t>
            </w:r>
          </w:p>
        </w:tc>
        <w:tc>
          <w:tcPr>
            <w:tcW w:w="1006" w:type="dxa"/>
            <w:tcBorders>
              <w:top w:val="nil"/>
              <w:left w:val="nil"/>
              <w:bottom w:val="nil"/>
              <w:right w:val="nil"/>
            </w:tcBorders>
            <w:shd w:val="clear" w:color="auto" w:fill="auto"/>
            <w:noWrap/>
            <w:vAlign w:val="center"/>
            <w:hideMark/>
          </w:tcPr>
          <w:p w14:paraId="35AD8FB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5E6F91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792B385F"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01/03/2002</w:t>
            </w:r>
          </w:p>
        </w:tc>
        <w:tc>
          <w:tcPr>
            <w:tcW w:w="766" w:type="dxa"/>
            <w:tcBorders>
              <w:top w:val="nil"/>
              <w:left w:val="nil"/>
              <w:bottom w:val="nil"/>
              <w:right w:val="nil"/>
            </w:tcBorders>
            <w:shd w:val="clear" w:color="auto" w:fill="auto"/>
            <w:noWrap/>
            <w:vAlign w:val="center"/>
            <w:hideMark/>
          </w:tcPr>
          <w:p w14:paraId="0A1E87A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75558111" w14:textId="77777777" w:rsidTr="00AB1828">
        <w:trPr>
          <w:trHeight w:val="360"/>
        </w:trPr>
        <w:tc>
          <w:tcPr>
            <w:tcW w:w="861" w:type="dxa"/>
            <w:tcBorders>
              <w:top w:val="nil"/>
              <w:left w:val="nil"/>
              <w:bottom w:val="nil"/>
              <w:right w:val="nil"/>
            </w:tcBorders>
            <w:shd w:val="clear" w:color="auto" w:fill="auto"/>
            <w:noWrap/>
            <w:vAlign w:val="center"/>
            <w:hideMark/>
          </w:tcPr>
          <w:p w14:paraId="6F52527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NCT01278914</w:t>
            </w:r>
          </w:p>
        </w:tc>
        <w:tc>
          <w:tcPr>
            <w:tcW w:w="1354" w:type="dxa"/>
            <w:tcBorders>
              <w:top w:val="nil"/>
              <w:left w:val="nil"/>
              <w:bottom w:val="nil"/>
              <w:right w:val="nil"/>
            </w:tcBorders>
            <w:shd w:val="clear" w:color="auto" w:fill="auto"/>
            <w:noWrap/>
            <w:vAlign w:val="center"/>
            <w:hideMark/>
          </w:tcPr>
          <w:p w14:paraId="443201C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Trial of Vaccine Therapy With mRNA- Transfected Dendritic Cells in Patients With Androgen Resistant Metastatic Prostate Cancer</w:t>
            </w:r>
          </w:p>
        </w:tc>
        <w:tc>
          <w:tcPr>
            <w:tcW w:w="1483" w:type="dxa"/>
            <w:tcBorders>
              <w:top w:val="nil"/>
              <w:left w:val="nil"/>
              <w:bottom w:val="nil"/>
              <w:right w:val="nil"/>
            </w:tcBorders>
            <w:shd w:val="clear" w:color="auto" w:fill="auto"/>
            <w:noWrap/>
            <w:vAlign w:val="center"/>
            <w:hideMark/>
          </w:tcPr>
          <w:p w14:paraId="4D7B472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0D6643F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PRIMARY 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Determination of safety and toxicity of vaccination with mRNA transfected DC (based on blood samples, and adverse events).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SECONDARY OBJECTIVES: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Determine immunological response to the vaccine (induction of specific T-cell response) and assessment of tumour response.</w:t>
            </w:r>
          </w:p>
        </w:tc>
        <w:tc>
          <w:tcPr>
            <w:tcW w:w="279" w:type="dxa"/>
            <w:tcBorders>
              <w:top w:val="nil"/>
              <w:left w:val="nil"/>
              <w:bottom w:val="nil"/>
              <w:right w:val="nil"/>
            </w:tcBorders>
            <w:shd w:val="clear" w:color="auto" w:fill="auto"/>
            <w:noWrap/>
            <w:vAlign w:val="center"/>
            <w:hideMark/>
          </w:tcPr>
          <w:p w14:paraId="2749500A"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NO</w:t>
            </w:r>
          </w:p>
        </w:tc>
        <w:tc>
          <w:tcPr>
            <w:tcW w:w="2048" w:type="dxa"/>
            <w:tcBorders>
              <w:top w:val="nil"/>
              <w:left w:val="nil"/>
              <w:bottom w:val="nil"/>
              <w:right w:val="nil"/>
            </w:tcBorders>
            <w:shd w:val="clear" w:color="auto" w:fill="auto"/>
            <w:noWrap/>
            <w:vAlign w:val="center"/>
            <w:hideMark/>
          </w:tcPr>
          <w:p w14:paraId="4290612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Prostate Cancer</w:t>
            </w:r>
          </w:p>
        </w:tc>
        <w:tc>
          <w:tcPr>
            <w:tcW w:w="1574" w:type="dxa"/>
            <w:tcBorders>
              <w:top w:val="nil"/>
              <w:left w:val="nil"/>
              <w:bottom w:val="nil"/>
              <w:right w:val="nil"/>
            </w:tcBorders>
            <w:shd w:val="clear" w:color="auto" w:fill="auto"/>
            <w:noWrap/>
            <w:vAlign w:val="center"/>
            <w:hideMark/>
          </w:tcPr>
          <w:p w14:paraId="37EC06F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BIOLOGICAL: Dendritic Cells (DC) prostate</w:t>
            </w:r>
          </w:p>
        </w:tc>
        <w:tc>
          <w:tcPr>
            <w:tcW w:w="1152" w:type="dxa"/>
            <w:tcBorders>
              <w:top w:val="nil"/>
              <w:left w:val="nil"/>
              <w:bottom w:val="nil"/>
              <w:right w:val="nil"/>
            </w:tcBorders>
            <w:shd w:val="clear" w:color="auto" w:fill="auto"/>
            <w:noWrap/>
            <w:vAlign w:val="center"/>
            <w:hideMark/>
          </w:tcPr>
          <w:p w14:paraId="74D4C80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Oslo University Hospital</w:t>
            </w:r>
          </w:p>
        </w:tc>
        <w:tc>
          <w:tcPr>
            <w:tcW w:w="1006" w:type="dxa"/>
            <w:tcBorders>
              <w:top w:val="nil"/>
              <w:left w:val="nil"/>
              <w:bottom w:val="nil"/>
              <w:right w:val="nil"/>
            </w:tcBorders>
            <w:shd w:val="clear" w:color="auto" w:fill="auto"/>
            <w:noWrap/>
            <w:vAlign w:val="center"/>
            <w:hideMark/>
          </w:tcPr>
          <w:p w14:paraId="220A0C75"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PHASE1|PHASE2</w:t>
            </w:r>
          </w:p>
        </w:tc>
        <w:tc>
          <w:tcPr>
            <w:tcW w:w="1006" w:type="dxa"/>
            <w:tcBorders>
              <w:top w:val="nil"/>
              <w:left w:val="nil"/>
              <w:bottom w:val="nil"/>
              <w:right w:val="nil"/>
            </w:tcBorders>
            <w:shd w:val="clear" w:color="auto" w:fill="auto"/>
            <w:noWrap/>
            <w:vAlign w:val="center"/>
            <w:hideMark/>
          </w:tcPr>
          <w:p w14:paraId="768CB79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740" w:type="dxa"/>
            <w:tcBorders>
              <w:top w:val="nil"/>
              <w:left w:val="nil"/>
              <w:bottom w:val="nil"/>
              <w:right w:val="nil"/>
            </w:tcBorders>
            <w:shd w:val="clear" w:color="auto" w:fill="auto"/>
            <w:noWrap/>
            <w:vAlign w:val="center"/>
            <w:hideMark/>
          </w:tcPr>
          <w:p w14:paraId="0F6C5349"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01/02/2002</w:t>
            </w:r>
          </w:p>
        </w:tc>
        <w:tc>
          <w:tcPr>
            <w:tcW w:w="766" w:type="dxa"/>
            <w:tcBorders>
              <w:top w:val="nil"/>
              <w:left w:val="nil"/>
              <w:bottom w:val="nil"/>
              <w:right w:val="nil"/>
            </w:tcBorders>
            <w:shd w:val="clear" w:color="auto" w:fill="auto"/>
            <w:noWrap/>
            <w:vAlign w:val="center"/>
            <w:hideMark/>
          </w:tcPr>
          <w:p w14:paraId="49C3BDC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Dendritic mRNA therapy</w:t>
            </w:r>
          </w:p>
        </w:tc>
      </w:tr>
      <w:tr w:rsidR="000A6EBE" w:rsidRPr="000A6EBE" w14:paraId="26503589" w14:textId="77777777" w:rsidTr="00AB1828">
        <w:trPr>
          <w:trHeight w:val="360"/>
        </w:trPr>
        <w:tc>
          <w:tcPr>
            <w:tcW w:w="861" w:type="dxa"/>
            <w:tcBorders>
              <w:top w:val="nil"/>
              <w:left w:val="nil"/>
              <w:bottom w:val="nil"/>
              <w:right w:val="nil"/>
            </w:tcBorders>
            <w:shd w:val="clear" w:color="auto" w:fill="auto"/>
            <w:noWrap/>
            <w:vAlign w:val="center"/>
            <w:hideMark/>
          </w:tcPr>
          <w:p w14:paraId="6C456554"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NCT02449993</w:t>
            </w:r>
          </w:p>
        </w:tc>
        <w:tc>
          <w:tcPr>
            <w:tcW w:w="1354" w:type="dxa"/>
            <w:tcBorders>
              <w:top w:val="nil"/>
              <w:left w:val="nil"/>
              <w:bottom w:val="nil"/>
              <w:right w:val="nil"/>
            </w:tcBorders>
            <w:shd w:val="clear" w:color="auto" w:fill="auto"/>
            <w:noWrap/>
            <w:vAlign w:val="center"/>
            <w:hideMark/>
          </w:tcPr>
          <w:p w14:paraId="3D4D46F8"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Re-Examination of Tumor Material and Re-Evaluation of Patient Data From Patients Treated With Neo-adjuvant Therapy</w:t>
            </w:r>
          </w:p>
        </w:tc>
        <w:tc>
          <w:tcPr>
            <w:tcW w:w="1483" w:type="dxa"/>
            <w:tcBorders>
              <w:top w:val="nil"/>
              <w:left w:val="nil"/>
              <w:bottom w:val="nil"/>
              <w:right w:val="nil"/>
            </w:tcBorders>
            <w:shd w:val="clear" w:color="auto" w:fill="auto"/>
            <w:noWrap/>
            <w:vAlign w:val="center"/>
            <w:hideMark/>
          </w:tcPr>
          <w:p w14:paraId="58A870E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COMPLETED</w:t>
            </w:r>
          </w:p>
        </w:tc>
        <w:tc>
          <w:tcPr>
            <w:tcW w:w="1689" w:type="dxa"/>
            <w:tcBorders>
              <w:top w:val="nil"/>
              <w:left w:val="nil"/>
              <w:bottom w:val="nil"/>
              <w:right w:val="nil"/>
            </w:tcBorders>
            <w:shd w:val="clear" w:color="auto" w:fill="auto"/>
            <w:vAlign w:val="center"/>
            <w:hideMark/>
          </w:tcPr>
          <w:p w14:paraId="50FF71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prospective examination of ribonucleic acid (RNA) extracted from tumor material of breast cancer patients treated with a neo-adjuvant therapy. The RNA will be analysed for expression of </w:t>
            </w:r>
            <w:r w:rsidRPr="000A6EBE">
              <w:rPr>
                <w:rFonts w:ascii="Aptos Narrow" w:eastAsia="Times New Roman" w:hAnsi="Aptos Narrow"/>
                <w:color w:val="000000"/>
                <w:sz w:val="16"/>
                <w:szCs w:val="16"/>
                <w:lang w:val="en-HK" w:eastAsia="zh-CN"/>
              </w:rPr>
              <w:lastRenderedPageBreak/>
              <w:t>estrogen receptor (ER 1), progesterone receptor (PgR), HER2 and Ki-67 with MammaTyper</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According to the determined values for the individual parameters at least 4 subtypes can be distinguished to date</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Luminal A-type</w:t>
            </w:r>
            <w:r w:rsidRPr="000A6EBE">
              <w:rPr>
                <w:rFonts w:ascii="Aptos Narrow" w:eastAsia="Times New Roman" w:hAnsi="Aptos Narrow"/>
                <w:color w:val="000000"/>
                <w:sz w:val="16"/>
                <w:szCs w:val="16"/>
                <w:lang w:val="en-HK" w:eastAsia="zh-CN"/>
              </w:rPr>
              <w:br/>
              <w:t>* Luminal B-type</w:t>
            </w:r>
            <w:r w:rsidRPr="000A6EBE">
              <w:rPr>
                <w:rFonts w:ascii="Aptos Narrow" w:eastAsia="Times New Roman" w:hAnsi="Aptos Narrow"/>
                <w:color w:val="000000"/>
                <w:sz w:val="16"/>
                <w:szCs w:val="16"/>
                <w:lang w:val="en-HK" w:eastAsia="zh-CN"/>
              </w:rPr>
              <w:br/>
              <w:t>* HER2-type</w:t>
            </w:r>
            <w:r w:rsidRPr="000A6EBE">
              <w:rPr>
                <w:rFonts w:ascii="Aptos Narrow" w:eastAsia="Times New Roman" w:hAnsi="Aptos Narrow"/>
                <w:color w:val="000000"/>
                <w:sz w:val="16"/>
                <w:szCs w:val="16"/>
                <w:lang w:val="en-HK" w:eastAsia="zh-CN"/>
              </w:rPr>
              <w:br/>
              <w:t>* Triple-negative-type As non-clinical endpoint, the agreement of new subtyping with Immunohistochemical methods will be evaluated.</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As clinical objective, the 5 year Distant metastasis free survival (DMFS) and Overall survival (OS) will be reevaluated according to the new subtyping.</w:t>
            </w:r>
          </w:p>
        </w:tc>
        <w:tc>
          <w:tcPr>
            <w:tcW w:w="279" w:type="dxa"/>
            <w:tcBorders>
              <w:top w:val="nil"/>
              <w:left w:val="nil"/>
              <w:bottom w:val="nil"/>
              <w:right w:val="nil"/>
            </w:tcBorders>
            <w:shd w:val="clear" w:color="auto" w:fill="auto"/>
            <w:noWrap/>
            <w:vAlign w:val="center"/>
            <w:hideMark/>
          </w:tcPr>
          <w:p w14:paraId="72AAAA0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nil"/>
              <w:right w:val="nil"/>
            </w:tcBorders>
            <w:shd w:val="clear" w:color="auto" w:fill="auto"/>
            <w:noWrap/>
            <w:vAlign w:val="center"/>
            <w:hideMark/>
          </w:tcPr>
          <w:p w14:paraId="184ACA6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Breast Cancer</w:t>
            </w:r>
          </w:p>
        </w:tc>
        <w:tc>
          <w:tcPr>
            <w:tcW w:w="2726" w:type="dxa"/>
            <w:gridSpan w:val="2"/>
            <w:tcBorders>
              <w:top w:val="nil"/>
              <w:left w:val="nil"/>
              <w:bottom w:val="nil"/>
              <w:right w:val="nil"/>
            </w:tcBorders>
            <w:shd w:val="clear" w:color="auto" w:fill="auto"/>
            <w:noWrap/>
            <w:vAlign w:val="center"/>
            <w:hideMark/>
          </w:tcPr>
          <w:p w14:paraId="0844B4C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DEVICE: MammaTyperBioNTech Diagnostics GmbH</w:t>
            </w:r>
          </w:p>
        </w:tc>
        <w:tc>
          <w:tcPr>
            <w:tcW w:w="1006" w:type="dxa"/>
            <w:tcBorders>
              <w:top w:val="nil"/>
              <w:left w:val="nil"/>
              <w:bottom w:val="nil"/>
              <w:right w:val="nil"/>
            </w:tcBorders>
            <w:shd w:val="clear" w:color="auto" w:fill="auto"/>
            <w:noWrap/>
            <w:vAlign w:val="center"/>
            <w:hideMark/>
          </w:tcPr>
          <w:p w14:paraId="4ED90A5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OBSERVATIONAL</w:t>
            </w:r>
          </w:p>
        </w:tc>
        <w:tc>
          <w:tcPr>
            <w:tcW w:w="1006" w:type="dxa"/>
            <w:tcBorders>
              <w:top w:val="nil"/>
              <w:left w:val="nil"/>
              <w:bottom w:val="nil"/>
              <w:right w:val="nil"/>
            </w:tcBorders>
            <w:shd w:val="clear" w:color="auto" w:fill="auto"/>
            <w:noWrap/>
            <w:vAlign w:val="center"/>
            <w:hideMark/>
          </w:tcPr>
          <w:p w14:paraId="776DAA34"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Jun-14</w:t>
            </w:r>
          </w:p>
        </w:tc>
        <w:tc>
          <w:tcPr>
            <w:tcW w:w="740" w:type="dxa"/>
            <w:tcBorders>
              <w:top w:val="nil"/>
              <w:left w:val="nil"/>
              <w:bottom w:val="nil"/>
              <w:right w:val="nil"/>
            </w:tcBorders>
            <w:shd w:val="clear" w:color="auto" w:fill="auto"/>
            <w:noWrap/>
            <w:vAlign w:val="center"/>
            <w:hideMark/>
          </w:tcPr>
          <w:p w14:paraId="4527727E" w14:textId="77777777" w:rsidR="000A6EBE" w:rsidRPr="000A6EBE" w:rsidRDefault="000A6EBE" w:rsidP="000A6EBE">
            <w:pPr>
              <w:jc w:val="right"/>
              <w:rPr>
                <w:rFonts w:ascii="Aptos Narrow" w:eastAsia="Times New Roman" w:hAnsi="Aptos Narrow"/>
                <w:color w:val="000000"/>
                <w:sz w:val="16"/>
                <w:szCs w:val="16"/>
                <w:lang w:val="en-HK" w:eastAsia="zh-CN"/>
              </w:rPr>
            </w:pPr>
          </w:p>
        </w:tc>
        <w:tc>
          <w:tcPr>
            <w:tcW w:w="766" w:type="dxa"/>
            <w:tcBorders>
              <w:top w:val="nil"/>
              <w:left w:val="nil"/>
              <w:bottom w:val="nil"/>
              <w:right w:val="nil"/>
            </w:tcBorders>
            <w:shd w:val="clear" w:color="auto" w:fill="auto"/>
            <w:noWrap/>
            <w:vAlign w:val="center"/>
            <w:hideMark/>
          </w:tcPr>
          <w:p w14:paraId="1560314E"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r w:rsidR="000A6EBE" w:rsidRPr="000A6EBE" w14:paraId="31999E22" w14:textId="77777777" w:rsidTr="00AB1828">
        <w:trPr>
          <w:trHeight w:val="360"/>
        </w:trPr>
        <w:tc>
          <w:tcPr>
            <w:tcW w:w="861" w:type="dxa"/>
            <w:tcBorders>
              <w:top w:val="nil"/>
              <w:left w:val="nil"/>
              <w:bottom w:val="single" w:sz="4" w:space="0" w:color="auto"/>
              <w:right w:val="nil"/>
            </w:tcBorders>
            <w:shd w:val="clear" w:color="auto" w:fill="auto"/>
            <w:noWrap/>
            <w:vAlign w:val="center"/>
            <w:hideMark/>
          </w:tcPr>
          <w:p w14:paraId="6E228516"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NCT05978102</w:t>
            </w:r>
          </w:p>
        </w:tc>
        <w:tc>
          <w:tcPr>
            <w:tcW w:w="1354" w:type="dxa"/>
            <w:tcBorders>
              <w:top w:val="nil"/>
              <w:left w:val="nil"/>
              <w:bottom w:val="single" w:sz="4" w:space="0" w:color="auto"/>
              <w:right w:val="nil"/>
            </w:tcBorders>
            <w:shd w:val="clear" w:color="auto" w:fill="auto"/>
            <w:noWrap/>
            <w:vAlign w:val="center"/>
            <w:hideMark/>
          </w:tcPr>
          <w:p w14:paraId="3D587F4C"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A Dose Escalation and Dose Expansion Clinical Study of STI-7349 in </w:t>
            </w:r>
            <w:r w:rsidRPr="000A6EBE">
              <w:rPr>
                <w:rFonts w:ascii="Aptos Narrow" w:eastAsia="Times New Roman" w:hAnsi="Aptos Narrow"/>
                <w:color w:val="000000"/>
                <w:sz w:val="16"/>
                <w:szCs w:val="16"/>
                <w:lang w:val="en-HK" w:eastAsia="zh-CN"/>
              </w:rPr>
              <w:lastRenderedPageBreak/>
              <w:t>Subjects With Advanced Solid Tumors</w:t>
            </w:r>
          </w:p>
        </w:tc>
        <w:tc>
          <w:tcPr>
            <w:tcW w:w="1483" w:type="dxa"/>
            <w:tcBorders>
              <w:top w:val="nil"/>
              <w:left w:val="nil"/>
              <w:bottom w:val="single" w:sz="4" w:space="0" w:color="auto"/>
              <w:right w:val="nil"/>
            </w:tcBorders>
            <w:shd w:val="clear" w:color="auto" w:fill="auto"/>
            <w:noWrap/>
            <w:vAlign w:val="center"/>
            <w:hideMark/>
          </w:tcPr>
          <w:p w14:paraId="07186C71"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RECRUITING</w:t>
            </w:r>
          </w:p>
        </w:tc>
        <w:tc>
          <w:tcPr>
            <w:tcW w:w="1689" w:type="dxa"/>
            <w:tcBorders>
              <w:top w:val="nil"/>
              <w:left w:val="nil"/>
              <w:bottom w:val="single" w:sz="4" w:space="0" w:color="auto"/>
              <w:right w:val="nil"/>
            </w:tcBorders>
            <w:shd w:val="clear" w:color="auto" w:fill="auto"/>
            <w:vAlign w:val="center"/>
            <w:hideMark/>
          </w:tcPr>
          <w:p w14:paraId="4F04D8C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This is a first-in-human, Phase open-label, 2-period dose escalation and </w:t>
            </w:r>
            <w:r w:rsidRPr="000A6EBE">
              <w:rPr>
                <w:rFonts w:ascii="Aptos Narrow" w:eastAsia="Times New Roman" w:hAnsi="Aptos Narrow"/>
                <w:color w:val="000000"/>
                <w:sz w:val="16"/>
                <w:szCs w:val="16"/>
                <w:lang w:val="en-HK" w:eastAsia="zh-CN"/>
              </w:rPr>
              <w:lastRenderedPageBreak/>
              <w:t>expansion study of STI-7349 administered intravenously to subjects with advanced solid tumors:</w:t>
            </w:r>
            <w:r w:rsidRPr="000A6EBE">
              <w:rPr>
                <w:rFonts w:ascii="Aptos Narrow" w:eastAsia="Times New Roman" w:hAnsi="Aptos Narrow"/>
                <w:color w:val="000000"/>
                <w:sz w:val="16"/>
                <w:szCs w:val="16"/>
                <w:lang w:val="en-HK" w:eastAsia="zh-CN"/>
              </w:rPr>
              <w:br/>
            </w:r>
            <w:r w:rsidRPr="000A6EBE">
              <w:rPr>
                <w:rFonts w:ascii="Aptos Narrow" w:eastAsia="Times New Roman" w:hAnsi="Aptos Narrow"/>
                <w:color w:val="000000"/>
                <w:sz w:val="16"/>
                <w:szCs w:val="16"/>
                <w:lang w:val="en-HK" w:eastAsia="zh-CN"/>
              </w:rPr>
              <w:br/>
              <w:t>* Period I is divided into two parts: Dose escalation for STI-7349 alone (1A) and dose expansion for STI-7349 alone (1B). In Part 1A, a rapid titration approach and traditional 3 + 3 trial design will be used to assess the safety, dose-limiting toxicities (DLTs), maximum tolerated dose (MTD), PK/biomarker profile, and to determine the recommended Phase 2 dose (RP2D) of STI-7349 alone; in Part 1B, an expansion study of STI-7349 alone will be conducted in target tumor types that may potentially benefit to assess the safety and preliminary efficacy of STI-7349 alone.</w:t>
            </w:r>
            <w:r w:rsidRPr="000A6EBE">
              <w:rPr>
                <w:rFonts w:ascii="Aptos Narrow" w:eastAsia="Times New Roman" w:hAnsi="Aptos Narrow"/>
                <w:color w:val="000000"/>
                <w:sz w:val="16"/>
                <w:szCs w:val="16"/>
                <w:lang w:val="en-HK" w:eastAsia="zh-CN"/>
              </w:rPr>
              <w:br/>
              <w:t xml:space="preserve">* Period is divided </w:t>
            </w:r>
            <w:r w:rsidRPr="000A6EBE">
              <w:rPr>
                <w:rFonts w:ascii="Aptos Narrow" w:eastAsia="Times New Roman" w:hAnsi="Aptos Narrow"/>
                <w:color w:val="000000"/>
                <w:sz w:val="16"/>
                <w:szCs w:val="16"/>
                <w:lang w:val="en-HK" w:eastAsia="zh-CN"/>
              </w:rPr>
              <w:lastRenderedPageBreak/>
              <w:t xml:space="preserve">into two parts: Dose escalation for STI-7349 in combination with Pembrolizumab (2A) and dose expansion for STI-7349 in combination with Pembrolizumab (2B). In Part 2A, a dose escalation study of STI-7349 in combination with Pembrolizumab is planned to be conducted using RP2D of STI-7349 alone as the starting dose, which will use a traditional 3 + 3 trial design to assess the safety, DLTs, MTD, PK/biomarker profile of STI-7349 in combination with Pembrolizumab, and to determine the RP2D of STI-7349 in combination with Pembrolizumab; in Part 2B, an expansion study of STI-7349 in combination with Pembrolizumab or add standard treatment on the basis of STI-7349 combined with pembrolizumab </w:t>
            </w:r>
            <w:r w:rsidRPr="000A6EBE">
              <w:rPr>
                <w:rFonts w:ascii="Aptos Narrow" w:eastAsia="Times New Roman" w:hAnsi="Aptos Narrow"/>
                <w:color w:val="000000"/>
                <w:sz w:val="16"/>
                <w:szCs w:val="16"/>
                <w:lang w:val="en-HK" w:eastAsia="zh-CN"/>
              </w:rPr>
              <w:lastRenderedPageBreak/>
              <w:t>will be conducted in target tumor types that may potentially benefit to assess the safety and preliminary efficacy of the combination.</w:t>
            </w:r>
          </w:p>
        </w:tc>
        <w:tc>
          <w:tcPr>
            <w:tcW w:w="279" w:type="dxa"/>
            <w:tcBorders>
              <w:top w:val="nil"/>
              <w:left w:val="nil"/>
              <w:bottom w:val="single" w:sz="4" w:space="0" w:color="auto"/>
              <w:right w:val="nil"/>
            </w:tcBorders>
            <w:shd w:val="clear" w:color="auto" w:fill="auto"/>
            <w:noWrap/>
            <w:vAlign w:val="center"/>
            <w:hideMark/>
          </w:tcPr>
          <w:p w14:paraId="07FC5CAD"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NO</w:t>
            </w:r>
          </w:p>
        </w:tc>
        <w:tc>
          <w:tcPr>
            <w:tcW w:w="2048" w:type="dxa"/>
            <w:tcBorders>
              <w:top w:val="nil"/>
              <w:left w:val="nil"/>
              <w:bottom w:val="single" w:sz="4" w:space="0" w:color="auto"/>
              <w:right w:val="nil"/>
            </w:tcBorders>
            <w:shd w:val="clear" w:color="auto" w:fill="auto"/>
            <w:noWrap/>
            <w:vAlign w:val="center"/>
            <w:hideMark/>
          </w:tcPr>
          <w:p w14:paraId="777C1649"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Advanced Solid Tumor</w:t>
            </w:r>
          </w:p>
        </w:tc>
        <w:tc>
          <w:tcPr>
            <w:tcW w:w="1574" w:type="dxa"/>
            <w:tcBorders>
              <w:top w:val="nil"/>
              <w:left w:val="nil"/>
              <w:bottom w:val="single" w:sz="4" w:space="0" w:color="auto"/>
              <w:right w:val="nil"/>
            </w:tcBorders>
            <w:shd w:val="clear" w:color="auto" w:fill="auto"/>
            <w:noWrap/>
            <w:vAlign w:val="center"/>
            <w:hideMark/>
          </w:tcPr>
          <w:p w14:paraId="6E6FEC9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xml:space="preserve">DRUG: STI-7349|DRUG: Pembrolizumab|DRUG: Standard treatmentoCThe </w:t>
            </w:r>
            <w:r w:rsidRPr="000A6EBE">
              <w:rPr>
                <w:rFonts w:ascii="Aptos Narrow" w:eastAsia="Times New Roman" w:hAnsi="Aptos Narrow"/>
                <w:color w:val="000000"/>
                <w:sz w:val="16"/>
                <w:szCs w:val="16"/>
                <w:lang w:val="en-HK" w:eastAsia="zh-CN"/>
              </w:rPr>
              <w:lastRenderedPageBreak/>
              <w:t>Fourth Affiliated Hospital of Zhejiang University School of Medicine</w:t>
            </w:r>
          </w:p>
        </w:tc>
        <w:tc>
          <w:tcPr>
            <w:tcW w:w="1152" w:type="dxa"/>
            <w:tcBorders>
              <w:top w:val="nil"/>
              <w:left w:val="nil"/>
              <w:bottom w:val="single" w:sz="4" w:space="0" w:color="auto"/>
              <w:right w:val="nil"/>
            </w:tcBorders>
            <w:shd w:val="clear" w:color="auto" w:fill="auto"/>
            <w:noWrap/>
            <w:vAlign w:val="center"/>
            <w:hideMark/>
          </w:tcPr>
          <w:p w14:paraId="56D58493"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lastRenderedPageBreak/>
              <w:t>PHASE1|PHASE2</w:t>
            </w:r>
          </w:p>
        </w:tc>
        <w:tc>
          <w:tcPr>
            <w:tcW w:w="1006" w:type="dxa"/>
            <w:tcBorders>
              <w:top w:val="nil"/>
              <w:left w:val="nil"/>
              <w:bottom w:val="single" w:sz="4" w:space="0" w:color="auto"/>
              <w:right w:val="nil"/>
            </w:tcBorders>
            <w:shd w:val="clear" w:color="auto" w:fill="auto"/>
            <w:noWrap/>
            <w:vAlign w:val="center"/>
            <w:hideMark/>
          </w:tcPr>
          <w:p w14:paraId="584BDC22"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INTERVENTIONAL</w:t>
            </w:r>
          </w:p>
        </w:tc>
        <w:tc>
          <w:tcPr>
            <w:tcW w:w="1006" w:type="dxa"/>
            <w:tcBorders>
              <w:top w:val="nil"/>
              <w:left w:val="nil"/>
              <w:bottom w:val="single" w:sz="4" w:space="0" w:color="auto"/>
              <w:right w:val="nil"/>
            </w:tcBorders>
            <w:shd w:val="clear" w:color="auto" w:fill="auto"/>
            <w:noWrap/>
            <w:vAlign w:val="center"/>
            <w:hideMark/>
          </w:tcPr>
          <w:p w14:paraId="7148F14B" w14:textId="77777777" w:rsidR="000A6EBE" w:rsidRPr="000A6EBE" w:rsidRDefault="000A6EBE" w:rsidP="000A6EBE">
            <w:pPr>
              <w:jc w:val="right"/>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23/08/2023</w:t>
            </w:r>
          </w:p>
        </w:tc>
        <w:tc>
          <w:tcPr>
            <w:tcW w:w="740" w:type="dxa"/>
            <w:tcBorders>
              <w:top w:val="nil"/>
              <w:left w:val="nil"/>
              <w:bottom w:val="single" w:sz="4" w:space="0" w:color="auto"/>
              <w:right w:val="nil"/>
            </w:tcBorders>
            <w:shd w:val="clear" w:color="auto" w:fill="auto"/>
            <w:noWrap/>
            <w:vAlign w:val="center"/>
            <w:hideMark/>
          </w:tcPr>
          <w:p w14:paraId="165DCE7F"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 </w:t>
            </w:r>
          </w:p>
        </w:tc>
        <w:tc>
          <w:tcPr>
            <w:tcW w:w="766" w:type="dxa"/>
            <w:tcBorders>
              <w:top w:val="nil"/>
              <w:left w:val="nil"/>
              <w:bottom w:val="single" w:sz="4" w:space="0" w:color="auto"/>
              <w:right w:val="nil"/>
            </w:tcBorders>
            <w:shd w:val="clear" w:color="auto" w:fill="auto"/>
            <w:noWrap/>
            <w:vAlign w:val="center"/>
            <w:hideMark/>
          </w:tcPr>
          <w:p w14:paraId="27C7A88B" w14:textId="77777777" w:rsidR="000A6EBE" w:rsidRPr="000A6EBE" w:rsidRDefault="000A6EBE" w:rsidP="000A6EBE">
            <w:pPr>
              <w:rPr>
                <w:rFonts w:ascii="Aptos Narrow" w:eastAsia="Times New Roman" w:hAnsi="Aptos Narrow"/>
                <w:color w:val="000000"/>
                <w:sz w:val="16"/>
                <w:szCs w:val="16"/>
                <w:lang w:val="en-HK" w:eastAsia="zh-CN"/>
              </w:rPr>
            </w:pPr>
            <w:r w:rsidRPr="000A6EBE">
              <w:rPr>
                <w:rFonts w:ascii="Aptos Narrow" w:eastAsia="Times New Roman" w:hAnsi="Aptos Narrow"/>
                <w:color w:val="000000"/>
                <w:sz w:val="16"/>
                <w:szCs w:val="16"/>
                <w:lang w:val="en-HK" w:eastAsia="zh-CN"/>
              </w:rPr>
              <w:t>mRNA drug</w:t>
            </w:r>
          </w:p>
        </w:tc>
      </w:tr>
    </w:tbl>
    <w:p w14:paraId="0BC36A93" w14:textId="67F85A5D" w:rsidR="000A6EBE" w:rsidRPr="000A6EBE" w:rsidRDefault="00E51AFD" w:rsidP="000A6EBE">
      <w:pPr>
        <w:rPr>
          <w:rFonts w:eastAsia="Times New Roman"/>
          <w:color w:val="000000"/>
          <w:sz w:val="16"/>
          <w:szCs w:val="16"/>
          <w:lang w:val="en-HK" w:eastAsia="zh-CN"/>
        </w:rPr>
      </w:pPr>
      <w:r>
        <w:rPr>
          <w:rFonts w:hint="eastAsia"/>
          <w:color w:val="000000"/>
          <w:sz w:val="16"/>
          <w:szCs w:val="16"/>
          <w:lang w:val="en-HK" w:eastAsia="zh-CN"/>
        </w:rPr>
        <w:lastRenderedPageBreak/>
        <w:t>Data</w:t>
      </w:r>
      <w:r w:rsidR="000A6EBE" w:rsidRPr="000A6EBE">
        <w:rPr>
          <w:rFonts w:eastAsia="Times New Roman"/>
          <w:color w:val="000000"/>
          <w:sz w:val="16"/>
          <w:szCs w:val="16"/>
          <w:lang w:val="en-HK" w:eastAsia="zh-CN"/>
        </w:rPr>
        <w:t xml:space="preserve"> from ClinicalTrials.gov</w:t>
      </w:r>
    </w:p>
    <w:p w14:paraId="37F107C1" w14:textId="7EFCA3E4" w:rsidR="008B22FD" w:rsidRDefault="008B22FD">
      <w:pPr>
        <w:rPr>
          <w:lang w:val="en-HK"/>
        </w:rPr>
      </w:pPr>
      <w:r>
        <w:rPr>
          <w:lang w:val="en-HK"/>
        </w:rPr>
        <w:br w:type="page"/>
      </w:r>
    </w:p>
    <w:p w14:paraId="6357F49C" w14:textId="038419A8" w:rsidR="00112C5B" w:rsidRPr="00355362" w:rsidRDefault="00733856" w:rsidP="00B9440A">
      <w:pPr>
        <w:pStyle w:val="SMHeading"/>
        <w:rPr>
          <w:lang w:eastAsia="zh-CN"/>
        </w:rPr>
      </w:pPr>
      <w:r>
        <w:lastRenderedPageBreak/>
        <w:t>Table</w:t>
      </w:r>
      <w:r w:rsidR="00112C5B" w:rsidRPr="00355362">
        <w:t xml:space="preserve"> S</w:t>
      </w:r>
      <w:r>
        <w:t>3</w:t>
      </w:r>
      <w:r w:rsidR="008218C4">
        <w:t>.</w:t>
      </w:r>
      <w:r w:rsidR="00E51AFD">
        <w:rPr>
          <w:rFonts w:hint="eastAsia"/>
          <w:lang w:eastAsia="zh-CN"/>
        </w:rPr>
        <w:t xml:space="preserve"> Summary of </w:t>
      </w:r>
      <w:r w:rsidR="00E51AFD" w:rsidRPr="00E51AFD">
        <w:rPr>
          <w:lang w:eastAsia="zh-CN"/>
        </w:rPr>
        <w:t xml:space="preserve">FDA </w:t>
      </w:r>
      <w:r w:rsidR="00E51AFD">
        <w:rPr>
          <w:rFonts w:hint="eastAsia"/>
          <w:lang w:eastAsia="zh-CN"/>
        </w:rPr>
        <w:t>a</w:t>
      </w:r>
      <w:r w:rsidR="00E51AFD" w:rsidRPr="00E51AFD">
        <w:rPr>
          <w:lang w:eastAsia="zh-CN"/>
        </w:rPr>
        <w:t xml:space="preserve">pproved </w:t>
      </w:r>
      <w:r w:rsidR="00E51AFD">
        <w:rPr>
          <w:rFonts w:hint="eastAsia"/>
          <w:lang w:eastAsia="zh-CN"/>
        </w:rPr>
        <w:t>c</w:t>
      </w:r>
      <w:r w:rsidR="00E51AFD" w:rsidRPr="00E51AFD">
        <w:rPr>
          <w:lang w:eastAsia="zh-CN"/>
        </w:rPr>
        <w:t xml:space="preserve">ombination </w:t>
      </w:r>
      <w:r w:rsidR="00E51AFD">
        <w:rPr>
          <w:rFonts w:hint="eastAsia"/>
          <w:lang w:eastAsia="zh-CN"/>
        </w:rPr>
        <w:t>t</w:t>
      </w:r>
      <w:r w:rsidR="00E51AFD" w:rsidRPr="00E51AFD">
        <w:rPr>
          <w:lang w:eastAsia="zh-CN"/>
        </w:rPr>
        <w:t xml:space="preserve">herapies for </w:t>
      </w:r>
      <w:r w:rsidR="00E51AFD">
        <w:rPr>
          <w:rFonts w:hint="eastAsia"/>
          <w:lang w:eastAsia="zh-CN"/>
        </w:rPr>
        <w:t>c</w:t>
      </w:r>
      <w:r w:rsidR="00E51AFD" w:rsidRPr="00E51AFD">
        <w:rPr>
          <w:lang w:eastAsia="zh-CN"/>
        </w:rPr>
        <w:t>ancer (January 23, 2023 - March 2</w:t>
      </w:r>
      <w:r w:rsidR="00E51AFD">
        <w:rPr>
          <w:rFonts w:hint="eastAsia"/>
          <w:lang w:eastAsia="zh-CN"/>
        </w:rPr>
        <w:t>4</w:t>
      </w:r>
      <w:r w:rsidR="00E51AFD" w:rsidRPr="00E51AFD">
        <w:rPr>
          <w:lang w:eastAsia="zh-CN"/>
        </w:rPr>
        <w:t>, 2024)</w:t>
      </w:r>
    </w:p>
    <w:p w14:paraId="15FC30AB" w14:textId="112C4209" w:rsidR="002C5022" w:rsidRDefault="002C5022" w:rsidP="00477182">
      <w:pPr>
        <w:pStyle w:val="SMcaption"/>
        <w:rPr>
          <w:sz w:val="20"/>
        </w:rPr>
      </w:pPr>
      <w:r>
        <w:fldChar w:fldCharType="begin"/>
      </w:r>
      <w:r>
        <w:instrText xml:space="preserve"> LINK Excel.Sheet.12 "C:\\Users\\hugos\\Downloads\\Supplementary Table 3.xlsx" "Sheet1!R1C1:R94C4" \a \f 4 \h </w:instrText>
      </w:r>
      <w:r w:rsidR="00E51AFD">
        <w:instrText xml:space="preserve"> \* MERGEFORMAT </w:instrText>
      </w:r>
      <w:r>
        <w:fldChar w:fldCharType="separate"/>
      </w:r>
    </w:p>
    <w:tbl>
      <w:tblPr>
        <w:tblW w:w="13958" w:type="dxa"/>
        <w:tblLook w:val="04A0" w:firstRow="1" w:lastRow="0" w:firstColumn="1" w:lastColumn="0" w:noHBand="0" w:noVBand="1"/>
      </w:tblPr>
      <w:tblGrid>
        <w:gridCol w:w="1018"/>
        <w:gridCol w:w="6317"/>
        <w:gridCol w:w="3772"/>
        <w:gridCol w:w="2851"/>
      </w:tblGrid>
      <w:tr w:rsidR="002C5022" w:rsidRPr="002C5022" w14:paraId="298219CD" w14:textId="77777777" w:rsidTr="00E51AFD">
        <w:trPr>
          <w:trHeight w:val="291"/>
        </w:trPr>
        <w:tc>
          <w:tcPr>
            <w:tcW w:w="1018" w:type="dxa"/>
            <w:tcBorders>
              <w:top w:val="single" w:sz="4" w:space="0" w:color="auto"/>
              <w:left w:val="nil"/>
              <w:bottom w:val="single" w:sz="4" w:space="0" w:color="auto"/>
              <w:right w:val="nil"/>
            </w:tcBorders>
            <w:shd w:val="clear" w:color="auto" w:fill="auto"/>
            <w:noWrap/>
            <w:vAlign w:val="bottom"/>
            <w:hideMark/>
          </w:tcPr>
          <w:p w14:paraId="7B96416B" w14:textId="77777777" w:rsidR="002C5022" w:rsidRPr="002C5022" w:rsidRDefault="002C5022" w:rsidP="002C5022">
            <w:pPr>
              <w:rPr>
                <w:rFonts w:eastAsia="Times New Roman"/>
                <w:b/>
                <w:bCs/>
                <w:sz w:val="18"/>
                <w:szCs w:val="18"/>
                <w:lang w:val="en-HK" w:eastAsia="zh-CN"/>
              </w:rPr>
            </w:pPr>
            <w:r w:rsidRPr="002C5022">
              <w:rPr>
                <w:rFonts w:eastAsia="Times New Roman"/>
                <w:b/>
                <w:bCs/>
                <w:sz w:val="18"/>
                <w:szCs w:val="18"/>
                <w:lang w:val="en-HK" w:eastAsia="zh-CN"/>
              </w:rPr>
              <w:t>Date</w:t>
            </w:r>
          </w:p>
        </w:tc>
        <w:tc>
          <w:tcPr>
            <w:tcW w:w="6317" w:type="dxa"/>
            <w:tcBorders>
              <w:top w:val="single" w:sz="4" w:space="0" w:color="auto"/>
              <w:left w:val="nil"/>
              <w:bottom w:val="single" w:sz="4" w:space="0" w:color="auto"/>
              <w:right w:val="nil"/>
            </w:tcBorders>
            <w:shd w:val="clear" w:color="auto" w:fill="auto"/>
            <w:noWrap/>
            <w:vAlign w:val="bottom"/>
            <w:hideMark/>
          </w:tcPr>
          <w:p w14:paraId="4E58997C" w14:textId="77777777" w:rsidR="002C5022" w:rsidRPr="002C5022" w:rsidRDefault="002C5022" w:rsidP="00E51AFD">
            <w:pPr>
              <w:jc w:val="both"/>
              <w:rPr>
                <w:rFonts w:eastAsia="Times New Roman"/>
                <w:b/>
                <w:bCs/>
                <w:sz w:val="18"/>
                <w:szCs w:val="18"/>
                <w:lang w:val="en-HK" w:eastAsia="zh-CN"/>
              </w:rPr>
            </w:pPr>
            <w:r w:rsidRPr="002C5022">
              <w:rPr>
                <w:rFonts w:eastAsia="Times New Roman"/>
                <w:b/>
                <w:bCs/>
                <w:sz w:val="18"/>
                <w:szCs w:val="18"/>
                <w:lang w:val="en-HK" w:eastAsia="zh-CN"/>
              </w:rPr>
              <w:t>Tumor type</w:t>
            </w:r>
          </w:p>
        </w:tc>
        <w:tc>
          <w:tcPr>
            <w:tcW w:w="3772" w:type="dxa"/>
            <w:tcBorders>
              <w:top w:val="single" w:sz="4" w:space="0" w:color="auto"/>
              <w:left w:val="nil"/>
              <w:bottom w:val="single" w:sz="4" w:space="0" w:color="auto"/>
              <w:right w:val="nil"/>
            </w:tcBorders>
            <w:shd w:val="clear" w:color="auto" w:fill="auto"/>
            <w:noWrap/>
            <w:vAlign w:val="bottom"/>
            <w:hideMark/>
          </w:tcPr>
          <w:p w14:paraId="38050E60" w14:textId="77777777" w:rsidR="002C5022" w:rsidRPr="002C5022" w:rsidRDefault="002C5022" w:rsidP="002C5022">
            <w:pPr>
              <w:rPr>
                <w:rFonts w:eastAsia="Times New Roman"/>
                <w:b/>
                <w:bCs/>
                <w:sz w:val="18"/>
                <w:szCs w:val="18"/>
                <w:lang w:val="en-HK" w:eastAsia="zh-CN"/>
              </w:rPr>
            </w:pPr>
            <w:r w:rsidRPr="002C5022">
              <w:rPr>
                <w:rFonts w:eastAsia="Times New Roman"/>
                <w:b/>
                <w:bCs/>
                <w:sz w:val="18"/>
                <w:szCs w:val="18"/>
                <w:lang w:val="en-HK" w:eastAsia="zh-CN"/>
              </w:rPr>
              <w:t>Combination agent</w:t>
            </w:r>
          </w:p>
        </w:tc>
        <w:tc>
          <w:tcPr>
            <w:tcW w:w="2851" w:type="dxa"/>
            <w:tcBorders>
              <w:top w:val="single" w:sz="4" w:space="0" w:color="auto"/>
              <w:left w:val="nil"/>
              <w:bottom w:val="single" w:sz="4" w:space="0" w:color="auto"/>
              <w:right w:val="nil"/>
            </w:tcBorders>
            <w:shd w:val="clear" w:color="auto" w:fill="auto"/>
            <w:noWrap/>
            <w:vAlign w:val="bottom"/>
            <w:hideMark/>
          </w:tcPr>
          <w:p w14:paraId="35055B08" w14:textId="77777777" w:rsidR="002C5022" w:rsidRPr="002C5022" w:rsidRDefault="002C5022" w:rsidP="002C5022">
            <w:pPr>
              <w:rPr>
                <w:rFonts w:eastAsia="Times New Roman"/>
                <w:b/>
                <w:bCs/>
                <w:sz w:val="18"/>
                <w:szCs w:val="18"/>
                <w:lang w:val="en-HK" w:eastAsia="zh-CN"/>
              </w:rPr>
            </w:pPr>
            <w:r w:rsidRPr="002C5022">
              <w:rPr>
                <w:rFonts w:eastAsia="Times New Roman"/>
                <w:b/>
                <w:bCs/>
                <w:sz w:val="18"/>
                <w:szCs w:val="18"/>
                <w:lang w:val="en-HK" w:eastAsia="zh-CN"/>
              </w:rPr>
              <w:t>combination</w:t>
            </w:r>
          </w:p>
        </w:tc>
      </w:tr>
      <w:tr w:rsidR="002C5022" w:rsidRPr="002C5022" w14:paraId="45E58727" w14:textId="77777777" w:rsidTr="00E51AFD">
        <w:trPr>
          <w:trHeight w:val="291"/>
        </w:trPr>
        <w:tc>
          <w:tcPr>
            <w:tcW w:w="1018" w:type="dxa"/>
            <w:tcBorders>
              <w:top w:val="nil"/>
              <w:left w:val="nil"/>
              <w:bottom w:val="nil"/>
              <w:right w:val="nil"/>
            </w:tcBorders>
            <w:shd w:val="clear" w:color="auto" w:fill="auto"/>
            <w:vAlign w:val="center"/>
            <w:hideMark/>
          </w:tcPr>
          <w:p w14:paraId="7F24836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01/23/2013</w:t>
            </w:r>
          </w:p>
        </w:tc>
        <w:tc>
          <w:tcPr>
            <w:tcW w:w="6317" w:type="dxa"/>
            <w:tcBorders>
              <w:top w:val="nil"/>
              <w:left w:val="nil"/>
              <w:bottom w:val="nil"/>
              <w:right w:val="nil"/>
            </w:tcBorders>
            <w:shd w:val="clear" w:color="auto" w:fill="auto"/>
            <w:noWrap/>
            <w:vAlign w:val="center"/>
            <w:hideMark/>
          </w:tcPr>
          <w:p w14:paraId="36D297AF"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mCRC has progressed on a first-line bevacizumab-containing regimen</w:t>
            </w:r>
          </w:p>
        </w:tc>
        <w:tc>
          <w:tcPr>
            <w:tcW w:w="3772" w:type="dxa"/>
            <w:tcBorders>
              <w:top w:val="nil"/>
              <w:left w:val="nil"/>
              <w:bottom w:val="nil"/>
              <w:right w:val="nil"/>
            </w:tcBorders>
            <w:shd w:val="clear" w:color="auto" w:fill="auto"/>
            <w:noWrap/>
            <w:vAlign w:val="bottom"/>
            <w:hideMark/>
          </w:tcPr>
          <w:p w14:paraId="4811D922"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bevacizumab+fluoropyrimidine-irinotecan or fluoropyrimidine-oxaliplatin based chemotherapy</w:t>
            </w:r>
          </w:p>
        </w:tc>
        <w:tc>
          <w:tcPr>
            <w:tcW w:w="2851" w:type="dxa"/>
            <w:tcBorders>
              <w:top w:val="nil"/>
              <w:left w:val="nil"/>
              <w:bottom w:val="nil"/>
              <w:right w:val="nil"/>
            </w:tcBorders>
            <w:shd w:val="clear" w:color="auto" w:fill="auto"/>
            <w:noWrap/>
            <w:vAlign w:val="bottom"/>
            <w:hideMark/>
          </w:tcPr>
          <w:p w14:paraId="6FC3CEE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Anti-angiogenesis+chenmotherapy</w:t>
            </w:r>
          </w:p>
        </w:tc>
      </w:tr>
      <w:tr w:rsidR="002C5022" w:rsidRPr="002C5022" w14:paraId="3C38734F" w14:textId="77777777" w:rsidTr="00E51AFD">
        <w:trPr>
          <w:trHeight w:val="291"/>
        </w:trPr>
        <w:tc>
          <w:tcPr>
            <w:tcW w:w="1018" w:type="dxa"/>
            <w:tcBorders>
              <w:top w:val="nil"/>
              <w:left w:val="nil"/>
              <w:bottom w:val="nil"/>
              <w:right w:val="nil"/>
            </w:tcBorders>
            <w:shd w:val="clear" w:color="auto" w:fill="auto"/>
            <w:vAlign w:val="center"/>
            <w:hideMark/>
          </w:tcPr>
          <w:p w14:paraId="117EBA2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09/06/2013</w:t>
            </w:r>
          </w:p>
        </w:tc>
        <w:tc>
          <w:tcPr>
            <w:tcW w:w="6317" w:type="dxa"/>
            <w:tcBorders>
              <w:top w:val="nil"/>
              <w:left w:val="nil"/>
              <w:bottom w:val="nil"/>
              <w:right w:val="nil"/>
            </w:tcBorders>
            <w:shd w:val="clear" w:color="auto" w:fill="auto"/>
            <w:noWrap/>
            <w:vAlign w:val="center"/>
            <w:hideMark/>
          </w:tcPr>
          <w:p w14:paraId="45B88C50"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metastatic adenocarcinoma of the pancreas</w:t>
            </w:r>
          </w:p>
        </w:tc>
        <w:tc>
          <w:tcPr>
            <w:tcW w:w="3772" w:type="dxa"/>
            <w:tcBorders>
              <w:top w:val="nil"/>
              <w:left w:val="nil"/>
              <w:bottom w:val="nil"/>
              <w:right w:val="nil"/>
            </w:tcBorders>
            <w:shd w:val="clear" w:color="auto" w:fill="auto"/>
            <w:noWrap/>
            <w:vAlign w:val="bottom"/>
            <w:hideMark/>
          </w:tcPr>
          <w:p w14:paraId="53EBB59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pertuzumab+gemcitabine</w:t>
            </w:r>
          </w:p>
        </w:tc>
        <w:tc>
          <w:tcPr>
            <w:tcW w:w="2851" w:type="dxa"/>
            <w:tcBorders>
              <w:top w:val="nil"/>
              <w:left w:val="nil"/>
              <w:bottom w:val="nil"/>
              <w:right w:val="nil"/>
            </w:tcBorders>
            <w:shd w:val="clear" w:color="auto" w:fill="auto"/>
            <w:noWrap/>
            <w:vAlign w:val="bottom"/>
            <w:hideMark/>
          </w:tcPr>
          <w:p w14:paraId="14A294F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792F7495" w14:textId="77777777" w:rsidTr="00E51AFD">
        <w:trPr>
          <w:trHeight w:val="291"/>
        </w:trPr>
        <w:tc>
          <w:tcPr>
            <w:tcW w:w="1018" w:type="dxa"/>
            <w:tcBorders>
              <w:top w:val="nil"/>
              <w:left w:val="nil"/>
              <w:bottom w:val="nil"/>
              <w:right w:val="nil"/>
            </w:tcBorders>
            <w:shd w:val="clear" w:color="auto" w:fill="auto"/>
            <w:vAlign w:val="center"/>
            <w:hideMark/>
          </w:tcPr>
          <w:p w14:paraId="5CAC7969"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01/10/2014</w:t>
            </w:r>
          </w:p>
        </w:tc>
        <w:tc>
          <w:tcPr>
            <w:tcW w:w="6317" w:type="dxa"/>
            <w:tcBorders>
              <w:top w:val="nil"/>
              <w:left w:val="nil"/>
              <w:bottom w:val="nil"/>
              <w:right w:val="nil"/>
            </w:tcBorders>
            <w:shd w:val="clear" w:color="auto" w:fill="auto"/>
            <w:noWrap/>
            <w:vAlign w:val="center"/>
            <w:hideMark/>
          </w:tcPr>
          <w:p w14:paraId="5FBA9792"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unresectable or metastatic melanoma with a BRAF V600E or V600K mutation</w:t>
            </w:r>
          </w:p>
        </w:tc>
        <w:tc>
          <w:tcPr>
            <w:tcW w:w="3772" w:type="dxa"/>
            <w:tcBorders>
              <w:top w:val="nil"/>
              <w:left w:val="nil"/>
              <w:bottom w:val="nil"/>
              <w:right w:val="nil"/>
            </w:tcBorders>
            <w:shd w:val="clear" w:color="auto" w:fill="auto"/>
            <w:noWrap/>
            <w:vAlign w:val="bottom"/>
            <w:hideMark/>
          </w:tcPr>
          <w:p w14:paraId="1455A17F"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trametinib+dabrafenib</w:t>
            </w:r>
          </w:p>
        </w:tc>
        <w:tc>
          <w:tcPr>
            <w:tcW w:w="2851" w:type="dxa"/>
            <w:tcBorders>
              <w:top w:val="nil"/>
              <w:left w:val="nil"/>
              <w:bottom w:val="nil"/>
              <w:right w:val="nil"/>
            </w:tcBorders>
            <w:shd w:val="clear" w:color="auto" w:fill="auto"/>
            <w:noWrap/>
            <w:vAlign w:val="bottom"/>
            <w:hideMark/>
          </w:tcPr>
          <w:p w14:paraId="3421365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5D85AAE3" w14:textId="77777777" w:rsidTr="00E51AFD">
        <w:trPr>
          <w:trHeight w:val="291"/>
        </w:trPr>
        <w:tc>
          <w:tcPr>
            <w:tcW w:w="1018" w:type="dxa"/>
            <w:tcBorders>
              <w:top w:val="nil"/>
              <w:left w:val="nil"/>
              <w:bottom w:val="nil"/>
              <w:right w:val="nil"/>
            </w:tcBorders>
            <w:shd w:val="clear" w:color="auto" w:fill="auto"/>
            <w:vAlign w:val="center"/>
            <w:hideMark/>
          </w:tcPr>
          <w:p w14:paraId="2C98806D"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07/23/2014</w:t>
            </w:r>
          </w:p>
        </w:tc>
        <w:tc>
          <w:tcPr>
            <w:tcW w:w="6317" w:type="dxa"/>
            <w:tcBorders>
              <w:top w:val="nil"/>
              <w:left w:val="nil"/>
              <w:bottom w:val="nil"/>
              <w:right w:val="nil"/>
            </w:tcBorders>
            <w:shd w:val="clear" w:color="auto" w:fill="auto"/>
            <w:noWrap/>
            <w:vAlign w:val="center"/>
            <w:hideMark/>
          </w:tcPr>
          <w:p w14:paraId="718398A8"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CLL</w:t>
            </w:r>
          </w:p>
        </w:tc>
        <w:tc>
          <w:tcPr>
            <w:tcW w:w="3772" w:type="dxa"/>
            <w:tcBorders>
              <w:top w:val="nil"/>
              <w:left w:val="nil"/>
              <w:bottom w:val="nil"/>
              <w:right w:val="nil"/>
            </w:tcBorders>
            <w:shd w:val="clear" w:color="auto" w:fill="auto"/>
            <w:noWrap/>
            <w:vAlign w:val="bottom"/>
            <w:hideMark/>
          </w:tcPr>
          <w:p w14:paraId="608454A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idelalisib+rituximab</w:t>
            </w:r>
          </w:p>
        </w:tc>
        <w:tc>
          <w:tcPr>
            <w:tcW w:w="2851" w:type="dxa"/>
            <w:tcBorders>
              <w:top w:val="nil"/>
              <w:left w:val="nil"/>
              <w:bottom w:val="nil"/>
              <w:right w:val="nil"/>
            </w:tcBorders>
            <w:shd w:val="clear" w:color="auto" w:fill="auto"/>
            <w:noWrap/>
            <w:vAlign w:val="bottom"/>
            <w:hideMark/>
          </w:tcPr>
          <w:p w14:paraId="4FB13D3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inhibitor+monoclonal antibody drug</w:t>
            </w:r>
          </w:p>
        </w:tc>
      </w:tr>
      <w:tr w:rsidR="002C5022" w:rsidRPr="002C5022" w14:paraId="03AB37A3" w14:textId="77777777" w:rsidTr="00E51AFD">
        <w:trPr>
          <w:trHeight w:val="291"/>
        </w:trPr>
        <w:tc>
          <w:tcPr>
            <w:tcW w:w="1018" w:type="dxa"/>
            <w:tcBorders>
              <w:top w:val="nil"/>
              <w:left w:val="nil"/>
              <w:bottom w:val="nil"/>
              <w:right w:val="nil"/>
            </w:tcBorders>
            <w:shd w:val="clear" w:color="auto" w:fill="auto"/>
            <w:vAlign w:val="center"/>
            <w:hideMark/>
          </w:tcPr>
          <w:p w14:paraId="6BF9ACBD"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08/14/2014</w:t>
            </w:r>
          </w:p>
        </w:tc>
        <w:tc>
          <w:tcPr>
            <w:tcW w:w="6317" w:type="dxa"/>
            <w:tcBorders>
              <w:top w:val="nil"/>
              <w:left w:val="nil"/>
              <w:bottom w:val="nil"/>
              <w:right w:val="nil"/>
            </w:tcBorders>
            <w:shd w:val="clear" w:color="auto" w:fill="auto"/>
            <w:noWrap/>
            <w:vAlign w:val="center"/>
            <w:hideMark/>
          </w:tcPr>
          <w:p w14:paraId="6464CC8A"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persistent, recurrent or metastatic cervical cancer</w:t>
            </w:r>
          </w:p>
        </w:tc>
        <w:tc>
          <w:tcPr>
            <w:tcW w:w="3772" w:type="dxa"/>
            <w:tcBorders>
              <w:top w:val="nil"/>
              <w:left w:val="nil"/>
              <w:bottom w:val="nil"/>
              <w:right w:val="nil"/>
            </w:tcBorders>
            <w:shd w:val="clear" w:color="auto" w:fill="auto"/>
            <w:noWrap/>
            <w:vAlign w:val="bottom"/>
            <w:hideMark/>
          </w:tcPr>
          <w:p w14:paraId="0A07A9F8"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bevacizumab+paclitaxel and cisplatin or paclitaxel and topotecan</w:t>
            </w:r>
          </w:p>
        </w:tc>
        <w:tc>
          <w:tcPr>
            <w:tcW w:w="2851" w:type="dxa"/>
            <w:tcBorders>
              <w:top w:val="nil"/>
              <w:left w:val="nil"/>
              <w:bottom w:val="nil"/>
              <w:right w:val="nil"/>
            </w:tcBorders>
            <w:shd w:val="clear" w:color="auto" w:fill="auto"/>
            <w:noWrap/>
            <w:vAlign w:val="bottom"/>
            <w:hideMark/>
          </w:tcPr>
          <w:p w14:paraId="63104EC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Anti-angiogenesis+chenmotherapy</w:t>
            </w:r>
          </w:p>
        </w:tc>
      </w:tr>
      <w:tr w:rsidR="002C5022" w:rsidRPr="002C5022" w14:paraId="5A9081AE" w14:textId="77777777" w:rsidTr="00E51AFD">
        <w:trPr>
          <w:trHeight w:val="291"/>
        </w:trPr>
        <w:tc>
          <w:tcPr>
            <w:tcW w:w="1018" w:type="dxa"/>
            <w:tcBorders>
              <w:top w:val="nil"/>
              <w:left w:val="nil"/>
              <w:bottom w:val="nil"/>
              <w:right w:val="nil"/>
            </w:tcBorders>
            <w:shd w:val="clear" w:color="auto" w:fill="auto"/>
            <w:vAlign w:val="center"/>
            <w:hideMark/>
          </w:tcPr>
          <w:p w14:paraId="5A8207AF"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11/05/2014</w:t>
            </w:r>
          </w:p>
        </w:tc>
        <w:tc>
          <w:tcPr>
            <w:tcW w:w="6317" w:type="dxa"/>
            <w:tcBorders>
              <w:top w:val="nil"/>
              <w:left w:val="nil"/>
              <w:bottom w:val="nil"/>
              <w:right w:val="nil"/>
            </w:tcBorders>
            <w:shd w:val="clear" w:color="auto" w:fill="auto"/>
            <w:noWrap/>
            <w:vAlign w:val="center"/>
            <w:hideMark/>
          </w:tcPr>
          <w:p w14:paraId="496DA981"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GEJ</w:t>
            </w:r>
          </w:p>
        </w:tc>
        <w:tc>
          <w:tcPr>
            <w:tcW w:w="3772" w:type="dxa"/>
            <w:tcBorders>
              <w:top w:val="nil"/>
              <w:left w:val="nil"/>
              <w:bottom w:val="nil"/>
              <w:right w:val="nil"/>
            </w:tcBorders>
            <w:shd w:val="clear" w:color="auto" w:fill="auto"/>
            <w:noWrap/>
            <w:vAlign w:val="bottom"/>
            <w:hideMark/>
          </w:tcPr>
          <w:p w14:paraId="0F0C870B"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ramucirumab+paclitaxel</w:t>
            </w:r>
          </w:p>
        </w:tc>
        <w:tc>
          <w:tcPr>
            <w:tcW w:w="2851" w:type="dxa"/>
            <w:tcBorders>
              <w:top w:val="nil"/>
              <w:left w:val="nil"/>
              <w:bottom w:val="nil"/>
              <w:right w:val="nil"/>
            </w:tcBorders>
            <w:shd w:val="clear" w:color="auto" w:fill="auto"/>
            <w:noWrap/>
            <w:vAlign w:val="bottom"/>
            <w:hideMark/>
          </w:tcPr>
          <w:p w14:paraId="6EA567E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Anti-angiogenesis+chenmotherapy</w:t>
            </w:r>
          </w:p>
        </w:tc>
      </w:tr>
      <w:tr w:rsidR="002C5022" w:rsidRPr="002C5022" w14:paraId="74C082F2" w14:textId="77777777" w:rsidTr="00E51AFD">
        <w:trPr>
          <w:trHeight w:val="291"/>
        </w:trPr>
        <w:tc>
          <w:tcPr>
            <w:tcW w:w="1018" w:type="dxa"/>
            <w:tcBorders>
              <w:top w:val="nil"/>
              <w:left w:val="nil"/>
              <w:bottom w:val="nil"/>
              <w:right w:val="nil"/>
            </w:tcBorders>
            <w:shd w:val="clear" w:color="auto" w:fill="auto"/>
            <w:vAlign w:val="center"/>
            <w:hideMark/>
          </w:tcPr>
          <w:p w14:paraId="74CBCBD8"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11/14/2014</w:t>
            </w:r>
          </w:p>
        </w:tc>
        <w:tc>
          <w:tcPr>
            <w:tcW w:w="6317" w:type="dxa"/>
            <w:tcBorders>
              <w:top w:val="nil"/>
              <w:left w:val="nil"/>
              <w:bottom w:val="nil"/>
              <w:right w:val="nil"/>
            </w:tcBorders>
            <w:shd w:val="clear" w:color="auto" w:fill="auto"/>
            <w:noWrap/>
            <w:vAlign w:val="center"/>
            <w:hideMark/>
          </w:tcPr>
          <w:p w14:paraId="4958234A" w14:textId="3B21D712" w:rsidR="002C5022" w:rsidRPr="002C5022" w:rsidRDefault="002C5022" w:rsidP="00E51AFD">
            <w:pPr>
              <w:jc w:val="both"/>
              <w:rPr>
                <w:rFonts w:eastAsia="Times New Roman"/>
                <w:color w:val="060607"/>
                <w:sz w:val="16"/>
                <w:szCs w:val="16"/>
                <w:lang w:val="en-HK" w:eastAsia="zh-CN"/>
              </w:rPr>
            </w:pPr>
            <w:r w:rsidRPr="002C5022">
              <w:rPr>
                <w:rFonts w:eastAsia="Times New Roman"/>
                <w:color w:val="060607"/>
                <w:sz w:val="16"/>
                <w:szCs w:val="16"/>
                <w:lang w:val="en-HK" w:eastAsia="zh-CN"/>
              </w:rPr>
              <w:t>Platinum-resistant, recurrent EOC/FFT/PPC</w:t>
            </w:r>
          </w:p>
        </w:tc>
        <w:tc>
          <w:tcPr>
            <w:tcW w:w="3772" w:type="dxa"/>
            <w:tcBorders>
              <w:top w:val="nil"/>
              <w:left w:val="nil"/>
              <w:bottom w:val="nil"/>
              <w:right w:val="nil"/>
            </w:tcBorders>
            <w:shd w:val="clear" w:color="auto" w:fill="auto"/>
            <w:noWrap/>
            <w:vAlign w:val="bottom"/>
            <w:hideMark/>
          </w:tcPr>
          <w:p w14:paraId="554EB79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bevacizumab+paclitaxel, pegylated liposomal doxorubicin, or topotecan</w:t>
            </w:r>
          </w:p>
        </w:tc>
        <w:tc>
          <w:tcPr>
            <w:tcW w:w="2851" w:type="dxa"/>
            <w:tcBorders>
              <w:top w:val="nil"/>
              <w:left w:val="nil"/>
              <w:bottom w:val="nil"/>
              <w:right w:val="nil"/>
            </w:tcBorders>
            <w:shd w:val="clear" w:color="auto" w:fill="auto"/>
            <w:noWrap/>
            <w:vAlign w:val="bottom"/>
            <w:hideMark/>
          </w:tcPr>
          <w:p w14:paraId="47E69A7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Anti-angiogenesis+chenmotherapy</w:t>
            </w:r>
          </w:p>
        </w:tc>
      </w:tr>
      <w:tr w:rsidR="002C5022" w:rsidRPr="002C5022" w14:paraId="45A13A48" w14:textId="77777777" w:rsidTr="00E51AFD">
        <w:trPr>
          <w:trHeight w:val="291"/>
        </w:trPr>
        <w:tc>
          <w:tcPr>
            <w:tcW w:w="1018" w:type="dxa"/>
            <w:tcBorders>
              <w:top w:val="nil"/>
              <w:left w:val="nil"/>
              <w:bottom w:val="nil"/>
              <w:right w:val="nil"/>
            </w:tcBorders>
            <w:shd w:val="clear" w:color="auto" w:fill="auto"/>
            <w:vAlign w:val="center"/>
            <w:hideMark/>
          </w:tcPr>
          <w:p w14:paraId="186C7534"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12/12/2014</w:t>
            </w:r>
          </w:p>
        </w:tc>
        <w:tc>
          <w:tcPr>
            <w:tcW w:w="6317" w:type="dxa"/>
            <w:tcBorders>
              <w:top w:val="nil"/>
              <w:left w:val="nil"/>
              <w:bottom w:val="nil"/>
              <w:right w:val="nil"/>
            </w:tcBorders>
            <w:shd w:val="clear" w:color="auto" w:fill="auto"/>
            <w:noWrap/>
            <w:vAlign w:val="center"/>
            <w:hideMark/>
          </w:tcPr>
          <w:p w14:paraId="13D905F7"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NSCLC with disease progression on or after platinum-based chemotherapy</w:t>
            </w:r>
          </w:p>
        </w:tc>
        <w:tc>
          <w:tcPr>
            <w:tcW w:w="3772" w:type="dxa"/>
            <w:tcBorders>
              <w:top w:val="nil"/>
              <w:left w:val="nil"/>
              <w:bottom w:val="nil"/>
              <w:right w:val="nil"/>
            </w:tcBorders>
            <w:shd w:val="clear" w:color="auto" w:fill="auto"/>
            <w:noWrap/>
            <w:vAlign w:val="bottom"/>
            <w:hideMark/>
          </w:tcPr>
          <w:p w14:paraId="07C67F7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ramucirumab+docetaxel</w:t>
            </w:r>
          </w:p>
        </w:tc>
        <w:tc>
          <w:tcPr>
            <w:tcW w:w="2851" w:type="dxa"/>
            <w:tcBorders>
              <w:top w:val="nil"/>
              <w:left w:val="nil"/>
              <w:bottom w:val="nil"/>
              <w:right w:val="nil"/>
            </w:tcBorders>
            <w:shd w:val="clear" w:color="auto" w:fill="auto"/>
            <w:noWrap/>
            <w:vAlign w:val="bottom"/>
            <w:hideMark/>
          </w:tcPr>
          <w:p w14:paraId="6513DA0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Anti-angiogenesis+chenmotherapy</w:t>
            </w:r>
          </w:p>
        </w:tc>
      </w:tr>
      <w:tr w:rsidR="002C5022" w:rsidRPr="002C5022" w14:paraId="0A9A8CA0" w14:textId="77777777" w:rsidTr="00E51AFD">
        <w:trPr>
          <w:trHeight w:val="204"/>
        </w:trPr>
        <w:tc>
          <w:tcPr>
            <w:tcW w:w="1018" w:type="dxa"/>
            <w:tcBorders>
              <w:top w:val="nil"/>
              <w:left w:val="nil"/>
              <w:bottom w:val="nil"/>
              <w:right w:val="nil"/>
            </w:tcBorders>
            <w:shd w:val="clear" w:color="auto" w:fill="auto"/>
            <w:vAlign w:val="center"/>
            <w:hideMark/>
          </w:tcPr>
          <w:p w14:paraId="5545A4E9"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03/10/2015</w:t>
            </w:r>
          </w:p>
        </w:tc>
        <w:tc>
          <w:tcPr>
            <w:tcW w:w="6317" w:type="dxa"/>
            <w:tcBorders>
              <w:top w:val="nil"/>
              <w:left w:val="nil"/>
              <w:bottom w:val="nil"/>
              <w:right w:val="nil"/>
            </w:tcBorders>
            <w:shd w:val="clear" w:color="auto" w:fill="auto"/>
            <w:noWrap/>
            <w:vAlign w:val="center"/>
            <w:hideMark/>
          </w:tcPr>
          <w:p w14:paraId="6BD466CB" w14:textId="77777777" w:rsidR="002C5022" w:rsidRPr="002C5022" w:rsidRDefault="002C5022" w:rsidP="00E51AFD">
            <w:pPr>
              <w:jc w:val="both"/>
              <w:rPr>
                <w:rFonts w:eastAsia="Times New Roman"/>
                <w:color w:val="060607"/>
                <w:sz w:val="16"/>
                <w:szCs w:val="16"/>
                <w:lang w:val="en-HK" w:eastAsia="zh-CN"/>
              </w:rPr>
            </w:pPr>
            <w:r w:rsidRPr="002C5022">
              <w:rPr>
                <w:rFonts w:eastAsia="Times New Roman"/>
                <w:color w:val="060607"/>
                <w:sz w:val="16"/>
                <w:szCs w:val="16"/>
                <w:lang w:val="en-HK" w:eastAsia="zh-CN"/>
              </w:rPr>
              <w:t>Pediatric HRNB pts with PR to prev first-line MMMT</w:t>
            </w:r>
          </w:p>
        </w:tc>
        <w:tc>
          <w:tcPr>
            <w:tcW w:w="3772" w:type="dxa"/>
            <w:tcBorders>
              <w:top w:val="nil"/>
              <w:left w:val="nil"/>
              <w:bottom w:val="nil"/>
              <w:right w:val="nil"/>
            </w:tcBorders>
            <w:shd w:val="clear" w:color="auto" w:fill="auto"/>
            <w:noWrap/>
            <w:vAlign w:val="bottom"/>
            <w:hideMark/>
          </w:tcPr>
          <w:p w14:paraId="4E78660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dinutuximab+GM-CSF</w:t>
            </w:r>
            <w:r w:rsidRPr="002C5022">
              <w:rPr>
                <w:rFonts w:ascii="宋体" w:eastAsia="宋体" w:hAnsi="宋体" w:hint="eastAsia"/>
                <w:sz w:val="16"/>
                <w:szCs w:val="16"/>
                <w:lang w:val="en-HK" w:eastAsia="zh-CN"/>
              </w:rPr>
              <w:t>，</w:t>
            </w:r>
            <w:r w:rsidRPr="002C5022">
              <w:rPr>
                <w:rFonts w:eastAsia="Times New Roman"/>
                <w:sz w:val="16"/>
                <w:szCs w:val="16"/>
                <w:lang w:val="en-HK" w:eastAsia="zh-CN"/>
              </w:rPr>
              <w:t>IL-2</w:t>
            </w:r>
            <w:r w:rsidRPr="002C5022">
              <w:rPr>
                <w:rFonts w:ascii="宋体" w:eastAsia="宋体" w:hAnsi="宋体" w:hint="eastAsia"/>
                <w:sz w:val="16"/>
                <w:szCs w:val="16"/>
                <w:lang w:val="en-HK" w:eastAsia="zh-CN"/>
              </w:rPr>
              <w:t>，</w:t>
            </w:r>
            <w:r w:rsidRPr="002C5022">
              <w:rPr>
                <w:rFonts w:eastAsia="Times New Roman"/>
                <w:sz w:val="16"/>
                <w:szCs w:val="16"/>
                <w:lang w:val="en-HK" w:eastAsia="zh-CN"/>
              </w:rPr>
              <w:t>RA</w:t>
            </w:r>
          </w:p>
        </w:tc>
        <w:tc>
          <w:tcPr>
            <w:tcW w:w="2851" w:type="dxa"/>
            <w:tcBorders>
              <w:top w:val="nil"/>
              <w:left w:val="nil"/>
              <w:bottom w:val="nil"/>
              <w:right w:val="nil"/>
            </w:tcBorders>
            <w:shd w:val="clear" w:color="auto" w:fill="auto"/>
            <w:noWrap/>
            <w:vAlign w:val="bottom"/>
            <w:hideMark/>
          </w:tcPr>
          <w:p w14:paraId="7BEE936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drug+cytokine</w:t>
            </w:r>
          </w:p>
        </w:tc>
      </w:tr>
      <w:tr w:rsidR="002C5022" w:rsidRPr="002C5022" w14:paraId="58BF3DF2" w14:textId="77777777" w:rsidTr="00E51AFD">
        <w:trPr>
          <w:trHeight w:val="204"/>
        </w:trPr>
        <w:tc>
          <w:tcPr>
            <w:tcW w:w="1018" w:type="dxa"/>
            <w:tcBorders>
              <w:top w:val="nil"/>
              <w:left w:val="nil"/>
              <w:bottom w:val="nil"/>
              <w:right w:val="nil"/>
            </w:tcBorders>
            <w:shd w:val="clear" w:color="auto" w:fill="auto"/>
            <w:vAlign w:val="center"/>
            <w:hideMark/>
          </w:tcPr>
          <w:p w14:paraId="6611894D"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04/24/2015</w:t>
            </w:r>
          </w:p>
        </w:tc>
        <w:tc>
          <w:tcPr>
            <w:tcW w:w="6317" w:type="dxa"/>
            <w:tcBorders>
              <w:top w:val="nil"/>
              <w:left w:val="nil"/>
              <w:bottom w:val="nil"/>
              <w:right w:val="nil"/>
            </w:tcBorders>
            <w:shd w:val="clear" w:color="auto" w:fill="auto"/>
            <w:noWrap/>
            <w:vAlign w:val="center"/>
            <w:hideMark/>
          </w:tcPr>
          <w:p w14:paraId="49CD2B22"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mCRC has progressed on a first line bevacizumab-, oxaliplatin- and fluoropyrimidine-containing regimen</w:t>
            </w:r>
          </w:p>
        </w:tc>
        <w:tc>
          <w:tcPr>
            <w:tcW w:w="3772" w:type="dxa"/>
            <w:tcBorders>
              <w:top w:val="nil"/>
              <w:left w:val="nil"/>
              <w:bottom w:val="nil"/>
              <w:right w:val="nil"/>
            </w:tcBorders>
            <w:shd w:val="clear" w:color="auto" w:fill="auto"/>
            <w:noWrap/>
            <w:vAlign w:val="bottom"/>
            <w:hideMark/>
          </w:tcPr>
          <w:p w14:paraId="5EFCA139"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ramucirumab+FOLFIRI</w:t>
            </w:r>
          </w:p>
        </w:tc>
        <w:tc>
          <w:tcPr>
            <w:tcW w:w="2851" w:type="dxa"/>
            <w:tcBorders>
              <w:top w:val="nil"/>
              <w:left w:val="nil"/>
              <w:bottom w:val="nil"/>
              <w:right w:val="nil"/>
            </w:tcBorders>
            <w:shd w:val="clear" w:color="auto" w:fill="auto"/>
            <w:noWrap/>
            <w:vAlign w:val="bottom"/>
            <w:hideMark/>
          </w:tcPr>
          <w:p w14:paraId="1CC1FAC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Anti-angiogenesis+chenmotherapy</w:t>
            </w:r>
          </w:p>
        </w:tc>
      </w:tr>
      <w:tr w:rsidR="002C5022" w:rsidRPr="002C5022" w14:paraId="4610C30B" w14:textId="77777777" w:rsidTr="00E51AFD">
        <w:trPr>
          <w:trHeight w:val="204"/>
        </w:trPr>
        <w:tc>
          <w:tcPr>
            <w:tcW w:w="1018" w:type="dxa"/>
            <w:tcBorders>
              <w:top w:val="nil"/>
              <w:left w:val="nil"/>
              <w:bottom w:val="nil"/>
              <w:right w:val="nil"/>
            </w:tcBorders>
            <w:shd w:val="clear" w:color="auto" w:fill="auto"/>
            <w:vAlign w:val="center"/>
            <w:hideMark/>
          </w:tcPr>
          <w:p w14:paraId="3BB864F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09/30/2015</w:t>
            </w:r>
          </w:p>
        </w:tc>
        <w:tc>
          <w:tcPr>
            <w:tcW w:w="6317" w:type="dxa"/>
            <w:tcBorders>
              <w:top w:val="nil"/>
              <w:left w:val="nil"/>
              <w:bottom w:val="nil"/>
              <w:right w:val="nil"/>
            </w:tcBorders>
            <w:shd w:val="clear" w:color="auto" w:fill="auto"/>
            <w:noWrap/>
            <w:vAlign w:val="center"/>
            <w:hideMark/>
          </w:tcPr>
          <w:p w14:paraId="2C0597AB"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BRAF V600 wild-type, unresectable or metastatic melanoma</w:t>
            </w:r>
          </w:p>
        </w:tc>
        <w:tc>
          <w:tcPr>
            <w:tcW w:w="3772" w:type="dxa"/>
            <w:tcBorders>
              <w:top w:val="nil"/>
              <w:left w:val="nil"/>
              <w:bottom w:val="nil"/>
              <w:right w:val="nil"/>
            </w:tcBorders>
            <w:shd w:val="clear" w:color="auto" w:fill="auto"/>
            <w:noWrap/>
            <w:vAlign w:val="bottom"/>
            <w:hideMark/>
          </w:tcPr>
          <w:p w14:paraId="6D984958"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nivolumab+ipilimumab</w:t>
            </w:r>
          </w:p>
        </w:tc>
        <w:tc>
          <w:tcPr>
            <w:tcW w:w="2851" w:type="dxa"/>
            <w:tcBorders>
              <w:top w:val="nil"/>
              <w:left w:val="nil"/>
              <w:bottom w:val="nil"/>
              <w:right w:val="nil"/>
            </w:tcBorders>
            <w:shd w:val="clear" w:color="auto" w:fill="auto"/>
            <w:noWrap/>
            <w:vAlign w:val="bottom"/>
            <w:hideMark/>
          </w:tcPr>
          <w:p w14:paraId="0642A71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108F9F6A" w14:textId="77777777" w:rsidTr="00E51AFD">
        <w:trPr>
          <w:trHeight w:val="204"/>
        </w:trPr>
        <w:tc>
          <w:tcPr>
            <w:tcW w:w="1018" w:type="dxa"/>
            <w:tcBorders>
              <w:top w:val="nil"/>
              <w:left w:val="nil"/>
              <w:bottom w:val="nil"/>
              <w:right w:val="nil"/>
            </w:tcBorders>
            <w:shd w:val="clear" w:color="auto" w:fill="auto"/>
            <w:vAlign w:val="center"/>
            <w:hideMark/>
          </w:tcPr>
          <w:p w14:paraId="0C1764D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10/01/2015</w:t>
            </w:r>
          </w:p>
        </w:tc>
        <w:tc>
          <w:tcPr>
            <w:tcW w:w="6317" w:type="dxa"/>
            <w:tcBorders>
              <w:top w:val="nil"/>
              <w:left w:val="nil"/>
              <w:bottom w:val="nil"/>
              <w:right w:val="nil"/>
            </w:tcBorders>
            <w:shd w:val="clear" w:color="auto" w:fill="auto"/>
            <w:vAlign w:val="center"/>
            <w:hideMark/>
          </w:tcPr>
          <w:p w14:paraId="7884A93A"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BRAFWT metastatic melanoma</w:t>
            </w:r>
          </w:p>
        </w:tc>
        <w:tc>
          <w:tcPr>
            <w:tcW w:w="3772" w:type="dxa"/>
            <w:tcBorders>
              <w:top w:val="nil"/>
              <w:left w:val="nil"/>
              <w:bottom w:val="nil"/>
              <w:right w:val="nil"/>
            </w:tcBorders>
            <w:shd w:val="clear" w:color="auto" w:fill="auto"/>
            <w:vAlign w:val="center"/>
            <w:hideMark/>
          </w:tcPr>
          <w:p w14:paraId="145D1274"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Nivolumab + Ipilimumab</w:t>
            </w:r>
          </w:p>
        </w:tc>
        <w:tc>
          <w:tcPr>
            <w:tcW w:w="2851" w:type="dxa"/>
            <w:tcBorders>
              <w:top w:val="nil"/>
              <w:left w:val="nil"/>
              <w:bottom w:val="nil"/>
              <w:right w:val="nil"/>
            </w:tcBorders>
            <w:shd w:val="clear" w:color="auto" w:fill="auto"/>
            <w:noWrap/>
            <w:vAlign w:val="bottom"/>
            <w:hideMark/>
          </w:tcPr>
          <w:p w14:paraId="5199B3B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24532812" w14:textId="77777777" w:rsidTr="00E51AFD">
        <w:trPr>
          <w:trHeight w:val="204"/>
        </w:trPr>
        <w:tc>
          <w:tcPr>
            <w:tcW w:w="1018" w:type="dxa"/>
            <w:tcBorders>
              <w:top w:val="nil"/>
              <w:left w:val="nil"/>
              <w:bottom w:val="nil"/>
              <w:right w:val="nil"/>
            </w:tcBorders>
            <w:shd w:val="clear" w:color="auto" w:fill="auto"/>
            <w:vAlign w:val="center"/>
            <w:hideMark/>
          </w:tcPr>
          <w:p w14:paraId="70E360A0"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11/10/2015</w:t>
            </w:r>
          </w:p>
        </w:tc>
        <w:tc>
          <w:tcPr>
            <w:tcW w:w="6317" w:type="dxa"/>
            <w:tcBorders>
              <w:top w:val="nil"/>
              <w:left w:val="nil"/>
              <w:bottom w:val="nil"/>
              <w:right w:val="nil"/>
            </w:tcBorders>
            <w:shd w:val="clear" w:color="auto" w:fill="auto"/>
            <w:noWrap/>
            <w:vAlign w:val="center"/>
            <w:hideMark/>
          </w:tcPr>
          <w:p w14:paraId="5DFEC007"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unresectable or metastatic melanoma with BRAF V600E or V600K mutations</w:t>
            </w:r>
          </w:p>
        </w:tc>
        <w:tc>
          <w:tcPr>
            <w:tcW w:w="3772" w:type="dxa"/>
            <w:tcBorders>
              <w:top w:val="nil"/>
              <w:left w:val="nil"/>
              <w:bottom w:val="nil"/>
              <w:right w:val="nil"/>
            </w:tcBorders>
            <w:shd w:val="clear" w:color="auto" w:fill="auto"/>
            <w:noWrap/>
            <w:vAlign w:val="bottom"/>
            <w:hideMark/>
          </w:tcPr>
          <w:p w14:paraId="1119A796"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cobimetinib+vemurafenib</w:t>
            </w:r>
          </w:p>
        </w:tc>
        <w:tc>
          <w:tcPr>
            <w:tcW w:w="2851" w:type="dxa"/>
            <w:tcBorders>
              <w:top w:val="nil"/>
              <w:left w:val="nil"/>
              <w:bottom w:val="nil"/>
              <w:right w:val="nil"/>
            </w:tcBorders>
            <w:shd w:val="clear" w:color="auto" w:fill="auto"/>
            <w:noWrap/>
            <w:vAlign w:val="bottom"/>
            <w:hideMark/>
          </w:tcPr>
          <w:p w14:paraId="203ECD35"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3F639FF5" w14:textId="77777777" w:rsidTr="00E51AFD">
        <w:trPr>
          <w:trHeight w:val="204"/>
        </w:trPr>
        <w:tc>
          <w:tcPr>
            <w:tcW w:w="1018" w:type="dxa"/>
            <w:tcBorders>
              <w:top w:val="nil"/>
              <w:left w:val="nil"/>
              <w:bottom w:val="nil"/>
              <w:right w:val="nil"/>
            </w:tcBorders>
            <w:shd w:val="clear" w:color="auto" w:fill="auto"/>
            <w:vAlign w:val="center"/>
            <w:hideMark/>
          </w:tcPr>
          <w:p w14:paraId="25350EC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11/20/2015</w:t>
            </w:r>
          </w:p>
        </w:tc>
        <w:tc>
          <w:tcPr>
            <w:tcW w:w="6317" w:type="dxa"/>
            <w:tcBorders>
              <w:top w:val="nil"/>
              <w:left w:val="nil"/>
              <w:bottom w:val="nil"/>
              <w:right w:val="nil"/>
            </w:tcBorders>
            <w:shd w:val="clear" w:color="auto" w:fill="auto"/>
            <w:noWrap/>
            <w:vAlign w:val="center"/>
            <w:hideMark/>
          </w:tcPr>
          <w:p w14:paraId="7F84089B"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unresectable or metastatic melanoma with BRAF V600E or V600K mutations</w:t>
            </w:r>
          </w:p>
        </w:tc>
        <w:tc>
          <w:tcPr>
            <w:tcW w:w="3772" w:type="dxa"/>
            <w:tcBorders>
              <w:top w:val="nil"/>
              <w:left w:val="nil"/>
              <w:bottom w:val="nil"/>
              <w:right w:val="nil"/>
            </w:tcBorders>
            <w:shd w:val="clear" w:color="auto" w:fill="auto"/>
            <w:noWrap/>
            <w:vAlign w:val="bottom"/>
            <w:hideMark/>
          </w:tcPr>
          <w:p w14:paraId="074B243D"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trametinib+dabrafenib</w:t>
            </w:r>
          </w:p>
        </w:tc>
        <w:tc>
          <w:tcPr>
            <w:tcW w:w="2851" w:type="dxa"/>
            <w:tcBorders>
              <w:top w:val="nil"/>
              <w:left w:val="nil"/>
              <w:bottom w:val="nil"/>
              <w:right w:val="nil"/>
            </w:tcBorders>
            <w:shd w:val="clear" w:color="auto" w:fill="auto"/>
            <w:noWrap/>
            <w:vAlign w:val="bottom"/>
            <w:hideMark/>
          </w:tcPr>
          <w:p w14:paraId="68B9EA6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13D278B2" w14:textId="77777777" w:rsidTr="00E51AFD">
        <w:trPr>
          <w:trHeight w:val="204"/>
        </w:trPr>
        <w:tc>
          <w:tcPr>
            <w:tcW w:w="1018" w:type="dxa"/>
            <w:tcBorders>
              <w:top w:val="nil"/>
              <w:left w:val="nil"/>
              <w:bottom w:val="nil"/>
              <w:right w:val="nil"/>
            </w:tcBorders>
            <w:shd w:val="clear" w:color="auto" w:fill="auto"/>
            <w:vAlign w:val="center"/>
            <w:hideMark/>
          </w:tcPr>
          <w:p w14:paraId="6BFC489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11/24/2015</w:t>
            </w:r>
          </w:p>
        </w:tc>
        <w:tc>
          <w:tcPr>
            <w:tcW w:w="6317" w:type="dxa"/>
            <w:tcBorders>
              <w:top w:val="nil"/>
              <w:left w:val="nil"/>
              <w:bottom w:val="nil"/>
              <w:right w:val="nil"/>
            </w:tcBorders>
            <w:shd w:val="clear" w:color="auto" w:fill="auto"/>
            <w:noWrap/>
            <w:vAlign w:val="center"/>
            <w:hideMark/>
          </w:tcPr>
          <w:p w14:paraId="487A2A8A"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NSCLC</w:t>
            </w:r>
          </w:p>
        </w:tc>
        <w:tc>
          <w:tcPr>
            <w:tcW w:w="3772" w:type="dxa"/>
            <w:tcBorders>
              <w:top w:val="nil"/>
              <w:left w:val="nil"/>
              <w:bottom w:val="nil"/>
              <w:right w:val="nil"/>
            </w:tcBorders>
            <w:shd w:val="clear" w:color="auto" w:fill="auto"/>
            <w:vAlign w:val="center"/>
            <w:hideMark/>
          </w:tcPr>
          <w:p w14:paraId="11BECDDF"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necitumumab+gemcitabine and cisplatin</w:t>
            </w:r>
          </w:p>
        </w:tc>
        <w:tc>
          <w:tcPr>
            <w:tcW w:w="2851" w:type="dxa"/>
            <w:tcBorders>
              <w:top w:val="nil"/>
              <w:left w:val="nil"/>
              <w:bottom w:val="nil"/>
              <w:right w:val="nil"/>
            </w:tcBorders>
            <w:shd w:val="clear" w:color="auto" w:fill="auto"/>
            <w:noWrap/>
            <w:vAlign w:val="bottom"/>
            <w:hideMark/>
          </w:tcPr>
          <w:p w14:paraId="5FECA06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4B99B5D5" w14:textId="77777777" w:rsidTr="00E51AFD">
        <w:trPr>
          <w:trHeight w:val="204"/>
        </w:trPr>
        <w:tc>
          <w:tcPr>
            <w:tcW w:w="1018" w:type="dxa"/>
            <w:tcBorders>
              <w:top w:val="nil"/>
              <w:left w:val="nil"/>
              <w:bottom w:val="nil"/>
              <w:right w:val="nil"/>
            </w:tcBorders>
            <w:shd w:val="clear" w:color="auto" w:fill="auto"/>
            <w:vAlign w:val="center"/>
            <w:hideMark/>
          </w:tcPr>
          <w:p w14:paraId="0C6D000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01/23/2016</w:t>
            </w:r>
          </w:p>
        </w:tc>
        <w:tc>
          <w:tcPr>
            <w:tcW w:w="6317" w:type="dxa"/>
            <w:tcBorders>
              <w:top w:val="nil"/>
              <w:left w:val="nil"/>
              <w:bottom w:val="nil"/>
              <w:right w:val="nil"/>
            </w:tcBorders>
            <w:shd w:val="clear" w:color="auto" w:fill="auto"/>
            <w:vAlign w:val="center"/>
            <w:hideMark/>
          </w:tcPr>
          <w:p w14:paraId="4CA6212C"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Metastatic melanoma across BRAF status</w:t>
            </w:r>
          </w:p>
        </w:tc>
        <w:tc>
          <w:tcPr>
            <w:tcW w:w="3772" w:type="dxa"/>
            <w:tcBorders>
              <w:top w:val="nil"/>
              <w:left w:val="nil"/>
              <w:bottom w:val="nil"/>
              <w:right w:val="nil"/>
            </w:tcBorders>
            <w:shd w:val="clear" w:color="auto" w:fill="auto"/>
            <w:vAlign w:val="center"/>
            <w:hideMark/>
          </w:tcPr>
          <w:p w14:paraId="1C5363A9"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Nivolumab + Ipilimumab</w:t>
            </w:r>
          </w:p>
        </w:tc>
        <w:tc>
          <w:tcPr>
            <w:tcW w:w="2851" w:type="dxa"/>
            <w:tcBorders>
              <w:top w:val="nil"/>
              <w:left w:val="nil"/>
              <w:bottom w:val="nil"/>
              <w:right w:val="nil"/>
            </w:tcBorders>
            <w:shd w:val="clear" w:color="auto" w:fill="auto"/>
            <w:noWrap/>
            <w:vAlign w:val="bottom"/>
            <w:hideMark/>
          </w:tcPr>
          <w:p w14:paraId="4623199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705BD32C" w14:textId="77777777" w:rsidTr="00E51AFD">
        <w:trPr>
          <w:trHeight w:val="204"/>
        </w:trPr>
        <w:tc>
          <w:tcPr>
            <w:tcW w:w="1018" w:type="dxa"/>
            <w:tcBorders>
              <w:top w:val="nil"/>
              <w:left w:val="nil"/>
              <w:bottom w:val="nil"/>
              <w:right w:val="nil"/>
            </w:tcBorders>
            <w:shd w:val="clear" w:color="auto" w:fill="auto"/>
            <w:vAlign w:val="center"/>
            <w:hideMark/>
          </w:tcPr>
          <w:p w14:paraId="62E18F82"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02/19/2016</w:t>
            </w:r>
          </w:p>
        </w:tc>
        <w:tc>
          <w:tcPr>
            <w:tcW w:w="6317" w:type="dxa"/>
            <w:tcBorders>
              <w:top w:val="nil"/>
              <w:left w:val="nil"/>
              <w:bottom w:val="nil"/>
              <w:right w:val="nil"/>
            </w:tcBorders>
            <w:shd w:val="clear" w:color="auto" w:fill="auto"/>
            <w:noWrap/>
            <w:vAlign w:val="center"/>
            <w:hideMark/>
          </w:tcPr>
          <w:p w14:paraId="024B53FC" w14:textId="77777777" w:rsidR="002C5022" w:rsidRPr="002C5022" w:rsidRDefault="002C5022" w:rsidP="00E51AFD">
            <w:pPr>
              <w:jc w:val="both"/>
              <w:rPr>
                <w:rFonts w:eastAsia="Times New Roman"/>
                <w:color w:val="060607"/>
                <w:sz w:val="16"/>
                <w:szCs w:val="16"/>
                <w:lang w:val="en-HK" w:eastAsia="zh-CN"/>
              </w:rPr>
            </w:pPr>
            <w:r w:rsidRPr="002C5022">
              <w:rPr>
                <w:rFonts w:eastAsia="Times New Roman"/>
                <w:color w:val="060607"/>
                <w:sz w:val="16"/>
                <w:szCs w:val="16"/>
                <w:lang w:val="en-HK" w:eastAsia="zh-CN"/>
              </w:rPr>
              <w:t>HR+/HER2- ABC/MBC post-endocrine therapy progression</w:t>
            </w:r>
          </w:p>
        </w:tc>
        <w:tc>
          <w:tcPr>
            <w:tcW w:w="3772" w:type="dxa"/>
            <w:tcBorders>
              <w:top w:val="nil"/>
              <w:left w:val="nil"/>
              <w:bottom w:val="nil"/>
              <w:right w:val="nil"/>
            </w:tcBorders>
            <w:shd w:val="clear" w:color="auto" w:fill="auto"/>
            <w:noWrap/>
            <w:vAlign w:val="bottom"/>
            <w:hideMark/>
          </w:tcPr>
          <w:p w14:paraId="1EE1914A"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palbociclib+fulvestrant</w:t>
            </w:r>
          </w:p>
        </w:tc>
        <w:tc>
          <w:tcPr>
            <w:tcW w:w="2851" w:type="dxa"/>
            <w:tcBorders>
              <w:top w:val="nil"/>
              <w:left w:val="nil"/>
              <w:bottom w:val="nil"/>
              <w:right w:val="nil"/>
            </w:tcBorders>
            <w:shd w:val="clear" w:color="auto" w:fill="auto"/>
            <w:noWrap/>
            <w:vAlign w:val="bottom"/>
            <w:hideMark/>
          </w:tcPr>
          <w:p w14:paraId="4E8F73D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78BBB586" w14:textId="77777777" w:rsidTr="00E51AFD">
        <w:trPr>
          <w:trHeight w:val="204"/>
        </w:trPr>
        <w:tc>
          <w:tcPr>
            <w:tcW w:w="1018" w:type="dxa"/>
            <w:tcBorders>
              <w:top w:val="nil"/>
              <w:left w:val="nil"/>
              <w:bottom w:val="nil"/>
              <w:right w:val="nil"/>
            </w:tcBorders>
            <w:shd w:val="clear" w:color="auto" w:fill="auto"/>
            <w:vAlign w:val="center"/>
            <w:hideMark/>
          </w:tcPr>
          <w:p w14:paraId="0DC1378C"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02/26/2016</w:t>
            </w:r>
          </w:p>
        </w:tc>
        <w:tc>
          <w:tcPr>
            <w:tcW w:w="6317" w:type="dxa"/>
            <w:tcBorders>
              <w:top w:val="nil"/>
              <w:left w:val="nil"/>
              <w:bottom w:val="nil"/>
              <w:right w:val="nil"/>
            </w:tcBorders>
            <w:shd w:val="clear" w:color="auto" w:fill="auto"/>
            <w:noWrap/>
            <w:vAlign w:val="center"/>
            <w:hideMark/>
          </w:tcPr>
          <w:p w14:paraId="487CB360"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FL</w:t>
            </w:r>
          </w:p>
        </w:tc>
        <w:tc>
          <w:tcPr>
            <w:tcW w:w="3772" w:type="dxa"/>
            <w:tcBorders>
              <w:top w:val="nil"/>
              <w:left w:val="nil"/>
              <w:bottom w:val="nil"/>
              <w:right w:val="nil"/>
            </w:tcBorders>
            <w:shd w:val="clear" w:color="auto" w:fill="auto"/>
            <w:noWrap/>
            <w:vAlign w:val="bottom"/>
            <w:hideMark/>
          </w:tcPr>
          <w:p w14:paraId="72FA4895"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obinutuzumab+bendamustine</w:t>
            </w:r>
          </w:p>
        </w:tc>
        <w:tc>
          <w:tcPr>
            <w:tcW w:w="2851" w:type="dxa"/>
            <w:tcBorders>
              <w:top w:val="nil"/>
              <w:left w:val="nil"/>
              <w:bottom w:val="nil"/>
              <w:right w:val="nil"/>
            </w:tcBorders>
            <w:shd w:val="clear" w:color="auto" w:fill="auto"/>
            <w:noWrap/>
            <w:vAlign w:val="bottom"/>
            <w:hideMark/>
          </w:tcPr>
          <w:p w14:paraId="06BF6CC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0BD6FFCF" w14:textId="77777777" w:rsidTr="00E51AFD">
        <w:trPr>
          <w:trHeight w:val="204"/>
        </w:trPr>
        <w:tc>
          <w:tcPr>
            <w:tcW w:w="1018" w:type="dxa"/>
            <w:tcBorders>
              <w:top w:val="nil"/>
              <w:left w:val="nil"/>
              <w:bottom w:val="nil"/>
              <w:right w:val="nil"/>
            </w:tcBorders>
            <w:shd w:val="clear" w:color="auto" w:fill="auto"/>
            <w:vAlign w:val="center"/>
            <w:hideMark/>
          </w:tcPr>
          <w:p w14:paraId="542FC339"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05/13/2016</w:t>
            </w:r>
          </w:p>
        </w:tc>
        <w:tc>
          <w:tcPr>
            <w:tcW w:w="6317" w:type="dxa"/>
            <w:tcBorders>
              <w:top w:val="nil"/>
              <w:left w:val="nil"/>
              <w:bottom w:val="nil"/>
              <w:right w:val="nil"/>
            </w:tcBorders>
            <w:shd w:val="clear" w:color="auto" w:fill="auto"/>
            <w:noWrap/>
            <w:vAlign w:val="center"/>
            <w:hideMark/>
          </w:tcPr>
          <w:p w14:paraId="47615120"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RCC</w:t>
            </w:r>
          </w:p>
        </w:tc>
        <w:tc>
          <w:tcPr>
            <w:tcW w:w="3772" w:type="dxa"/>
            <w:tcBorders>
              <w:top w:val="nil"/>
              <w:left w:val="nil"/>
              <w:bottom w:val="nil"/>
              <w:right w:val="nil"/>
            </w:tcBorders>
            <w:shd w:val="clear" w:color="auto" w:fill="auto"/>
            <w:noWrap/>
            <w:vAlign w:val="bottom"/>
            <w:hideMark/>
          </w:tcPr>
          <w:p w14:paraId="7B721648"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lenvatinib+everolimus</w:t>
            </w:r>
          </w:p>
        </w:tc>
        <w:tc>
          <w:tcPr>
            <w:tcW w:w="2851" w:type="dxa"/>
            <w:tcBorders>
              <w:top w:val="nil"/>
              <w:left w:val="nil"/>
              <w:bottom w:val="nil"/>
              <w:right w:val="nil"/>
            </w:tcBorders>
            <w:shd w:val="clear" w:color="auto" w:fill="auto"/>
            <w:noWrap/>
            <w:vAlign w:val="bottom"/>
            <w:hideMark/>
          </w:tcPr>
          <w:p w14:paraId="62CDCA4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35042027" w14:textId="77777777" w:rsidTr="00E51AFD">
        <w:trPr>
          <w:trHeight w:val="204"/>
        </w:trPr>
        <w:tc>
          <w:tcPr>
            <w:tcW w:w="1018" w:type="dxa"/>
            <w:tcBorders>
              <w:top w:val="nil"/>
              <w:left w:val="nil"/>
              <w:bottom w:val="nil"/>
              <w:right w:val="nil"/>
            </w:tcBorders>
            <w:shd w:val="clear" w:color="auto" w:fill="auto"/>
            <w:vAlign w:val="center"/>
            <w:hideMark/>
          </w:tcPr>
          <w:p w14:paraId="52206A2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05/10/2017</w:t>
            </w:r>
          </w:p>
        </w:tc>
        <w:tc>
          <w:tcPr>
            <w:tcW w:w="6317" w:type="dxa"/>
            <w:tcBorders>
              <w:top w:val="nil"/>
              <w:left w:val="nil"/>
              <w:bottom w:val="nil"/>
              <w:right w:val="nil"/>
            </w:tcBorders>
            <w:shd w:val="clear" w:color="auto" w:fill="auto"/>
            <w:vAlign w:val="center"/>
            <w:hideMark/>
          </w:tcPr>
          <w:p w14:paraId="4094948F"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metastatic NSCLC</w:t>
            </w:r>
          </w:p>
        </w:tc>
        <w:tc>
          <w:tcPr>
            <w:tcW w:w="3772" w:type="dxa"/>
            <w:tcBorders>
              <w:top w:val="nil"/>
              <w:left w:val="nil"/>
              <w:bottom w:val="nil"/>
              <w:right w:val="nil"/>
            </w:tcBorders>
            <w:shd w:val="clear" w:color="auto" w:fill="auto"/>
            <w:vAlign w:val="center"/>
            <w:hideMark/>
          </w:tcPr>
          <w:p w14:paraId="1F14159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Pemetrexed + Carboplatin</w:t>
            </w:r>
          </w:p>
        </w:tc>
        <w:tc>
          <w:tcPr>
            <w:tcW w:w="2851" w:type="dxa"/>
            <w:tcBorders>
              <w:top w:val="nil"/>
              <w:left w:val="nil"/>
              <w:bottom w:val="nil"/>
              <w:right w:val="nil"/>
            </w:tcBorders>
            <w:shd w:val="clear" w:color="auto" w:fill="auto"/>
            <w:noWrap/>
            <w:vAlign w:val="bottom"/>
            <w:hideMark/>
          </w:tcPr>
          <w:p w14:paraId="608DA51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inhibitor+chemotherapy</w:t>
            </w:r>
          </w:p>
        </w:tc>
      </w:tr>
      <w:tr w:rsidR="002C5022" w:rsidRPr="002C5022" w14:paraId="1ACACBB0" w14:textId="77777777" w:rsidTr="00E51AFD">
        <w:trPr>
          <w:trHeight w:val="204"/>
        </w:trPr>
        <w:tc>
          <w:tcPr>
            <w:tcW w:w="1018" w:type="dxa"/>
            <w:tcBorders>
              <w:top w:val="nil"/>
              <w:left w:val="nil"/>
              <w:bottom w:val="nil"/>
              <w:right w:val="nil"/>
            </w:tcBorders>
            <w:shd w:val="clear" w:color="auto" w:fill="auto"/>
            <w:vAlign w:val="center"/>
            <w:hideMark/>
          </w:tcPr>
          <w:p w14:paraId="7A52511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06/22/2017</w:t>
            </w:r>
          </w:p>
        </w:tc>
        <w:tc>
          <w:tcPr>
            <w:tcW w:w="6317" w:type="dxa"/>
            <w:tcBorders>
              <w:top w:val="nil"/>
              <w:left w:val="nil"/>
              <w:bottom w:val="nil"/>
              <w:right w:val="nil"/>
            </w:tcBorders>
            <w:shd w:val="clear" w:color="auto" w:fill="auto"/>
            <w:noWrap/>
            <w:vAlign w:val="center"/>
            <w:hideMark/>
          </w:tcPr>
          <w:p w14:paraId="42FE69F3"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follicular lymphoma, diffuse large B-cell lymphoma, and chronic lymphocytic leukemia</w:t>
            </w:r>
          </w:p>
        </w:tc>
        <w:tc>
          <w:tcPr>
            <w:tcW w:w="3772" w:type="dxa"/>
            <w:tcBorders>
              <w:top w:val="nil"/>
              <w:left w:val="nil"/>
              <w:bottom w:val="nil"/>
              <w:right w:val="nil"/>
            </w:tcBorders>
            <w:shd w:val="clear" w:color="auto" w:fill="auto"/>
            <w:noWrap/>
            <w:vAlign w:val="bottom"/>
            <w:hideMark/>
          </w:tcPr>
          <w:p w14:paraId="353373E8"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dabrafenib+trametinib</w:t>
            </w:r>
          </w:p>
        </w:tc>
        <w:tc>
          <w:tcPr>
            <w:tcW w:w="2851" w:type="dxa"/>
            <w:tcBorders>
              <w:top w:val="nil"/>
              <w:left w:val="nil"/>
              <w:bottom w:val="nil"/>
              <w:right w:val="nil"/>
            </w:tcBorders>
            <w:shd w:val="clear" w:color="auto" w:fill="auto"/>
            <w:noWrap/>
            <w:vAlign w:val="bottom"/>
            <w:hideMark/>
          </w:tcPr>
          <w:p w14:paraId="11F262F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inibitor+small molecular inhibitor</w:t>
            </w:r>
          </w:p>
        </w:tc>
      </w:tr>
      <w:tr w:rsidR="002C5022" w:rsidRPr="002C5022" w14:paraId="18B29D8F" w14:textId="77777777" w:rsidTr="00E51AFD">
        <w:trPr>
          <w:trHeight w:val="204"/>
        </w:trPr>
        <w:tc>
          <w:tcPr>
            <w:tcW w:w="1018" w:type="dxa"/>
            <w:tcBorders>
              <w:top w:val="nil"/>
              <w:left w:val="nil"/>
              <w:bottom w:val="nil"/>
              <w:right w:val="nil"/>
            </w:tcBorders>
            <w:shd w:val="clear" w:color="auto" w:fill="auto"/>
            <w:vAlign w:val="center"/>
            <w:hideMark/>
          </w:tcPr>
          <w:p w14:paraId="70F4D662"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09/28/2017</w:t>
            </w:r>
          </w:p>
        </w:tc>
        <w:tc>
          <w:tcPr>
            <w:tcW w:w="6317" w:type="dxa"/>
            <w:tcBorders>
              <w:top w:val="nil"/>
              <w:left w:val="nil"/>
              <w:bottom w:val="nil"/>
              <w:right w:val="nil"/>
            </w:tcBorders>
            <w:shd w:val="clear" w:color="auto" w:fill="auto"/>
            <w:noWrap/>
            <w:vAlign w:val="center"/>
            <w:hideMark/>
          </w:tcPr>
          <w:p w14:paraId="7BD15752"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HER2-negative advanced or metastatic breast cancer with disease progression following endocrine therapy</w:t>
            </w:r>
          </w:p>
        </w:tc>
        <w:tc>
          <w:tcPr>
            <w:tcW w:w="3772" w:type="dxa"/>
            <w:tcBorders>
              <w:top w:val="nil"/>
              <w:left w:val="nil"/>
              <w:bottom w:val="nil"/>
              <w:right w:val="nil"/>
            </w:tcBorders>
            <w:shd w:val="clear" w:color="auto" w:fill="auto"/>
            <w:noWrap/>
            <w:vAlign w:val="bottom"/>
            <w:hideMark/>
          </w:tcPr>
          <w:p w14:paraId="290FF062"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abemaciclib+fulvestrant</w:t>
            </w:r>
          </w:p>
        </w:tc>
        <w:tc>
          <w:tcPr>
            <w:tcW w:w="2851" w:type="dxa"/>
            <w:tcBorders>
              <w:top w:val="nil"/>
              <w:left w:val="nil"/>
              <w:bottom w:val="nil"/>
              <w:right w:val="nil"/>
            </w:tcBorders>
            <w:shd w:val="clear" w:color="auto" w:fill="auto"/>
            <w:noWrap/>
            <w:vAlign w:val="bottom"/>
            <w:hideMark/>
          </w:tcPr>
          <w:p w14:paraId="6385A25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inibitor+small molecular inhibitor</w:t>
            </w:r>
          </w:p>
        </w:tc>
      </w:tr>
      <w:tr w:rsidR="002C5022" w:rsidRPr="002C5022" w14:paraId="594EA494" w14:textId="77777777" w:rsidTr="00E51AFD">
        <w:trPr>
          <w:trHeight w:val="204"/>
        </w:trPr>
        <w:tc>
          <w:tcPr>
            <w:tcW w:w="1018" w:type="dxa"/>
            <w:tcBorders>
              <w:top w:val="nil"/>
              <w:left w:val="nil"/>
              <w:bottom w:val="nil"/>
              <w:right w:val="nil"/>
            </w:tcBorders>
            <w:shd w:val="clear" w:color="auto" w:fill="auto"/>
            <w:vAlign w:val="center"/>
            <w:hideMark/>
          </w:tcPr>
          <w:p w14:paraId="17532D46"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11/16/2017</w:t>
            </w:r>
          </w:p>
        </w:tc>
        <w:tc>
          <w:tcPr>
            <w:tcW w:w="6317" w:type="dxa"/>
            <w:tcBorders>
              <w:top w:val="nil"/>
              <w:left w:val="nil"/>
              <w:bottom w:val="nil"/>
              <w:right w:val="nil"/>
            </w:tcBorders>
            <w:shd w:val="clear" w:color="auto" w:fill="auto"/>
            <w:vAlign w:val="center"/>
            <w:hideMark/>
          </w:tcPr>
          <w:p w14:paraId="6CFCA45A"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FL</w:t>
            </w:r>
          </w:p>
        </w:tc>
        <w:tc>
          <w:tcPr>
            <w:tcW w:w="3772" w:type="dxa"/>
            <w:tcBorders>
              <w:top w:val="nil"/>
              <w:left w:val="nil"/>
              <w:bottom w:val="nil"/>
              <w:right w:val="nil"/>
            </w:tcBorders>
            <w:shd w:val="clear" w:color="auto" w:fill="auto"/>
            <w:vAlign w:val="center"/>
            <w:hideMark/>
          </w:tcPr>
          <w:p w14:paraId="333A0D4D"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obinutuzumab+chemotherapy followed by obinutuzumab</w:t>
            </w:r>
          </w:p>
        </w:tc>
        <w:tc>
          <w:tcPr>
            <w:tcW w:w="2851" w:type="dxa"/>
            <w:tcBorders>
              <w:top w:val="nil"/>
              <w:left w:val="nil"/>
              <w:bottom w:val="nil"/>
              <w:right w:val="nil"/>
            </w:tcBorders>
            <w:shd w:val="clear" w:color="auto" w:fill="auto"/>
            <w:noWrap/>
            <w:vAlign w:val="bottom"/>
            <w:hideMark/>
          </w:tcPr>
          <w:p w14:paraId="551D1F8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2A0EDE1F" w14:textId="77777777" w:rsidTr="00E51AFD">
        <w:trPr>
          <w:trHeight w:val="204"/>
        </w:trPr>
        <w:tc>
          <w:tcPr>
            <w:tcW w:w="1018" w:type="dxa"/>
            <w:tcBorders>
              <w:top w:val="nil"/>
              <w:left w:val="nil"/>
              <w:bottom w:val="nil"/>
              <w:right w:val="nil"/>
            </w:tcBorders>
            <w:shd w:val="clear" w:color="auto" w:fill="auto"/>
            <w:vAlign w:val="center"/>
            <w:hideMark/>
          </w:tcPr>
          <w:p w14:paraId="390CA040"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12/20/2017</w:t>
            </w:r>
          </w:p>
        </w:tc>
        <w:tc>
          <w:tcPr>
            <w:tcW w:w="6317" w:type="dxa"/>
            <w:tcBorders>
              <w:top w:val="nil"/>
              <w:left w:val="nil"/>
              <w:bottom w:val="nil"/>
              <w:right w:val="nil"/>
            </w:tcBorders>
            <w:shd w:val="clear" w:color="auto" w:fill="auto"/>
            <w:noWrap/>
            <w:vAlign w:val="center"/>
            <w:hideMark/>
          </w:tcPr>
          <w:p w14:paraId="346C92F7"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HER2-positive early breast cancer at high risk of recurrence</w:t>
            </w:r>
          </w:p>
        </w:tc>
        <w:tc>
          <w:tcPr>
            <w:tcW w:w="3772" w:type="dxa"/>
            <w:tcBorders>
              <w:top w:val="nil"/>
              <w:left w:val="nil"/>
              <w:bottom w:val="nil"/>
              <w:right w:val="nil"/>
            </w:tcBorders>
            <w:shd w:val="clear" w:color="auto" w:fill="auto"/>
            <w:vAlign w:val="center"/>
            <w:hideMark/>
          </w:tcPr>
          <w:p w14:paraId="444ECDC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pertuzumab+trastuzumab+chemotherapy</w:t>
            </w:r>
          </w:p>
        </w:tc>
        <w:tc>
          <w:tcPr>
            <w:tcW w:w="2851" w:type="dxa"/>
            <w:tcBorders>
              <w:top w:val="nil"/>
              <w:left w:val="nil"/>
              <w:bottom w:val="nil"/>
              <w:right w:val="nil"/>
            </w:tcBorders>
            <w:shd w:val="clear" w:color="auto" w:fill="auto"/>
            <w:noWrap/>
            <w:vAlign w:val="bottom"/>
            <w:hideMark/>
          </w:tcPr>
          <w:p w14:paraId="1E39CA3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1BCEDCD6" w14:textId="77777777" w:rsidTr="00E51AFD">
        <w:trPr>
          <w:trHeight w:val="204"/>
        </w:trPr>
        <w:tc>
          <w:tcPr>
            <w:tcW w:w="1018" w:type="dxa"/>
            <w:tcBorders>
              <w:top w:val="nil"/>
              <w:left w:val="nil"/>
              <w:bottom w:val="nil"/>
              <w:right w:val="nil"/>
            </w:tcBorders>
            <w:shd w:val="clear" w:color="auto" w:fill="auto"/>
            <w:vAlign w:val="center"/>
            <w:hideMark/>
          </w:tcPr>
          <w:p w14:paraId="176C0BB4"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lastRenderedPageBreak/>
              <w:t>02/16/2018</w:t>
            </w:r>
          </w:p>
        </w:tc>
        <w:tc>
          <w:tcPr>
            <w:tcW w:w="6317" w:type="dxa"/>
            <w:tcBorders>
              <w:top w:val="nil"/>
              <w:left w:val="nil"/>
              <w:bottom w:val="nil"/>
              <w:right w:val="nil"/>
            </w:tcBorders>
            <w:shd w:val="clear" w:color="auto" w:fill="auto"/>
            <w:vAlign w:val="center"/>
            <w:hideMark/>
          </w:tcPr>
          <w:p w14:paraId="2709B3F6"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Stage III NSCLC</w:t>
            </w:r>
          </w:p>
        </w:tc>
        <w:tc>
          <w:tcPr>
            <w:tcW w:w="3772" w:type="dxa"/>
            <w:tcBorders>
              <w:top w:val="nil"/>
              <w:left w:val="nil"/>
              <w:bottom w:val="nil"/>
              <w:right w:val="nil"/>
            </w:tcBorders>
            <w:shd w:val="clear" w:color="auto" w:fill="auto"/>
            <w:vAlign w:val="center"/>
            <w:hideMark/>
          </w:tcPr>
          <w:p w14:paraId="3A49A75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Durvalumab + Chemoradiation</w:t>
            </w:r>
          </w:p>
        </w:tc>
        <w:tc>
          <w:tcPr>
            <w:tcW w:w="2851" w:type="dxa"/>
            <w:tcBorders>
              <w:top w:val="nil"/>
              <w:left w:val="nil"/>
              <w:bottom w:val="nil"/>
              <w:right w:val="nil"/>
            </w:tcBorders>
            <w:shd w:val="clear" w:color="auto" w:fill="auto"/>
            <w:noWrap/>
            <w:vAlign w:val="bottom"/>
            <w:hideMark/>
          </w:tcPr>
          <w:p w14:paraId="36A6105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0D821D36" w14:textId="77777777" w:rsidTr="00E51AFD">
        <w:trPr>
          <w:trHeight w:val="204"/>
        </w:trPr>
        <w:tc>
          <w:tcPr>
            <w:tcW w:w="1018" w:type="dxa"/>
            <w:tcBorders>
              <w:top w:val="nil"/>
              <w:left w:val="nil"/>
              <w:bottom w:val="nil"/>
              <w:right w:val="nil"/>
            </w:tcBorders>
            <w:shd w:val="clear" w:color="auto" w:fill="auto"/>
            <w:vAlign w:val="center"/>
            <w:hideMark/>
          </w:tcPr>
          <w:p w14:paraId="69FACCC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02/26/2018</w:t>
            </w:r>
          </w:p>
        </w:tc>
        <w:tc>
          <w:tcPr>
            <w:tcW w:w="6317" w:type="dxa"/>
            <w:tcBorders>
              <w:top w:val="nil"/>
              <w:left w:val="nil"/>
              <w:bottom w:val="nil"/>
              <w:right w:val="nil"/>
            </w:tcBorders>
            <w:shd w:val="clear" w:color="auto" w:fill="auto"/>
            <w:noWrap/>
            <w:vAlign w:val="center"/>
            <w:hideMark/>
          </w:tcPr>
          <w:p w14:paraId="558F536C"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postmenopausal women with hormone receptor (HR)-positive, human epidermal growth factor receptor 2 (HER2)-negative advanced or metastatic breast cancer</w:t>
            </w:r>
          </w:p>
        </w:tc>
        <w:tc>
          <w:tcPr>
            <w:tcW w:w="3772" w:type="dxa"/>
            <w:tcBorders>
              <w:top w:val="nil"/>
              <w:left w:val="nil"/>
              <w:bottom w:val="nil"/>
              <w:right w:val="nil"/>
            </w:tcBorders>
            <w:shd w:val="clear" w:color="auto" w:fill="auto"/>
            <w:vAlign w:val="center"/>
            <w:hideMark/>
          </w:tcPr>
          <w:p w14:paraId="7680419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abemaciclib+an aromatase inhibitor</w:t>
            </w:r>
          </w:p>
        </w:tc>
        <w:tc>
          <w:tcPr>
            <w:tcW w:w="2851" w:type="dxa"/>
            <w:tcBorders>
              <w:top w:val="nil"/>
              <w:left w:val="nil"/>
              <w:bottom w:val="nil"/>
              <w:right w:val="nil"/>
            </w:tcBorders>
            <w:shd w:val="clear" w:color="auto" w:fill="auto"/>
            <w:noWrap/>
            <w:vAlign w:val="bottom"/>
            <w:hideMark/>
          </w:tcPr>
          <w:p w14:paraId="3161BC5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521E0BF8" w14:textId="77777777" w:rsidTr="00E51AFD">
        <w:trPr>
          <w:trHeight w:val="204"/>
        </w:trPr>
        <w:tc>
          <w:tcPr>
            <w:tcW w:w="1018" w:type="dxa"/>
            <w:tcBorders>
              <w:top w:val="nil"/>
              <w:left w:val="nil"/>
              <w:bottom w:val="nil"/>
              <w:right w:val="nil"/>
            </w:tcBorders>
            <w:shd w:val="clear" w:color="auto" w:fill="auto"/>
            <w:vAlign w:val="center"/>
            <w:hideMark/>
          </w:tcPr>
          <w:p w14:paraId="53A7536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04/16/2018</w:t>
            </w:r>
          </w:p>
        </w:tc>
        <w:tc>
          <w:tcPr>
            <w:tcW w:w="6317" w:type="dxa"/>
            <w:tcBorders>
              <w:top w:val="nil"/>
              <w:left w:val="nil"/>
              <w:bottom w:val="nil"/>
              <w:right w:val="nil"/>
            </w:tcBorders>
            <w:shd w:val="clear" w:color="auto" w:fill="auto"/>
            <w:vAlign w:val="center"/>
            <w:hideMark/>
          </w:tcPr>
          <w:p w14:paraId="55380F8E"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intermediate or poor-risk advanced RCC</w:t>
            </w:r>
          </w:p>
        </w:tc>
        <w:tc>
          <w:tcPr>
            <w:tcW w:w="3772" w:type="dxa"/>
            <w:tcBorders>
              <w:top w:val="nil"/>
              <w:left w:val="nil"/>
              <w:bottom w:val="nil"/>
              <w:right w:val="nil"/>
            </w:tcBorders>
            <w:shd w:val="clear" w:color="auto" w:fill="auto"/>
            <w:vAlign w:val="center"/>
            <w:hideMark/>
          </w:tcPr>
          <w:p w14:paraId="62B992B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Nivolumab + Ipilimumab</w:t>
            </w:r>
          </w:p>
        </w:tc>
        <w:tc>
          <w:tcPr>
            <w:tcW w:w="2851" w:type="dxa"/>
            <w:tcBorders>
              <w:top w:val="nil"/>
              <w:left w:val="nil"/>
              <w:bottom w:val="nil"/>
              <w:right w:val="nil"/>
            </w:tcBorders>
            <w:shd w:val="clear" w:color="auto" w:fill="auto"/>
            <w:noWrap/>
            <w:vAlign w:val="bottom"/>
            <w:hideMark/>
          </w:tcPr>
          <w:p w14:paraId="043DCE3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250E741E" w14:textId="77777777" w:rsidTr="00E51AFD">
        <w:trPr>
          <w:trHeight w:val="204"/>
        </w:trPr>
        <w:tc>
          <w:tcPr>
            <w:tcW w:w="1018" w:type="dxa"/>
            <w:tcBorders>
              <w:top w:val="nil"/>
              <w:left w:val="nil"/>
              <w:bottom w:val="nil"/>
              <w:right w:val="nil"/>
            </w:tcBorders>
            <w:shd w:val="clear" w:color="auto" w:fill="auto"/>
            <w:vAlign w:val="center"/>
            <w:hideMark/>
          </w:tcPr>
          <w:p w14:paraId="65BE1510"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04/30/2018</w:t>
            </w:r>
          </w:p>
        </w:tc>
        <w:tc>
          <w:tcPr>
            <w:tcW w:w="6317" w:type="dxa"/>
            <w:tcBorders>
              <w:top w:val="nil"/>
              <w:left w:val="nil"/>
              <w:bottom w:val="nil"/>
              <w:right w:val="nil"/>
            </w:tcBorders>
            <w:shd w:val="clear" w:color="auto" w:fill="auto"/>
            <w:noWrap/>
            <w:vAlign w:val="center"/>
            <w:hideMark/>
          </w:tcPr>
          <w:p w14:paraId="483AFD33"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melanoma with BRAF V600E or V600K mutations</w:t>
            </w:r>
          </w:p>
        </w:tc>
        <w:tc>
          <w:tcPr>
            <w:tcW w:w="3772" w:type="dxa"/>
            <w:tcBorders>
              <w:top w:val="nil"/>
              <w:left w:val="nil"/>
              <w:bottom w:val="nil"/>
              <w:right w:val="nil"/>
            </w:tcBorders>
            <w:shd w:val="clear" w:color="auto" w:fill="auto"/>
            <w:noWrap/>
            <w:vAlign w:val="bottom"/>
            <w:hideMark/>
          </w:tcPr>
          <w:p w14:paraId="1A106712"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dabrafenib+trametinib</w:t>
            </w:r>
          </w:p>
        </w:tc>
        <w:tc>
          <w:tcPr>
            <w:tcW w:w="2851" w:type="dxa"/>
            <w:tcBorders>
              <w:top w:val="nil"/>
              <w:left w:val="nil"/>
              <w:bottom w:val="nil"/>
              <w:right w:val="nil"/>
            </w:tcBorders>
            <w:shd w:val="clear" w:color="auto" w:fill="auto"/>
            <w:noWrap/>
            <w:vAlign w:val="bottom"/>
            <w:hideMark/>
          </w:tcPr>
          <w:p w14:paraId="024ED35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127424AD" w14:textId="77777777" w:rsidTr="00E51AFD">
        <w:trPr>
          <w:trHeight w:val="204"/>
        </w:trPr>
        <w:tc>
          <w:tcPr>
            <w:tcW w:w="1018" w:type="dxa"/>
            <w:tcBorders>
              <w:top w:val="nil"/>
              <w:left w:val="nil"/>
              <w:bottom w:val="nil"/>
              <w:right w:val="nil"/>
            </w:tcBorders>
            <w:shd w:val="clear" w:color="auto" w:fill="auto"/>
            <w:vAlign w:val="center"/>
            <w:hideMark/>
          </w:tcPr>
          <w:p w14:paraId="36896FA1"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06/13/2018</w:t>
            </w:r>
          </w:p>
        </w:tc>
        <w:tc>
          <w:tcPr>
            <w:tcW w:w="6317" w:type="dxa"/>
            <w:tcBorders>
              <w:top w:val="nil"/>
              <w:left w:val="nil"/>
              <w:bottom w:val="nil"/>
              <w:right w:val="nil"/>
            </w:tcBorders>
            <w:shd w:val="clear" w:color="auto" w:fill="auto"/>
            <w:noWrap/>
            <w:vAlign w:val="center"/>
            <w:hideMark/>
          </w:tcPr>
          <w:p w14:paraId="518C3DF7"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epithelial ovarian, fallopian tube, or primary peritoneal cancer</w:t>
            </w:r>
          </w:p>
        </w:tc>
        <w:tc>
          <w:tcPr>
            <w:tcW w:w="3772" w:type="dxa"/>
            <w:tcBorders>
              <w:top w:val="nil"/>
              <w:left w:val="nil"/>
              <w:bottom w:val="nil"/>
              <w:right w:val="nil"/>
            </w:tcBorders>
            <w:shd w:val="clear" w:color="auto" w:fill="auto"/>
            <w:noWrap/>
            <w:vAlign w:val="bottom"/>
            <w:hideMark/>
          </w:tcPr>
          <w:p w14:paraId="0C321BB4"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bevacizumab+carboplatin+paclitaxel</w:t>
            </w:r>
          </w:p>
        </w:tc>
        <w:tc>
          <w:tcPr>
            <w:tcW w:w="2851" w:type="dxa"/>
            <w:tcBorders>
              <w:top w:val="nil"/>
              <w:left w:val="nil"/>
              <w:bottom w:val="nil"/>
              <w:right w:val="nil"/>
            </w:tcBorders>
            <w:shd w:val="clear" w:color="auto" w:fill="auto"/>
            <w:noWrap/>
            <w:vAlign w:val="bottom"/>
            <w:hideMark/>
          </w:tcPr>
          <w:p w14:paraId="795D7C3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2AF71911" w14:textId="77777777" w:rsidTr="00E51AFD">
        <w:trPr>
          <w:trHeight w:val="204"/>
        </w:trPr>
        <w:tc>
          <w:tcPr>
            <w:tcW w:w="1018" w:type="dxa"/>
            <w:tcBorders>
              <w:top w:val="nil"/>
              <w:left w:val="nil"/>
              <w:bottom w:val="nil"/>
              <w:right w:val="nil"/>
            </w:tcBorders>
            <w:shd w:val="clear" w:color="auto" w:fill="auto"/>
            <w:vAlign w:val="center"/>
            <w:hideMark/>
          </w:tcPr>
          <w:p w14:paraId="0CAFC5B6"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06/27/2018</w:t>
            </w:r>
          </w:p>
        </w:tc>
        <w:tc>
          <w:tcPr>
            <w:tcW w:w="6317" w:type="dxa"/>
            <w:tcBorders>
              <w:top w:val="nil"/>
              <w:left w:val="nil"/>
              <w:bottom w:val="nil"/>
              <w:right w:val="nil"/>
            </w:tcBorders>
            <w:shd w:val="clear" w:color="auto" w:fill="auto"/>
            <w:noWrap/>
            <w:vAlign w:val="center"/>
            <w:hideMark/>
          </w:tcPr>
          <w:p w14:paraId="4E4087D2"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unresectable or metastatic melanoma with a BRAF V600E or V600K mutation</w:t>
            </w:r>
          </w:p>
        </w:tc>
        <w:tc>
          <w:tcPr>
            <w:tcW w:w="3772" w:type="dxa"/>
            <w:tcBorders>
              <w:top w:val="nil"/>
              <w:left w:val="nil"/>
              <w:bottom w:val="nil"/>
              <w:right w:val="nil"/>
            </w:tcBorders>
            <w:shd w:val="clear" w:color="auto" w:fill="auto"/>
            <w:noWrap/>
            <w:vAlign w:val="bottom"/>
            <w:hideMark/>
          </w:tcPr>
          <w:p w14:paraId="1CA75FAE"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encorafenib+binimetinib</w:t>
            </w:r>
          </w:p>
        </w:tc>
        <w:tc>
          <w:tcPr>
            <w:tcW w:w="2851" w:type="dxa"/>
            <w:tcBorders>
              <w:top w:val="nil"/>
              <w:left w:val="nil"/>
              <w:bottom w:val="nil"/>
              <w:right w:val="nil"/>
            </w:tcBorders>
            <w:shd w:val="clear" w:color="auto" w:fill="auto"/>
            <w:noWrap/>
            <w:vAlign w:val="bottom"/>
            <w:hideMark/>
          </w:tcPr>
          <w:p w14:paraId="5C0E484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2AFCF780" w14:textId="77777777" w:rsidTr="00E51AFD">
        <w:trPr>
          <w:trHeight w:val="204"/>
        </w:trPr>
        <w:tc>
          <w:tcPr>
            <w:tcW w:w="1018" w:type="dxa"/>
            <w:tcBorders>
              <w:top w:val="nil"/>
              <w:left w:val="nil"/>
              <w:bottom w:val="nil"/>
              <w:right w:val="nil"/>
            </w:tcBorders>
            <w:shd w:val="clear" w:color="auto" w:fill="auto"/>
            <w:vAlign w:val="center"/>
            <w:hideMark/>
          </w:tcPr>
          <w:p w14:paraId="64897C2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07/10/2018</w:t>
            </w:r>
          </w:p>
        </w:tc>
        <w:tc>
          <w:tcPr>
            <w:tcW w:w="6317" w:type="dxa"/>
            <w:tcBorders>
              <w:top w:val="nil"/>
              <w:left w:val="nil"/>
              <w:bottom w:val="nil"/>
              <w:right w:val="nil"/>
            </w:tcBorders>
            <w:shd w:val="clear" w:color="auto" w:fill="auto"/>
            <w:vAlign w:val="center"/>
            <w:hideMark/>
          </w:tcPr>
          <w:p w14:paraId="096C3830"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MSI-H or dMMR metastatic CRC</w:t>
            </w:r>
          </w:p>
        </w:tc>
        <w:tc>
          <w:tcPr>
            <w:tcW w:w="3772" w:type="dxa"/>
            <w:tcBorders>
              <w:top w:val="nil"/>
              <w:left w:val="nil"/>
              <w:bottom w:val="nil"/>
              <w:right w:val="nil"/>
            </w:tcBorders>
            <w:shd w:val="clear" w:color="auto" w:fill="auto"/>
            <w:vAlign w:val="center"/>
            <w:hideMark/>
          </w:tcPr>
          <w:p w14:paraId="17B44B61"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Nivolumab + Ipilimumab</w:t>
            </w:r>
          </w:p>
        </w:tc>
        <w:tc>
          <w:tcPr>
            <w:tcW w:w="2851" w:type="dxa"/>
            <w:tcBorders>
              <w:top w:val="nil"/>
              <w:left w:val="nil"/>
              <w:bottom w:val="nil"/>
              <w:right w:val="nil"/>
            </w:tcBorders>
            <w:shd w:val="clear" w:color="auto" w:fill="auto"/>
            <w:noWrap/>
            <w:vAlign w:val="bottom"/>
            <w:hideMark/>
          </w:tcPr>
          <w:p w14:paraId="7ABC75B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7D987B09" w14:textId="77777777" w:rsidTr="00E51AFD">
        <w:trPr>
          <w:trHeight w:val="204"/>
        </w:trPr>
        <w:tc>
          <w:tcPr>
            <w:tcW w:w="1018" w:type="dxa"/>
            <w:tcBorders>
              <w:top w:val="nil"/>
              <w:left w:val="nil"/>
              <w:bottom w:val="nil"/>
              <w:right w:val="nil"/>
            </w:tcBorders>
            <w:shd w:val="clear" w:color="auto" w:fill="auto"/>
            <w:vAlign w:val="center"/>
            <w:hideMark/>
          </w:tcPr>
          <w:p w14:paraId="45AFB374"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07/18/2018</w:t>
            </w:r>
          </w:p>
        </w:tc>
        <w:tc>
          <w:tcPr>
            <w:tcW w:w="6317" w:type="dxa"/>
            <w:tcBorders>
              <w:top w:val="nil"/>
              <w:left w:val="nil"/>
              <w:bottom w:val="nil"/>
              <w:right w:val="nil"/>
            </w:tcBorders>
            <w:shd w:val="clear" w:color="auto" w:fill="auto"/>
            <w:noWrap/>
            <w:vAlign w:val="center"/>
            <w:hideMark/>
          </w:tcPr>
          <w:p w14:paraId="00844DB3"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pre/perimenopausal women with HR-positive, HER2-negative advanced or metastatic breast cance</w:t>
            </w:r>
          </w:p>
        </w:tc>
        <w:tc>
          <w:tcPr>
            <w:tcW w:w="3772" w:type="dxa"/>
            <w:tcBorders>
              <w:top w:val="nil"/>
              <w:left w:val="nil"/>
              <w:bottom w:val="nil"/>
              <w:right w:val="nil"/>
            </w:tcBorders>
            <w:shd w:val="clear" w:color="auto" w:fill="auto"/>
            <w:noWrap/>
            <w:vAlign w:val="bottom"/>
            <w:hideMark/>
          </w:tcPr>
          <w:p w14:paraId="6EA5765C"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ribociclib+an aromatase inhibitor</w:t>
            </w:r>
          </w:p>
        </w:tc>
        <w:tc>
          <w:tcPr>
            <w:tcW w:w="2851" w:type="dxa"/>
            <w:tcBorders>
              <w:top w:val="nil"/>
              <w:left w:val="nil"/>
              <w:bottom w:val="nil"/>
              <w:right w:val="nil"/>
            </w:tcBorders>
            <w:shd w:val="clear" w:color="auto" w:fill="auto"/>
            <w:noWrap/>
            <w:vAlign w:val="bottom"/>
            <w:hideMark/>
          </w:tcPr>
          <w:p w14:paraId="5CBA995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31685FF7" w14:textId="77777777" w:rsidTr="00E51AFD">
        <w:trPr>
          <w:trHeight w:val="204"/>
        </w:trPr>
        <w:tc>
          <w:tcPr>
            <w:tcW w:w="1018" w:type="dxa"/>
            <w:tcBorders>
              <w:top w:val="nil"/>
              <w:left w:val="nil"/>
              <w:bottom w:val="nil"/>
              <w:right w:val="nil"/>
            </w:tcBorders>
            <w:shd w:val="clear" w:color="auto" w:fill="auto"/>
            <w:vAlign w:val="center"/>
            <w:hideMark/>
          </w:tcPr>
          <w:p w14:paraId="5DB4F477"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08/20/2018</w:t>
            </w:r>
          </w:p>
        </w:tc>
        <w:tc>
          <w:tcPr>
            <w:tcW w:w="6317" w:type="dxa"/>
            <w:tcBorders>
              <w:top w:val="nil"/>
              <w:left w:val="nil"/>
              <w:bottom w:val="nil"/>
              <w:right w:val="nil"/>
            </w:tcBorders>
            <w:shd w:val="clear" w:color="auto" w:fill="auto"/>
            <w:vAlign w:val="center"/>
            <w:hideMark/>
          </w:tcPr>
          <w:p w14:paraId="02135E2A"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Metastatic nonsquamous NSCLC</w:t>
            </w:r>
          </w:p>
        </w:tc>
        <w:tc>
          <w:tcPr>
            <w:tcW w:w="3772" w:type="dxa"/>
            <w:tcBorders>
              <w:top w:val="nil"/>
              <w:left w:val="nil"/>
              <w:bottom w:val="nil"/>
              <w:right w:val="nil"/>
            </w:tcBorders>
            <w:shd w:val="clear" w:color="auto" w:fill="auto"/>
            <w:vAlign w:val="center"/>
            <w:hideMark/>
          </w:tcPr>
          <w:p w14:paraId="3C101812"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Pemetrexed + Chemotherapy</w:t>
            </w:r>
          </w:p>
        </w:tc>
        <w:tc>
          <w:tcPr>
            <w:tcW w:w="2851" w:type="dxa"/>
            <w:tcBorders>
              <w:top w:val="nil"/>
              <w:left w:val="nil"/>
              <w:bottom w:val="nil"/>
              <w:right w:val="nil"/>
            </w:tcBorders>
            <w:shd w:val="clear" w:color="auto" w:fill="auto"/>
            <w:noWrap/>
            <w:vAlign w:val="bottom"/>
            <w:hideMark/>
          </w:tcPr>
          <w:p w14:paraId="507847D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inhibitor+chemotherapy</w:t>
            </w:r>
          </w:p>
        </w:tc>
      </w:tr>
      <w:tr w:rsidR="002C5022" w:rsidRPr="002C5022" w14:paraId="01E2491B" w14:textId="77777777" w:rsidTr="00E51AFD">
        <w:trPr>
          <w:trHeight w:val="204"/>
        </w:trPr>
        <w:tc>
          <w:tcPr>
            <w:tcW w:w="1018" w:type="dxa"/>
            <w:tcBorders>
              <w:top w:val="nil"/>
              <w:left w:val="nil"/>
              <w:bottom w:val="nil"/>
              <w:right w:val="nil"/>
            </w:tcBorders>
            <w:shd w:val="clear" w:color="auto" w:fill="auto"/>
            <w:vAlign w:val="center"/>
            <w:hideMark/>
          </w:tcPr>
          <w:p w14:paraId="0C36594E"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10/30/2018</w:t>
            </w:r>
          </w:p>
        </w:tc>
        <w:tc>
          <w:tcPr>
            <w:tcW w:w="6317" w:type="dxa"/>
            <w:tcBorders>
              <w:top w:val="nil"/>
              <w:left w:val="nil"/>
              <w:bottom w:val="nil"/>
              <w:right w:val="nil"/>
            </w:tcBorders>
            <w:shd w:val="clear" w:color="auto" w:fill="auto"/>
            <w:vAlign w:val="center"/>
            <w:hideMark/>
          </w:tcPr>
          <w:p w14:paraId="1C0CBF42"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metastatic squamous NSCLC</w:t>
            </w:r>
          </w:p>
        </w:tc>
        <w:tc>
          <w:tcPr>
            <w:tcW w:w="3772" w:type="dxa"/>
            <w:tcBorders>
              <w:top w:val="nil"/>
              <w:left w:val="nil"/>
              <w:bottom w:val="nil"/>
              <w:right w:val="nil"/>
            </w:tcBorders>
            <w:shd w:val="clear" w:color="auto" w:fill="auto"/>
            <w:vAlign w:val="center"/>
            <w:hideMark/>
          </w:tcPr>
          <w:p w14:paraId="30120A1D"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Chemotherapy</w:t>
            </w:r>
          </w:p>
        </w:tc>
        <w:tc>
          <w:tcPr>
            <w:tcW w:w="2851" w:type="dxa"/>
            <w:tcBorders>
              <w:top w:val="nil"/>
              <w:left w:val="nil"/>
              <w:bottom w:val="nil"/>
              <w:right w:val="nil"/>
            </w:tcBorders>
            <w:shd w:val="clear" w:color="auto" w:fill="auto"/>
            <w:noWrap/>
            <w:vAlign w:val="bottom"/>
            <w:hideMark/>
          </w:tcPr>
          <w:p w14:paraId="3F1ACAC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2BF66E07" w14:textId="77777777" w:rsidTr="00E51AFD">
        <w:trPr>
          <w:trHeight w:val="204"/>
        </w:trPr>
        <w:tc>
          <w:tcPr>
            <w:tcW w:w="1018" w:type="dxa"/>
            <w:tcBorders>
              <w:top w:val="nil"/>
              <w:left w:val="nil"/>
              <w:bottom w:val="nil"/>
              <w:right w:val="nil"/>
            </w:tcBorders>
            <w:shd w:val="clear" w:color="auto" w:fill="auto"/>
            <w:vAlign w:val="center"/>
            <w:hideMark/>
          </w:tcPr>
          <w:p w14:paraId="611B3A3E"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11/16/2017</w:t>
            </w:r>
          </w:p>
        </w:tc>
        <w:tc>
          <w:tcPr>
            <w:tcW w:w="6317" w:type="dxa"/>
            <w:tcBorders>
              <w:top w:val="nil"/>
              <w:left w:val="nil"/>
              <w:bottom w:val="nil"/>
              <w:right w:val="nil"/>
            </w:tcBorders>
            <w:shd w:val="clear" w:color="auto" w:fill="auto"/>
            <w:noWrap/>
            <w:vAlign w:val="center"/>
            <w:hideMark/>
          </w:tcPr>
          <w:p w14:paraId="6C964785"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previously untreated systemic anaplastic large cell lymphoma or other CD30-expressing peripheral T-cell lymphomas</w:t>
            </w:r>
          </w:p>
        </w:tc>
        <w:tc>
          <w:tcPr>
            <w:tcW w:w="3772" w:type="dxa"/>
            <w:tcBorders>
              <w:top w:val="nil"/>
              <w:left w:val="nil"/>
              <w:bottom w:val="nil"/>
              <w:right w:val="nil"/>
            </w:tcBorders>
            <w:shd w:val="clear" w:color="auto" w:fill="auto"/>
            <w:noWrap/>
            <w:vAlign w:val="bottom"/>
            <w:hideMark/>
          </w:tcPr>
          <w:p w14:paraId="5C42B8D8"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brentuximab vedotin+chemotherapy</w:t>
            </w:r>
          </w:p>
        </w:tc>
        <w:tc>
          <w:tcPr>
            <w:tcW w:w="2851" w:type="dxa"/>
            <w:tcBorders>
              <w:top w:val="nil"/>
              <w:left w:val="nil"/>
              <w:bottom w:val="nil"/>
              <w:right w:val="nil"/>
            </w:tcBorders>
            <w:shd w:val="clear" w:color="auto" w:fill="auto"/>
            <w:noWrap/>
            <w:vAlign w:val="bottom"/>
            <w:hideMark/>
          </w:tcPr>
          <w:p w14:paraId="06BA164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64C5E7D1" w14:textId="77777777" w:rsidTr="00E51AFD">
        <w:trPr>
          <w:trHeight w:val="204"/>
        </w:trPr>
        <w:tc>
          <w:tcPr>
            <w:tcW w:w="1018" w:type="dxa"/>
            <w:tcBorders>
              <w:top w:val="nil"/>
              <w:left w:val="nil"/>
              <w:bottom w:val="nil"/>
              <w:right w:val="nil"/>
            </w:tcBorders>
            <w:shd w:val="clear" w:color="auto" w:fill="auto"/>
            <w:vAlign w:val="center"/>
            <w:hideMark/>
          </w:tcPr>
          <w:p w14:paraId="27E7C528"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11/21/2017</w:t>
            </w:r>
          </w:p>
        </w:tc>
        <w:tc>
          <w:tcPr>
            <w:tcW w:w="6317" w:type="dxa"/>
            <w:tcBorders>
              <w:top w:val="nil"/>
              <w:left w:val="nil"/>
              <w:bottom w:val="nil"/>
              <w:right w:val="nil"/>
            </w:tcBorders>
            <w:shd w:val="clear" w:color="auto" w:fill="auto"/>
            <w:noWrap/>
            <w:vAlign w:val="center"/>
            <w:hideMark/>
          </w:tcPr>
          <w:p w14:paraId="0183555E"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AML patients who are 75 years old or older</w:t>
            </w:r>
          </w:p>
        </w:tc>
        <w:tc>
          <w:tcPr>
            <w:tcW w:w="3772" w:type="dxa"/>
            <w:tcBorders>
              <w:top w:val="nil"/>
              <w:left w:val="nil"/>
              <w:bottom w:val="nil"/>
              <w:right w:val="nil"/>
            </w:tcBorders>
            <w:shd w:val="clear" w:color="auto" w:fill="auto"/>
            <w:vAlign w:val="center"/>
            <w:hideMark/>
          </w:tcPr>
          <w:p w14:paraId="266EB5B7"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glasdegib+low-dose cytarabine (LDAC)</w:t>
            </w:r>
          </w:p>
        </w:tc>
        <w:tc>
          <w:tcPr>
            <w:tcW w:w="2851" w:type="dxa"/>
            <w:tcBorders>
              <w:top w:val="nil"/>
              <w:left w:val="nil"/>
              <w:bottom w:val="nil"/>
              <w:right w:val="nil"/>
            </w:tcBorders>
            <w:shd w:val="clear" w:color="auto" w:fill="auto"/>
            <w:noWrap/>
            <w:vAlign w:val="bottom"/>
            <w:hideMark/>
          </w:tcPr>
          <w:p w14:paraId="003DFAA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inhibitor+chemotherapy</w:t>
            </w:r>
          </w:p>
        </w:tc>
      </w:tr>
      <w:tr w:rsidR="002C5022" w:rsidRPr="002C5022" w14:paraId="1DA2A21F" w14:textId="77777777" w:rsidTr="00E51AFD">
        <w:trPr>
          <w:trHeight w:val="204"/>
        </w:trPr>
        <w:tc>
          <w:tcPr>
            <w:tcW w:w="1018" w:type="dxa"/>
            <w:tcBorders>
              <w:top w:val="nil"/>
              <w:left w:val="nil"/>
              <w:bottom w:val="nil"/>
              <w:right w:val="nil"/>
            </w:tcBorders>
            <w:shd w:val="clear" w:color="auto" w:fill="auto"/>
            <w:vAlign w:val="center"/>
            <w:hideMark/>
          </w:tcPr>
          <w:p w14:paraId="175B2AE3"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11/21/2018</w:t>
            </w:r>
          </w:p>
        </w:tc>
        <w:tc>
          <w:tcPr>
            <w:tcW w:w="6317" w:type="dxa"/>
            <w:tcBorders>
              <w:top w:val="nil"/>
              <w:left w:val="nil"/>
              <w:bottom w:val="nil"/>
              <w:right w:val="nil"/>
            </w:tcBorders>
            <w:shd w:val="clear" w:color="auto" w:fill="auto"/>
            <w:noWrap/>
            <w:vAlign w:val="center"/>
            <w:hideMark/>
          </w:tcPr>
          <w:p w14:paraId="1F890A81"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AML</w:t>
            </w:r>
          </w:p>
        </w:tc>
        <w:tc>
          <w:tcPr>
            <w:tcW w:w="3772" w:type="dxa"/>
            <w:tcBorders>
              <w:top w:val="nil"/>
              <w:left w:val="nil"/>
              <w:bottom w:val="nil"/>
              <w:right w:val="nil"/>
            </w:tcBorders>
            <w:shd w:val="clear" w:color="auto" w:fill="auto"/>
            <w:noWrap/>
            <w:vAlign w:val="bottom"/>
            <w:hideMark/>
          </w:tcPr>
          <w:p w14:paraId="6764A7A4"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venetoclax+azacitidine, decitabine, or low-dose cytarabine (LDAC)</w:t>
            </w:r>
          </w:p>
        </w:tc>
        <w:tc>
          <w:tcPr>
            <w:tcW w:w="2851" w:type="dxa"/>
            <w:tcBorders>
              <w:top w:val="nil"/>
              <w:left w:val="nil"/>
              <w:bottom w:val="nil"/>
              <w:right w:val="nil"/>
            </w:tcBorders>
            <w:shd w:val="clear" w:color="auto" w:fill="auto"/>
            <w:noWrap/>
            <w:vAlign w:val="bottom"/>
            <w:hideMark/>
          </w:tcPr>
          <w:p w14:paraId="1B8021F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inihitor+chemotherapy</w:t>
            </w:r>
          </w:p>
        </w:tc>
      </w:tr>
      <w:tr w:rsidR="002C5022" w:rsidRPr="002C5022" w14:paraId="7581269B" w14:textId="77777777" w:rsidTr="00E51AFD">
        <w:trPr>
          <w:trHeight w:val="204"/>
        </w:trPr>
        <w:tc>
          <w:tcPr>
            <w:tcW w:w="1018" w:type="dxa"/>
            <w:tcBorders>
              <w:top w:val="nil"/>
              <w:left w:val="nil"/>
              <w:bottom w:val="nil"/>
              <w:right w:val="nil"/>
            </w:tcBorders>
            <w:shd w:val="clear" w:color="auto" w:fill="auto"/>
            <w:vAlign w:val="center"/>
            <w:hideMark/>
          </w:tcPr>
          <w:p w14:paraId="03324001"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12/06/2018</w:t>
            </w:r>
          </w:p>
        </w:tc>
        <w:tc>
          <w:tcPr>
            <w:tcW w:w="6317" w:type="dxa"/>
            <w:tcBorders>
              <w:top w:val="nil"/>
              <w:left w:val="nil"/>
              <w:bottom w:val="nil"/>
              <w:right w:val="nil"/>
            </w:tcBorders>
            <w:shd w:val="clear" w:color="auto" w:fill="auto"/>
            <w:vAlign w:val="center"/>
            <w:hideMark/>
          </w:tcPr>
          <w:p w14:paraId="39CE1771"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NSCLC</w:t>
            </w:r>
          </w:p>
        </w:tc>
        <w:tc>
          <w:tcPr>
            <w:tcW w:w="3772" w:type="dxa"/>
            <w:tcBorders>
              <w:top w:val="nil"/>
              <w:left w:val="nil"/>
              <w:bottom w:val="nil"/>
              <w:right w:val="nil"/>
            </w:tcBorders>
            <w:shd w:val="clear" w:color="auto" w:fill="auto"/>
            <w:vAlign w:val="center"/>
            <w:hideMark/>
          </w:tcPr>
          <w:p w14:paraId="326622E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Atezolizumab + bevacizumab, paclitaxel and carboplatin</w:t>
            </w:r>
          </w:p>
        </w:tc>
        <w:tc>
          <w:tcPr>
            <w:tcW w:w="2851" w:type="dxa"/>
            <w:tcBorders>
              <w:top w:val="nil"/>
              <w:left w:val="nil"/>
              <w:bottom w:val="nil"/>
              <w:right w:val="nil"/>
            </w:tcBorders>
            <w:shd w:val="clear" w:color="auto" w:fill="auto"/>
            <w:noWrap/>
            <w:vAlign w:val="bottom"/>
            <w:hideMark/>
          </w:tcPr>
          <w:p w14:paraId="13566C3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ICIs+anti-small molecular inhibitor/Anti-angiogenesis+chemotherapy</w:t>
            </w:r>
          </w:p>
        </w:tc>
      </w:tr>
      <w:tr w:rsidR="002C5022" w:rsidRPr="002C5022" w14:paraId="365A2CD3" w14:textId="77777777" w:rsidTr="00E51AFD">
        <w:trPr>
          <w:trHeight w:val="204"/>
        </w:trPr>
        <w:tc>
          <w:tcPr>
            <w:tcW w:w="1018" w:type="dxa"/>
            <w:tcBorders>
              <w:top w:val="nil"/>
              <w:left w:val="nil"/>
              <w:bottom w:val="nil"/>
              <w:right w:val="nil"/>
            </w:tcBorders>
            <w:shd w:val="clear" w:color="auto" w:fill="auto"/>
            <w:vAlign w:val="center"/>
            <w:hideMark/>
          </w:tcPr>
          <w:p w14:paraId="76B2F8D9"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03/08/2019</w:t>
            </w:r>
          </w:p>
        </w:tc>
        <w:tc>
          <w:tcPr>
            <w:tcW w:w="6317" w:type="dxa"/>
            <w:tcBorders>
              <w:top w:val="nil"/>
              <w:left w:val="nil"/>
              <w:bottom w:val="nil"/>
              <w:right w:val="nil"/>
            </w:tcBorders>
            <w:shd w:val="clear" w:color="auto" w:fill="auto"/>
            <w:vAlign w:val="center"/>
            <w:hideMark/>
          </w:tcPr>
          <w:p w14:paraId="4B019671"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Metastatic TNBC</w:t>
            </w:r>
          </w:p>
        </w:tc>
        <w:tc>
          <w:tcPr>
            <w:tcW w:w="3772" w:type="dxa"/>
            <w:tcBorders>
              <w:top w:val="nil"/>
              <w:left w:val="nil"/>
              <w:bottom w:val="nil"/>
              <w:right w:val="nil"/>
            </w:tcBorders>
            <w:shd w:val="clear" w:color="auto" w:fill="auto"/>
            <w:vAlign w:val="center"/>
            <w:hideMark/>
          </w:tcPr>
          <w:p w14:paraId="16F53F66"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Atezolizumab + Nabpaclitaxel</w:t>
            </w:r>
          </w:p>
        </w:tc>
        <w:tc>
          <w:tcPr>
            <w:tcW w:w="2851" w:type="dxa"/>
            <w:tcBorders>
              <w:top w:val="nil"/>
              <w:left w:val="nil"/>
              <w:bottom w:val="nil"/>
              <w:right w:val="nil"/>
            </w:tcBorders>
            <w:shd w:val="clear" w:color="auto" w:fill="auto"/>
            <w:noWrap/>
            <w:vAlign w:val="bottom"/>
            <w:hideMark/>
          </w:tcPr>
          <w:p w14:paraId="598DF76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10CFCDCD" w14:textId="77777777" w:rsidTr="00E51AFD">
        <w:trPr>
          <w:trHeight w:val="204"/>
        </w:trPr>
        <w:tc>
          <w:tcPr>
            <w:tcW w:w="1018" w:type="dxa"/>
            <w:tcBorders>
              <w:top w:val="nil"/>
              <w:left w:val="nil"/>
              <w:bottom w:val="nil"/>
              <w:right w:val="nil"/>
            </w:tcBorders>
            <w:shd w:val="clear" w:color="auto" w:fill="auto"/>
            <w:vAlign w:val="center"/>
            <w:hideMark/>
          </w:tcPr>
          <w:p w14:paraId="3C7669C7"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03/18/2019</w:t>
            </w:r>
          </w:p>
        </w:tc>
        <w:tc>
          <w:tcPr>
            <w:tcW w:w="6317" w:type="dxa"/>
            <w:tcBorders>
              <w:top w:val="nil"/>
              <w:left w:val="nil"/>
              <w:bottom w:val="nil"/>
              <w:right w:val="nil"/>
            </w:tcBorders>
            <w:shd w:val="clear" w:color="auto" w:fill="auto"/>
            <w:vAlign w:val="center"/>
            <w:hideMark/>
          </w:tcPr>
          <w:p w14:paraId="25C4C9F1"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Extensive-stage SCLC</w:t>
            </w:r>
          </w:p>
        </w:tc>
        <w:tc>
          <w:tcPr>
            <w:tcW w:w="3772" w:type="dxa"/>
            <w:tcBorders>
              <w:top w:val="nil"/>
              <w:left w:val="nil"/>
              <w:bottom w:val="nil"/>
              <w:right w:val="nil"/>
            </w:tcBorders>
            <w:shd w:val="clear" w:color="auto" w:fill="auto"/>
            <w:vAlign w:val="center"/>
            <w:hideMark/>
          </w:tcPr>
          <w:p w14:paraId="0983E371"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Atezolizumab + Carboplatin + Etoposide</w:t>
            </w:r>
          </w:p>
        </w:tc>
        <w:tc>
          <w:tcPr>
            <w:tcW w:w="2851" w:type="dxa"/>
            <w:tcBorders>
              <w:top w:val="nil"/>
              <w:left w:val="nil"/>
              <w:bottom w:val="nil"/>
              <w:right w:val="nil"/>
            </w:tcBorders>
            <w:shd w:val="clear" w:color="auto" w:fill="auto"/>
            <w:noWrap/>
            <w:vAlign w:val="bottom"/>
            <w:hideMark/>
          </w:tcPr>
          <w:p w14:paraId="23B9251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6F45AE15" w14:textId="77777777" w:rsidTr="00E51AFD">
        <w:trPr>
          <w:trHeight w:val="204"/>
        </w:trPr>
        <w:tc>
          <w:tcPr>
            <w:tcW w:w="1018" w:type="dxa"/>
            <w:tcBorders>
              <w:top w:val="nil"/>
              <w:left w:val="nil"/>
              <w:bottom w:val="nil"/>
              <w:right w:val="nil"/>
            </w:tcBorders>
            <w:shd w:val="clear" w:color="auto" w:fill="auto"/>
            <w:vAlign w:val="center"/>
            <w:hideMark/>
          </w:tcPr>
          <w:p w14:paraId="0F16F609"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04/19/2019</w:t>
            </w:r>
          </w:p>
        </w:tc>
        <w:tc>
          <w:tcPr>
            <w:tcW w:w="6317" w:type="dxa"/>
            <w:tcBorders>
              <w:top w:val="nil"/>
              <w:left w:val="nil"/>
              <w:bottom w:val="nil"/>
              <w:right w:val="nil"/>
            </w:tcBorders>
            <w:shd w:val="clear" w:color="auto" w:fill="auto"/>
            <w:vAlign w:val="center"/>
            <w:hideMark/>
          </w:tcPr>
          <w:p w14:paraId="7EE97276"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advanced RCC</w:t>
            </w:r>
          </w:p>
        </w:tc>
        <w:tc>
          <w:tcPr>
            <w:tcW w:w="3772" w:type="dxa"/>
            <w:tcBorders>
              <w:top w:val="nil"/>
              <w:left w:val="nil"/>
              <w:bottom w:val="nil"/>
              <w:right w:val="nil"/>
            </w:tcBorders>
            <w:shd w:val="clear" w:color="auto" w:fill="auto"/>
            <w:vAlign w:val="center"/>
            <w:hideMark/>
          </w:tcPr>
          <w:p w14:paraId="5CD905BD"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Axitinib</w:t>
            </w:r>
          </w:p>
        </w:tc>
        <w:tc>
          <w:tcPr>
            <w:tcW w:w="2851" w:type="dxa"/>
            <w:tcBorders>
              <w:top w:val="nil"/>
              <w:left w:val="nil"/>
              <w:bottom w:val="nil"/>
              <w:right w:val="nil"/>
            </w:tcBorders>
            <w:shd w:val="clear" w:color="auto" w:fill="auto"/>
            <w:noWrap/>
            <w:vAlign w:val="bottom"/>
            <w:hideMark/>
          </w:tcPr>
          <w:p w14:paraId="0CBDFAA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ICIs+anti-anginogenesis+chemotherapy</w:t>
            </w:r>
          </w:p>
        </w:tc>
      </w:tr>
      <w:tr w:rsidR="002C5022" w:rsidRPr="002C5022" w14:paraId="3A1653E5" w14:textId="77777777" w:rsidTr="00E51AFD">
        <w:trPr>
          <w:trHeight w:val="204"/>
        </w:trPr>
        <w:tc>
          <w:tcPr>
            <w:tcW w:w="1018" w:type="dxa"/>
            <w:tcBorders>
              <w:top w:val="nil"/>
              <w:left w:val="nil"/>
              <w:bottom w:val="nil"/>
              <w:right w:val="nil"/>
            </w:tcBorders>
            <w:shd w:val="clear" w:color="auto" w:fill="auto"/>
            <w:vAlign w:val="center"/>
            <w:hideMark/>
          </w:tcPr>
          <w:p w14:paraId="5F345E87"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05/14/2019</w:t>
            </w:r>
          </w:p>
        </w:tc>
        <w:tc>
          <w:tcPr>
            <w:tcW w:w="6317" w:type="dxa"/>
            <w:tcBorders>
              <w:top w:val="nil"/>
              <w:left w:val="nil"/>
              <w:bottom w:val="nil"/>
              <w:right w:val="nil"/>
            </w:tcBorders>
            <w:shd w:val="clear" w:color="auto" w:fill="auto"/>
            <w:vAlign w:val="center"/>
            <w:hideMark/>
          </w:tcPr>
          <w:p w14:paraId="771B4778"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advanced RCC</w:t>
            </w:r>
          </w:p>
        </w:tc>
        <w:tc>
          <w:tcPr>
            <w:tcW w:w="3772" w:type="dxa"/>
            <w:tcBorders>
              <w:top w:val="nil"/>
              <w:left w:val="nil"/>
              <w:bottom w:val="nil"/>
              <w:right w:val="nil"/>
            </w:tcBorders>
            <w:shd w:val="clear" w:color="auto" w:fill="auto"/>
            <w:vAlign w:val="center"/>
            <w:hideMark/>
          </w:tcPr>
          <w:p w14:paraId="6C91AC0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Avelumab + Axitinib</w:t>
            </w:r>
          </w:p>
        </w:tc>
        <w:tc>
          <w:tcPr>
            <w:tcW w:w="2851" w:type="dxa"/>
            <w:tcBorders>
              <w:top w:val="nil"/>
              <w:left w:val="nil"/>
              <w:bottom w:val="nil"/>
              <w:right w:val="nil"/>
            </w:tcBorders>
            <w:shd w:val="clear" w:color="auto" w:fill="auto"/>
            <w:noWrap/>
            <w:vAlign w:val="bottom"/>
            <w:hideMark/>
          </w:tcPr>
          <w:p w14:paraId="2B82201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w:t>
            </w:r>
          </w:p>
        </w:tc>
      </w:tr>
      <w:tr w:rsidR="002C5022" w:rsidRPr="002C5022" w14:paraId="61F21C44" w14:textId="77777777" w:rsidTr="00E51AFD">
        <w:trPr>
          <w:trHeight w:val="204"/>
        </w:trPr>
        <w:tc>
          <w:tcPr>
            <w:tcW w:w="1018" w:type="dxa"/>
            <w:tcBorders>
              <w:top w:val="nil"/>
              <w:left w:val="nil"/>
              <w:bottom w:val="nil"/>
              <w:right w:val="nil"/>
            </w:tcBorders>
            <w:shd w:val="clear" w:color="auto" w:fill="auto"/>
            <w:vAlign w:val="center"/>
            <w:hideMark/>
          </w:tcPr>
          <w:p w14:paraId="059D58D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05/24/2019</w:t>
            </w:r>
          </w:p>
        </w:tc>
        <w:tc>
          <w:tcPr>
            <w:tcW w:w="6317" w:type="dxa"/>
            <w:tcBorders>
              <w:top w:val="nil"/>
              <w:left w:val="nil"/>
              <w:bottom w:val="nil"/>
              <w:right w:val="nil"/>
            </w:tcBorders>
            <w:shd w:val="clear" w:color="auto" w:fill="auto"/>
            <w:noWrap/>
            <w:vAlign w:val="center"/>
            <w:hideMark/>
          </w:tcPr>
          <w:p w14:paraId="006662D0"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(HER2)-negative, PIK3CA-mutated, advanced or metastatic breast cance</w:t>
            </w:r>
          </w:p>
        </w:tc>
        <w:tc>
          <w:tcPr>
            <w:tcW w:w="3772" w:type="dxa"/>
            <w:tcBorders>
              <w:top w:val="nil"/>
              <w:left w:val="nil"/>
              <w:bottom w:val="nil"/>
              <w:right w:val="nil"/>
            </w:tcBorders>
            <w:shd w:val="clear" w:color="auto" w:fill="auto"/>
            <w:noWrap/>
            <w:vAlign w:val="bottom"/>
            <w:hideMark/>
          </w:tcPr>
          <w:p w14:paraId="72E98134"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alpelisib+fulvestrant</w:t>
            </w:r>
          </w:p>
        </w:tc>
        <w:tc>
          <w:tcPr>
            <w:tcW w:w="2851" w:type="dxa"/>
            <w:tcBorders>
              <w:top w:val="nil"/>
              <w:left w:val="nil"/>
              <w:bottom w:val="nil"/>
              <w:right w:val="nil"/>
            </w:tcBorders>
            <w:shd w:val="clear" w:color="auto" w:fill="auto"/>
            <w:noWrap/>
            <w:vAlign w:val="bottom"/>
            <w:hideMark/>
          </w:tcPr>
          <w:p w14:paraId="030E983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71BD50E8" w14:textId="77777777" w:rsidTr="00E51AFD">
        <w:trPr>
          <w:trHeight w:val="204"/>
        </w:trPr>
        <w:tc>
          <w:tcPr>
            <w:tcW w:w="1018" w:type="dxa"/>
            <w:tcBorders>
              <w:top w:val="nil"/>
              <w:left w:val="nil"/>
              <w:bottom w:val="nil"/>
              <w:right w:val="nil"/>
            </w:tcBorders>
            <w:shd w:val="clear" w:color="auto" w:fill="auto"/>
            <w:vAlign w:val="center"/>
            <w:hideMark/>
          </w:tcPr>
          <w:p w14:paraId="203355F1"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05/28/2019</w:t>
            </w:r>
          </w:p>
        </w:tc>
        <w:tc>
          <w:tcPr>
            <w:tcW w:w="6317" w:type="dxa"/>
            <w:tcBorders>
              <w:top w:val="nil"/>
              <w:left w:val="nil"/>
              <w:bottom w:val="nil"/>
              <w:right w:val="nil"/>
            </w:tcBorders>
            <w:shd w:val="clear" w:color="auto" w:fill="auto"/>
            <w:noWrap/>
            <w:vAlign w:val="center"/>
            <w:hideMark/>
          </w:tcPr>
          <w:p w14:paraId="6C74C4FB"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MZL</w:t>
            </w:r>
          </w:p>
        </w:tc>
        <w:tc>
          <w:tcPr>
            <w:tcW w:w="3772" w:type="dxa"/>
            <w:tcBorders>
              <w:top w:val="nil"/>
              <w:left w:val="nil"/>
              <w:bottom w:val="nil"/>
              <w:right w:val="nil"/>
            </w:tcBorders>
            <w:shd w:val="clear" w:color="auto" w:fill="auto"/>
            <w:noWrap/>
            <w:vAlign w:val="bottom"/>
            <w:hideMark/>
          </w:tcPr>
          <w:p w14:paraId="56B5C77F"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lenalidomide+rituximab</w:t>
            </w:r>
          </w:p>
        </w:tc>
        <w:tc>
          <w:tcPr>
            <w:tcW w:w="2851" w:type="dxa"/>
            <w:tcBorders>
              <w:top w:val="nil"/>
              <w:left w:val="nil"/>
              <w:bottom w:val="nil"/>
              <w:right w:val="nil"/>
            </w:tcBorders>
            <w:shd w:val="clear" w:color="auto" w:fill="auto"/>
            <w:noWrap/>
            <w:vAlign w:val="bottom"/>
            <w:hideMark/>
          </w:tcPr>
          <w:p w14:paraId="16B325C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drug+immunomodulator</w:t>
            </w:r>
          </w:p>
        </w:tc>
      </w:tr>
      <w:tr w:rsidR="002C5022" w:rsidRPr="002C5022" w14:paraId="6943CE08" w14:textId="77777777" w:rsidTr="00E51AFD">
        <w:trPr>
          <w:trHeight w:val="204"/>
        </w:trPr>
        <w:tc>
          <w:tcPr>
            <w:tcW w:w="1018" w:type="dxa"/>
            <w:tcBorders>
              <w:top w:val="nil"/>
              <w:left w:val="nil"/>
              <w:bottom w:val="nil"/>
              <w:right w:val="nil"/>
            </w:tcBorders>
            <w:shd w:val="clear" w:color="auto" w:fill="auto"/>
            <w:vAlign w:val="center"/>
            <w:hideMark/>
          </w:tcPr>
          <w:p w14:paraId="06D5B9A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06/10/2019</w:t>
            </w:r>
          </w:p>
        </w:tc>
        <w:tc>
          <w:tcPr>
            <w:tcW w:w="6317" w:type="dxa"/>
            <w:tcBorders>
              <w:top w:val="nil"/>
              <w:left w:val="nil"/>
              <w:bottom w:val="nil"/>
              <w:right w:val="nil"/>
            </w:tcBorders>
            <w:shd w:val="clear" w:color="auto" w:fill="auto"/>
            <w:noWrap/>
            <w:vAlign w:val="center"/>
            <w:hideMark/>
          </w:tcPr>
          <w:p w14:paraId="50405917"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DLBCL</w:t>
            </w:r>
          </w:p>
        </w:tc>
        <w:tc>
          <w:tcPr>
            <w:tcW w:w="3772" w:type="dxa"/>
            <w:tcBorders>
              <w:top w:val="nil"/>
              <w:left w:val="nil"/>
              <w:bottom w:val="nil"/>
              <w:right w:val="nil"/>
            </w:tcBorders>
            <w:shd w:val="clear" w:color="auto" w:fill="auto"/>
            <w:noWrap/>
            <w:vAlign w:val="bottom"/>
            <w:hideMark/>
          </w:tcPr>
          <w:p w14:paraId="4FA6B93F"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vedotin-piiq+bendamustine</w:t>
            </w:r>
          </w:p>
        </w:tc>
        <w:tc>
          <w:tcPr>
            <w:tcW w:w="2851" w:type="dxa"/>
            <w:tcBorders>
              <w:top w:val="nil"/>
              <w:left w:val="nil"/>
              <w:bottom w:val="nil"/>
              <w:right w:val="nil"/>
            </w:tcBorders>
            <w:shd w:val="clear" w:color="auto" w:fill="auto"/>
            <w:noWrap/>
            <w:vAlign w:val="bottom"/>
            <w:hideMark/>
          </w:tcPr>
          <w:p w14:paraId="4A1D835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080488B3" w14:textId="77777777" w:rsidTr="00E51AFD">
        <w:trPr>
          <w:trHeight w:val="204"/>
        </w:trPr>
        <w:tc>
          <w:tcPr>
            <w:tcW w:w="1018" w:type="dxa"/>
            <w:tcBorders>
              <w:top w:val="nil"/>
              <w:left w:val="nil"/>
              <w:bottom w:val="nil"/>
              <w:right w:val="nil"/>
            </w:tcBorders>
            <w:shd w:val="clear" w:color="auto" w:fill="auto"/>
            <w:vAlign w:val="center"/>
            <w:hideMark/>
          </w:tcPr>
          <w:p w14:paraId="694402A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06/11/2019</w:t>
            </w:r>
          </w:p>
        </w:tc>
        <w:tc>
          <w:tcPr>
            <w:tcW w:w="6317" w:type="dxa"/>
            <w:tcBorders>
              <w:top w:val="nil"/>
              <w:left w:val="nil"/>
              <w:bottom w:val="nil"/>
              <w:right w:val="nil"/>
            </w:tcBorders>
            <w:shd w:val="clear" w:color="auto" w:fill="auto"/>
            <w:vAlign w:val="center"/>
            <w:hideMark/>
          </w:tcPr>
          <w:p w14:paraId="712713F7"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HNSCC</w:t>
            </w:r>
          </w:p>
        </w:tc>
        <w:tc>
          <w:tcPr>
            <w:tcW w:w="3772" w:type="dxa"/>
            <w:tcBorders>
              <w:top w:val="nil"/>
              <w:left w:val="nil"/>
              <w:bottom w:val="nil"/>
              <w:right w:val="nil"/>
            </w:tcBorders>
            <w:shd w:val="clear" w:color="auto" w:fill="auto"/>
            <w:vAlign w:val="center"/>
            <w:hideMark/>
          </w:tcPr>
          <w:p w14:paraId="0335CD44"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Chemotherapy</w:t>
            </w:r>
          </w:p>
        </w:tc>
        <w:tc>
          <w:tcPr>
            <w:tcW w:w="2851" w:type="dxa"/>
            <w:tcBorders>
              <w:top w:val="nil"/>
              <w:left w:val="nil"/>
              <w:bottom w:val="nil"/>
              <w:right w:val="nil"/>
            </w:tcBorders>
            <w:shd w:val="clear" w:color="auto" w:fill="auto"/>
            <w:noWrap/>
            <w:vAlign w:val="bottom"/>
            <w:hideMark/>
          </w:tcPr>
          <w:p w14:paraId="421057C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51197CA4" w14:textId="77777777" w:rsidTr="00E51AFD">
        <w:trPr>
          <w:trHeight w:val="204"/>
        </w:trPr>
        <w:tc>
          <w:tcPr>
            <w:tcW w:w="1018" w:type="dxa"/>
            <w:tcBorders>
              <w:top w:val="nil"/>
              <w:left w:val="nil"/>
              <w:bottom w:val="nil"/>
              <w:right w:val="nil"/>
            </w:tcBorders>
            <w:shd w:val="clear" w:color="auto" w:fill="auto"/>
            <w:vAlign w:val="center"/>
            <w:hideMark/>
          </w:tcPr>
          <w:p w14:paraId="30FCFADE"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06/17/2019</w:t>
            </w:r>
          </w:p>
        </w:tc>
        <w:tc>
          <w:tcPr>
            <w:tcW w:w="6317" w:type="dxa"/>
            <w:tcBorders>
              <w:top w:val="nil"/>
              <w:left w:val="nil"/>
              <w:bottom w:val="nil"/>
              <w:right w:val="nil"/>
            </w:tcBorders>
            <w:shd w:val="clear" w:color="auto" w:fill="auto"/>
            <w:vAlign w:val="center"/>
            <w:hideMark/>
          </w:tcPr>
          <w:p w14:paraId="7430E732"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Metastatic SCLC</w:t>
            </w:r>
          </w:p>
        </w:tc>
        <w:tc>
          <w:tcPr>
            <w:tcW w:w="3772" w:type="dxa"/>
            <w:tcBorders>
              <w:top w:val="nil"/>
              <w:left w:val="nil"/>
              <w:bottom w:val="nil"/>
              <w:right w:val="nil"/>
            </w:tcBorders>
            <w:shd w:val="clear" w:color="auto" w:fill="auto"/>
            <w:vAlign w:val="center"/>
            <w:hideMark/>
          </w:tcPr>
          <w:p w14:paraId="13224D1F"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Chemotherapy</w:t>
            </w:r>
          </w:p>
        </w:tc>
        <w:tc>
          <w:tcPr>
            <w:tcW w:w="2851" w:type="dxa"/>
            <w:tcBorders>
              <w:top w:val="nil"/>
              <w:left w:val="nil"/>
              <w:bottom w:val="nil"/>
              <w:right w:val="nil"/>
            </w:tcBorders>
            <w:shd w:val="clear" w:color="auto" w:fill="auto"/>
            <w:noWrap/>
            <w:vAlign w:val="bottom"/>
            <w:hideMark/>
          </w:tcPr>
          <w:p w14:paraId="25F55DB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335AAC6B" w14:textId="77777777" w:rsidTr="00E51AFD">
        <w:trPr>
          <w:trHeight w:val="204"/>
        </w:trPr>
        <w:tc>
          <w:tcPr>
            <w:tcW w:w="1018" w:type="dxa"/>
            <w:tcBorders>
              <w:top w:val="nil"/>
              <w:left w:val="nil"/>
              <w:bottom w:val="nil"/>
              <w:right w:val="nil"/>
            </w:tcBorders>
            <w:shd w:val="clear" w:color="auto" w:fill="auto"/>
            <w:vAlign w:val="center"/>
            <w:hideMark/>
          </w:tcPr>
          <w:p w14:paraId="59CF71C6"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09/17/2019</w:t>
            </w:r>
          </w:p>
        </w:tc>
        <w:tc>
          <w:tcPr>
            <w:tcW w:w="6317" w:type="dxa"/>
            <w:tcBorders>
              <w:top w:val="nil"/>
              <w:left w:val="nil"/>
              <w:bottom w:val="nil"/>
              <w:right w:val="nil"/>
            </w:tcBorders>
            <w:shd w:val="clear" w:color="auto" w:fill="auto"/>
            <w:vAlign w:val="center"/>
            <w:hideMark/>
          </w:tcPr>
          <w:p w14:paraId="064C9CBD"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Advanced endometrial carcinoma</w:t>
            </w:r>
          </w:p>
        </w:tc>
        <w:tc>
          <w:tcPr>
            <w:tcW w:w="3772" w:type="dxa"/>
            <w:tcBorders>
              <w:top w:val="nil"/>
              <w:left w:val="nil"/>
              <w:bottom w:val="nil"/>
              <w:right w:val="nil"/>
            </w:tcBorders>
            <w:shd w:val="clear" w:color="auto" w:fill="auto"/>
            <w:vAlign w:val="center"/>
            <w:hideMark/>
          </w:tcPr>
          <w:p w14:paraId="4425B00A"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Pembrolizumab + Lenvatinib</w:t>
            </w:r>
          </w:p>
        </w:tc>
        <w:tc>
          <w:tcPr>
            <w:tcW w:w="2851" w:type="dxa"/>
            <w:tcBorders>
              <w:top w:val="nil"/>
              <w:left w:val="nil"/>
              <w:bottom w:val="nil"/>
              <w:right w:val="nil"/>
            </w:tcBorders>
            <w:shd w:val="clear" w:color="auto" w:fill="auto"/>
            <w:noWrap/>
            <w:vAlign w:val="bottom"/>
            <w:hideMark/>
          </w:tcPr>
          <w:p w14:paraId="74DF3E0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inhibitor+chemotherapy</w:t>
            </w:r>
          </w:p>
        </w:tc>
      </w:tr>
      <w:tr w:rsidR="002C5022" w:rsidRPr="002C5022" w14:paraId="106A84CD" w14:textId="77777777" w:rsidTr="00E51AFD">
        <w:trPr>
          <w:trHeight w:val="204"/>
        </w:trPr>
        <w:tc>
          <w:tcPr>
            <w:tcW w:w="1018" w:type="dxa"/>
            <w:tcBorders>
              <w:top w:val="nil"/>
              <w:left w:val="nil"/>
              <w:bottom w:val="nil"/>
              <w:right w:val="nil"/>
            </w:tcBorders>
            <w:shd w:val="clear" w:color="auto" w:fill="auto"/>
            <w:vAlign w:val="center"/>
            <w:hideMark/>
          </w:tcPr>
          <w:p w14:paraId="389548AF"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12/03/2019</w:t>
            </w:r>
          </w:p>
        </w:tc>
        <w:tc>
          <w:tcPr>
            <w:tcW w:w="6317" w:type="dxa"/>
            <w:tcBorders>
              <w:top w:val="nil"/>
              <w:left w:val="nil"/>
              <w:bottom w:val="nil"/>
              <w:right w:val="nil"/>
            </w:tcBorders>
            <w:shd w:val="clear" w:color="auto" w:fill="auto"/>
            <w:vAlign w:val="center"/>
            <w:hideMark/>
          </w:tcPr>
          <w:p w14:paraId="521223CF" w14:textId="77777777" w:rsidR="002C5022" w:rsidRPr="002C5022" w:rsidRDefault="002C5022" w:rsidP="00E51AFD">
            <w:pPr>
              <w:jc w:val="both"/>
              <w:rPr>
                <w:rFonts w:eastAsia="Times New Roman"/>
                <w:color w:val="212121"/>
                <w:sz w:val="16"/>
                <w:szCs w:val="16"/>
                <w:lang w:val="en-HK" w:eastAsia="zh-CN"/>
              </w:rPr>
            </w:pPr>
            <w:r w:rsidRPr="002C5022">
              <w:rPr>
                <w:rFonts w:eastAsia="Times New Roman"/>
                <w:color w:val="212121"/>
                <w:sz w:val="16"/>
                <w:szCs w:val="16"/>
                <w:lang w:val="en-HK" w:eastAsia="zh-CN"/>
              </w:rPr>
              <w:t>First-line Metastatic NSCLC without EGFR/ALK aberrations</w:t>
            </w:r>
          </w:p>
        </w:tc>
        <w:tc>
          <w:tcPr>
            <w:tcW w:w="3772" w:type="dxa"/>
            <w:tcBorders>
              <w:top w:val="nil"/>
              <w:left w:val="nil"/>
              <w:bottom w:val="nil"/>
              <w:right w:val="nil"/>
            </w:tcBorders>
            <w:shd w:val="clear" w:color="auto" w:fill="auto"/>
            <w:vAlign w:val="center"/>
            <w:hideMark/>
          </w:tcPr>
          <w:p w14:paraId="1CF4ABEB" w14:textId="77777777" w:rsidR="002C5022" w:rsidRPr="002C5022" w:rsidRDefault="002C5022" w:rsidP="002C5022">
            <w:pPr>
              <w:rPr>
                <w:rFonts w:eastAsia="Times New Roman"/>
                <w:color w:val="212121"/>
                <w:sz w:val="16"/>
                <w:szCs w:val="16"/>
                <w:lang w:val="en-HK" w:eastAsia="zh-CN"/>
              </w:rPr>
            </w:pPr>
            <w:r w:rsidRPr="002C5022">
              <w:rPr>
                <w:rFonts w:eastAsia="Times New Roman"/>
                <w:color w:val="212121"/>
                <w:sz w:val="16"/>
                <w:szCs w:val="16"/>
                <w:lang w:val="en-HK" w:eastAsia="zh-CN"/>
              </w:rPr>
              <w:t>Atezolizumab + Nab-paclitaxel + Carboplatin</w:t>
            </w:r>
          </w:p>
        </w:tc>
        <w:tc>
          <w:tcPr>
            <w:tcW w:w="2851" w:type="dxa"/>
            <w:tcBorders>
              <w:top w:val="nil"/>
              <w:left w:val="nil"/>
              <w:bottom w:val="nil"/>
              <w:right w:val="nil"/>
            </w:tcBorders>
            <w:shd w:val="clear" w:color="auto" w:fill="auto"/>
            <w:noWrap/>
            <w:vAlign w:val="bottom"/>
            <w:hideMark/>
          </w:tcPr>
          <w:p w14:paraId="7174298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77D28702" w14:textId="77777777" w:rsidTr="00E51AFD">
        <w:trPr>
          <w:trHeight w:val="204"/>
        </w:trPr>
        <w:tc>
          <w:tcPr>
            <w:tcW w:w="1018" w:type="dxa"/>
            <w:tcBorders>
              <w:top w:val="nil"/>
              <w:left w:val="nil"/>
              <w:bottom w:val="nil"/>
              <w:right w:val="nil"/>
            </w:tcBorders>
            <w:shd w:val="clear" w:color="auto" w:fill="auto"/>
            <w:noWrap/>
            <w:vAlign w:val="bottom"/>
            <w:hideMark/>
          </w:tcPr>
          <w:p w14:paraId="6175751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3/2/2020</w:t>
            </w:r>
          </w:p>
        </w:tc>
        <w:tc>
          <w:tcPr>
            <w:tcW w:w="6317" w:type="dxa"/>
            <w:tcBorders>
              <w:top w:val="nil"/>
              <w:left w:val="nil"/>
              <w:bottom w:val="nil"/>
              <w:right w:val="nil"/>
            </w:tcBorders>
            <w:shd w:val="clear" w:color="auto" w:fill="auto"/>
            <w:noWrap/>
            <w:vAlign w:val="center"/>
            <w:hideMark/>
          </w:tcPr>
          <w:p w14:paraId="72195A7A"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multiple myeloma</w:t>
            </w:r>
          </w:p>
        </w:tc>
        <w:tc>
          <w:tcPr>
            <w:tcW w:w="3772" w:type="dxa"/>
            <w:tcBorders>
              <w:top w:val="nil"/>
              <w:left w:val="nil"/>
              <w:bottom w:val="nil"/>
              <w:right w:val="nil"/>
            </w:tcBorders>
            <w:shd w:val="clear" w:color="auto" w:fill="auto"/>
            <w:noWrap/>
            <w:vAlign w:val="bottom"/>
            <w:hideMark/>
          </w:tcPr>
          <w:p w14:paraId="51B0EED5"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isatuximab-irfc+pomalidomide</w:t>
            </w:r>
          </w:p>
        </w:tc>
        <w:tc>
          <w:tcPr>
            <w:tcW w:w="2851" w:type="dxa"/>
            <w:tcBorders>
              <w:top w:val="nil"/>
              <w:left w:val="nil"/>
              <w:bottom w:val="nil"/>
              <w:right w:val="nil"/>
            </w:tcBorders>
            <w:shd w:val="clear" w:color="auto" w:fill="auto"/>
            <w:noWrap/>
            <w:vAlign w:val="bottom"/>
            <w:hideMark/>
          </w:tcPr>
          <w:p w14:paraId="0BC74C9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drug+immunomodulator</w:t>
            </w:r>
          </w:p>
        </w:tc>
      </w:tr>
      <w:tr w:rsidR="002C5022" w:rsidRPr="002C5022" w14:paraId="2497C4C1" w14:textId="77777777" w:rsidTr="00E51AFD">
        <w:trPr>
          <w:trHeight w:val="204"/>
        </w:trPr>
        <w:tc>
          <w:tcPr>
            <w:tcW w:w="1018" w:type="dxa"/>
            <w:tcBorders>
              <w:top w:val="nil"/>
              <w:left w:val="nil"/>
              <w:bottom w:val="nil"/>
              <w:right w:val="nil"/>
            </w:tcBorders>
            <w:shd w:val="clear" w:color="auto" w:fill="auto"/>
            <w:noWrap/>
            <w:vAlign w:val="bottom"/>
            <w:hideMark/>
          </w:tcPr>
          <w:p w14:paraId="62925A7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3/10/2020</w:t>
            </w:r>
          </w:p>
        </w:tc>
        <w:tc>
          <w:tcPr>
            <w:tcW w:w="6317" w:type="dxa"/>
            <w:tcBorders>
              <w:top w:val="nil"/>
              <w:left w:val="nil"/>
              <w:bottom w:val="nil"/>
              <w:right w:val="nil"/>
            </w:tcBorders>
            <w:shd w:val="clear" w:color="auto" w:fill="auto"/>
            <w:noWrap/>
            <w:vAlign w:val="center"/>
            <w:hideMark/>
          </w:tcPr>
          <w:p w14:paraId="23A5D2D0"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hepatocellular carcinoma</w:t>
            </w:r>
          </w:p>
        </w:tc>
        <w:tc>
          <w:tcPr>
            <w:tcW w:w="3772" w:type="dxa"/>
            <w:tcBorders>
              <w:top w:val="nil"/>
              <w:left w:val="nil"/>
              <w:bottom w:val="nil"/>
              <w:right w:val="nil"/>
            </w:tcBorders>
            <w:shd w:val="clear" w:color="auto" w:fill="auto"/>
            <w:noWrap/>
            <w:vAlign w:val="bottom"/>
            <w:hideMark/>
          </w:tcPr>
          <w:p w14:paraId="2B953CE5"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nivolumab+ipilimumab</w:t>
            </w:r>
          </w:p>
        </w:tc>
        <w:tc>
          <w:tcPr>
            <w:tcW w:w="2851" w:type="dxa"/>
            <w:tcBorders>
              <w:top w:val="nil"/>
              <w:left w:val="nil"/>
              <w:bottom w:val="nil"/>
              <w:right w:val="nil"/>
            </w:tcBorders>
            <w:shd w:val="clear" w:color="auto" w:fill="auto"/>
            <w:noWrap/>
            <w:vAlign w:val="bottom"/>
            <w:hideMark/>
          </w:tcPr>
          <w:p w14:paraId="174DF40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4710A1D9" w14:textId="77777777" w:rsidTr="00E51AFD">
        <w:trPr>
          <w:trHeight w:val="204"/>
        </w:trPr>
        <w:tc>
          <w:tcPr>
            <w:tcW w:w="1018" w:type="dxa"/>
            <w:tcBorders>
              <w:top w:val="nil"/>
              <w:left w:val="nil"/>
              <w:bottom w:val="nil"/>
              <w:right w:val="nil"/>
            </w:tcBorders>
            <w:shd w:val="clear" w:color="auto" w:fill="auto"/>
            <w:noWrap/>
            <w:vAlign w:val="bottom"/>
            <w:hideMark/>
          </w:tcPr>
          <w:p w14:paraId="6D63DE8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2/25/2020</w:t>
            </w:r>
          </w:p>
        </w:tc>
        <w:tc>
          <w:tcPr>
            <w:tcW w:w="6317" w:type="dxa"/>
            <w:tcBorders>
              <w:top w:val="nil"/>
              <w:left w:val="nil"/>
              <w:bottom w:val="nil"/>
              <w:right w:val="nil"/>
            </w:tcBorders>
            <w:shd w:val="clear" w:color="auto" w:fill="auto"/>
            <w:noWrap/>
            <w:vAlign w:val="center"/>
            <w:hideMark/>
          </w:tcPr>
          <w:p w14:paraId="2B5CC6A6"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HER3-positive breast cancer</w:t>
            </w:r>
          </w:p>
        </w:tc>
        <w:tc>
          <w:tcPr>
            <w:tcW w:w="3772" w:type="dxa"/>
            <w:tcBorders>
              <w:top w:val="nil"/>
              <w:left w:val="nil"/>
              <w:bottom w:val="nil"/>
              <w:right w:val="nil"/>
            </w:tcBorders>
            <w:shd w:val="clear" w:color="auto" w:fill="auto"/>
            <w:noWrap/>
            <w:vAlign w:val="bottom"/>
            <w:hideMark/>
          </w:tcPr>
          <w:p w14:paraId="213D8D7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 xml:space="preserve">neratinib+capecitabine </w:t>
            </w:r>
          </w:p>
        </w:tc>
        <w:tc>
          <w:tcPr>
            <w:tcW w:w="2851" w:type="dxa"/>
            <w:tcBorders>
              <w:top w:val="nil"/>
              <w:left w:val="nil"/>
              <w:bottom w:val="nil"/>
              <w:right w:val="nil"/>
            </w:tcBorders>
            <w:shd w:val="clear" w:color="auto" w:fill="auto"/>
            <w:noWrap/>
            <w:vAlign w:val="bottom"/>
            <w:hideMark/>
          </w:tcPr>
          <w:p w14:paraId="5169132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inhibitor/Anti-angiogenesis+small molecular inhibtor</w:t>
            </w:r>
          </w:p>
        </w:tc>
      </w:tr>
      <w:tr w:rsidR="002C5022" w:rsidRPr="002C5022" w14:paraId="3895EAE4" w14:textId="77777777" w:rsidTr="00E51AFD">
        <w:trPr>
          <w:trHeight w:val="204"/>
        </w:trPr>
        <w:tc>
          <w:tcPr>
            <w:tcW w:w="1018" w:type="dxa"/>
            <w:tcBorders>
              <w:top w:val="nil"/>
              <w:left w:val="nil"/>
              <w:bottom w:val="nil"/>
              <w:right w:val="nil"/>
            </w:tcBorders>
            <w:shd w:val="clear" w:color="auto" w:fill="auto"/>
            <w:noWrap/>
            <w:vAlign w:val="bottom"/>
            <w:hideMark/>
          </w:tcPr>
          <w:p w14:paraId="641DE42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3/30/2020</w:t>
            </w:r>
          </w:p>
        </w:tc>
        <w:tc>
          <w:tcPr>
            <w:tcW w:w="6317" w:type="dxa"/>
            <w:tcBorders>
              <w:top w:val="nil"/>
              <w:left w:val="nil"/>
              <w:bottom w:val="nil"/>
              <w:right w:val="nil"/>
            </w:tcBorders>
            <w:shd w:val="clear" w:color="auto" w:fill="auto"/>
            <w:noWrap/>
            <w:vAlign w:val="center"/>
            <w:hideMark/>
          </w:tcPr>
          <w:p w14:paraId="69C5F88A"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small cell lung cancer</w:t>
            </w:r>
          </w:p>
        </w:tc>
        <w:tc>
          <w:tcPr>
            <w:tcW w:w="3772" w:type="dxa"/>
            <w:tcBorders>
              <w:top w:val="nil"/>
              <w:left w:val="nil"/>
              <w:bottom w:val="nil"/>
              <w:right w:val="nil"/>
            </w:tcBorders>
            <w:shd w:val="clear" w:color="auto" w:fill="auto"/>
            <w:noWrap/>
            <w:vAlign w:val="bottom"/>
            <w:hideMark/>
          </w:tcPr>
          <w:p w14:paraId="6ADCC09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durvalumab+etoposide and either carboplatin or cisplatin</w:t>
            </w:r>
          </w:p>
        </w:tc>
        <w:tc>
          <w:tcPr>
            <w:tcW w:w="2851" w:type="dxa"/>
            <w:tcBorders>
              <w:top w:val="nil"/>
              <w:left w:val="nil"/>
              <w:bottom w:val="nil"/>
              <w:right w:val="nil"/>
            </w:tcBorders>
            <w:shd w:val="clear" w:color="auto" w:fill="auto"/>
            <w:noWrap/>
            <w:vAlign w:val="bottom"/>
            <w:hideMark/>
          </w:tcPr>
          <w:p w14:paraId="31D44CE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64F03C49" w14:textId="77777777" w:rsidTr="00E51AFD">
        <w:trPr>
          <w:trHeight w:val="204"/>
        </w:trPr>
        <w:tc>
          <w:tcPr>
            <w:tcW w:w="1018" w:type="dxa"/>
            <w:tcBorders>
              <w:top w:val="nil"/>
              <w:left w:val="nil"/>
              <w:bottom w:val="nil"/>
              <w:right w:val="nil"/>
            </w:tcBorders>
            <w:shd w:val="clear" w:color="auto" w:fill="auto"/>
            <w:noWrap/>
            <w:vAlign w:val="bottom"/>
            <w:hideMark/>
          </w:tcPr>
          <w:p w14:paraId="6A610B8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4/8/2020</w:t>
            </w:r>
          </w:p>
        </w:tc>
        <w:tc>
          <w:tcPr>
            <w:tcW w:w="6317" w:type="dxa"/>
            <w:tcBorders>
              <w:top w:val="nil"/>
              <w:left w:val="nil"/>
              <w:bottom w:val="nil"/>
              <w:right w:val="nil"/>
            </w:tcBorders>
            <w:shd w:val="clear" w:color="auto" w:fill="auto"/>
            <w:noWrap/>
            <w:vAlign w:val="center"/>
            <w:hideMark/>
          </w:tcPr>
          <w:p w14:paraId="28047763"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metastatic colorectal cancer with a BRAF V601E mutation</w:t>
            </w:r>
          </w:p>
        </w:tc>
        <w:tc>
          <w:tcPr>
            <w:tcW w:w="3772" w:type="dxa"/>
            <w:tcBorders>
              <w:top w:val="nil"/>
              <w:left w:val="nil"/>
              <w:bottom w:val="nil"/>
              <w:right w:val="nil"/>
            </w:tcBorders>
            <w:shd w:val="clear" w:color="auto" w:fill="auto"/>
            <w:noWrap/>
            <w:vAlign w:val="bottom"/>
            <w:hideMark/>
          </w:tcPr>
          <w:p w14:paraId="4E64EB0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encorafenib+cetuximab</w:t>
            </w:r>
          </w:p>
        </w:tc>
        <w:tc>
          <w:tcPr>
            <w:tcW w:w="2851" w:type="dxa"/>
            <w:tcBorders>
              <w:top w:val="nil"/>
              <w:left w:val="nil"/>
              <w:bottom w:val="nil"/>
              <w:right w:val="nil"/>
            </w:tcBorders>
            <w:shd w:val="clear" w:color="auto" w:fill="auto"/>
            <w:noWrap/>
            <w:vAlign w:val="bottom"/>
            <w:hideMark/>
          </w:tcPr>
          <w:p w14:paraId="1099521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drug+small molecular inhibitor</w:t>
            </w:r>
          </w:p>
        </w:tc>
      </w:tr>
      <w:tr w:rsidR="00E51AFD" w:rsidRPr="002C5022" w14:paraId="7802172A" w14:textId="77777777" w:rsidTr="00E51AFD">
        <w:trPr>
          <w:trHeight w:val="204"/>
        </w:trPr>
        <w:tc>
          <w:tcPr>
            <w:tcW w:w="1018" w:type="dxa"/>
            <w:tcBorders>
              <w:top w:val="nil"/>
              <w:left w:val="nil"/>
              <w:bottom w:val="nil"/>
              <w:right w:val="nil"/>
            </w:tcBorders>
            <w:shd w:val="clear" w:color="auto" w:fill="auto"/>
            <w:noWrap/>
            <w:vAlign w:val="bottom"/>
          </w:tcPr>
          <w:p w14:paraId="61C44053" w14:textId="77777777" w:rsidR="00E51AFD" w:rsidRPr="002C5022" w:rsidRDefault="00E51AFD" w:rsidP="002C5022">
            <w:pPr>
              <w:rPr>
                <w:rFonts w:eastAsia="Times New Roman"/>
                <w:sz w:val="16"/>
                <w:szCs w:val="16"/>
                <w:lang w:val="en-HK" w:eastAsia="zh-CN"/>
              </w:rPr>
            </w:pPr>
          </w:p>
        </w:tc>
        <w:tc>
          <w:tcPr>
            <w:tcW w:w="6317" w:type="dxa"/>
            <w:tcBorders>
              <w:top w:val="nil"/>
              <w:left w:val="nil"/>
              <w:bottom w:val="nil"/>
              <w:right w:val="nil"/>
            </w:tcBorders>
            <w:shd w:val="clear" w:color="auto" w:fill="auto"/>
            <w:noWrap/>
            <w:vAlign w:val="center"/>
          </w:tcPr>
          <w:p w14:paraId="40E4A531" w14:textId="77777777" w:rsidR="00E51AFD" w:rsidRPr="002C5022" w:rsidRDefault="00E51AFD" w:rsidP="00E51AFD">
            <w:pPr>
              <w:jc w:val="both"/>
              <w:rPr>
                <w:rFonts w:eastAsia="Times New Roman"/>
                <w:sz w:val="16"/>
                <w:szCs w:val="16"/>
                <w:lang w:val="en-HK" w:eastAsia="zh-CN"/>
              </w:rPr>
            </w:pPr>
          </w:p>
        </w:tc>
        <w:tc>
          <w:tcPr>
            <w:tcW w:w="3772" w:type="dxa"/>
            <w:tcBorders>
              <w:top w:val="nil"/>
              <w:left w:val="nil"/>
              <w:bottom w:val="nil"/>
              <w:right w:val="nil"/>
            </w:tcBorders>
            <w:shd w:val="clear" w:color="auto" w:fill="auto"/>
            <w:noWrap/>
            <w:vAlign w:val="bottom"/>
          </w:tcPr>
          <w:p w14:paraId="1EA21801" w14:textId="77777777" w:rsidR="00E51AFD" w:rsidRPr="002C5022" w:rsidRDefault="00E51AFD" w:rsidP="002C5022">
            <w:pPr>
              <w:rPr>
                <w:rFonts w:eastAsia="Times New Roman"/>
                <w:sz w:val="16"/>
                <w:szCs w:val="16"/>
                <w:lang w:val="en-HK" w:eastAsia="zh-CN"/>
              </w:rPr>
            </w:pPr>
          </w:p>
        </w:tc>
        <w:tc>
          <w:tcPr>
            <w:tcW w:w="2851" w:type="dxa"/>
            <w:tcBorders>
              <w:top w:val="nil"/>
              <w:left w:val="nil"/>
              <w:bottom w:val="nil"/>
              <w:right w:val="nil"/>
            </w:tcBorders>
            <w:shd w:val="clear" w:color="auto" w:fill="auto"/>
            <w:noWrap/>
            <w:vAlign w:val="bottom"/>
          </w:tcPr>
          <w:p w14:paraId="4B7F919D" w14:textId="77777777" w:rsidR="00E51AFD" w:rsidRPr="002C5022" w:rsidRDefault="00E51AFD" w:rsidP="002C5022">
            <w:pPr>
              <w:rPr>
                <w:rFonts w:eastAsia="Times New Roman"/>
                <w:sz w:val="16"/>
                <w:szCs w:val="16"/>
                <w:lang w:val="en-HK" w:eastAsia="zh-CN"/>
              </w:rPr>
            </w:pPr>
          </w:p>
        </w:tc>
      </w:tr>
      <w:tr w:rsidR="002C5022" w:rsidRPr="002C5022" w14:paraId="0F68DCDC" w14:textId="77777777" w:rsidTr="00E51AFD">
        <w:trPr>
          <w:trHeight w:val="204"/>
        </w:trPr>
        <w:tc>
          <w:tcPr>
            <w:tcW w:w="1018" w:type="dxa"/>
            <w:tcBorders>
              <w:top w:val="nil"/>
              <w:left w:val="nil"/>
              <w:bottom w:val="nil"/>
              <w:right w:val="nil"/>
            </w:tcBorders>
            <w:shd w:val="clear" w:color="auto" w:fill="auto"/>
            <w:noWrap/>
            <w:vAlign w:val="bottom"/>
            <w:hideMark/>
          </w:tcPr>
          <w:p w14:paraId="6F45B23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lastRenderedPageBreak/>
              <w:t>4/17/2020</w:t>
            </w:r>
          </w:p>
        </w:tc>
        <w:tc>
          <w:tcPr>
            <w:tcW w:w="6317" w:type="dxa"/>
            <w:tcBorders>
              <w:top w:val="nil"/>
              <w:left w:val="nil"/>
              <w:bottom w:val="nil"/>
              <w:right w:val="nil"/>
            </w:tcBorders>
            <w:shd w:val="clear" w:color="auto" w:fill="auto"/>
            <w:noWrap/>
            <w:vAlign w:val="center"/>
            <w:hideMark/>
          </w:tcPr>
          <w:p w14:paraId="5FD368F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HER3-positive metastatic breast cancer</w:t>
            </w:r>
          </w:p>
        </w:tc>
        <w:tc>
          <w:tcPr>
            <w:tcW w:w="3772" w:type="dxa"/>
            <w:tcBorders>
              <w:top w:val="nil"/>
              <w:left w:val="nil"/>
              <w:bottom w:val="nil"/>
              <w:right w:val="nil"/>
            </w:tcBorders>
            <w:shd w:val="clear" w:color="auto" w:fill="auto"/>
            <w:noWrap/>
            <w:vAlign w:val="bottom"/>
            <w:hideMark/>
          </w:tcPr>
          <w:p w14:paraId="4C6F669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tucatinib+trastuzumab+capecitabine</w:t>
            </w:r>
          </w:p>
        </w:tc>
        <w:tc>
          <w:tcPr>
            <w:tcW w:w="2851" w:type="dxa"/>
            <w:tcBorders>
              <w:top w:val="nil"/>
              <w:left w:val="nil"/>
              <w:bottom w:val="nil"/>
              <w:right w:val="nil"/>
            </w:tcBorders>
            <w:shd w:val="clear" w:color="auto" w:fill="auto"/>
            <w:noWrap/>
            <w:vAlign w:val="bottom"/>
            <w:hideMark/>
          </w:tcPr>
          <w:p w14:paraId="68BF569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drug/Anti-angiogenesis+small molecular inhibitor</w:t>
            </w:r>
          </w:p>
        </w:tc>
      </w:tr>
      <w:tr w:rsidR="002C5022" w:rsidRPr="002C5022" w14:paraId="3CD7DA4C" w14:textId="77777777" w:rsidTr="00E51AFD">
        <w:trPr>
          <w:trHeight w:val="204"/>
        </w:trPr>
        <w:tc>
          <w:tcPr>
            <w:tcW w:w="1018" w:type="dxa"/>
            <w:tcBorders>
              <w:top w:val="nil"/>
              <w:left w:val="nil"/>
              <w:bottom w:val="nil"/>
              <w:right w:val="nil"/>
            </w:tcBorders>
            <w:shd w:val="clear" w:color="auto" w:fill="auto"/>
            <w:noWrap/>
            <w:vAlign w:val="bottom"/>
            <w:hideMark/>
          </w:tcPr>
          <w:p w14:paraId="44ED91C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4/21/2020</w:t>
            </w:r>
          </w:p>
        </w:tc>
        <w:tc>
          <w:tcPr>
            <w:tcW w:w="6317" w:type="dxa"/>
            <w:tcBorders>
              <w:top w:val="nil"/>
              <w:left w:val="nil"/>
              <w:bottom w:val="nil"/>
              <w:right w:val="nil"/>
            </w:tcBorders>
            <w:shd w:val="clear" w:color="auto" w:fill="auto"/>
            <w:noWrap/>
            <w:vAlign w:val="center"/>
            <w:hideMark/>
          </w:tcPr>
          <w:p w14:paraId="68FE5F6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chronic lymphocytic leukemia</w:t>
            </w:r>
          </w:p>
        </w:tc>
        <w:tc>
          <w:tcPr>
            <w:tcW w:w="3772" w:type="dxa"/>
            <w:tcBorders>
              <w:top w:val="nil"/>
              <w:left w:val="nil"/>
              <w:bottom w:val="nil"/>
              <w:right w:val="nil"/>
            </w:tcBorders>
            <w:shd w:val="clear" w:color="auto" w:fill="auto"/>
            <w:noWrap/>
            <w:vAlign w:val="bottom"/>
            <w:hideMark/>
          </w:tcPr>
          <w:p w14:paraId="019FB42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ibrutinib+rituximab</w:t>
            </w:r>
          </w:p>
        </w:tc>
        <w:tc>
          <w:tcPr>
            <w:tcW w:w="2851" w:type="dxa"/>
            <w:tcBorders>
              <w:top w:val="nil"/>
              <w:left w:val="nil"/>
              <w:bottom w:val="nil"/>
              <w:right w:val="nil"/>
            </w:tcBorders>
            <w:shd w:val="clear" w:color="auto" w:fill="auto"/>
            <w:noWrap/>
            <w:vAlign w:val="bottom"/>
            <w:hideMark/>
          </w:tcPr>
          <w:p w14:paraId="66CF616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drug+small molecular inhibitor</w:t>
            </w:r>
          </w:p>
        </w:tc>
      </w:tr>
      <w:tr w:rsidR="002C5022" w:rsidRPr="002C5022" w14:paraId="20A3A149" w14:textId="77777777" w:rsidTr="00E51AFD">
        <w:trPr>
          <w:trHeight w:val="204"/>
        </w:trPr>
        <w:tc>
          <w:tcPr>
            <w:tcW w:w="1018" w:type="dxa"/>
            <w:tcBorders>
              <w:top w:val="nil"/>
              <w:left w:val="nil"/>
              <w:bottom w:val="nil"/>
              <w:right w:val="nil"/>
            </w:tcBorders>
            <w:shd w:val="clear" w:color="auto" w:fill="auto"/>
            <w:noWrap/>
            <w:vAlign w:val="bottom"/>
            <w:hideMark/>
          </w:tcPr>
          <w:p w14:paraId="3FDE77E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5/8/2020</w:t>
            </w:r>
          </w:p>
        </w:tc>
        <w:tc>
          <w:tcPr>
            <w:tcW w:w="6317" w:type="dxa"/>
            <w:tcBorders>
              <w:top w:val="nil"/>
              <w:left w:val="nil"/>
              <w:bottom w:val="nil"/>
              <w:right w:val="nil"/>
            </w:tcBorders>
            <w:shd w:val="clear" w:color="auto" w:fill="auto"/>
            <w:noWrap/>
            <w:vAlign w:val="center"/>
            <w:hideMark/>
          </w:tcPr>
          <w:p w14:paraId="54AB31D6"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ovarian, fallopian tube, or primary peritoneal cancers</w:t>
            </w:r>
          </w:p>
        </w:tc>
        <w:tc>
          <w:tcPr>
            <w:tcW w:w="3772" w:type="dxa"/>
            <w:tcBorders>
              <w:top w:val="nil"/>
              <w:left w:val="nil"/>
              <w:bottom w:val="nil"/>
              <w:right w:val="nil"/>
            </w:tcBorders>
            <w:shd w:val="clear" w:color="auto" w:fill="auto"/>
            <w:noWrap/>
            <w:vAlign w:val="bottom"/>
            <w:hideMark/>
          </w:tcPr>
          <w:p w14:paraId="46A3B2D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olaparib+bevacizumab</w:t>
            </w:r>
          </w:p>
        </w:tc>
        <w:tc>
          <w:tcPr>
            <w:tcW w:w="2851" w:type="dxa"/>
            <w:tcBorders>
              <w:top w:val="nil"/>
              <w:left w:val="nil"/>
              <w:bottom w:val="nil"/>
              <w:right w:val="nil"/>
            </w:tcBorders>
            <w:shd w:val="clear" w:color="auto" w:fill="auto"/>
            <w:noWrap/>
            <w:vAlign w:val="bottom"/>
            <w:hideMark/>
          </w:tcPr>
          <w:p w14:paraId="110FA7C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inhibitor+Anti-angiogenesis</w:t>
            </w:r>
          </w:p>
        </w:tc>
      </w:tr>
      <w:tr w:rsidR="002C5022" w:rsidRPr="002C5022" w14:paraId="3F1D608C" w14:textId="77777777" w:rsidTr="00E51AFD">
        <w:trPr>
          <w:trHeight w:val="309"/>
        </w:trPr>
        <w:tc>
          <w:tcPr>
            <w:tcW w:w="1018" w:type="dxa"/>
            <w:tcBorders>
              <w:top w:val="nil"/>
              <w:left w:val="nil"/>
              <w:bottom w:val="nil"/>
              <w:right w:val="nil"/>
            </w:tcBorders>
            <w:shd w:val="clear" w:color="auto" w:fill="auto"/>
            <w:noWrap/>
            <w:vAlign w:val="bottom"/>
            <w:hideMark/>
          </w:tcPr>
          <w:p w14:paraId="406F1EE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5/15/2020</w:t>
            </w:r>
          </w:p>
        </w:tc>
        <w:tc>
          <w:tcPr>
            <w:tcW w:w="6317" w:type="dxa"/>
            <w:tcBorders>
              <w:top w:val="nil"/>
              <w:left w:val="nil"/>
              <w:bottom w:val="nil"/>
              <w:right w:val="nil"/>
            </w:tcBorders>
            <w:shd w:val="clear" w:color="auto" w:fill="auto"/>
            <w:noWrap/>
            <w:vAlign w:val="center"/>
            <w:hideMark/>
          </w:tcPr>
          <w:p w14:paraId="02012BEF"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first-line mNSCLC (PD-L1 tumor expression</w:t>
            </w:r>
            <w:r w:rsidRPr="002C5022">
              <w:rPr>
                <w:rFonts w:ascii="等线 Light" w:eastAsia="等线 Light" w:hAnsi="等线 Light" w:hint="eastAsia"/>
                <w:sz w:val="16"/>
                <w:szCs w:val="16"/>
                <w:lang w:val="en-HK" w:eastAsia="zh-CN"/>
              </w:rPr>
              <w:t>≥</w:t>
            </w:r>
            <w:r w:rsidRPr="002C5022">
              <w:rPr>
                <w:rFonts w:eastAsia="Times New Roman"/>
                <w:sz w:val="16"/>
                <w:szCs w:val="16"/>
                <w:lang w:val="en-HK" w:eastAsia="zh-CN"/>
              </w:rPr>
              <w:t>2%)</w:t>
            </w:r>
          </w:p>
        </w:tc>
        <w:tc>
          <w:tcPr>
            <w:tcW w:w="3772" w:type="dxa"/>
            <w:tcBorders>
              <w:top w:val="nil"/>
              <w:left w:val="nil"/>
              <w:bottom w:val="nil"/>
              <w:right w:val="nil"/>
            </w:tcBorders>
            <w:shd w:val="clear" w:color="auto" w:fill="auto"/>
            <w:noWrap/>
            <w:vAlign w:val="bottom"/>
            <w:hideMark/>
          </w:tcPr>
          <w:p w14:paraId="01FF232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nivolumab+ipilimumab</w:t>
            </w:r>
          </w:p>
        </w:tc>
        <w:tc>
          <w:tcPr>
            <w:tcW w:w="2851" w:type="dxa"/>
            <w:tcBorders>
              <w:top w:val="nil"/>
              <w:left w:val="nil"/>
              <w:bottom w:val="nil"/>
              <w:right w:val="nil"/>
            </w:tcBorders>
            <w:shd w:val="clear" w:color="auto" w:fill="auto"/>
            <w:noWrap/>
            <w:vAlign w:val="bottom"/>
            <w:hideMark/>
          </w:tcPr>
          <w:p w14:paraId="33F452E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12012B98" w14:textId="77777777" w:rsidTr="00E51AFD">
        <w:trPr>
          <w:trHeight w:val="204"/>
        </w:trPr>
        <w:tc>
          <w:tcPr>
            <w:tcW w:w="1018" w:type="dxa"/>
            <w:tcBorders>
              <w:top w:val="nil"/>
              <w:left w:val="nil"/>
              <w:bottom w:val="nil"/>
              <w:right w:val="nil"/>
            </w:tcBorders>
            <w:shd w:val="clear" w:color="auto" w:fill="auto"/>
            <w:noWrap/>
            <w:vAlign w:val="bottom"/>
            <w:hideMark/>
          </w:tcPr>
          <w:p w14:paraId="650DBDF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5/25/2022</w:t>
            </w:r>
          </w:p>
        </w:tc>
        <w:tc>
          <w:tcPr>
            <w:tcW w:w="6317" w:type="dxa"/>
            <w:tcBorders>
              <w:top w:val="nil"/>
              <w:left w:val="nil"/>
              <w:bottom w:val="nil"/>
              <w:right w:val="nil"/>
            </w:tcBorders>
            <w:shd w:val="clear" w:color="auto" w:fill="auto"/>
            <w:noWrap/>
            <w:vAlign w:val="center"/>
            <w:hideMark/>
          </w:tcPr>
          <w:p w14:paraId="5B3E78A9"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newly diagnosed acute myeloid leukemia</w:t>
            </w:r>
          </w:p>
        </w:tc>
        <w:tc>
          <w:tcPr>
            <w:tcW w:w="3772" w:type="dxa"/>
            <w:tcBorders>
              <w:top w:val="nil"/>
              <w:left w:val="nil"/>
              <w:bottom w:val="nil"/>
              <w:right w:val="nil"/>
            </w:tcBorders>
            <w:shd w:val="clear" w:color="auto" w:fill="auto"/>
            <w:noWrap/>
            <w:vAlign w:val="bottom"/>
            <w:hideMark/>
          </w:tcPr>
          <w:p w14:paraId="06A7DED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ivosidenib+azacitidine</w:t>
            </w:r>
          </w:p>
        </w:tc>
        <w:tc>
          <w:tcPr>
            <w:tcW w:w="2851" w:type="dxa"/>
            <w:tcBorders>
              <w:top w:val="nil"/>
              <w:left w:val="nil"/>
              <w:bottom w:val="nil"/>
              <w:right w:val="nil"/>
            </w:tcBorders>
            <w:shd w:val="clear" w:color="auto" w:fill="auto"/>
            <w:noWrap/>
            <w:vAlign w:val="bottom"/>
            <w:hideMark/>
          </w:tcPr>
          <w:p w14:paraId="711D743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3322BA66" w14:textId="77777777" w:rsidTr="00E51AFD">
        <w:trPr>
          <w:trHeight w:val="204"/>
        </w:trPr>
        <w:tc>
          <w:tcPr>
            <w:tcW w:w="1018" w:type="dxa"/>
            <w:tcBorders>
              <w:top w:val="nil"/>
              <w:left w:val="nil"/>
              <w:bottom w:val="nil"/>
              <w:right w:val="nil"/>
            </w:tcBorders>
            <w:shd w:val="clear" w:color="auto" w:fill="auto"/>
            <w:noWrap/>
            <w:vAlign w:val="bottom"/>
            <w:hideMark/>
          </w:tcPr>
          <w:p w14:paraId="51F21B3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5/26/2020</w:t>
            </w:r>
          </w:p>
        </w:tc>
        <w:tc>
          <w:tcPr>
            <w:tcW w:w="6317" w:type="dxa"/>
            <w:tcBorders>
              <w:top w:val="nil"/>
              <w:left w:val="nil"/>
              <w:bottom w:val="nil"/>
              <w:right w:val="nil"/>
            </w:tcBorders>
            <w:shd w:val="clear" w:color="auto" w:fill="auto"/>
            <w:noWrap/>
            <w:vAlign w:val="center"/>
            <w:hideMark/>
          </w:tcPr>
          <w:p w14:paraId="500A10C0"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first-line treatment of metastatic NSCLC</w:t>
            </w:r>
          </w:p>
        </w:tc>
        <w:tc>
          <w:tcPr>
            <w:tcW w:w="3772" w:type="dxa"/>
            <w:tcBorders>
              <w:top w:val="nil"/>
              <w:left w:val="nil"/>
              <w:bottom w:val="nil"/>
              <w:right w:val="nil"/>
            </w:tcBorders>
            <w:shd w:val="clear" w:color="auto" w:fill="auto"/>
            <w:noWrap/>
            <w:vAlign w:val="bottom"/>
            <w:hideMark/>
          </w:tcPr>
          <w:p w14:paraId="2D31697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nivolumab+ipilimumab+chemotherapy</w:t>
            </w:r>
          </w:p>
        </w:tc>
        <w:tc>
          <w:tcPr>
            <w:tcW w:w="2851" w:type="dxa"/>
            <w:tcBorders>
              <w:top w:val="nil"/>
              <w:left w:val="nil"/>
              <w:bottom w:val="nil"/>
              <w:right w:val="nil"/>
            </w:tcBorders>
            <w:shd w:val="clear" w:color="auto" w:fill="auto"/>
            <w:noWrap/>
            <w:vAlign w:val="bottom"/>
            <w:hideMark/>
          </w:tcPr>
          <w:p w14:paraId="5BA7102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ICIs+ICIs+chemotherapy</w:t>
            </w:r>
          </w:p>
        </w:tc>
      </w:tr>
      <w:tr w:rsidR="002C5022" w:rsidRPr="002C5022" w14:paraId="3FE88A19" w14:textId="77777777" w:rsidTr="00E51AFD">
        <w:trPr>
          <w:trHeight w:val="204"/>
        </w:trPr>
        <w:tc>
          <w:tcPr>
            <w:tcW w:w="1018" w:type="dxa"/>
            <w:tcBorders>
              <w:top w:val="nil"/>
              <w:left w:val="nil"/>
              <w:bottom w:val="nil"/>
              <w:right w:val="nil"/>
            </w:tcBorders>
            <w:shd w:val="clear" w:color="auto" w:fill="auto"/>
            <w:noWrap/>
            <w:vAlign w:val="bottom"/>
            <w:hideMark/>
          </w:tcPr>
          <w:p w14:paraId="5655B0E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5/29/2020</w:t>
            </w:r>
          </w:p>
        </w:tc>
        <w:tc>
          <w:tcPr>
            <w:tcW w:w="6317" w:type="dxa"/>
            <w:tcBorders>
              <w:top w:val="nil"/>
              <w:left w:val="nil"/>
              <w:bottom w:val="nil"/>
              <w:right w:val="nil"/>
            </w:tcBorders>
            <w:shd w:val="clear" w:color="auto" w:fill="auto"/>
            <w:noWrap/>
            <w:vAlign w:val="center"/>
            <w:hideMark/>
          </w:tcPr>
          <w:p w14:paraId="30712DB8"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first-line metastatic NSCLC</w:t>
            </w:r>
          </w:p>
        </w:tc>
        <w:tc>
          <w:tcPr>
            <w:tcW w:w="3772" w:type="dxa"/>
            <w:tcBorders>
              <w:top w:val="nil"/>
              <w:left w:val="nil"/>
              <w:bottom w:val="nil"/>
              <w:right w:val="nil"/>
            </w:tcBorders>
            <w:shd w:val="clear" w:color="auto" w:fill="auto"/>
            <w:noWrap/>
            <w:vAlign w:val="bottom"/>
            <w:hideMark/>
          </w:tcPr>
          <w:p w14:paraId="00F3B97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ramucirumab+erlotinib</w:t>
            </w:r>
          </w:p>
        </w:tc>
        <w:tc>
          <w:tcPr>
            <w:tcW w:w="2851" w:type="dxa"/>
            <w:tcBorders>
              <w:top w:val="nil"/>
              <w:left w:val="nil"/>
              <w:bottom w:val="nil"/>
              <w:right w:val="nil"/>
            </w:tcBorders>
            <w:shd w:val="clear" w:color="auto" w:fill="auto"/>
            <w:noWrap/>
            <w:vAlign w:val="bottom"/>
            <w:hideMark/>
          </w:tcPr>
          <w:p w14:paraId="211F115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inhibitor+anti-angiogenesis</w:t>
            </w:r>
          </w:p>
        </w:tc>
      </w:tr>
      <w:tr w:rsidR="002C5022" w:rsidRPr="002C5022" w14:paraId="768C9689" w14:textId="77777777" w:rsidTr="00E51AFD">
        <w:trPr>
          <w:trHeight w:val="204"/>
        </w:trPr>
        <w:tc>
          <w:tcPr>
            <w:tcW w:w="1018" w:type="dxa"/>
            <w:tcBorders>
              <w:top w:val="nil"/>
              <w:left w:val="nil"/>
              <w:bottom w:val="nil"/>
              <w:right w:val="nil"/>
            </w:tcBorders>
            <w:shd w:val="clear" w:color="auto" w:fill="auto"/>
            <w:noWrap/>
            <w:vAlign w:val="bottom"/>
            <w:hideMark/>
          </w:tcPr>
          <w:p w14:paraId="5706CA7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5/29/2020</w:t>
            </w:r>
          </w:p>
        </w:tc>
        <w:tc>
          <w:tcPr>
            <w:tcW w:w="6317" w:type="dxa"/>
            <w:tcBorders>
              <w:top w:val="nil"/>
              <w:left w:val="nil"/>
              <w:bottom w:val="nil"/>
              <w:right w:val="nil"/>
            </w:tcBorders>
            <w:shd w:val="clear" w:color="auto" w:fill="auto"/>
            <w:noWrap/>
            <w:vAlign w:val="center"/>
            <w:hideMark/>
          </w:tcPr>
          <w:p w14:paraId="3A92369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unresectable hepatocellular carcinoma</w:t>
            </w:r>
          </w:p>
        </w:tc>
        <w:tc>
          <w:tcPr>
            <w:tcW w:w="3772" w:type="dxa"/>
            <w:tcBorders>
              <w:top w:val="nil"/>
              <w:left w:val="nil"/>
              <w:bottom w:val="nil"/>
              <w:right w:val="nil"/>
            </w:tcBorders>
            <w:shd w:val="clear" w:color="auto" w:fill="auto"/>
            <w:noWrap/>
            <w:vAlign w:val="bottom"/>
            <w:hideMark/>
          </w:tcPr>
          <w:p w14:paraId="1645D06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atezolizumab+bevacizumab</w:t>
            </w:r>
          </w:p>
        </w:tc>
        <w:tc>
          <w:tcPr>
            <w:tcW w:w="2851" w:type="dxa"/>
            <w:tcBorders>
              <w:top w:val="nil"/>
              <w:left w:val="nil"/>
              <w:bottom w:val="nil"/>
              <w:right w:val="nil"/>
            </w:tcBorders>
            <w:shd w:val="clear" w:color="auto" w:fill="auto"/>
            <w:noWrap/>
            <w:vAlign w:val="bottom"/>
            <w:hideMark/>
          </w:tcPr>
          <w:p w14:paraId="0F59793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ICIs+Anti-angiogenesis</w:t>
            </w:r>
          </w:p>
        </w:tc>
      </w:tr>
      <w:tr w:rsidR="002C5022" w:rsidRPr="002C5022" w14:paraId="4D5E6975" w14:textId="77777777" w:rsidTr="00E51AFD">
        <w:trPr>
          <w:trHeight w:val="204"/>
        </w:trPr>
        <w:tc>
          <w:tcPr>
            <w:tcW w:w="1018" w:type="dxa"/>
            <w:tcBorders>
              <w:top w:val="nil"/>
              <w:left w:val="nil"/>
              <w:bottom w:val="nil"/>
              <w:right w:val="nil"/>
            </w:tcBorders>
            <w:shd w:val="clear" w:color="auto" w:fill="auto"/>
            <w:noWrap/>
            <w:vAlign w:val="bottom"/>
            <w:hideMark/>
          </w:tcPr>
          <w:p w14:paraId="0A77F84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5/29/2020</w:t>
            </w:r>
          </w:p>
        </w:tc>
        <w:tc>
          <w:tcPr>
            <w:tcW w:w="6317" w:type="dxa"/>
            <w:tcBorders>
              <w:top w:val="nil"/>
              <w:left w:val="nil"/>
              <w:bottom w:val="nil"/>
              <w:right w:val="nil"/>
            </w:tcBorders>
            <w:shd w:val="clear" w:color="auto" w:fill="auto"/>
            <w:noWrap/>
            <w:vAlign w:val="center"/>
            <w:hideMark/>
          </w:tcPr>
          <w:p w14:paraId="377BEAC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first-line metastatic NSCLC</w:t>
            </w:r>
          </w:p>
        </w:tc>
        <w:tc>
          <w:tcPr>
            <w:tcW w:w="3772" w:type="dxa"/>
            <w:tcBorders>
              <w:top w:val="nil"/>
              <w:left w:val="nil"/>
              <w:bottom w:val="nil"/>
              <w:right w:val="nil"/>
            </w:tcBorders>
            <w:shd w:val="clear" w:color="auto" w:fill="auto"/>
            <w:noWrap/>
            <w:vAlign w:val="bottom"/>
            <w:hideMark/>
          </w:tcPr>
          <w:p w14:paraId="27EB606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ramucirumab+erlotinib</w:t>
            </w:r>
          </w:p>
        </w:tc>
        <w:tc>
          <w:tcPr>
            <w:tcW w:w="2851" w:type="dxa"/>
            <w:tcBorders>
              <w:top w:val="nil"/>
              <w:left w:val="nil"/>
              <w:bottom w:val="nil"/>
              <w:right w:val="nil"/>
            </w:tcBorders>
            <w:shd w:val="clear" w:color="auto" w:fill="auto"/>
            <w:noWrap/>
            <w:vAlign w:val="bottom"/>
            <w:hideMark/>
          </w:tcPr>
          <w:p w14:paraId="0BDD8C5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drug+small molecular inhibitor</w:t>
            </w:r>
          </w:p>
        </w:tc>
      </w:tr>
      <w:tr w:rsidR="002C5022" w:rsidRPr="002C5022" w14:paraId="1998EC43" w14:textId="77777777" w:rsidTr="00E51AFD">
        <w:trPr>
          <w:trHeight w:val="204"/>
        </w:trPr>
        <w:tc>
          <w:tcPr>
            <w:tcW w:w="1018" w:type="dxa"/>
            <w:tcBorders>
              <w:top w:val="nil"/>
              <w:left w:val="nil"/>
              <w:bottom w:val="nil"/>
              <w:right w:val="nil"/>
            </w:tcBorders>
            <w:shd w:val="clear" w:color="auto" w:fill="auto"/>
            <w:noWrap/>
            <w:vAlign w:val="bottom"/>
            <w:hideMark/>
          </w:tcPr>
          <w:p w14:paraId="3A0084A5"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6/29/2020</w:t>
            </w:r>
          </w:p>
        </w:tc>
        <w:tc>
          <w:tcPr>
            <w:tcW w:w="6317" w:type="dxa"/>
            <w:tcBorders>
              <w:top w:val="nil"/>
              <w:left w:val="nil"/>
              <w:bottom w:val="nil"/>
              <w:right w:val="nil"/>
            </w:tcBorders>
            <w:shd w:val="clear" w:color="auto" w:fill="auto"/>
            <w:noWrap/>
            <w:vAlign w:val="center"/>
            <w:hideMark/>
          </w:tcPr>
          <w:p w14:paraId="40ED914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HER3-positive breast cancer</w:t>
            </w:r>
          </w:p>
        </w:tc>
        <w:tc>
          <w:tcPr>
            <w:tcW w:w="3772" w:type="dxa"/>
            <w:tcBorders>
              <w:top w:val="nil"/>
              <w:left w:val="nil"/>
              <w:bottom w:val="nil"/>
              <w:right w:val="nil"/>
            </w:tcBorders>
            <w:shd w:val="clear" w:color="auto" w:fill="auto"/>
            <w:noWrap/>
            <w:vAlign w:val="bottom"/>
            <w:hideMark/>
          </w:tcPr>
          <w:p w14:paraId="74EBE4E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pertuzumab+trastuzumab+hyaluronidase-zzxf</w:t>
            </w:r>
          </w:p>
        </w:tc>
        <w:tc>
          <w:tcPr>
            <w:tcW w:w="2851" w:type="dxa"/>
            <w:tcBorders>
              <w:top w:val="nil"/>
              <w:left w:val="nil"/>
              <w:bottom w:val="nil"/>
              <w:right w:val="nil"/>
            </w:tcBorders>
            <w:shd w:val="clear" w:color="auto" w:fill="auto"/>
            <w:noWrap/>
            <w:vAlign w:val="bottom"/>
            <w:hideMark/>
          </w:tcPr>
          <w:p w14:paraId="18B9590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drug+monoclonal antibody drug</w:t>
            </w:r>
          </w:p>
        </w:tc>
      </w:tr>
      <w:tr w:rsidR="002C5022" w:rsidRPr="002C5022" w14:paraId="309BE99B" w14:textId="77777777" w:rsidTr="00E51AFD">
        <w:trPr>
          <w:trHeight w:val="204"/>
        </w:trPr>
        <w:tc>
          <w:tcPr>
            <w:tcW w:w="1018" w:type="dxa"/>
            <w:tcBorders>
              <w:top w:val="nil"/>
              <w:left w:val="nil"/>
              <w:bottom w:val="nil"/>
              <w:right w:val="nil"/>
            </w:tcBorders>
            <w:shd w:val="clear" w:color="auto" w:fill="auto"/>
            <w:noWrap/>
            <w:vAlign w:val="bottom"/>
            <w:hideMark/>
          </w:tcPr>
          <w:p w14:paraId="1AAC78D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7/7/2020</w:t>
            </w:r>
          </w:p>
        </w:tc>
        <w:tc>
          <w:tcPr>
            <w:tcW w:w="6317" w:type="dxa"/>
            <w:tcBorders>
              <w:top w:val="nil"/>
              <w:left w:val="nil"/>
              <w:bottom w:val="nil"/>
              <w:right w:val="nil"/>
            </w:tcBorders>
            <w:shd w:val="clear" w:color="auto" w:fill="auto"/>
            <w:noWrap/>
            <w:vAlign w:val="center"/>
            <w:hideMark/>
          </w:tcPr>
          <w:p w14:paraId="65A4BA47"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myelodysplastic syndromes</w:t>
            </w:r>
          </w:p>
        </w:tc>
        <w:tc>
          <w:tcPr>
            <w:tcW w:w="3772" w:type="dxa"/>
            <w:tcBorders>
              <w:top w:val="nil"/>
              <w:left w:val="nil"/>
              <w:bottom w:val="nil"/>
              <w:right w:val="nil"/>
            </w:tcBorders>
            <w:shd w:val="clear" w:color="auto" w:fill="auto"/>
            <w:noWrap/>
            <w:vAlign w:val="bottom"/>
            <w:hideMark/>
          </w:tcPr>
          <w:p w14:paraId="7B8B1E6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decitabine+cedazuridine</w:t>
            </w:r>
          </w:p>
        </w:tc>
        <w:tc>
          <w:tcPr>
            <w:tcW w:w="2851" w:type="dxa"/>
            <w:tcBorders>
              <w:top w:val="nil"/>
              <w:left w:val="nil"/>
              <w:bottom w:val="nil"/>
              <w:right w:val="nil"/>
            </w:tcBorders>
            <w:shd w:val="clear" w:color="auto" w:fill="auto"/>
            <w:noWrap/>
            <w:vAlign w:val="bottom"/>
            <w:hideMark/>
          </w:tcPr>
          <w:p w14:paraId="2319D20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34A1C874" w14:textId="77777777" w:rsidTr="00E51AFD">
        <w:trPr>
          <w:trHeight w:val="204"/>
        </w:trPr>
        <w:tc>
          <w:tcPr>
            <w:tcW w:w="1018" w:type="dxa"/>
            <w:tcBorders>
              <w:top w:val="nil"/>
              <w:left w:val="nil"/>
              <w:bottom w:val="nil"/>
              <w:right w:val="nil"/>
            </w:tcBorders>
            <w:shd w:val="clear" w:color="auto" w:fill="auto"/>
            <w:noWrap/>
            <w:vAlign w:val="bottom"/>
            <w:hideMark/>
          </w:tcPr>
          <w:p w14:paraId="685DB19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7/30/2020</w:t>
            </w:r>
          </w:p>
        </w:tc>
        <w:tc>
          <w:tcPr>
            <w:tcW w:w="6317" w:type="dxa"/>
            <w:tcBorders>
              <w:top w:val="nil"/>
              <w:left w:val="nil"/>
              <w:bottom w:val="nil"/>
              <w:right w:val="nil"/>
            </w:tcBorders>
            <w:shd w:val="clear" w:color="auto" w:fill="auto"/>
            <w:noWrap/>
            <w:vAlign w:val="center"/>
            <w:hideMark/>
          </w:tcPr>
          <w:p w14:paraId="6D726589"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BRAF V601 unresectable or metastatic melanoma</w:t>
            </w:r>
          </w:p>
        </w:tc>
        <w:tc>
          <w:tcPr>
            <w:tcW w:w="3772" w:type="dxa"/>
            <w:tcBorders>
              <w:top w:val="nil"/>
              <w:left w:val="nil"/>
              <w:bottom w:val="nil"/>
              <w:right w:val="nil"/>
            </w:tcBorders>
            <w:shd w:val="clear" w:color="auto" w:fill="auto"/>
            <w:noWrap/>
            <w:vAlign w:val="bottom"/>
            <w:hideMark/>
          </w:tcPr>
          <w:p w14:paraId="58AE32C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atezolizumab+cobimetinib</w:t>
            </w:r>
          </w:p>
        </w:tc>
        <w:tc>
          <w:tcPr>
            <w:tcW w:w="2851" w:type="dxa"/>
            <w:tcBorders>
              <w:top w:val="nil"/>
              <w:left w:val="nil"/>
              <w:bottom w:val="nil"/>
              <w:right w:val="nil"/>
            </w:tcBorders>
            <w:shd w:val="clear" w:color="auto" w:fill="auto"/>
            <w:noWrap/>
            <w:vAlign w:val="bottom"/>
            <w:hideMark/>
          </w:tcPr>
          <w:p w14:paraId="2DDDE4D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w:t>
            </w:r>
          </w:p>
        </w:tc>
      </w:tr>
      <w:tr w:rsidR="002C5022" w:rsidRPr="002C5022" w14:paraId="6B3D8015" w14:textId="77777777" w:rsidTr="00E51AFD">
        <w:trPr>
          <w:trHeight w:val="204"/>
        </w:trPr>
        <w:tc>
          <w:tcPr>
            <w:tcW w:w="1018" w:type="dxa"/>
            <w:tcBorders>
              <w:top w:val="nil"/>
              <w:left w:val="nil"/>
              <w:bottom w:val="nil"/>
              <w:right w:val="nil"/>
            </w:tcBorders>
            <w:shd w:val="clear" w:color="auto" w:fill="auto"/>
            <w:noWrap/>
            <w:vAlign w:val="bottom"/>
            <w:hideMark/>
          </w:tcPr>
          <w:p w14:paraId="3D93DFA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7/31/2020</w:t>
            </w:r>
          </w:p>
        </w:tc>
        <w:tc>
          <w:tcPr>
            <w:tcW w:w="6317" w:type="dxa"/>
            <w:tcBorders>
              <w:top w:val="nil"/>
              <w:left w:val="nil"/>
              <w:bottom w:val="nil"/>
              <w:right w:val="nil"/>
            </w:tcBorders>
            <w:shd w:val="clear" w:color="auto" w:fill="auto"/>
            <w:noWrap/>
            <w:vAlign w:val="center"/>
            <w:hideMark/>
          </w:tcPr>
          <w:p w14:paraId="6CF72D5B"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DLBCL</w:t>
            </w:r>
          </w:p>
        </w:tc>
        <w:tc>
          <w:tcPr>
            <w:tcW w:w="3772" w:type="dxa"/>
            <w:tcBorders>
              <w:top w:val="nil"/>
              <w:left w:val="nil"/>
              <w:bottom w:val="nil"/>
              <w:right w:val="nil"/>
            </w:tcBorders>
            <w:shd w:val="clear" w:color="auto" w:fill="auto"/>
            <w:noWrap/>
            <w:vAlign w:val="bottom"/>
            <w:hideMark/>
          </w:tcPr>
          <w:p w14:paraId="6193DE4A"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tafasitamab-cxix+lenalidomide</w:t>
            </w:r>
          </w:p>
        </w:tc>
        <w:tc>
          <w:tcPr>
            <w:tcW w:w="2851" w:type="dxa"/>
            <w:tcBorders>
              <w:top w:val="nil"/>
              <w:left w:val="nil"/>
              <w:bottom w:val="nil"/>
              <w:right w:val="nil"/>
            </w:tcBorders>
            <w:shd w:val="clear" w:color="auto" w:fill="auto"/>
            <w:noWrap/>
            <w:vAlign w:val="bottom"/>
            <w:hideMark/>
          </w:tcPr>
          <w:p w14:paraId="00C39BD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drug+immunomodulator</w:t>
            </w:r>
          </w:p>
        </w:tc>
      </w:tr>
      <w:tr w:rsidR="002C5022" w:rsidRPr="002C5022" w14:paraId="143D69FD" w14:textId="77777777" w:rsidTr="00E51AFD">
        <w:trPr>
          <w:trHeight w:val="204"/>
        </w:trPr>
        <w:tc>
          <w:tcPr>
            <w:tcW w:w="1018" w:type="dxa"/>
            <w:tcBorders>
              <w:top w:val="nil"/>
              <w:left w:val="nil"/>
              <w:bottom w:val="nil"/>
              <w:right w:val="nil"/>
            </w:tcBorders>
            <w:shd w:val="clear" w:color="auto" w:fill="auto"/>
            <w:noWrap/>
            <w:vAlign w:val="bottom"/>
            <w:hideMark/>
          </w:tcPr>
          <w:p w14:paraId="316799B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8/20/2020</w:t>
            </w:r>
          </w:p>
        </w:tc>
        <w:tc>
          <w:tcPr>
            <w:tcW w:w="6317" w:type="dxa"/>
            <w:tcBorders>
              <w:top w:val="nil"/>
              <w:left w:val="nil"/>
              <w:bottom w:val="nil"/>
              <w:right w:val="nil"/>
            </w:tcBorders>
            <w:shd w:val="clear" w:color="auto" w:fill="auto"/>
            <w:noWrap/>
            <w:vAlign w:val="center"/>
            <w:hideMark/>
          </w:tcPr>
          <w:p w14:paraId="6E800E9D"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multiple myeloma</w:t>
            </w:r>
          </w:p>
        </w:tc>
        <w:tc>
          <w:tcPr>
            <w:tcW w:w="3772" w:type="dxa"/>
            <w:tcBorders>
              <w:top w:val="nil"/>
              <w:left w:val="nil"/>
              <w:bottom w:val="nil"/>
              <w:right w:val="nil"/>
            </w:tcBorders>
            <w:shd w:val="clear" w:color="auto" w:fill="auto"/>
            <w:noWrap/>
            <w:vAlign w:val="bottom"/>
            <w:hideMark/>
          </w:tcPr>
          <w:p w14:paraId="41BD8BC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carfilzomib+daratumumab</w:t>
            </w:r>
          </w:p>
        </w:tc>
        <w:tc>
          <w:tcPr>
            <w:tcW w:w="2851" w:type="dxa"/>
            <w:tcBorders>
              <w:top w:val="nil"/>
              <w:left w:val="nil"/>
              <w:bottom w:val="nil"/>
              <w:right w:val="nil"/>
            </w:tcBorders>
            <w:shd w:val="clear" w:color="auto" w:fill="auto"/>
            <w:noWrap/>
            <w:vAlign w:val="bottom"/>
            <w:hideMark/>
          </w:tcPr>
          <w:p w14:paraId="1FA83D1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inhibitor+monoclonal antibody drug</w:t>
            </w:r>
          </w:p>
        </w:tc>
      </w:tr>
      <w:tr w:rsidR="002C5022" w:rsidRPr="002C5022" w14:paraId="4A6903C9" w14:textId="77777777" w:rsidTr="00E51AFD">
        <w:trPr>
          <w:trHeight w:val="204"/>
        </w:trPr>
        <w:tc>
          <w:tcPr>
            <w:tcW w:w="1018" w:type="dxa"/>
            <w:tcBorders>
              <w:top w:val="nil"/>
              <w:left w:val="nil"/>
              <w:bottom w:val="nil"/>
              <w:right w:val="nil"/>
            </w:tcBorders>
            <w:shd w:val="clear" w:color="auto" w:fill="auto"/>
            <w:noWrap/>
            <w:vAlign w:val="bottom"/>
            <w:hideMark/>
          </w:tcPr>
          <w:p w14:paraId="1317CA55"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9/8/2020</w:t>
            </w:r>
          </w:p>
        </w:tc>
        <w:tc>
          <w:tcPr>
            <w:tcW w:w="6317" w:type="dxa"/>
            <w:tcBorders>
              <w:top w:val="nil"/>
              <w:left w:val="nil"/>
              <w:bottom w:val="nil"/>
              <w:right w:val="nil"/>
            </w:tcBorders>
            <w:shd w:val="clear" w:color="auto" w:fill="auto"/>
            <w:noWrap/>
            <w:vAlign w:val="center"/>
            <w:hideMark/>
          </w:tcPr>
          <w:p w14:paraId="12B9D3EE"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breast cancer</w:t>
            </w:r>
          </w:p>
        </w:tc>
        <w:tc>
          <w:tcPr>
            <w:tcW w:w="3772" w:type="dxa"/>
            <w:tcBorders>
              <w:top w:val="nil"/>
              <w:left w:val="nil"/>
              <w:bottom w:val="nil"/>
              <w:right w:val="nil"/>
            </w:tcBorders>
            <w:shd w:val="clear" w:color="auto" w:fill="auto"/>
            <w:noWrap/>
            <w:vAlign w:val="bottom"/>
            <w:hideMark/>
          </w:tcPr>
          <w:p w14:paraId="7E041C03"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atezolizumab+paclitaxel</w:t>
            </w:r>
          </w:p>
        </w:tc>
        <w:tc>
          <w:tcPr>
            <w:tcW w:w="2851" w:type="dxa"/>
            <w:tcBorders>
              <w:top w:val="nil"/>
              <w:left w:val="nil"/>
              <w:bottom w:val="nil"/>
              <w:right w:val="nil"/>
            </w:tcBorders>
            <w:shd w:val="clear" w:color="auto" w:fill="auto"/>
            <w:noWrap/>
            <w:vAlign w:val="bottom"/>
            <w:hideMark/>
          </w:tcPr>
          <w:p w14:paraId="7EB3950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3C140E97" w14:textId="77777777" w:rsidTr="00E51AFD">
        <w:trPr>
          <w:trHeight w:val="204"/>
        </w:trPr>
        <w:tc>
          <w:tcPr>
            <w:tcW w:w="1018" w:type="dxa"/>
            <w:tcBorders>
              <w:top w:val="nil"/>
              <w:left w:val="nil"/>
              <w:bottom w:val="nil"/>
              <w:right w:val="nil"/>
            </w:tcBorders>
            <w:shd w:val="clear" w:color="auto" w:fill="auto"/>
            <w:noWrap/>
            <w:vAlign w:val="bottom"/>
            <w:hideMark/>
          </w:tcPr>
          <w:p w14:paraId="39C3128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10/2/2020</w:t>
            </w:r>
          </w:p>
        </w:tc>
        <w:tc>
          <w:tcPr>
            <w:tcW w:w="6317" w:type="dxa"/>
            <w:tcBorders>
              <w:top w:val="nil"/>
              <w:left w:val="nil"/>
              <w:bottom w:val="nil"/>
              <w:right w:val="nil"/>
            </w:tcBorders>
            <w:shd w:val="clear" w:color="auto" w:fill="auto"/>
            <w:noWrap/>
            <w:vAlign w:val="center"/>
            <w:hideMark/>
          </w:tcPr>
          <w:p w14:paraId="0BABB7F1"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unresectable malignant pleural mesothelioma</w:t>
            </w:r>
          </w:p>
        </w:tc>
        <w:tc>
          <w:tcPr>
            <w:tcW w:w="3772" w:type="dxa"/>
            <w:tcBorders>
              <w:top w:val="nil"/>
              <w:left w:val="nil"/>
              <w:bottom w:val="nil"/>
              <w:right w:val="nil"/>
            </w:tcBorders>
            <w:shd w:val="clear" w:color="auto" w:fill="auto"/>
            <w:noWrap/>
            <w:vAlign w:val="bottom"/>
            <w:hideMark/>
          </w:tcPr>
          <w:p w14:paraId="55BC50A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nivolumab+ipilimumab</w:t>
            </w:r>
          </w:p>
        </w:tc>
        <w:tc>
          <w:tcPr>
            <w:tcW w:w="2851" w:type="dxa"/>
            <w:tcBorders>
              <w:top w:val="nil"/>
              <w:left w:val="nil"/>
              <w:bottom w:val="nil"/>
              <w:right w:val="nil"/>
            </w:tcBorders>
            <w:shd w:val="clear" w:color="auto" w:fill="auto"/>
            <w:noWrap/>
            <w:vAlign w:val="bottom"/>
            <w:hideMark/>
          </w:tcPr>
          <w:p w14:paraId="346FB23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4E247437" w14:textId="77777777" w:rsidTr="00E51AFD">
        <w:trPr>
          <w:trHeight w:val="204"/>
        </w:trPr>
        <w:tc>
          <w:tcPr>
            <w:tcW w:w="1018" w:type="dxa"/>
            <w:tcBorders>
              <w:top w:val="nil"/>
              <w:left w:val="nil"/>
              <w:bottom w:val="nil"/>
              <w:right w:val="nil"/>
            </w:tcBorders>
            <w:shd w:val="clear" w:color="auto" w:fill="auto"/>
            <w:noWrap/>
            <w:vAlign w:val="bottom"/>
            <w:hideMark/>
          </w:tcPr>
          <w:p w14:paraId="68809C4E"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10/16/2020</w:t>
            </w:r>
          </w:p>
        </w:tc>
        <w:tc>
          <w:tcPr>
            <w:tcW w:w="6317" w:type="dxa"/>
            <w:tcBorders>
              <w:top w:val="nil"/>
              <w:left w:val="nil"/>
              <w:bottom w:val="nil"/>
              <w:right w:val="nil"/>
            </w:tcBorders>
            <w:shd w:val="clear" w:color="auto" w:fill="auto"/>
            <w:noWrap/>
            <w:vAlign w:val="center"/>
            <w:hideMark/>
          </w:tcPr>
          <w:p w14:paraId="28F95A4B"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AML in adults 75 years or older</w:t>
            </w:r>
          </w:p>
        </w:tc>
        <w:tc>
          <w:tcPr>
            <w:tcW w:w="3772" w:type="dxa"/>
            <w:tcBorders>
              <w:top w:val="nil"/>
              <w:left w:val="nil"/>
              <w:bottom w:val="nil"/>
              <w:right w:val="nil"/>
            </w:tcBorders>
            <w:shd w:val="clear" w:color="auto" w:fill="auto"/>
            <w:noWrap/>
            <w:vAlign w:val="bottom"/>
            <w:hideMark/>
          </w:tcPr>
          <w:p w14:paraId="0109AFB0"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venetoclax+azacitidine, decitabine, or low-dose cytarabine (LDAC)</w:t>
            </w:r>
          </w:p>
        </w:tc>
        <w:tc>
          <w:tcPr>
            <w:tcW w:w="2851" w:type="dxa"/>
            <w:tcBorders>
              <w:top w:val="nil"/>
              <w:left w:val="nil"/>
              <w:bottom w:val="nil"/>
              <w:right w:val="nil"/>
            </w:tcBorders>
            <w:shd w:val="clear" w:color="auto" w:fill="auto"/>
            <w:noWrap/>
            <w:vAlign w:val="bottom"/>
            <w:hideMark/>
          </w:tcPr>
          <w:p w14:paraId="6BA5AE8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inhibitor+chemotherapy</w:t>
            </w:r>
          </w:p>
        </w:tc>
      </w:tr>
      <w:tr w:rsidR="002C5022" w:rsidRPr="002C5022" w14:paraId="1CCB081B" w14:textId="77777777" w:rsidTr="00E51AFD">
        <w:trPr>
          <w:trHeight w:val="204"/>
        </w:trPr>
        <w:tc>
          <w:tcPr>
            <w:tcW w:w="1018" w:type="dxa"/>
            <w:tcBorders>
              <w:top w:val="nil"/>
              <w:left w:val="nil"/>
              <w:bottom w:val="nil"/>
              <w:right w:val="nil"/>
            </w:tcBorders>
            <w:shd w:val="clear" w:color="auto" w:fill="auto"/>
            <w:noWrap/>
            <w:vAlign w:val="bottom"/>
            <w:hideMark/>
          </w:tcPr>
          <w:p w14:paraId="678B2FD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11/25/2020</w:t>
            </w:r>
          </w:p>
        </w:tc>
        <w:tc>
          <w:tcPr>
            <w:tcW w:w="6317" w:type="dxa"/>
            <w:tcBorders>
              <w:top w:val="nil"/>
              <w:left w:val="nil"/>
              <w:bottom w:val="nil"/>
              <w:right w:val="nil"/>
            </w:tcBorders>
            <w:shd w:val="clear" w:color="auto" w:fill="auto"/>
            <w:noWrap/>
            <w:vAlign w:val="center"/>
            <w:hideMark/>
          </w:tcPr>
          <w:p w14:paraId="61B6CDA7" w14:textId="1C44A9A1"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 xml:space="preserve">TNBC whose tumors express PD-L1 (CPS </w:t>
            </w:r>
            <w:r w:rsidRPr="002C5022">
              <w:rPr>
                <w:rFonts w:ascii="等线 Light" w:eastAsia="等线 Light" w:hAnsi="等线 Light" w:hint="eastAsia"/>
                <w:sz w:val="16"/>
                <w:szCs w:val="16"/>
                <w:lang w:val="en-HK" w:eastAsia="zh-CN"/>
              </w:rPr>
              <w:t>≥</w:t>
            </w:r>
            <w:r w:rsidRPr="002C5022">
              <w:rPr>
                <w:rFonts w:eastAsia="Times New Roman"/>
                <w:sz w:val="16"/>
                <w:szCs w:val="16"/>
                <w:lang w:val="en-HK" w:eastAsia="zh-CN"/>
              </w:rPr>
              <w:t>10)</w:t>
            </w:r>
          </w:p>
        </w:tc>
        <w:tc>
          <w:tcPr>
            <w:tcW w:w="3772" w:type="dxa"/>
            <w:tcBorders>
              <w:top w:val="nil"/>
              <w:left w:val="nil"/>
              <w:bottom w:val="nil"/>
              <w:right w:val="nil"/>
            </w:tcBorders>
            <w:shd w:val="clear" w:color="auto" w:fill="auto"/>
            <w:noWrap/>
            <w:vAlign w:val="bottom"/>
            <w:hideMark/>
          </w:tcPr>
          <w:p w14:paraId="3CFC6040"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pembrolizumab+chemotherapy</w:t>
            </w:r>
          </w:p>
        </w:tc>
        <w:tc>
          <w:tcPr>
            <w:tcW w:w="2851" w:type="dxa"/>
            <w:tcBorders>
              <w:top w:val="nil"/>
              <w:left w:val="nil"/>
              <w:bottom w:val="nil"/>
              <w:right w:val="nil"/>
            </w:tcBorders>
            <w:shd w:val="clear" w:color="auto" w:fill="auto"/>
            <w:noWrap/>
            <w:vAlign w:val="bottom"/>
            <w:hideMark/>
          </w:tcPr>
          <w:p w14:paraId="3905564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30C56E3A" w14:textId="77777777" w:rsidTr="00E51AFD">
        <w:trPr>
          <w:trHeight w:val="204"/>
        </w:trPr>
        <w:tc>
          <w:tcPr>
            <w:tcW w:w="1018" w:type="dxa"/>
            <w:tcBorders>
              <w:top w:val="nil"/>
              <w:left w:val="nil"/>
              <w:bottom w:val="nil"/>
              <w:right w:val="nil"/>
            </w:tcBorders>
            <w:shd w:val="clear" w:color="auto" w:fill="auto"/>
            <w:noWrap/>
            <w:vAlign w:val="bottom"/>
            <w:hideMark/>
          </w:tcPr>
          <w:p w14:paraId="3402BD6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12/16/2020</w:t>
            </w:r>
          </w:p>
        </w:tc>
        <w:tc>
          <w:tcPr>
            <w:tcW w:w="6317" w:type="dxa"/>
            <w:tcBorders>
              <w:top w:val="nil"/>
              <w:left w:val="nil"/>
              <w:bottom w:val="nil"/>
              <w:right w:val="nil"/>
            </w:tcBorders>
            <w:shd w:val="clear" w:color="auto" w:fill="auto"/>
            <w:noWrap/>
            <w:vAlign w:val="center"/>
            <w:hideMark/>
          </w:tcPr>
          <w:p w14:paraId="6828670A" w14:textId="77777777" w:rsidR="002C5022" w:rsidRPr="002C5022" w:rsidRDefault="002C5022" w:rsidP="00E51AFD">
            <w:pPr>
              <w:jc w:val="both"/>
              <w:rPr>
                <w:rFonts w:eastAsia="Times New Roman"/>
                <w:color w:val="333333"/>
                <w:sz w:val="16"/>
                <w:szCs w:val="16"/>
                <w:lang w:val="en-HK" w:eastAsia="zh-CN"/>
              </w:rPr>
            </w:pPr>
            <w:r w:rsidRPr="002C5022">
              <w:rPr>
                <w:rFonts w:eastAsia="Times New Roman"/>
                <w:color w:val="333333"/>
                <w:sz w:val="16"/>
                <w:szCs w:val="16"/>
                <w:lang w:val="en-HK" w:eastAsia="zh-CN"/>
              </w:rPr>
              <w:t>metastatic HER2-positive breast cancer who have received two or more prior anti-HER2 regimens</w:t>
            </w:r>
          </w:p>
        </w:tc>
        <w:tc>
          <w:tcPr>
            <w:tcW w:w="3772" w:type="dxa"/>
            <w:tcBorders>
              <w:top w:val="nil"/>
              <w:left w:val="nil"/>
              <w:bottom w:val="nil"/>
              <w:right w:val="nil"/>
            </w:tcBorders>
            <w:shd w:val="clear" w:color="auto" w:fill="auto"/>
            <w:noWrap/>
            <w:vAlign w:val="bottom"/>
            <w:hideMark/>
          </w:tcPr>
          <w:p w14:paraId="7105CFEF" w14:textId="77777777" w:rsidR="002C5022" w:rsidRPr="002C5022" w:rsidRDefault="002C5022" w:rsidP="002C5022">
            <w:pPr>
              <w:rPr>
                <w:rFonts w:eastAsia="Times New Roman"/>
                <w:color w:val="333333"/>
                <w:sz w:val="16"/>
                <w:szCs w:val="16"/>
                <w:lang w:val="en-HK" w:eastAsia="zh-CN"/>
              </w:rPr>
            </w:pPr>
            <w:r w:rsidRPr="002C5022">
              <w:rPr>
                <w:rFonts w:eastAsia="Times New Roman"/>
                <w:color w:val="333333"/>
                <w:sz w:val="16"/>
                <w:szCs w:val="16"/>
                <w:lang w:val="en-HK" w:eastAsia="zh-CN"/>
              </w:rPr>
              <w:t>margetuximab-cmkb+chemotherapy</w:t>
            </w:r>
          </w:p>
        </w:tc>
        <w:tc>
          <w:tcPr>
            <w:tcW w:w="2851" w:type="dxa"/>
            <w:tcBorders>
              <w:top w:val="nil"/>
              <w:left w:val="nil"/>
              <w:bottom w:val="nil"/>
              <w:right w:val="nil"/>
            </w:tcBorders>
            <w:shd w:val="clear" w:color="auto" w:fill="auto"/>
            <w:noWrap/>
            <w:vAlign w:val="bottom"/>
            <w:hideMark/>
          </w:tcPr>
          <w:p w14:paraId="0706F3D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294F3E79" w14:textId="77777777" w:rsidTr="00E51AFD">
        <w:trPr>
          <w:trHeight w:val="204"/>
        </w:trPr>
        <w:tc>
          <w:tcPr>
            <w:tcW w:w="1018" w:type="dxa"/>
            <w:tcBorders>
              <w:top w:val="nil"/>
              <w:left w:val="nil"/>
              <w:bottom w:val="nil"/>
              <w:right w:val="nil"/>
            </w:tcBorders>
            <w:shd w:val="clear" w:color="auto" w:fill="auto"/>
            <w:noWrap/>
            <w:vAlign w:val="bottom"/>
            <w:hideMark/>
          </w:tcPr>
          <w:p w14:paraId="212268D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1/22/2021</w:t>
            </w:r>
          </w:p>
        </w:tc>
        <w:tc>
          <w:tcPr>
            <w:tcW w:w="6317" w:type="dxa"/>
            <w:tcBorders>
              <w:top w:val="nil"/>
              <w:left w:val="nil"/>
              <w:bottom w:val="nil"/>
              <w:right w:val="nil"/>
            </w:tcBorders>
            <w:shd w:val="clear" w:color="auto" w:fill="auto"/>
            <w:noWrap/>
            <w:vAlign w:val="center"/>
            <w:hideMark/>
          </w:tcPr>
          <w:p w14:paraId="401D85D5"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advanced renal cell carcinoma</w:t>
            </w:r>
          </w:p>
        </w:tc>
        <w:tc>
          <w:tcPr>
            <w:tcW w:w="3772" w:type="dxa"/>
            <w:tcBorders>
              <w:top w:val="nil"/>
              <w:left w:val="nil"/>
              <w:bottom w:val="nil"/>
              <w:right w:val="nil"/>
            </w:tcBorders>
            <w:shd w:val="clear" w:color="auto" w:fill="auto"/>
            <w:noWrap/>
            <w:vAlign w:val="bottom"/>
            <w:hideMark/>
          </w:tcPr>
          <w:p w14:paraId="47A401E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nivolumab+cabozantinib</w:t>
            </w:r>
          </w:p>
        </w:tc>
        <w:tc>
          <w:tcPr>
            <w:tcW w:w="2851" w:type="dxa"/>
            <w:tcBorders>
              <w:top w:val="nil"/>
              <w:left w:val="nil"/>
              <w:bottom w:val="nil"/>
              <w:right w:val="nil"/>
            </w:tcBorders>
            <w:shd w:val="clear" w:color="auto" w:fill="auto"/>
            <w:noWrap/>
            <w:vAlign w:val="bottom"/>
            <w:hideMark/>
          </w:tcPr>
          <w:p w14:paraId="79EA370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w:t>
            </w:r>
          </w:p>
        </w:tc>
      </w:tr>
      <w:tr w:rsidR="002C5022" w:rsidRPr="002C5022" w14:paraId="08EAE895" w14:textId="77777777" w:rsidTr="00E51AFD">
        <w:trPr>
          <w:trHeight w:val="204"/>
        </w:trPr>
        <w:tc>
          <w:tcPr>
            <w:tcW w:w="1018" w:type="dxa"/>
            <w:tcBorders>
              <w:top w:val="nil"/>
              <w:left w:val="nil"/>
              <w:bottom w:val="nil"/>
              <w:right w:val="nil"/>
            </w:tcBorders>
            <w:shd w:val="clear" w:color="auto" w:fill="auto"/>
            <w:noWrap/>
            <w:vAlign w:val="bottom"/>
            <w:hideMark/>
          </w:tcPr>
          <w:p w14:paraId="601C83E4"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4/16/2021</w:t>
            </w:r>
          </w:p>
        </w:tc>
        <w:tc>
          <w:tcPr>
            <w:tcW w:w="6317" w:type="dxa"/>
            <w:tcBorders>
              <w:top w:val="nil"/>
              <w:left w:val="nil"/>
              <w:bottom w:val="nil"/>
              <w:right w:val="nil"/>
            </w:tcBorders>
            <w:shd w:val="clear" w:color="auto" w:fill="auto"/>
            <w:noWrap/>
            <w:vAlign w:val="center"/>
            <w:hideMark/>
          </w:tcPr>
          <w:p w14:paraId="40FCBD29"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metastatic gastric cancer and esophageal adenocarcinoma</w:t>
            </w:r>
          </w:p>
        </w:tc>
        <w:tc>
          <w:tcPr>
            <w:tcW w:w="3772" w:type="dxa"/>
            <w:tcBorders>
              <w:top w:val="nil"/>
              <w:left w:val="nil"/>
              <w:bottom w:val="nil"/>
              <w:right w:val="nil"/>
            </w:tcBorders>
            <w:shd w:val="clear" w:color="auto" w:fill="auto"/>
            <w:noWrap/>
            <w:vAlign w:val="bottom"/>
            <w:hideMark/>
          </w:tcPr>
          <w:p w14:paraId="3AF1A6F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nivolumab+chemotherapy</w:t>
            </w:r>
          </w:p>
        </w:tc>
        <w:tc>
          <w:tcPr>
            <w:tcW w:w="2851" w:type="dxa"/>
            <w:tcBorders>
              <w:top w:val="nil"/>
              <w:left w:val="nil"/>
              <w:bottom w:val="nil"/>
              <w:right w:val="nil"/>
            </w:tcBorders>
            <w:shd w:val="clear" w:color="auto" w:fill="auto"/>
            <w:noWrap/>
            <w:vAlign w:val="bottom"/>
            <w:hideMark/>
          </w:tcPr>
          <w:p w14:paraId="639FEA4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4DE93299" w14:textId="77777777" w:rsidTr="00E51AFD">
        <w:trPr>
          <w:trHeight w:val="204"/>
        </w:trPr>
        <w:tc>
          <w:tcPr>
            <w:tcW w:w="1018" w:type="dxa"/>
            <w:tcBorders>
              <w:top w:val="nil"/>
              <w:left w:val="nil"/>
              <w:bottom w:val="nil"/>
              <w:right w:val="nil"/>
            </w:tcBorders>
            <w:shd w:val="clear" w:color="auto" w:fill="auto"/>
            <w:noWrap/>
            <w:vAlign w:val="bottom"/>
            <w:hideMark/>
          </w:tcPr>
          <w:p w14:paraId="36E9403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7/21/2021</w:t>
            </w:r>
          </w:p>
        </w:tc>
        <w:tc>
          <w:tcPr>
            <w:tcW w:w="6317" w:type="dxa"/>
            <w:tcBorders>
              <w:top w:val="nil"/>
              <w:left w:val="nil"/>
              <w:bottom w:val="nil"/>
              <w:right w:val="nil"/>
            </w:tcBorders>
            <w:shd w:val="clear" w:color="auto" w:fill="auto"/>
            <w:noWrap/>
            <w:vAlign w:val="center"/>
            <w:hideMark/>
          </w:tcPr>
          <w:p w14:paraId="2D52797E"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advanced endometrial carcinoma</w:t>
            </w:r>
          </w:p>
        </w:tc>
        <w:tc>
          <w:tcPr>
            <w:tcW w:w="3772" w:type="dxa"/>
            <w:tcBorders>
              <w:top w:val="nil"/>
              <w:left w:val="nil"/>
              <w:bottom w:val="nil"/>
              <w:right w:val="nil"/>
            </w:tcBorders>
            <w:shd w:val="clear" w:color="auto" w:fill="auto"/>
            <w:noWrap/>
            <w:vAlign w:val="bottom"/>
            <w:hideMark/>
          </w:tcPr>
          <w:p w14:paraId="500BB0F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pembrolizumab+lenvatinib</w:t>
            </w:r>
          </w:p>
        </w:tc>
        <w:tc>
          <w:tcPr>
            <w:tcW w:w="2851" w:type="dxa"/>
            <w:tcBorders>
              <w:top w:val="nil"/>
              <w:left w:val="nil"/>
              <w:bottom w:val="nil"/>
              <w:right w:val="nil"/>
            </w:tcBorders>
            <w:shd w:val="clear" w:color="auto" w:fill="auto"/>
            <w:noWrap/>
            <w:vAlign w:val="bottom"/>
            <w:hideMark/>
          </w:tcPr>
          <w:p w14:paraId="6B91A80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inhibitor+chemotherapy</w:t>
            </w:r>
          </w:p>
        </w:tc>
      </w:tr>
      <w:tr w:rsidR="002C5022" w:rsidRPr="002C5022" w14:paraId="7E762CA2" w14:textId="77777777" w:rsidTr="00E51AFD">
        <w:trPr>
          <w:trHeight w:val="204"/>
        </w:trPr>
        <w:tc>
          <w:tcPr>
            <w:tcW w:w="1018" w:type="dxa"/>
            <w:tcBorders>
              <w:top w:val="nil"/>
              <w:left w:val="nil"/>
              <w:bottom w:val="nil"/>
              <w:right w:val="nil"/>
            </w:tcBorders>
            <w:shd w:val="clear" w:color="auto" w:fill="auto"/>
            <w:noWrap/>
            <w:vAlign w:val="bottom"/>
            <w:hideMark/>
          </w:tcPr>
          <w:p w14:paraId="0646E7D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8/10/2021</w:t>
            </w:r>
          </w:p>
        </w:tc>
        <w:tc>
          <w:tcPr>
            <w:tcW w:w="6317" w:type="dxa"/>
            <w:tcBorders>
              <w:top w:val="nil"/>
              <w:left w:val="nil"/>
              <w:bottom w:val="nil"/>
              <w:right w:val="nil"/>
            </w:tcBorders>
            <w:shd w:val="clear" w:color="auto" w:fill="auto"/>
            <w:noWrap/>
            <w:vAlign w:val="center"/>
            <w:hideMark/>
          </w:tcPr>
          <w:p w14:paraId="69389E75"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advanced renal cell carcinoma</w:t>
            </w:r>
          </w:p>
        </w:tc>
        <w:tc>
          <w:tcPr>
            <w:tcW w:w="3772" w:type="dxa"/>
            <w:tcBorders>
              <w:top w:val="nil"/>
              <w:left w:val="nil"/>
              <w:bottom w:val="nil"/>
              <w:right w:val="nil"/>
            </w:tcBorders>
            <w:shd w:val="clear" w:color="auto" w:fill="auto"/>
            <w:noWrap/>
            <w:vAlign w:val="bottom"/>
            <w:hideMark/>
          </w:tcPr>
          <w:p w14:paraId="3C23E4A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lenvatinib+pembrolizumab</w:t>
            </w:r>
          </w:p>
        </w:tc>
        <w:tc>
          <w:tcPr>
            <w:tcW w:w="2851" w:type="dxa"/>
            <w:tcBorders>
              <w:top w:val="nil"/>
              <w:left w:val="nil"/>
              <w:bottom w:val="nil"/>
              <w:right w:val="nil"/>
            </w:tcBorders>
            <w:shd w:val="clear" w:color="auto" w:fill="auto"/>
            <w:noWrap/>
            <w:vAlign w:val="bottom"/>
            <w:hideMark/>
          </w:tcPr>
          <w:p w14:paraId="480838C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ICIs+small molecular inhibitor/Anti-angiogenesis+chemotherapy</w:t>
            </w:r>
          </w:p>
        </w:tc>
      </w:tr>
      <w:tr w:rsidR="002C5022" w:rsidRPr="002C5022" w14:paraId="7370B9F6" w14:textId="77777777" w:rsidTr="00E51AFD">
        <w:trPr>
          <w:trHeight w:val="204"/>
        </w:trPr>
        <w:tc>
          <w:tcPr>
            <w:tcW w:w="1018" w:type="dxa"/>
            <w:tcBorders>
              <w:top w:val="nil"/>
              <w:left w:val="nil"/>
              <w:bottom w:val="nil"/>
              <w:right w:val="nil"/>
            </w:tcBorders>
            <w:shd w:val="clear" w:color="auto" w:fill="auto"/>
            <w:noWrap/>
            <w:vAlign w:val="bottom"/>
            <w:hideMark/>
          </w:tcPr>
          <w:p w14:paraId="169B51F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12/2/2021</w:t>
            </w:r>
          </w:p>
        </w:tc>
        <w:tc>
          <w:tcPr>
            <w:tcW w:w="6317" w:type="dxa"/>
            <w:tcBorders>
              <w:top w:val="nil"/>
              <w:left w:val="nil"/>
              <w:bottom w:val="nil"/>
              <w:right w:val="nil"/>
            </w:tcBorders>
            <w:shd w:val="clear" w:color="auto" w:fill="auto"/>
            <w:noWrap/>
            <w:vAlign w:val="center"/>
            <w:hideMark/>
          </w:tcPr>
          <w:p w14:paraId="5FA4482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pediatric cancer indications</w:t>
            </w:r>
          </w:p>
        </w:tc>
        <w:tc>
          <w:tcPr>
            <w:tcW w:w="3772" w:type="dxa"/>
            <w:tcBorders>
              <w:top w:val="nil"/>
              <w:left w:val="nil"/>
              <w:bottom w:val="nil"/>
              <w:right w:val="nil"/>
            </w:tcBorders>
            <w:shd w:val="clear" w:color="auto" w:fill="auto"/>
            <w:noWrap/>
            <w:vAlign w:val="bottom"/>
            <w:hideMark/>
          </w:tcPr>
          <w:p w14:paraId="3C7198D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rituximab+chemotherapy</w:t>
            </w:r>
          </w:p>
        </w:tc>
        <w:tc>
          <w:tcPr>
            <w:tcW w:w="2851" w:type="dxa"/>
            <w:tcBorders>
              <w:top w:val="nil"/>
              <w:left w:val="nil"/>
              <w:bottom w:val="nil"/>
              <w:right w:val="nil"/>
            </w:tcBorders>
            <w:shd w:val="clear" w:color="auto" w:fill="auto"/>
            <w:noWrap/>
            <w:vAlign w:val="bottom"/>
            <w:hideMark/>
          </w:tcPr>
          <w:p w14:paraId="6D01A70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45BA70EB" w14:textId="77777777" w:rsidTr="00E51AFD">
        <w:trPr>
          <w:trHeight w:val="204"/>
        </w:trPr>
        <w:tc>
          <w:tcPr>
            <w:tcW w:w="1018" w:type="dxa"/>
            <w:tcBorders>
              <w:top w:val="nil"/>
              <w:left w:val="nil"/>
              <w:bottom w:val="nil"/>
              <w:right w:val="nil"/>
            </w:tcBorders>
            <w:shd w:val="clear" w:color="auto" w:fill="auto"/>
            <w:noWrap/>
            <w:vAlign w:val="bottom"/>
            <w:hideMark/>
          </w:tcPr>
          <w:p w14:paraId="469B021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5/27/2022</w:t>
            </w:r>
          </w:p>
        </w:tc>
        <w:tc>
          <w:tcPr>
            <w:tcW w:w="6317" w:type="dxa"/>
            <w:tcBorders>
              <w:top w:val="nil"/>
              <w:left w:val="nil"/>
              <w:bottom w:val="nil"/>
              <w:right w:val="nil"/>
            </w:tcBorders>
            <w:shd w:val="clear" w:color="auto" w:fill="auto"/>
            <w:noWrap/>
            <w:vAlign w:val="center"/>
            <w:hideMark/>
          </w:tcPr>
          <w:p w14:paraId="43ABD93D"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first-line esophageal squamous cell carcinoma indications</w:t>
            </w:r>
          </w:p>
        </w:tc>
        <w:tc>
          <w:tcPr>
            <w:tcW w:w="3772" w:type="dxa"/>
            <w:tcBorders>
              <w:top w:val="nil"/>
              <w:left w:val="nil"/>
              <w:bottom w:val="nil"/>
              <w:right w:val="nil"/>
            </w:tcBorders>
            <w:shd w:val="clear" w:color="auto" w:fill="auto"/>
            <w:noWrap/>
            <w:vAlign w:val="bottom"/>
            <w:hideMark/>
          </w:tcPr>
          <w:p w14:paraId="32B9CB6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Opdivo+chemotherapy</w:t>
            </w:r>
          </w:p>
        </w:tc>
        <w:tc>
          <w:tcPr>
            <w:tcW w:w="2851" w:type="dxa"/>
            <w:tcBorders>
              <w:top w:val="nil"/>
              <w:left w:val="nil"/>
              <w:bottom w:val="nil"/>
              <w:right w:val="nil"/>
            </w:tcBorders>
            <w:shd w:val="clear" w:color="auto" w:fill="auto"/>
            <w:noWrap/>
            <w:vAlign w:val="bottom"/>
            <w:hideMark/>
          </w:tcPr>
          <w:p w14:paraId="1CBE25B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3E1C432C" w14:textId="77777777" w:rsidTr="00E51AFD">
        <w:trPr>
          <w:trHeight w:val="204"/>
        </w:trPr>
        <w:tc>
          <w:tcPr>
            <w:tcW w:w="1018" w:type="dxa"/>
            <w:tcBorders>
              <w:top w:val="nil"/>
              <w:left w:val="nil"/>
              <w:bottom w:val="nil"/>
              <w:right w:val="nil"/>
            </w:tcBorders>
            <w:shd w:val="clear" w:color="auto" w:fill="auto"/>
            <w:noWrap/>
            <w:vAlign w:val="bottom"/>
            <w:hideMark/>
          </w:tcPr>
          <w:p w14:paraId="1C8AB620"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6/22/2022</w:t>
            </w:r>
          </w:p>
        </w:tc>
        <w:tc>
          <w:tcPr>
            <w:tcW w:w="6317" w:type="dxa"/>
            <w:tcBorders>
              <w:top w:val="nil"/>
              <w:left w:val="nil"/>
              <w:bottom w:val="nil"/>
              <w:right w:val="nil"/>
            </w:tcBorders>
            <w:shd w:val="clear" w:color="auto" w:fill="auto"/>
            <w:noWrap/>
            <w:vAlign w:val="center"/>
            <w:hideMark/>
          </w:tcPr>
          <w:p w14:paraId="1079996F"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unresectable or metastatic solid tumors with BRAF V601E mutation</w:t>
            </w:r>
          </w:p>
        </w:tc>
        <w:tc>
          <w:tcPr>
            <w:tcW w:w="3772" w:type="dxa"/>
            <w:tcBorders>
              <w:top w:val="nil"/>
              <w:left w:val="nil"/>
              <w:bottom w:val="nil"/>
              <w:right w:val="nil"/>
            </w:tcBorders>
            <w:shd w:val="clear" w:color="auto" w:fill="auto"/>
            <w:noWrap/>
            <w:vAlign w:val="bottom"/>
            <w:hideMark/>
          </w:tcPr>
          <w:p w14:paraId="23FFE675"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dabrafenib+trametinib</w:t>
            </w:r>
          </w:p>
        </w:tc>
        <w:tc>
          <w:tcPr>
            <w:tcW w:w="2851" w:type="dxa"/>
            <w:tcBorders>
              <w:top w:val="nil"/>
              <w:left w:val="nil"/>
              <w:bottom w:val="nil"/>
              <w:right w:val="nil"/>
            </w:tcBorders>
            <w:shd w:val="clear" w:color="auto" w:fill="auto"/>
            <w:noWrap/>
            <w:vAlign w:val="bottom"/>
            <w:hideMark/>
          </w:tcPr>
          <w:p w14:paraId="2B38D3A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015685B0" w14:textId="77777777" w:rsidTr="00E51AFD">
        <w:trPr>
          <w:trHeight w:val="204"/>
        </w:trPr>
        <w:tc>
          <w:tcPr>
            <w:tcW w:w="1018" w:type="dxa"/>
            <w:tcBorders>
              <w:top w:val="nil"/>
              <w:left w:val="nil"/>
              <w:bottom w:val="nil"/>
              <w:right w:val="nil"/>
            </w:tcBorders>
            <w:shd w:val="clear" w:color="auto" w:fill="auto"/>
            <w:noWrap/>
            <w:vAlign w:val="bottom"/>
            <w:hideMark/>
          </w:tcPr>
          <w:p w14:paraId="5D49CDD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10/21/2022</w:t>
            </w:r>
          </w:p>
        </w:tc>
        <w:tc>
          <w:tcPr>
            <w:tcW w:w="6317" w:type="dxa"/>
            <w:tcBorders>
              <w:top w:val="nil"/>
              <w:left w:val="nil"/>
              <w:bottom w:val="nil"/>
              <w:right w:val="nil"/>
            </w:tcBorders>
            <w:shd w:val="clear" w:color="auto" w:fill="auto"/>
            <w:noWrap/>
            <w:vAlign w:val="center"/>
            <w:hideMark/>
          </w:tcPr>
          <w:p w14:paraId="736AAFA8"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unresectable hepatocellular carcinoma</w:t>
            </w:r>
          </w:p>
        </w:tc>
        <w:tc>
          <w:tcPr>
            <w:tcW w:w="3772" w:type="dxa"/>
            <w:tcBorders>
              <w:top w:val="nil"/>
              <w:left w:val="nil"/>
              <w:bottom w:val="nil"/>
              <w:right w:val="nil"/>
            </w:tcBorders>
            <w:shd w:val="clear" w:color="auto" w:fill="auto"/>
            <w:noWrap/>
            <w:vAlign w:val="bottom"/>
            <w:hideMark/>
          </w:tcPr>
          <w:p w14:paraId="5EE1B83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tremelimumab+durvalumab</w:t>
            </w:r>
          </w:p>
        </w:tc>
        <w:tc>
          <w:tcPr>
            <w:tcW w:w="2851" w:type="dxa"/>
            <w:tcBorders>
              <w:top w:val="nil"/>
              <w:left w:val="nil"/>
              <w:bottom w:val="nil"/>
              <w:right w:val="nil"/>
            </w:tcBorders>
            <w:shd w:val="clear" w:color="auto" w:fill="auto"/>
            <w:noWrap/>
            <w:vAlign w:val="bottom"/>
            <w:hideMark/>
          </w:tcPr>
          <w:p w14:paraId="1464FD4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ICIs+ICIs</w:t>
            </w:r>
          </w:p>
        </w:tc>
      </w:tr>
      <w:tr w:rsidR="002C5022" w:rsidRPr="002C5022" w14:paraId="7D98C296" w14:textId="77777777" w:rsidTr="00E51AFD">
        <w:trPr>
          <w:trHeight w:val="204"/>
        </w:trPr>
        <w:tc>
          <w:tcPr>
            <w:tcW w:w="1018" w:type="dxa"/>
            <w:tcBorders>
              <w:top w:val="nil"/>
              <w:left w:val="nil"/>
              <w:bottom w:val="nil"/>
              <w:right w:val="nil"/>
            </w:tcBorders>
            <w:shd w:val="clear" w:color="auto" w:fill="auto"/>
            <w:noWrap/>
            <w:vAlign w:val="bottom"/>
            <w:hideMark/>
          </w:tcPr>
          <w:p w14:paraId="6F535713"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11/8/2022</w:t>
            </w:r>
          </w:p>
        </w:tc>
        <w:tc>
          <w:tcPr>
            <w:tcW w:w="6317" w:type="dxa"/>
            <w:tcBorders>
              <w:top w:val="nil"/>
              <w:left w:val="nil"/>
              <w:bottom w:val="nil"/>
              <w:right w:val="nil"/>
            </w:tcBorders>
            <w:shd w:val="clear" w:color="auto" w:fill="auto"/>
            <w:noWrap/>
            <w:vAlign w:val="center"/>
            <w:hideMark/>
          </w:tcPr>
          <w:p w14:paraId="6B405F33"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non-small cell lung cancer</w:t>
            </w:r>
          </w:p>
        </w:tc>
        <w:tc>
          <w:tcPr>
            <w:tcW w:w="3772" w:type="dxa"/>
            <w:tcBorders>
              <w:top w:val="nil"/>
              <w:left w:val="nil"/>
              <w:bottom w:val="nil"/>
              <w:right w:val="nil"/>
            </w:tcBorders>
            <w:shd w:val="clear" w:color="auto" w:fill="auto"/>
            <w:noWrap/>
            <w:vAlign w:val="bottom"/>
            <w:hideMark/>
          </w:tcPr>
          <w:p w14:paraId="1F91111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cemiplimab-rwlc+platinum-based chemotherapy</w:t>
            </w:r>
          </w:p>
        </w:tc>
        <w:tc>
          <w:tcPr>
            <w:tcW w:w="2851" w:type="dxa"/>
            <w:tcBorders>
              <w:top w:val="nil"/>
              <w:left w:val="nil"/>
              <w:bottom w:val="nil"/>
              <w:right w:val="nil"/>
            </w:tcBorders>
            <w:shd w:val="clear" w:color="auto" w:fill="auto"/>
            <w:noWrap/>
            <w:vAlign w:val="bottom"/>
            <w:hideMark/>
          </w:tcPr>
          <w:p w14:paraId="1B49E9B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7E7E3652" w14:textId="77777777" w:rsidTr="00E51AFD">
        <w:trPr>
          <w:trHeight w:val="204"/>
        </w:trPr>
        <w:tc>
          <w:tcPr>
            <w:tcW w:w="1018" w:type="dxa"/>
            <w:tcBorders>
              <w:top w:val="nil"/>
              <w:left w:val="nil"/>
              <w:bottom w:val="nil"/>
              <w:right w:val="nil"/>
            </w:tcBorders>
            <w:shd w:val="clear" w:color="auto" w:fill="auto"/>
            <w:noWrap/>
            <w:vAlign w:val="bottom"/>
            <w:hideMark/>
          </w:tcPr>
          <w:p w14:paraId="686DE6E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11/10/2022</w:t>
            </w:r>
          </w:p>
        </w:tc>
        <w:tc>
          <w:tcPr>
            <w:tcW w:w="6317" w:type="dxa"/>
            <w:tcBorders>
              <w:top w:val="nil"/>
              <w:left w:val="nil"/>
              <w:bottom w:val="nil"/>
              <w:right w:val="nil"/>
            </w:tcBorders>
            <w:shd w:val="clear" w:color="auto" w:fill="auto"/>
            <w:noWrap/>
            <w:vAlign w:val="center"/>
            <w:hideMark/>
          </w:tcPr>
          <w:p w14:paraId="5B403A35"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metastatic non-small cell lung cancer</w:t>
            </w:r>
          </w:p>
        </w:tc>
        <w:tc>
          <w:tcPr>
            <w:tcW w:w="3772" w:type="dxa"/>
            <w:tcBorders>
              <w:top w:val="nil"/>
              <w:left w:val="nil"/>
              <w:bottom w:val="nil"/>
              <w:right w:val="nil"/>
            </w:tcBorders>
            <w:shd w:val="clear" w:color="auto" w:fill="auto"/>
            <w:noWrap/>
            <w:vAlign w:val="bottom"/>
            <w:hideMark/>
          </w:tcPr>
          <w:p w14:paraId="4A05DA9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durvalumab+platinum-based chemotherapy</w:t>
            </w:r>
          </w:p>
        </w:tc>
        <w:tc>
          <w:tcPr>
            <w:tcW w:w="2851" w:type="dxa"/>
            <w:tcBorders>
              <w:top w:val="nil"/>
              <w:left w:val="nil"/>
              <w:bottom w:val="nil"/>
              <w:right w:val="nil"/>
            </w:tcBorders>
            <w:shd w:val="clear" w:color="auto" w:fill="auto"/>
            <w:noWrap/>
            <w:vAlign w:val="bottom"/>
            <w:hideMark/>
          </w:tcPr>
          <w:p w14:paraId="5DA0D7A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75F27DDA" w14:textId="77777777" w:rsidTr="00E51AFD">
        <w:trPr>
          <w:trHeight w:val="204"/>
        </w:trPr>
        <w:tc>
          <w:tcPr>
            <w:tcW w:w="1018" w:type="dxa"/>
            <w:tcBorders>
              <w:top w:val="nil"/>
              <w:left w:val="nil"/>
              <w:bottom w:val="nil"/>
              <w:right w:val="nil"/>
            </w:tcBorders>
            <w:shd w:val="clear" w:color="auto" w:fill="auto"/>
            <w:noWrap/>
            <w:vAlign w:val="bottom"/>
            <w:hideMark/>
          </w:tcPr>
          <w:p w14:paraId="4AF6F66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11/10/2022</w:t>
            </w:r>
          </w:p>
        </w:tc>
        <w:tc>
          <w:tcPr>
            <w:tcW w:w="6317" w:type="dxa"/>
            <w:tcBorders>
              <w:top w:val="nil"/>
              <w:left w:val="nil"/>
              <w:bottom w:val="nil"/>
              <w:right w:val="nil"/>
            </w:tcBorders>
            <w:shd w:val="clear" w:color="auto" w:fill="auto"/>
            <w:noWrap/>
            <w:vAlign w:val="center"/>
            <w:hideMark/>
          </w:tcPr>
          <w:p w14:paraId="7F56B430"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pediatric patients with classical Hodgkin lymphoma</w:t>
            </w:r>
          </w:p>
        </w:tc>
        <w:tc>
          <w:tcPr>
            <w:tcW w:w="3772" w:type="dxa"/>
            <w:tcBorders>
              <w:top w:val="nil"/>
              <w:left w:val="nil"/>
              <w:bottom w:val="nil"/>
              <w:right w:val="nil"/>
            </w:tcBorders>
            <w:shd w:val="clear" w:color="auto" w:fill="auto"/>
            <w:noWrap/>
            <w:vAlign w:val="bottom"/>
            <w:hideMark/>
          </w:tcPr>
          <w:p w14:paraId="3C4B842F"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brentuximab vedotin+chemotherapy</w:t>
            </w:r>
          </w:p>
        </w:tc>
        <w:tc>
          <w:tcPr>
            <w:tcW w:w="2851" w:type="dxa"/>
            <w:tcBorders>
              <w:top w:val="nil"/>
              <w:left w:val="nil"/>
              <w:bottom w:val="nil"/>
              <w:right w:val="nil"/>
            </w:tcBorders>
            <w:shd w:val="clear" w:color="auto" w:fill="auto"/>
            <w:noWrap/>
            <w:vAlign w:val="bottom"/>
            <w:hideMark/>
          </w:tcPr>
          <w:p w14:paraId="381AC48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drug+chemotherapy</w:t>
            </w:r>
          </w:p>
        </w:tc>
      </w:tr>
      <w:tr w:rsidR="002C5022" w:rsidRPr="002C5022" w14:paraId="4BC8E72E" w14:textId="77777777" w:rsidTr="00E51AFD">
        <w:trPr>
          <w:trHeight w:val="204"/>
        </w:trPr>
        <w:tc>
          <w:tcPr>
            <w:tcW w:w="1018" w:type="dxa"/>
            <w:tcBorders>
              <w:top w:val="nil"/>
              <w:left w:val="nil"/>
              <w:bottom w:val="nil"/>
              <w:right w:val="nil"/>
            </w:tcBorders>
            <w:shd w:val="clear" w:color="auto" w:fill="auto"/>
            <w:noWrap/>
            <w:vAlign w:val="bottom"/>
            <w:hideMark/>
          </w:tcPr>
          <w:p w14:paraId="72D31C5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lastRenderedPageBreak/>
              <w:t>1/19/2023</w:t>
            </w:r>
          </w:p>
        </w:tc>
        <w:tc>
          <w:tcPr>
            <w:tcW w:w="6317" w:type="dxa"/>
            <w:tcBorders>
              <w:top w:val="nil"/>
              <w:left w:val="nil"/>
              <w:bottom w:val="nil"/>
              <w:right w:val="nil"/>
            </w:tcBorders>
            <w:shd w:val="clear" w:color="auto" w:fill="auto"/>
            <w:noWrap/>
            <w:vAlign w:val="center"/>
            <w:hideMark/>
          </w:tcPr>
          <w:p w14:paraId="27F31118"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colorectal cancer</w:t>
            </w:r>
          </w:p>
        </w:tc>
        <w:tc>
          <w:tcPr>
            <w:tcW w:w="3772" w:type="dxa"/>
            <w:tcBorders>
              <w:top w:val="nil"/>
              <w:left w:val="nil"/>
              <w:bottom w:val="nil"/>
              <w:right w:val="nil"/>
            </w:tcBorders>
            <w:shd w:val="clear" w:color="auto" w:fill="auto"/>
            <w:noWrap/>
            <w:vAlign w:val="bottom"/>
            <w:hideMark/>
          </w:tcPr>
          <w:p w14:paraId="32E39751"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tucatinib+trastuzumab</w:t>
            </w:r>
          </w:p>
        </w:tc>
        <w:tc>
          <w:tcPr>
            <w:tcW w:w="2851" w:type="dxa"/>
            <w:tcBorders>
              <w:top w:val="nil"/>
              <w:left w:val="nil"/>
              <w:bottom w:val="nil"/>
              <w:right w:val="nil"/>
            </w:tcBorders>
            <w:shd w:val="clear" w:color="auto" w:fill="auto"/>
            <w:noWrap/>
            <w:vAlign w:val="bottom"/>
            <w:hideMark/>
          </w:tcPr>
          <w:p w14:paraId="6030D0D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monoclonal antibody drug+small molecular inhibitor</w:t>
            </w:r>
          </w:p>
        </w:tc>
      </w:tr>
      <w:tr w:rsidR="002C5022" w:rsidRPr="002C5022" w14:paraId="20E3817D" w14:textId="77777777" w:rsidTr="00E51AFD">
        <w:trPr>
          <w:trHeight w:val="204"/>
        </w:trPr>
        <w:tc>
          <w:tcPr>
            <w:tcW w:w="1018" w:type="dxa"/>
            <w:tcBorders>
              <w:top w:val="nil"/>
              <w:left w:val="nil"/>
              <w:bottom w:val="nil"/>
              <w:right w:val="nil"/>
            </w:tcBorders>
            <w:shd w:val="clear" w:color="auto" w:fill="auto"/>
            <w:noWrap/>
            <w:vAlign w:val="bottom"/>
            <w:hideMark/>
          </w:tcPr>
          <w:p w14:paraId="75599B1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6/20/2023</w:t>
            </w:r>
          </w:p>
        </w:tc>
        <w:tc>
          <w:tcPr>
            <w:tcW w:w="6317" w:type="dxa"/>
            <w:tcBorders>
              <w:top w:val="nil"/>
              <w:left w:val="nil"/>
              <w:bottom w:val="nil"/>
              <w:right w:val="nil"/>
            </w:tcBorders>
            <w:shd w:val="clear" w:color="auto" w:fill="auto"/>
            <w:noWrap/>
            <w:vAlign w:val="center"/>
            <w:hideMark/>
          </w:tcPr>
          <w:p w14:paraId="099F90DC"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HRR gene-mutated metastatic castration-resistant prostate cancer</w:t>
            </w:r>
          </w:p>
        </w:tc>
        <w:tc>
          <w:tcPr>
            <w:tcW w:w="3772" w:type="dxa"/>
            <w:tcBorders>
              <w:top w:val="nil"/>
              <w:left w:val="nil"/>
              <w:bottom w:val="nil"/>
              <w:right w:val="nil"/>
            </w:tcBorders>
            <w:shd w:val="clear" w:color="auto" w:fill="auto"/>
            <w:noWrap/>
            <w:vAlign w:val="bottom"/>
            <w:hideMark/>
          </w:tcPr>
          <w:p w14:paraId="4984F0C2"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talazoparib+enzalutamide</w:t>
            </w:r>
          </w:p>
        </w:tc>
        <w:tc>
          <w:tcPr>
            <w:tcW w:w="2851" w:type="dxa"/>
            <w:tcBorders>
              <w:top w:val="nil"/>
              <w:left w:val="nil"/>
              <w:bottom w:val="nil"/>
              <w:right w:val="nil"/>
            </w:tcBorders>
            <w:shd w:val="clear" w:color="auto" w:fill="auto"/>
            <w:noWrap/>
            <w:vAlign w:val="bottom"/>
            <w:hideMark/>
          </w:tcPr>
          <w:p w14:paraId="0C151C18"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51BB5BB1" w14:textId="77777777" w:rsidTr="00E51AFD">
        <w:trPr>
          <w:trHeight w:val="204"/>
        </w:trPr>
        <w:tc>
          <w:tcPr>
            <w:tcW w:w="1018" w:type="dxa"/>
            <w:tcBorders>
              <w:top w:val="nil"/>
              <w:left w:val="nil"/>
              <w:bottom w:val="nil"/>
              <w:right w:val="nil"/>
            </w:tcBorders>
            <w:shd w:val="clear" w:color="auto" w:fill="auto"/>
            <w:noWrap/>
            <w:vAlign w:val="bottom"/>
            <w:hideMark/>
          </w:tcPr>
          <w:p w14:paraId="52EB57CC"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8/11/2023</w:t>
            </w:r>
          </w:p>
        </w:tc>
        <w:tc>
          <w:tcPr>
            <w:tcW w:w="6317" w:type="dxa"/>
            <w:tcBorders>
              <w:top w:val="nil"/>
              <w:left w:val="nil"/>
              <w:bottom w:val="nil"/>
              <w:right w:val="nil"/>
            </w:tcBorders>
            <w:shd w:val="clear" w:color="auto" w:fill="auto"/>
            <w:noWrap/>
            <w:vAlign w:val="center"/>
            <w:hideMark/>
          </w:tcPr>
          <w:p w14:paraId="29942093"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BRCA-mutated metastatic castration-resistant prostate cancer</w:t>
            </w:r>
          </w:p>
        </w:tc>
        <w:tc>
          <w:tcPr>
            <w:tcW w:w="3772" w:type="dxa"/>
            <w:tcBorders>
              <w:top w:val="nil"/>
              <w:left w:val="nil"/>
              <w:bottom w:val="nil"/>
              <w:right w:val="nil"/>
            </w:tcBorders>
            <w:shd w:val="clear" w:color="auto" w:fill="auto"/>
            <w:noWrap/>
            <w:vAlign w:val="bottom"/>
            <w:hideMark/>
          </w:tcPr>
          <w:p w14:paraId="32B27DB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niraparib+abiraterone acetate+prednisone</w:t>
            </w:r>
          </w:p>
        </w:tc>
        <w:tc>
          <w:tcPr>
            <w:tcW w:w="2851" w:type="dxa"/>
            <w:tcBorders>
              <w:top w:val="nil"/>
              <w:left w:val="nil"/>
              <w:bottom w:val="nil"/>
              <w:right w:val="nil"/>
            </w:tcBorders>
            <w:shd w:val="clear" w:color="auto" w:fill="auto"/>
            <w:noWrap/>
            <w:vAlign w:val="bottom"/>
            <w:hideMark/>
          </w:tcPr>
          <w:p w14:paraId="048DDF47"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small molecular inhibitor+small molecular inhibtor</w:t>
            </w:r>
          </w:p>
        </w:tc>
      </w:tr>
      <w:tr w:rsidR="002C5022" w:rsidRPr="002C5022" w14:paraId="5D962A1B" w14:textId="77777777" w:rsidTr="00E51AFD">
        <w:trPr>
          <w:trHeight w:val="204"/>
        </w:trPr>
        <w:tc>
          <w:tcPr>
            <w:tcW w:w="1018" w:type="dxa"/>
            <w:tcBorders>
              <w:top w:val="nil"/>
              <w:left w:val="nil"/>
              <w:bottom w:val="nil"/>
              <w:right w:val="nil"/>
            </w:tcBorders>
            <w:shd w:val="clear" w:color="auto" w:fill="auto"/>
            <w:noWrap/>
            <w:vAlign w:val="bottom"/>
            <w:hideMark/>
          </w:tcPr>
          <w:p w14:paraId="1BB97849"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12/15/2023</w:t>
            </w:r>
          </w:p>
        </w:tc>
        <w:tc>
          <w:tcPr>
            <w:tcW w:w="6317" w:type="dxa"/>
            <w:tcBorders>
              <w:top w:val="nil"/>
              <w:left w:val="nil"/>
              <w:bottom w:val="nil"/>
              <w:right w:val="nil"/>
            </w:tcBorders>
            <w:shd w:val="clear" w:color="auto" w:fill="auto"/>
            <w:noWrap/>
            <w:vAlign w:val="center"/>
            <w:hideMark/>
          </w:tcPr>
          <w:p w14:paraId="354839F9"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locally advanced or metastatic urothelial cancer</w:t>
            </w:r>
          </w:p>
        </w:tc>
        <w:tc>
          <w:tcPr>
            <w:tcW w:w="3772" w:type="dxa"/>
            <w:tcBorders>
              <w:top w:val="nil"/>
              <w:left w:val="nil"/>
              <w:bottom w:val="nil"/>
              <w:right w:val="nil"/>
            </w:tcBorders>
            <w:shd w:val="clear" w:color="auto" w:fill="auto"/>
            <w:noWrap/>
            <w:vAlign w:val="bottom"/>
            <w:hideMark/>
          </w:tcPr>
          <w:p w14:paraId="2EE4DACD"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enfortumab vedotin-ejfv+pembrol</w:t>
            </w:r>
          </w:p>
        </w:tc>
        <w:tc>
          <w:tcPr>
            <w:tcW w:w="2851" w:type="dxa"/>
            <w:tcBorders>
              <w:top w:val="nil"/>
              <w:left w:val="nil"/>
              <w:bottom w:val="nil"/>
              <w:right w:val="nil"/>
            </w:tcBorders>
            <w:shd w:val="clear" w:color="auto" w:fill="auto"/>
            <w:noWrap/>
            <w:vAlign w:val="bottom"/>
            <w:hideMark/>
          </w:tcPr>
          <w:p w14:paraId="1CAAC00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ICIs+Anti-angiogenesis</w:t>
            </w:r>
          </w:p>
        </w:tc>
      </w:tr>
      <w:tr w:rsidR="002C5022" w:rsidRPr="002C5022" w14:paraId="0DF26B55" w14:textId="77777777" w:rsidTr="00E51AFD">
        <w:trPr>
          <w:trHeight w:val="204"/>
        </w:trPr>
        <w:tc>
          <w:tcPr>
            <w:tcW w:w="1018" w:type="dxa"/>
            <w:tcBorders>
              <w:top w:val="nil"/>
              <w:left w:val="nil"/>
              <w:bottom w:val="single" w:sz="4" w:space="0" w:color="auto"/>
              <w:right w:val="nil"/>
            </w:tcBorders>
            <w:shd w:val="clear" w:color="auto" w:fill="auto"/>
            <w:noWrap/>
            <w:vAlign w:val="bottom"/>
            <w:hideMark/>
          </w:tcPr>
          <w:p w14:paraId="64DA2BEB"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3/7/2024</w:t>
            </w:r>
          </w:p>
        </w:tc>
        <w:tc>
          <w:tcPr>
            <w:tcW w:w="6317" w:type="dxa"/>
            <w:tcBorders>
              <w:top w:val="nil"/>
              <w:left w:val="nil"/>
              <w:bottom w:val="single" w:sz="4" w:space="0" w:color="auto"/>
              <w:right w:val="nil"/>
            </w:tcBorders>
            <w:shd w:val="clear" w:color="auto" w:fill="auto"/>
            <w:noWrap/>
            <w:vAlign w:val="center"/>
            <w:hideMark/>
          </w:tcPr>
          <w:p w14:paraId="20D3B59B"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unresectable or metastatic urothelial carcinoma</w:t>
            </w:r>
          </w:p>
        </w:tc>
        <w:tc>
          <w:tcPr>
            <w:tcW w:w="3772" w:type="dxa"/>
            <w:tcBorders>
              <w:top w:val="nil"/>
              <w:left w:val="nil"/>
              <w:bottom w:val="single" w:sz="4" w:space="0" w:color="auto"/>
              <w:right w:val="nil"/>
            </w:tcBorders>
            <w:shd w:val="clear" w:color="auto" w:fill="auto"/>
            <w:noWrap/>
            <w:vAlign w:val="bottom"/>
            <w:hideMark/>
          </w:tcPr>
          <w:p w14:paraId="74EACFFA"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nivolumab+cisplatin and gemcitabine</w:t>
            </w:r>
          </w:p>
        </w:tc>
        <w:tc>
          <w:tcPr>
            <w:tcW w:w="2851" w:type="dxa"/>
            <w:tcBorders>
              <w:top w:val="nil"/>
              <w:left w:val="nil"/>
              <w:bottom w:val="single" w:sz="4" w:space="0" w:color="auto"/>
              <w:right w:val="nil"/>
            </w:tcBorders>
            <w:shd w:val="clear" w:color="auto" w:fill="auto"/>
            <w:noWrap/>
            <w:vAlign w:val="bottom"/>
            <w:hideMark/>
          </w:tcPr>
          <w:p w14:paraId="6F398D66" w14:textId="77777777" w:rsidR="002C5022" w:rsidRPr="002C5022" w:rsidRDefault="002C5022" w:rsidP="002C5022">
            <w:pPr>
              <w:rPr>
                <w:rFonts w:eastAsia="Times New Roman"/>
                <w:sz w:val="16"/>
                <w:szCs w:val="16"/>
                <w:lang w:val="en-HK" w:eastAsia="zh-CN"/>
              </w:rPr>
            </w:pPr>
            <w:r w:rsidRPr="002C5022">
              <w:rPr>
                <w:rFonts w:eastAsia="Times New Roman"/>
                <w:sz w:val="16"/>
                <w:szCs w:val="16"/>
                <w:lang w:val="en-HK" w:eastAsia="zh-CN"/>
              </w:rPr>
              <w:t>ICIs+chemotherapy</w:t>
            </w:r>
          </w:p>
        </w:tc>
      </w:tr>
      <w:tr w:rsidR="002C5022" w:rsidRPr="002C5022" w14:paraId="25CAC1FB" w14:textId="77777777" w:rsidTr="00E51AFD">
        <w:trPr>
          <w:trHeight w:val="174"/>
        </w:trPr>
        <w:tc>
          <w:tcPr>
            <w:tcW w:w="13958" w:type="dxa"/>
            <w:gridSpan w:val="4"/>
            <w:tcBorders>
              <w:top w:val="nil"/>
              <w:left w:val="nil"/>
              <w:right w:val="nil"/>
            </w:tcBorders>
            <w:shd w:val="clear" w:color="auto" w:fill="auto"/>
            <w:noWrap/>
            <w:vAlign w:val="center"/>
          </w:tcPr>
          <w:p w14:paraId="460415F2" w14:textId="2C0BFF1D" w:rsidR="002C5022" w:rsidRPr="00E51AFD" w:rsidRDefault="002C5022" w:rsidP="00E51AFD">
            <w:pPr>
              <w:jc w:val="both"/>
              <w:rPr>
                <w:sz w:val="20"/>
                <w:lang w:val="en-HK" w:eastAsia="zh-CN"/>
              </w:rPr>
            </w:pPr>
          </w:p>
        </w:tc>
      </w:tr>
      <w:tr w:rsidR="002C5022" w:rsidRPr="002C5022" w14:paraId="511E1101" w14:textId="77777777" w:rsidTr="00E51AFD">
        <w:trPr>
          <w:trHeight w:val="204"/>
        </w:trPr>
        <w:tc>
          <w:tcPr>
            <w:tcW w:w="13958" w:type="dxa"/>
            <w:gridSpan w:val="4"/>
            <w:tcBorders>
              <w:top w:val="nil"/>
              <w:left w:val="nil"/>
              <w:bottom w:val="nil"/>
              <w:right w:val="nil"/>
            </w:tcBorders>
            <w:shd w:val="clear" w:color="auto" w:fill="auto"/>
            <w:noWrap/>
            <w:vAlign w:val="center"/>
            <w:hideMark/>
          </w:tcPr>
          <w:p w14:paraId="6E807539" w14:textId="77777777" w:rsidR="002C5022" w:rsidRPr="002C5022" w:rsidRDefault="002C5022" w:rsidP="00E51AFD">
            <w:pPr>
              <w:jc w:val="both"/>
              <w:rPr>
                <w:rFonts w:eastAsia="Times New Roman"/>
                <w:sz w:val="16"/>
                <w:szCs w:val="16"/>
                <w:lang w:val="en-HK" w:eastAsia="zh-CN"/>
              </w:rPr>
            </w:pPr>
            <w:r w:rsidRPr="002C5022">
              <w:rPr>
                <w:rFonts w:eastAsia="Times New Roman"/>
                <w:sz w:val="16"/>
                <w:szCs w:val="16"/>
                <w:lang w:val="en-HK" w:eastAsia="zh-CN"/>
              </w:rPr>
              <w:t>Note: Dates are listed as month/day/year. Source: https://www.fda.gov/drugs/resources-information-approved-drugs/oncology-cancer-hematologic-malignancies-approval-notifications.</w:t>
            </w:r>
          </w:p>
        </w:tc>
      </w:tr>
      <w:tr w:rsidR="002C5022" w:rsidRPr="002C5022" w14:paraId="6FC4EC40" w14:textId="77777777" w:rsidTr="00E51AFD">
        <w:trPr>
          <w:trHeight w:val="68"/>
        </w:trPr>
        <w:tc>
          <w:tcPr>
            <w:tcW w:w="13958" w:type="dxa"/>
            <w:gridSpan w:val="4"/>
            <w:tcBorders>
              <w:top w:val="nil"/>
              <w:left w:val="nil"/>
              <w:bottom w:val="nil"/>
              <w:right w:val="nil"/>
            </w:tcBorders>
            <w:shd w:val="clear" w:color="auto" w:fill="auto"/>
            <w:vAlign w:val="center"/>
            <w:hideMark/>
          </w:tcPr>
          <w:p w14:paraId="097F329A" w14:textId="77777777" w:rsidR="002C5022" w:rsidRPr="002C5022" w:rsidRDefault="002C5022" w:rsidP="00E51AFD">
            <w:pPr>
              <w:jc w:val="both"/>
              <w:rPr>
                <w:rFonts w:eastAsia="Times New Roman"/>
                <w:color w:val="060607"/>
                <w:sz w:val="16"/>
                <w:szCs w:val="16"/>
                <w:lang w:val="en-HK" w:eastAsia="zh-CN"/>
              </w:rPr>
            </w:pPr>
            <w:r w:rsidRPr="002C5022">
              <w:rPr>
                <w:rFonts w:eastAsia="Times New Roman"/>
                <w:color w:val="060607"/>
                <w:sz w:val="16"/>
                <w:szCs w:val="16"/>
                <w:lang w:val="en-HK" w:eastAsia="zh-CN"/>
              </w:rPr>
              <w:t>mCRC: Metastatic Colorectal Cancer, EOC/FFT/PPC: Epithelial Ovarian Cancer/Fallopian Tube Cancer/Primary Peritoneal Cancer, NSCLC: Non-Small Cell Lung Cancer, CLL: Chronic Lymphocytic Leukemia, GEJ: Gastroesophageal Junction Cancer, RCC: Renal Cell Carcinoma, FL: Follicular Lymphoma, HER2: Human Epidermal Growth Factor Receptor 2-positive Breast Cancer, ABC/MBC: Advanced Breast Cancer/Metastatic Breast Cancer, HRNB: High-Risk Neuroblastoma, MMMT: Multimodality Multiagent Therapy (not specific to a single cancer type), BRAF: B-Raf Proto-Oncogene Mutation-positive Cancer (e.g., Melanoma), AML: Acute Myeloid Leukemia, DLBCL: Diffuse Large B-Cell Lymphoma, MZL: Marginal Zone Lymphoma, TNBC: Triple-Negative Breast Cancer, SCLC: Small Cell Lung Cancer, HNSCC: Head and Neck Squamous Cell Carcinoma, CRC: Colorectal Cancer, HCC: Hepatocellular Carcinoma, MSI-H: Microsatellite Instability-High Cancer, dMMR: Deficient Mismatch Repair Cancer, HRR: Homologous Recombination Repair gene-mutated Cancer (e.g., Prostate Cancer), CRPC: Castration-Resistant Prostate Cancer.</w:t>
            </w:r>
          </w:p>
        </w:tc>
      </w:tr>
    </w:tbl>
    <w:p w14:paraId="08DC9151" w14:textId="70A836D4" w:rsidR="00C50C6D" w:rsidRDefault="002C5022" w:rsidP="00477182">
      <w:pPr>
        <w:pStyle w:val="SMcaption"/>
      </w:pPr>
      <w:r>
        <w:fldChar w:fldCharType="end"/>
      </w:r>
    </w:p>
    <w:p w14:paraId="10BF7DE9" w14:textId="77777777" w:rsidR="00B9440A" w:rsidRPr="00015F74" w:rsidRDefault="00B9440A" w:rsidP="00B9440A">
      <w:pPr>
        <w:pStyle w:val="SMcaption"/>
      </w:pPr>
    </w:p>
    <w:sectPr w:rsidR="00B9440A" w:rsidRPr="00015F74" w:rsidSect="00830C3F">
      <w:pgSz w:w="16838" w:h="11906" w:orient="landscape"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CDBA4" w14:textId="77777777" w:rsidR="00830C3F" w:rsidRDefault="00830C3F">
      <w:r>
        <w:separator/>
      </w:r>
    </w:p>
  </w:endnote>
  <w:endnote w:type="continuationSeparator" w:id="0">
    <w:p w14:paraId="31351488" w14:textId="77777777" w:rsidR="00830C3F" w:rsidRDefault="00830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egular">
    <w:altName w:val="Arial"/>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A85D7" w14:textId="77777777" w:rsidR="00830C3F" w:rsidRDefault="00830C3F">
      <w:r>
        <w:separator/>
      </w:r>
    </w:p>
  </w:footnote>
  <w:footnote w:type="continuationSeparator" w:id="0">
    <w:p w14:paraId="1F3A5BBB" w14:textId="77777777" w:rsidR="00830C3F" w:rsidRDefault="00830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780151210">
    <w:abstractNumId w:val="9"/>
  </w:num>
  <w:num w:numId="2" w16cid:durableId="1910188611">
    <w:abstractNumId w:val="7"/>
  </w:num>
  <w:num w:numId="3" w16cid:durableId="167990782">
    <w:abstractNumId w:val="6"/>
  </w:num>
  <w:num w:numId="4" w16cid:durableId="677848268">
    <w:abstractNumId w:val="5"/>
  </w:num>
  <w:num w:numId="5" w16cid:durableId="1714883106">
    <w:abstractNumId w:val="4"/>
  </w:num>
  <w:num w:numId="6" w16cid:durableId="1188258476">
    <w:abstractNumId w:val="8"/>
  </w:num>
  <w:num w:numId="7" w16cid:durableId="1564676303">
    <w:abstractNumId w:val="3"/>
  </w:num>
  <w:num w:numId="8" w16cid:durableId="916207203">
    <w:abstractNumId w:val="2"/>
  </w:num>
  <w:num w:numId="9" w16cid:durableId="1528832148">
    <w:abstractNumId w:val="1"/>
  </w:num>
  <w:num w:numId="10" w16cid:durableId="103766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A6EBE"/>
    <w:rsid w:val="000C2771"/>
    <w:rsid w:val="000D46F4"/>
    <w:rsid w:val="000F0998"/>
    <w:rsid w:val="000F0DCE"/>
    <w:rsid w:val="000F6BE3"/>
    <w:rsid w:val="00112C5B"/>
    <w:rsid w:val="00114193"/>
    <w:rsid w:val="00115A38"/>
    <w:rsid w:val="0011687B"/>
    <w:rsid w:val="00124F82"/>
    <w:rsid w:val="0016337A"/>
    <w:rsid w:val="00164269"/>
    <w:rsid w:val="001A1BDE"/>
    <w:rsid w:val="001F0876"/>
    <w:rsid w:val="001F167C"/>
    <w:rsid w:val="001F5E91"/>
    <w:rsid w:val="0020281F"/>
    <w:rsid w:val="002077B9"/>
    <w:rsid w:val="00257A68"/>
    <w:rsid w:val="00262D72"/>
    <w:rsid w:val="00294FBB"/>
    <w:rsid w:val="002B3205"/>
    <w:rsid w:val="002C030F"/>
    <w:rsid w:val="002C5022"/>
    <w:rsid w:val="00331D75"/>
    <w:rsid w:val="00355362"/>
    <w:rsid w:val="00363E44"/>
    <w:rsid w:val="00395E86"/>
    <w:rsid w:val="003A2FD8"/>
    <w:rsid w:val="003B40E6"/>
    <w:rsid w:val="003E74FB"/>
    <w:rsid w:val="003F6E14"/>
    <w:rsid w:val="00405336"/>
    <w:rsid w:val="004312DC"/>
    <w:rsid w:val="004571D5"/>
    <w:rsid w:val="00461D81"/>
    <w:rsid w:val="0046356B"/>
    <w:rsid w:val="00477182"/>
    <w:rsid w:val="004779CB"/>
    <w:rsid w:val="004E42D8"/>
    <w:rsid w:val="004E7BA2"/>
    <w:rsid w:val="004F7EDF"/>
    <w:rsid w:val="005001AC"/>
    <w:rsid w:val="00527D71"/>
    <w:rsid w:val="005520A8"/>
    <w:rsid w:val="005607DD"/>
    <w:rsid w:val="005A558C"/>
    <w:rsid w:val="005C15E5"/>
    <w:rsid w:val="005E28F8"/>
    <w:rsid w:val="005E6513"/>
    <w:rsid w:val="00651114"/>
    <w:rsid w:val="00664560"/>
    <w:rsid w:val="00670299"/>
    <w:rsid w:val="00691985"/>
    <w:rsid w:val="006A1B64"/>
    <w:rsid w:val="007108F5"/>
    <w:rsid w:val="00713E5B"/>
    <w:rsid w:val="00733856"/>
    <w:rsid w:val="007402FC"/>
    <w:rsid w:val="007411A1"/>
    <w:rsid w:val="00793072"/>
    <w:rsid w:val="007F483E"/>
    <w:rsid w:val="00807D35"/>
    <w:rsid w:val="008218C4"/>
    <w:rsid w:val="00821F38"/>
    <w:rsid w:val="00830C3F"/>
    <w:rsid w:val="00867A98"/>
    <w:rsid w:val="00870867"/>
    <w:rsid w:val="00885C9B"/>
    <w:rsid w:val="008B22FD"/>
    <w:rsid w:val="008D5D2A"/>
    <w:rsid w:val="00900966"/>
    <w:rsid w:val="00914B63"/>
    <w:rsid w:val="009354F3"/>
    <w:rsid w:val="009447DC"/>
    <w:rsid w:val="00961BA5"/>
    <w:rsid w:val="009743A9"/>
    <w:rsid w:val="00984AD3"/>
    <w:rsid w:val="009A5287"/>
    <w:rsid w:val="009B2AC5"/>
    <w:rsid w:val="009B7984"/>
    <w:rsid w:val="009F4BED"/>
    <w:rsid w:val="009F7D93"/>
    <w:rsid w:val="00A3403B"/>
    <w:rsid w:val="00A51A12"/>
    <w:rsid w:val="00A627D4"/>
    <w:rsid w:val="00A74DA2"/>
    <w:rsid w:val="00AB1828"/>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40968"/>
    <w:rsid w:val="00C4096C"/>
    <w:rsid w:val="00C50C6D"/>
    <w:rsid w:val="00C600D9"/>
    <w:rsid w:val="00C92B22"/>
    <w:rsid w:val="00CC1384"/>
    <w:rsid w:val="00CC743F"/>
    <w:rsid w:val="00CD3720"/>
    <w:rsid w:val="00CF1848"/>
    <w:rsid w:val="00CF46A6"/>
    <w:rsid w:val="00CF5C2F"/>
    <w:rsid w:val="00D04BCF"/>
    <w:rsid w:val="00D143D9"/>
    <w:rsid w:val="00D5511B"/>
    <w:rsid w:val="00D766F1"/>
    <w:rsid w:val="00DA328C"/>
    <w:rsid w:val="00DA6B04"/>
    <w:rsid w:val="00E1130C"/>
    <w:rsid w:val="00E257C8"/>
    <w:rsid w:val="00E41512"/>
    <w:rsid w:val="00E4519A"/>
    <w:rsid w:val="00E47DBB"/>
    <w:rsid w:val="00E51AFD"/>
    <w:rsid w:val="00E853D5"/>
    <w:rsid w:val="00E9773B"/>
    <w:rsid w:val="00EA6F42"/>
    <w:rsid w:val="00EC13A3"/>
    <w:rsid w:val="00EC7C85"/>
    <w:rsid w:val="00F125EE"/>
    <w:rsid w:val="00F12E98"/>
    <w:rsid w:val="00F22029"/>
    <w:rsid w:val="00F50FCF"/>
    <w:rsid w:val="00F515FB"/>
    <w:rsid w:val="00F630EA"/>
    <w:rsid w:val="00F7007E"/>
    <w:rsid w:val="00F73193"/>
    <w:rsid w:val="00F74F95"/>
    <w:rsid w:val="00F80705"/>
    <w:rsid w:val="00FA1481"/>
    <w:rsid w:val="00FC6DC3"/>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uiPriority w:val="99"/>
    <w:semiHidden/>
    <w:rsid w:val="007402FC"/>
    <w:rPr>
      <w:color w:val="0000FF"/>
      <w:u w:val="single"/>
    </w:rPr>
  </w:style>
  <w:style w:type="character" w:styleId="affff6">
    <w:name w:val="FollowedHyperlink"/>
    <w:uiPriority w:val="99"/>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msonormal0">
    <w:name w:val="msonormal"/>
    <w:basedOn w:val="a1"/>
    <w:rsid w:val="000A6EBE"/>
    <w:pPr>
      <w:spacing w:before="100" w:beforeAutospacing="1" w:after="100" w:afterAutospacing="1"/>
    </w:pPr>
    <w:rPr>
      <w:rFonts w:eastAsia="Times New Roman"/>
      <w:szCs w:val="24"/>
      <w:lang w:val="en-HK" w:eastAsia="zh-CN"/>
    </w:rPr>
  </w:style>
  <w:style w:type="paragraph" w:customStyle="1" w:styleId="xl65">
    <w:name w:val="xl65"/>
    <w:basedOn w:val="a1"/>
    <w:rsid w:val="000A6EBE"/>
    <w:pPr>
      <w:spacing w:before="100" w:beforeAutospacing="1" w:after="100" w:afterAutospacing="1"/>
    </w:pPr>
    <w:rPr>
      <w:rFonts w:eastAsia="Times New Roman"/>
      <w:sz w:val="16"/>
      <w:szCs w:val="16"/>
      <w:lang w:val="en-HK" w:eastAsia="zh-CN"/>
    </w:rPr>
  </w:style>
  <w:style w:type="paragraph" w:customStyle="1" w:styleId="xl66">
    <w:name w:val="xl66"/>
    <w:basedOn w:val="a1"/>
    <w:rsid w:val="000A6EBE"/>
    <w:pPr>
      <w:spacing w:before="100" w:beforeAutospacing="1" w:after="100" w:afterAutospacing="1"/>
    </w:pPr>
    <w:rPr>
      <w:rFonts w:eastAsia="Times New Roman"/>
      <w:sz w:val="16"/>
      <w:szCs w:val="16"/>
      <w:lang w:val="en-HK" w:eastAsia="zh-CN"/>
    </w:rPr>
  </w:style>
  <w:style w:type="paragraph" w:customStyle="1" w:styleId="xl67">
    <w:name w:val="xl67"/>
    <w:basedOn w:val="a1"/>
    <w:rsid w:val="000A6EBE"/>
    <w:pPr>
      <w:pBdr>
        <w:top w:val="single" w:sz="4" w:space="0" w:color="auto"/>
        <w:bottom w:val="single" w:sz="4" w:space="0" w:color="auto"/>
      </w:pBdr>
      <w:spacing w:before="100" w:beforeAutospacing="1" w:after="100" w:afterAutospacing="1"/>
    </w:pPr>
    <w:rPr>
      <w:rFonts w:eastAsia="Times New Roman"/>
      <w:sz w:val="18"/>
      <w:szCs w:val="18"/>
      <w:lang w:val="en-HK" w:eastAsia="zh-CN"/>
    </w:rPr>
  </w:style>
  <w:style w:type="paragraph" w:customStyle="1" w:styleId="xl68">
    <w:name w:val="xl68"/>
    <w:basedOn w:val="a1"/>
    <w:rsid w:val="000A6EBE"/>
    <w:pPr>
      <w:spacing w:before="100" w:beforeAutospacing="1" w:after="100" w:afterAutospacing="1"/>
    </w:pPr>
    <w:rPr>
      <w:rFonts w:eastAsia="Times New Roman"/>
      <w:sz w:val="16"/>
      <w:szCs w:val="16"/>
      <w:lang w:val="en-HK" w:eastAsia="zh-CN"/>
    </w:rPr>
  </w:style>
  <w:style w:type="paragraph" w:customStyle="1" w:styleId="xl69">
    <w:name w:val="xl69"/>
    <w:basedOn w:val="a1"/>
    <w:rsid w:val="000A6EBE"/>
    <w:pPr>
      <w:spacing w:before="100" w:beforeAutospacing="1" w:after="100" w:afterAutospacing="1"/>
    </w:pPr>
    <w:rPr>
      <w:rFonts w:ascii="Aptos Narrow" w:eastAsia="Times New Roman" w:hAnsi="Aptos Narrow"/>
      <w:sz w:val="16"/>
      <w:szCs w:val="16"/>
      <w:lang w:val="en-HK" w:eastAsia="zh-CN"/>
    </w:rPr>
  </w:style>
  <w:style w:type="paragraph" w:customStyle="1" w:styleId="xl70">
    <w:name w:val="xl70"/>
    <w:basedOn w:val="a1"/>
    <w:rsid w:val="000A6EBE"/>
    <w:pPr>
      <w:spacing w:before="100" w:beforeAutospacing="1" w:after="100" w:afterAutospacing="1"/>
    </w:pPr>
    <w:rPr>
      <w:rFonts w:ascii="Aptos Narrow" w:eastAsia="Times New Roman" w:hAnsi="Aptos Narrow"/>
      <w:szCs w:val="24"/>
      <w:lang w:val="en-HK" w:eastAsia="zh-CN"/>
    </w:rPr>
  </w:style>
  <w:style w:type="paragraph" w:customStyle="1" w:styleId="xl71">
    <w:name w:val="xl71"/>
    <w:basedOn w:val="a1"/>
    <w:rsid w:val="000A6EBE"/>
    <w:pPr>
      <w:spacing w:before="100" w:beforeAutospacing="1" w:after="100" w:afterAutospacing="1"/>
    </w:pPr>
    <w:rPr>
      <w:rFonts w:eastAsia="Times New Roman"/>
      <w:sz w:val="16"/>
      <w:szCs w:val="16"/>
      <w:lang w:val="en-HK" w:eastAsia="zh-CN"/>
    </w:rPr>
  </w:style>
  <w:style w:type="paragraph" w:customStyle="1" w:styleId="xl72">
    <w:name w:val="xl72"/>
    <w:basedOn w:val="a1"/>
    <w:rsid w:val="000A6EBE"/>
    <w:pPr>
      <w:spacing w:before="100" w:beforeAutospacing="1" w:after="100" w:afterAutospacing="1"/>
    </w:pPr>
    <w:rPr>
      <w:rFonts w:eastAsia="Times New Roman"/>
      <w:color w:val="FF0000"/>
      <w:szCs w:val="24"/>
      <w:lang w:val="en-HK" w:eastAsia="zh-CN"/>
    </w:rPr>
  </w:style>
  <w:style w:type="paragraph" w:customStyle="1" w:styleId="xl73">
    <w:name w:val="xl73"/>
    <w:basedOn w:val="a1"/>
    <w:rsid w:val="000A6EBE"/>
    <w:pPr>
      <w:spacing w:before="100" w:beforeAutospacing="1" w:after="100" w:afterAutospacing="1"/>
    </w:pPr>
    <w:rPr>
      <w:rFonts w:ascii="Aptos Narrow" w:eastAsia="Times New Roman" w:hAnsi="Aptos Narrow"/>
      <w:sz w:val="16"/>
      <w:szCs w:val="16"/>
      <w:lang w:val="en-HK" w:eastAsia="zh-CN"/>
    </w:rPr>
  </w:style>
  <w:style w:type="paragraph" w:customStyle="1" w:styleId="xl74">
    <w:name w:val="xl74"/>
    <w:basedOn w:val="a1"/>
    <w:rsid w:val="000A6EBE"/>
    <w:pPr>
      <w:spacing w:before="100" w:beforeAutospacing="1" w:after="100" w:afterAutospacing="1"/>
    </w:pPr>
    <w:rPr>
      <w:rFonts w:ascii="Aptos Narrow" w:eastAsia="Times New Roman" w:hAnsi="Aptos Narrow"/>
      <w:sz w:val="16"/>
      <w:szCs w:val="16"/>
      <w:lang w:val="en-HK" w:eastAsia="zh-CN"/>
    </w:rPr>
  </w:style>
  <w:style w:type="paragraph" w:customStyle="1" w:styleId="xl75">
    <w:name w:val="xl75"/>
    <w:basedOn w:val="a1"/>
    <w:rsid w:val="000A6EBE"/>
    <w:pPr>
      <w:spacing w:before="100" w:beforeAutospacing="1" w:after="100" w:afterAutospacing="1"/>
    </w:pPr>
    <w:rPr>
      <w:rFonts w:eastAsia="Times New Roman"/>
      <w:sz w:val="16"/>
      <w:szCs w:val="16"/>
      <w:lang w:val="en-HK" w:eastAsia="zh-CN"/>
    </w:rPr>
  </w:style>
  <w:style w:type="paragraph" w:customStyle="1" w:styleId="xl76">
    <w:name w:val="xl76"/>
    <w:basedOn w:val="a1"/>
    <w:rsid w:val="000A6EBE"/>
    <w:pPr>
      <w:pBdr>
        <w:bottom w:val="single" w:sz="4" w:space="0" w:color="auto"/>
      </w:pBdr>
      <w:spacing w:before="100" w:beforeAutospacing="1" w:after="100" w:afterAutospacing="1"/>
    </w:pPr>
    <w:rPr>
      <w:rFonts w:eastAsia="Times New Roman"/>
      <w:sz w:val="16"/>
      <w:szCs w:val="16"/>
      <w:lang w:val="en-HK" w:eastAsia="zh-CN"/>
    </w:rPr>
  </w:style>
  <w:style w:type="paragraph" w:customStyle="1" w:styleId="xl77">
    <w:name w:val="xl77"/>
    <w:basedOn w:val="a1"/>
    <w:rsid w:val="000A6EBE"/>
    <w:pPr>
      <w:pBdr>
        <w:bottom w:val="single" w:sz="4" w:space="0" w:color="auto"/>
      </w:pBdr>
      <w:spacing w:before="100" w:beforeAutospacing="1" w:after="100" w:afterAutospacing="1"/>
    </w:pPr>
    <w:rPr>
      <w:rFonts w:eastAsia="Times New Roman"/>
      <w:sz w:val="16"/>
      <w:szCs w:val="16"/>
      <w:lang w:val="en-HK" w:eastAsia="zh-CN"/>
    </w:rPr>
  </w:style>
  <w:style w:type="paragraph" w:customStyle="1" w:styleId="xl78">
    <w:name w:val="xl78"/>
    <w:basedOn w:val="a1"/>
    <w:rsid w:val="000A6EBE"/>
    <w:pPr>
      <w:pBdr>
        <w:bottom w:val="single" w:sz="4" w:space="0" w:color="auto"/>
      </w:pBdr>
      <w:spacing w:before="100" w:beforeAutospacing="1" w:after="100" w:afterAutospacing="1"/>
    </w:pPr>
    <w:rPr>
      <w:rFonts w:eastAsia="Times New Roman"/>
      <w:sz w:val="16"/>
      <w:szCs w:val="16"/>
      <w:lang w:val="en-HK" w:eastAsia="zh-CN"/>
    </w:rPr>
  </w:style>
  <w:style w:type="paragraph" w:customStyle="1" w:styleId="xl79">
    <w:name w:val="xl79"/>
    <w:basedOn w:val="a1"/>
    <w:rsid w:val="000A6EBE"/>
    <w:pPr>
      <w:pBdr>
        <w:top w:val="single" w:sz="4" w:space="0" w:color="auto"/>
        <w:bottom w:val="single" w:sz="4" w:space="0" w:color="auto"/>
      </w:pBdr>
      <w:spacing w:before="100" w:beforeAutospacing="1" w:after="100" w:afterAutospacing="1"/>
    </w:pPr>
    <w:rPr>
      <w:rFonts w:eastAsia="Times New Roman"/>
      <w:sz w:val="16"/>
      <w:szCs w:val="16"/>
      <w:lang w:val="en-HK" w:eastAsia="zh-CN"/>
    </w:rPr>
  </w:style>
  <w:style w:type="character" w:customStyle="1" w:styleId="normaltextrun">
    <w:name w:val="normaltextrun"/>
    <w:basedOn w:val="a2"/>
    <w:rsid w:val="007F4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86481">
      <w:bodyDiv w:val="1"/>
      <w:marLeft w:val="0"/>
      <w:marRight w:val="0"/>
      <w:marTop w:val="0"/>
      <w:marBottom w:val="0"/>
      <w:divBdr>
        <w:top w:val="none" w:sz="0" w:space="0" w:color="auto"/>
        <w:left w:val="none" w:sz="0" w:space="0" w:color="auto"/>
        <w:bottom w:val="none" w:sz="0" w:space="0" w:color="auto"/>
        <w:right w:val="none" w:sz="0" w:space="0" w:color="auto"/>
      </w:divBdr>
    </w:div>
    <w:div w:id="147409429">
      <w:bodyDiv w:val="1"/>
      <w:marLeft w:val="0"/>
      <w:marRight w:val="0"/>
      <w:marTop w:val="0"/>
      <w:marBottom w:val="0"/>
      <w:divBdr>
        <w:top w:val="none" w:sz="0" w:space="0" w:color="auto"/>
        <w:left w:val="none" w:sz="0" w:space="0" w:color="auto"/>
        <w:bottom w:val="none" w:sz="0" w:space="0" w:color="auto"/>
        <w:right w:val="none" w:sz="0" w:space="0" w:color="auto"/>
      </w:divBdr>
    </w:div>
    <w:div w:id="252864534">
      <w:bodyDiv w:val="1"/>
      <w:marLeft w:val="0"/>
      <w:marRight w:val="0"/>
      <w:marTop w:val="0"/>
      <w:marBottom w:val="0"/>
      <w:divBdr>
        <w:top w:val="none" w:sz="0" w:space="0" w:color="auto"/>
        <w:left w:val="none" w:sz="0" w:space="0" w:color="auto"/>
        <w:bottom w:val="none" w:sz="0" w:space="0" w:color="auto"/>
        <w:right w:val="none" w:sz="0" w:space="0" w:color="auto"/>
      </w:divBdr>
    </w:div>
    <w:div w:id="463541217">
      <w:bodyDiv w:val="1"/>
      <w:marLeft w:val="0"/>
      <w:marRight w:val="0"/>
      <w:marTop w:val="0"/>
      <w:marBottom w:val="0"/>
      <w:divBdr>
        <w:top w:val="none" w:sz="0" w:space="0" w:color="auto"/>
        <w:left w:val="none" w:sz="0" w:space="0" w:color="auto"/>
        <w:bottom w:val="none" w:sz="0" w:space="0" w:color="auto"/>
        <w:right w:val="none" w:sz="0" w:space="0" w:color="auto"/>
      </w:divBdr>
    </w:div>
    <w:div w:id="527135763">
      <w:bodyDiv w:val="1"/>
      <w:marLeft w:val="0"/>
      <w:marRight w:val="0"/>
      <w:marTop w:val="0"/>
      <w:marBottom w:val="0"/>
      <w:divBdr>
        <w:top w:val="none" w:sz="0" w:space="0" w:color="auto"/>
        <w:left w:val="none" w:sz="0" w:space="0" w:color="auto"/>
        <w:bottom w:val="none" w:sz="0" w:space="0" w:color="auto"/>
        <w:right w:val="none" w:sz="0" w:space="0" w:color="auto"/>
      </w:divBdr>
    </w:div>
    <w:div w:id="612706935">
      <w:bodyDiv w:val="1"/>
      <w:marLeft w:val="0"/>
      <w:marRight w:val="0"/>
      <w:marTop w:val="0"/>
      <w:marBottom w:val="0"/>
      <w:divBdr>
        <w:top w:val="none" w:sz="0" w:space="0" w:color="auto"/>
        <w:left w:val="none" w:sz="0" w:space="0" w:color="auto"/>
        <w:bottom w:val="none" w:sz="0" w:space="0" w:color="auto"/>
        <w:right w:val="none" w:sz="0" w:space="0" w:color="auto"/>
      </w:divBdr>
    </w:div>
    <w:div w:id="675617568">
      <w:bodyDiv w:val="1"/>
      <w:marLeft w:val="0"/>
      <w:marRight w:val="0"/>
      <w:marTop w:val="0"/>
      <w:marBottom w:val="0"/>
      <w:divBdr>
        <w:top w:val="none" w:sz="0" w:space="0" w:color="auto"/>
        <w:left w:val="none" w:sz="0" w:space="0" w:color="auto"/>
        <w:bottom w:val="none" w:sz="0" w:space="0" w:color="auto"/>
        <w:right w:val="none" w:sz="0" w:space="0" w:color="auto"/>
      </w:divBdr>
    </w:div>
    <w:div w:id="681663511">
      <w:bodyDiv w:val="1"/>
      <w:marLeft w:val="0"/>
      <w:marRight w:val="0"/>
      <w:marTop w:val="0"/>
      <w:marBottom w:val="0"/>
      <w:divBdr>
        <w:top w:val="none" w:sz="0" w:space="0" w:color="auto"/>
        <w:left w:val="none" w:sz="0" w:space="0" w:color="auto"/>
        <w:bottom w:val="none" w:sz="0" w:space="0" w:color="auto"/>
        <w:right w:val="none" w:sz="0" w:space="0" w:color="auto"/>
      </w:divBdr>
    </w:div>
    <w:div w:id="827331462">
      <w:bodyDiv w:val="1"/>
      <w:marLeft w:val="0"/>
      <w:marRight w:val="0"/>
      <w:marTop w:val="0"/>
      <w:marBottom w:val="0"/>
      <w:divBdr>
        <w:top w:val="none" w:sz="0" w:space="0" w:color="auto"/>
        <w:left w:val="none" w:sz="0" w:space="0" w:color="auto"/>
        <w:bottom w:val="none" w:sz="0" w:space="0" w:color="auto"/>
        <w:right w:val="none" w:sz="0" w:space="0" w:color="auto"/>
      </w:divBdr>
    </w:div>
    <w:div w:id="855316242">
      <w:bodyDiv w:val="1"/>
      <w:marLeft w:val="0"/>
      <w:marRight w:val="0"/>
      <w:marTop w:val="0"/>
      <w:marBottom w:val="0"/>
      <w:divBdr>
        <w:top w:val="none" w:sz="0" w:space="0" w:color="auto"/>
        <w:left w:val="none" w:sz="0" w:space="0" w:color="auto"/>
        <w:bottom w:val="none" w:sz="0" w:space="0" w:color="auto"/>
        <w:right w:val="none" w:sz="0" w:space="0" w:color="auto"/>
      </w:divBdr>
    </w:div>
    <w:div w:id="980499579">
      <w:bodyDiv w:val="1"/>
      <w:marLeft w:val="0"/>
      <w:marRight w:val="0"/>
      <w:marTop w:val="0"/>
      <w:marBottom w:val="0"/>
      <w:divBdr>
        <w:top w:val="none" w:sz="0" w:space="0" w:color="auto"/>
        <w:left w:val="none" w:sz="0" w:space="0" w:color="auto"/>
        <w:bottom w:val="none" w:sz="0" w:space="0" w:color="auto"/>
        <w:right w:val="none" w:sz="0" w:space="0" w:color="auto"/>
      </w:divBdr>
    </w:div>
    <w:div w:id="1160316254">
      <w:bodyDiv w:val="1"/>
      <w:marLeft w:val="0"/>
      <w:marRight w:val="0"/>
      <w:marTop w:val="0"/>
      <w:marBottom w:val="0"/>
      <w:divBdr>
        <w:top w:val="none" w:sz="0" w:space="0" w:color="auto"/>
        <w:left w:val="none" w:sz="0" w:space="0" w:color="auto"/>
        <w:bottom w:val="none" w:sz="0" w:space="0" w:color="auto"/>
        <w:right w:val="none" w:sz="0" w:space="0" w:color="auto"/>
      </w:divBdr>
    </w:div>
    <w:div w:id="168278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linicaltrials.gov/study/NCT04649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160</Pages>
  <Words>24911</Words>
  <Characters>141998</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166576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tongli@scu.edu.cn</cp:lastModifiedBy>
  <cp:revision>6</cp:revision>
  <cp:lastPrinted>2018-01-11T19:53:00Z</cp:lastPrinted>
  <dcterms:created xsi:type="dcterms:W3CDTF">2024-04-24T07:47:00Z</dcterms:created>
  <dcterms:modified xsi:type="dcterms:W3CDTF">2024-04-25T03:15:00Z</dcterms:modified>
</cp:coreProperties>
</file>