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2AED" w:rsidRDefault="007C2AED">
      <w:pPr>
        <w:rPr>
          <w:sz w:val="36"/>
          <w:szCs w:val="36"/>
        </w:rPr>
      </w:pPr>
    </w:p>
    <w:p w:rsidR="007C2AED" w:rsidRDefault="007C2AED">
      <w:pPr>
        <w:jc w:val="center"/>
        <w:rPr>
          <w:sz w:val="36"/>
          <w:szCs w:val="36"/>
        </w:rPr>
      </w:pPr>
    </w:p>
    <w:p w:rsidR="007C2AED" w:rsidRPr="00315DB3" w:rsidRDefault="00000000">
      <w:pPr>
        <w:jc w:val="center"/>
        <w:rPr>
          <w:rFonts w:ascii="Times New Roman" w:hAnsi="Times New Roman"/>
          <w:sz w:val="36"/>
          <w:szCs w:val="36"/>
        </w:rPr>
      </w:pPr>
      <w:r w:rsidRPr="00315DB3">
        <w:rPr>
          <w:rFonts w:ascii="Times New Roman" w:hAnsi="Times New Roman"/>
          <w:sz w:val="36"/>
          <w:szCs w:val="36"/>
        </w:rPr>
        <w:t>Supplementary Materials for</w:t>
      </w:r>
    </w:p>
    <w:p w:rsidR="007C2AED" w:rsidRPr="00315DB3" w:rsidRDefault="007C2AED"/>
    <w:p w:rsidR="007C2AED" w:rsidRPr="00315DB3" w:rsidRDefault="00000000">
      <w:pPr>
        <w:widowControl/>
        <w:spacing w:line="480" w:lineRule="auto"/>
        <w:jc w:val="center"/>
        <w:rPr>
          <w:rFonts w:ascii="Times New Roman" w:eastAsiaTheme="minorEastAsia" w:hAnsi="Times New Roman"/>
          <w:b/>
          <w:bCs/>
          <w:kern w:val="0"/>
          <w:sz w:val="28"/>
          <w:szCs w:val="28"/>
          <w:lang w:eastAsia="en-US"/>
        </w:rPr>
      </w:pPr>
      <w:r w:rsidRPr="00315DB3">
        <w:rPr>
          <w:rFonts w:ascii="Times New Roman" w:eastAsiaTheme="minorEastAsia" w:hAnsi="Times New Roman" w:hint="eastAsia"/>
          <w:b/>
          <w:bCs/>
          <w:kern w:val="0"/>
          <w:sz w:val="28"/>
          <w:szCs w:val="28"/>
          <w:lang w:eastAsia="en-US"/>
        </w:rPr>
        <w:t>Human adipose and umbilical cord mesenchymal stem cell-derived extracellular vesicles mitigate photoaging via TIMP1/Notch1</w:t>
      </w:r>
    </w:p>
    <w:p w:rsidR="007C2AED" w:rsidRPr="00315DB3" w:rsidRDefault="007C2AED">
      <w:pPr>
        <w:jc w:val="center"/>
        <w:rPr>
          <w:rFonts w:ascii="Times New Roman" w:hAnsi="Times New Roman"/>
          <w:sz w:val="28"/>
          <w:szCs w:val="28"/>
        </w:rPr>
      </w:pPr>
    </w:p>
    <w:p w:rsidR="007C2AED" w:rsidRPr="00315DB3" w:rsidRDefault="00000000">
      <w:pPr>
        <w:spacing w:line="480" w:lineRule="auto"/>
        <w:rPr>
          <w:rFonts w:ascii="Times New Roman" w:eastAsia="DengXian" w:hAnsi="Times New Roman"/>
          <w:sz w:val="24"/>
          <w:szCs w:val="24"/>
          <w:vertAlign w:val="superscript"/>
          <w:lang w:bidi="ar"/>
        </w:rPr>
      </w:pPr>
      <w:r w:rsidRPr="00315DB3">
        <w:rPr>
          <w:rFonts w:ascii="Times New Roman" w:eastAsiaTheme="minorEastAsia" w:hAnsi="Times New Roman"/>
          <w:sz w:val="24"/>
          <w:szCs w:val="24"/>
        </w:rPr>
        <w:t>Huan Zhang</w:t>
      </w:r>
      <w:r w:rsidRPr="00315DB3">
        <w:rPr>
          <w:rFonts w:ascii="Times New Roman" w:eastAsiaTheme="minorEastAsia" w:hAnsi="Times New Roman" w:hint="eastAsia"/>
          <w:sz w:val="24"/>
          <w:szCs w:val="24"/>
          <w:vertAlign w:val="superscript"/>
        </w:rPr>
        <w:t>1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, </w:t>
      </w:r>
      <w:r w:rsidRPr="00315DB3">
        <w:rPr>
          <w:rFonts w:ascii="Times New Roman" w:eastAsiaTheme="minorEastAsia" w:hAnsi="Times New Roman" w:hint="eastAsia"/>
          <w:sz w:val="24"/>
          <w:szCs w:val="24"/>
          <w:vertAlign w:val="superscript"/>
        </w:rPr>
        <w:t>#</w:t>
      </w:r>
      <w:r w:rsidRPr="00315DB3">
        <w:rPr>
          <w:rFonts w:ascii="Times New Roman" w:eastAsiaTheme="minorEastAsia" w:hAnsi="Times New Roman"/>
          <w:sz w:val="24"/>
          <w:szCs w:val="24"/>
        </w:rPr>
        <w:t>, Xian Xiao</w:t>
      </w:r>
      <w:r w:rsidRPr="00315DB3">
        <w:rPr>
          <w:rFonts w:ascii="Times New Roman" w:eastAsiaTheme="minorEastAsia" w:hAnsi="Times New Roman" w:hint="eastAsia"/>
          <w:sz w:val="24"/>
          <w:szCs w:val="24"/>
          <w:vertAlign w:val="superscript"/>
        </w:rPr>
        <w:t>1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, </w:t>
      </w:r>
      <w:r w:rsidRPr="00315DB3">
        <w:rPr>
          <w:rFonts w:ascii="Times New Roman" w:eastAsiaTheme="minorEastAsia" w:hAnsi="Times New Roman" w:hint="eastAsia"/>
          <w:sz w:val="24"/>
          <w:szCs w:val="24"/>
          <w:vertAlign w:val="superscript"/>
        </w:rPr>
        <w:t>#</w:t>
      </w:r>
      <w:r w:rsidRPr="00315DB3">
        <w:rPr>
          <w:rFonts w:ascii="Times New Roman" w:eastAsiaTheme="minorEastAsia" w:hAnsi="Times New Roman"/>
          <w:sz w:val="24"/>
          <w:szCs w:val="24"/>
        </w:rPr>
        <w:t>, Liping Wang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>1</w:t>
      </w:r>
      <w:r w:rsidRPr="00315DB3">
        <w:rPr>
          <w:rFonts w:ascii="Times New Roman" w:eastAsiaTheme="minorEastAsia" w:hAnsi="Times New Roman"/>
          <w:sz w:val="24"/>
          <w:szCs w:val="24"/>
        </w:rPr>
        <w:t>, Xianhao Shi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>1</w:t>
      </w:r>
      <w:r w:rsidRPr="00315DB3">
        <w:rPr>
          <w:rFonts w:ascii="Times New Roman" w:eastAsiaTheme="minorEastAsia" w:hAnsi="Times New Roman"/>
          <w:sz w:val="24"/>
          <w:szCs w:val="24"/>
        </w:rPr>
        <w:t>, Nan Fu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>1</w:t>
      </w:r>
      <w:r w:rsidRPr="00315DB3">
        <w:rPr>
          <w:rFonts w:ascii="Times New Roman" w:eastAsiaTheme="minorEastAsia" w:hAnsi="Times New Roman"/>
          <w:sz w:val="24"/>
          <w:szCs w:val="24"/>
        </w:rPr>
        <w:t>, Shihua Wang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>1*</w:t>
      </w:r>
      <w:r w:rsidRPr="00315DB3">
        <w:rPr>
          <w:rFonts w:ascii="Times New Roman" w:eastAsiaTheme="minorEastAsia" w:hAnsi="Times New Roman"/>
          <w:sz w:val="24"/>
          <w:szCs w:val="24"/>
        </w:rPr>
        <w:t>, Robert Chunhua Zhao</w:t>
      </w:r>
      <w:r w:rsidRPr="00315DB3">
        <w:rPr>
          <w:rFonts w:ascii="Times New Roman" w:eastAsiaTheme="minorEastAsia" w:hAnsi="Times New Roman"/>
          <w:sz w:val="24"/>
          <w:szCs w:val="24"/>
          <w:vertAlign w:val="superscript"/>
        </w:rPr>
        <w:t>1, 2*</w:t>
      </w:r>
    </w:p>
    <w:p w:rsidR="007C2AED" w:rsidRPr="00315DB3" w:rsidRDefault="007C2AED">
      <w:pPr>
        <w:rPr>
          <w:rFonts w:ascii="Times New Roman Regular" w:hAnsi="Times New Roman Regular" w:cs="Times New Roman Regular" w:hint="eastAsia"/>
          <w:sz w:val="24"/>
          <w:szCs w:val="24"/>
        </w:rPr>
      </w:pPr>
    </w:p>
    <w:p w:rsidR="007C2AED" w:rsidRPr="00315DB3" w:rsidRDefault="00000000">
      <w:pPr>
        <w:jc w:val="left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#These authors contributed equally</w:t>
      </w:r>
    </w:p>
    <w:p w:rsidR="007C2AED" w:rsidRPr="00315DB3" w:rsidRDefault="00000000">
      <w:pPr>
        <w:jc w:val="left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Correspondence to: wangshihua@ibms.pumc.edu.cn or zhaochunhua@ibms.pumc.edu.cn. </w:t>
      </w:r>
    </w:p>
    <w:p w:rsidR="007C2AED" w:rsidRPr="00315DB3" w:rsidRDefault="007C2AED">
      <w:pPr>
        <w:rPr>
          <w:rFonts w:ascii="Times New Roman Regular" w:hAnsi="Times New Roman Regular" w:cs="Times New Roman Regular" w:hint="eastAsia"/>
          <w:sz w:val="24"/>
          <w:szCs w:val="24"/>
        </w:rPr>
      </w:pPr>
    </w:p>
    <w:p w:rsidR="007C2AED" w:rsidRPr="00315DB3" w:rsidRDefault="007C2AED">
      <w:pPr>
        <w:rPr>
          <w:rFonts w:ascii="Times New Roman Regular" w:hAnsi="Times New Roman Regular" w:cs="Times New Roman Regular" w:hint="eastAsia"/>
          <w:b/>
          <w:sz w:val="24"/>
          <w:szCs w:val="24"/>
        </w:rPr>
      </w:pPr>
    </w:p>
    <w:p w:rsidR="007C2AED" w:rsidRPr="00315DB3" w:rsidRDefault="007C2AED">
      <w:pPr>
        <w:widowControl/>
        <w:jc w:val="left"/>
        <w:rPr>
          <w:rFonts w:ascii="Times New Roman" w:eastAsiaTheme="minorEastAsia" w:hAnsi="Times New Roman"/>
          <w:b/>
          <w:kern w:val="0"/>
          <w:sz w:val="24"/>
          <w:szCs w:val="20"/>
          <w:lang w:eastAsia="en-US"/>
        </w:rPr>
      </w:pPr>
    </w:p>
    <w:p w:rsidR="007C2AED" w:rsidRPr="00315DB3" w:rsidRDefault="00000000">
      <w:pPr>
        <w:widowControl/>
        <w:jc w:val="left"/>
        <w:rPr>
          <w:rFonts w:ascii="Times New Roman" w:eastAsiaTheme="minorEastAsia" w:hAnsi="Times New Roman"/>
          <w:b/>
          <w:kern w:val="0"/>
          <w:sz w:val="24"/>
          <w:szCs w:val="20"/>
          <w:lang w:eastAsia="en-US"/>
        </w:rPr>
      </w:pPr>
      <w:r w:rsidRPr="00315DB3">
        <w:rPr>
          <w:rFonts w:ascii="Times New Roman" w:eastAsiaTheme="minorEastAsia" w:hAnsi="Times New Roman"/>
          <w:b/>
          <w:kern w:val="0"/>
          <w:sz w:val="24"/>
          <w:szCs w:val="20"/>
          <w:lang w:eastAsia="en-US"/>
        </w:rPr>
        <w:t>This PDF file includes:</w:t>
      </w:r>
    </w:p>
    <w:p w:rsidR="007C2AED" w:rsidRPr="00315DB3" w:rsidRDefault="007C2AED">
      <w:pPr>
        <w:rPr>
          <w:rFonts w:ascii="Times New Roman Regular" w:hAnsi="Times New Roman Regular" w:cs="Times New Roman Regular" w:hint="eastAsia"/>
          <w:sz w:val="24"/>
          <w:szCs w:val="24"/>
        </w:rPr>
      </w:pPr>
    </w:p>
    <w:p w:rsidR="007C2AED" w:rsidRPr="00315DB3" w:rsidRDefault="00000000">
      <w:pPr>
        <w:ind w:left="720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Figures. S1 to S12</w:t>
      </w:r>
    </w:p>
    <w:p w:rsidR="007C2AED" w:rsidRPr="00315DB3" w:rsidRDefault="00000000">
      <w:pPr>
        <w:ind w:left="720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Tables S1 to S2</w:t>
      </w:r>
    </w:p>
    <w:p w:rsidR="007C2AED" w:rsidRPr="00315DB3" w:rsidRDefault="00000000">
      <w:pPr>
        <w:widowControl/>
        <w:jc w:val="left"/>
        <w:rPr>
          <w:sz w:val="24"/>
          <w:szCs w:val="24"/>
        </w:rPr>
      </w:pPr>
      <w:r w:rsidRPr="00315DB3">
        <w:rPr>
          <w:sz w:val="24"/>
          <w:szCs w:val="24"/>
        </w:rPr>
        <w:br w:type="page"/>
      </w:r>
    </w:p>
    <w:p w:rsidR="007C2AED" w:rsidRPr="00315DB3" w:rsidRDefault="00C2136B">
      <w:pPr>
        <w:pStyle w:val="SMHeading"/>
        <w:rPr>
          <w:rFonts w:ascii="Times New Roman Bold" w:hAnsi="Times New Roman Bold" w:cs="Times New Roman Bold" w:hint="eastAsia"/>
          <w:sz w:val="24"/>
        </w:rPr>
      </w:pPr>
      <w:r w:rsidRPr="00315DB3">
        <w:rPr>
          <w:rFonts w:ascii="Times New Roman Bold" w:hAnsi="Times New Roman Bold" w:cs="Times New Roman Bold"/>
          <w:noProof/>
          <w:sz w:val="24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246380</wp:posOffset>
            </wp:positionH>
            <wp:positionV relativeFrom="paragraph">
              <wp:posOffset>177800</wp:posOffset>
            </wp:positionV>
            <wp:extent cx="5450840" cy="3077845"/>
            <wp:effectExtent l="0" t="0" r="0" b="0"/>
            <wp:wrapTopAndBottom/>
            <wp:docPr id="2008519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19615" name="图片 20085196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84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sz w:val="24"/>
        </w:rPr>
        <w:t>Figure. S1.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>Figure S1: The safety assessment of AMSC-EV and HUMSC-EV in vivo.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Histological morphologies of vital organs from mice at 72 hours after different treatments,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(b), Blood biochemistry analysis of liver function indices, renal function indices and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c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ardiac function indices, n = 3.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color w:val="0000FF"/>
          <w:sz w:val="24"/>
          <w:szCs w:val="24"/>
        </w:rPr>
      </w:pPr>
      <w:r w:rsidRPr="00315DB3">
        <w:rPr>
          <w:rFonts w:ascii="Times New Roman Regular" w:hAnsi="Times New Roman Regular" w:cs="Times New Roman Regular"/>
          <w:color w:val="0000FF"/>
          <w:sz w:val="24"/>
          <w:szCs w:val="24"/>
        </w:rPr>
        <w:br w:type="page"/>
      </w:r>
    </w:p>
    <w:p w:rsidR="007C2AED" w:rsidRPr="00315DB3" w:rsidRDefault="00E55AD9">
      <w:pPr>
        <w:keepNext/>
        <w:spacing w:before="240" w:after="60"/>
        <w:outlineLvl w:val="0"/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176530</wp:posOffset>
            </wp:positionV>
            <wp:extent cx="5943600" cy="4570095"/>
            <wp:effectExtent l="0" t="0" r="0" b="1905"/>
            <wp:wrapTopAndBottom/>
            <wp:docPr id="9348610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61079" name="图片 9348610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S2.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>Figure S2: MSC-EV were uptaken by HDFs and HaCaTs and MSC-EV promoted HDFs migration.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Fluorescence intensity analysis of AMSC-EV and HUMSC-EV uptake by HaCaTs pretreated with or without UVB,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Representative immunofluorescence staining images of P16 (red), LMNB1 (green) and DAPI of HaCaTs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Fluorescence intensity of P16 and LMNB1 levels of HaCaTs. n = 3, **p &lt; 0.01, ***p &lt; 0.001, 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Fluorescence intensity analysis of AMSC-EV and HUMSC-EV uptake by HDFs pretreated with or without UVB,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Representative images of transwell assays of HDFs (scale bar, 100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Representative images of the migration assay and the images were taken at the indicated times (scale bar, 100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(g), Quantitation of transwell assays of HDFs. n = 3, **p &lt; 0.01, ***p &lt; 0.001.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(h), Quantitation of migration assays of HDFs. n = 3, **p &lt; 0.01, ***p &lt; 0.001.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i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), Representative immunofluorescence staining images of P16 (red), LMNB1 (green) and DAPI of H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DF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s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j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),  Fluorescence intensity of P16 and LMNB1 levels of H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DF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s. n = 3, ****p &lt; 0.0001.</w:t>
      </w:r>
    </w:p>
    <w:p w:rsidR="007C2AED" w:rsidRPr="00315DB3" w:rsidRDefault="00000000">
      <w:pPr>
        <w:pStyle w:val="SMHeading"/>
        <w:rPr>
          <w:rFonts w:ascii="Times New Roman Regular" w:hAnsi="Times New Roman Regular" w:cs="Times New Roman Regular" w:hint="eastAsia"/>
          <w:sz w:val="24"/>
        </w:rPr>
      </w:pPr>
      <w:r w:rsidRPr="00315DB3">
        <w:rPr>
          <w:rFonts w:ascii="Times New Roman Regular" w:hAnsi="Times New Roman Regular" w:cs="Times New Roman Regular"/>
          <w:color w:val="4F81BD" w:themeColor="accent1"/>
          <w:sz w:val="24"/>
        </w:rPr>
        <w:br w:type="page"/>
      </w:r>
      <w:r w:rsidR="00E55AD9" w:rsidRPr="00315DB3">
        <w:rPr>
          <w:rFonts w:ascii="Times New Roman Bold" w:hAnsi="Times New Roman Bold" w:cs="Times New Roman Bold"/>
          <w:noProof/>
          <w:sz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3776345" cy="2530475"/>
            <wp:effectExtent l="0" t="0" r="0" b="0"/>
            <wp:wrapTopAndBottom/>
            <wp:docPr id="13276824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82412" name="图片 13276824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sz w:val="24"/>
        </w:rPr>
        <w:t>Figure. S3.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>Figure S3: AMSC-EV and HUMSC-EV mitigated photoaging of H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KC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s in vitro.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Representative images of SA-β-gal staining in H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KC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s (scale bar, 100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Quantitation of SA-β-gal positive cells in HDFs. n = 3, **p &lt; 0.01,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Representative immunofluorescence staining images ROS (green) and DAPI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(d), Fluorescence intensity of ROS levels. n = 3, ****p &lt; 0.0001. 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Representative immunofluorescence staining images of positive cells of γ-H2Ax (red) and DAPI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Quantitation of mean number of γ-H2Ax foci/cell. n = 3, **p &lt; 0.01, ****p &lt; 0.0001.</w:t>
      </w:r>
    </w:p>
    <w:p w:rsidR="007C2AED" w:rsidRPr="00315DB3" w:rsidRDefault="00000000">
      <w:pPr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  <w:r w:rsidR="004C58E0" w:rsidRPr="00315DB3">
        <w:rPr>
          <w:rFonts w:ascii="Times New Roman Bold" w:hAnsi="Times New Roman Bold" w:cs="Times New Roman Bold"/>
          <w:b/>
          <w:bCs/>
          <w:noProof/>
          <w:kern w:val="32"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1390650</wp:posOffset>
            </wp:positionH>
            <wp:positionV relativeFrom="paragraph">
              <wp:posOffset>177165</wp:posOffset>
            </wp:positionV>
            <wp:extent cx="3161665" cy="2159635"/>
            <wp:effectExtent l="0" t="0" r="635" b="0"/>
            <wp:wrapTopAndBottom/>
            <wp:docPr id="12583528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52886" name="图片 12583528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S4.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>Figure S4: AMSC-EV and HUMSC-EV mitigated photoaging in T-skin model.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Representative immunofluorescence staining images of P16 (red), LMNB1 (green) and DAPI of T-Skin model (scale bar, 20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Fluorescence intensity of P16 and LMNB1 levels of T-Skin model. n = 3, **p &lt; 0.01, ***p &lt; 0.001, 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E40327">
      <w:pPr>
        <w:keepNext/>
        <w:spacing w:before="240" w:after="60"/>
        <w:outlineLvl w:val="0"/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Bold" w:hAnsi="Times New Roman Bold" w:cs="Times New Roman Bold"/>
          <w:b/>
          <w:bCs/>
          <w:noProof/>
          <w:kern w:val="32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914400</wp:posOffset>
            </wp:positionH>
            <wp:positionV relativeFrom="paragraph">
              <wp:posOffset>175895</wp:posOffset>
            </wp:positionV>
            <wp:extent cx="4112260" cy="2771775"/>
            <wp:effectExtent l="0" t="0" r="2540" b="0"/>
            <wp:wrapTopAndBottom/>
            <wp:docPr id="17243063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06322" name="图片 17243063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26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S5.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 xml:space="preserve">Figure S5: </w:t>
      </w:r>
      <w:r w:rsidRPr="00315DB3"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  <w:t>I</w:t>
      </w: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mmunofluorescence </w:t>
      </w:r>
      <w:r w:rsidRPr="00315DB3"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  <w:t>and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 w:rsidRPr="00315DB3"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  <w:t>h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istological analysis of the dorsal skin in nude mice after UVB irradiation and EV treatment.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Representative immunofluorescence staining images of P16 (red), LMNB1 (green) and DAPI of  the dorsal skin in nude mice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Fluorescence intensity of P16 and LMNB1 levels of  the dorsal skin in nude mice. n = 6,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Representative images of Verhoeff’s Van Gieson staining staining (scale bar, 50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(d), Quantitation of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elastin</w:t>
      </w: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 area from Verhoeff’s Van Gieson staining staining statistics. n = 6,  ***p &lt; 0.001, ****p &lt; 0.0001. 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C03E05">
      <w:pPr>
        <w:pStyle w:val="SMHeading"/>
        <w:rPr>
          <w:rFonts w:ascii="Times New Roman Bold" w:hAnsi="Times New Roman Bold" w:cs="Times New Roman Bold" w:hint="eastAsia"/>
          <w:sz w:val="24"/>
        </w:rPr>
      </w:pPr>
      <w:r w:rsidRPr="00315DB3">
        <w:rPr>
          <w:rFonts w:ascii="Times New Roman Bold" w:hAnsi="Times New Roman Bold" w:cs="Times New Roman Bold"/>
          <w:b w:val="0"/>
          <w:bCs w:val="0"/>
          <w:noProof/>
          <w:sz w:val="24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179705</wp:posOffset>
            </wp:positionV>
            <wp:extent cx="5943600" cy="7248525"/>
            <wp:effectExtent l="0" t="0" r="0" b="3175"/>
            <wp:wrapTopAndBottom/>
            <wp:docPr id="3713541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54168" name="图片 3713541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sz w:val="24"/>
        </w:rPr>
        <w:t>Figure. S6.</w:t>
      </w:r>
    </w:p>
    <w:p w:rsidR="007C2AED" w:rsidRPr="00315DB3" w:rsidRDefault="00000000">
      <w:pPr>
        <w:widowControl/>
        <w:jc w:val="left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lastRenderedPageBreak/>
        <w:t>Figure S6: Silence of TIMP1 induces senescence in both HDFs and HaCaTs.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Quantitation of COL1, COL3, and COL6 in AMSC-EV and HUMSC-EV was detected by Western blot.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Western blot analysis showing FSTL1 and NID1 expression in AMSC-EV and HUMSC-EV.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Quantitation of FSTL1 and NID16 in AMSC-EV and HUMSC-EV was detected by Western blot.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Western blot analysis showing TIMP1 expression in both young and old mice. n = 3.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Quantitative of TIMP1 in young and old mice by Western blot.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(f), Representative images of SA-β-gal staining in HaCaTs and HDFs (scale bar, 100 μm). 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(g), Quantitation of SA-β-gal positive cells in HaCaTs and HDFs. n = 3, 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(h), Quantitation of TIMP1, P16, P21, P53, and LMNB1 in HaCaTs and HDFs by qRT-PCR. n = 3, **p &lt; 0.01,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(i), Western blot analysis showing LMNB1, P16, P21, P53 and TIMP1 expression in HDFs and HaCaTs.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(j), Quantitative of LMNB1 and TIMP1 in HDFs and HaCaTs by Western blot. n = 3, **p &lt; 0.01.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(k), Quantitative of P16, P21, and P53 in HDFs and HaCaTs by Western blot. n = 3, *p &lt; 0.05, **p &lt; 0.01, ***p &lt; 0.001.</w:t>
      </w:r>
    </w:p>
    <w:p w:rsidR="007C2AED" w:rsidRPr="00315DB3" w:rsidRDefault="00000000">
      <w:pPr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  <w:r w:rsidR="0085190D" w:rsidRPr="00315DB3">
        <w:rPr>
          <w:rFonts w:ascii="Times New Roman Bold" w:hAnsi="Times New Roman Bold" w:cs="Times New Roman Bold"/>
          <w:b/>
          <w:bCs/>
          <w:noProof/>
          <w:color w:val="4F81BD" w:themeColor="accent1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180340</wp:posOffset>
            </wp:positionV>
            <wp:extent cx="5255260" cy="5410200"/>
            <wp:effectExtent l="0" t="0" r="2540" b="0"/>
            <wp:wrapTopAndBottom/>
            <wp:docPr id="46299428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94283" name="图片 46299428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S7.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color w:val="4F81BD" w:themeColor="accent1"/>
          <w:sz w:val="24"/>
          <w:szCs w:val="24"/>
        </w:rPr>
      </w:pPr>
      <w:r w:rsidRPr="00315DB3">
        <w:rPr>
          <w:rFonts w:ascii="Times New Roman Regular" w:hAnsi="Times New Roman Regular" w:cs="Times New Roman Regular"/>
          <w:color w:val="4F81BD" w:themeColor="accent1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Figure S7: MSC-EV rescues HDFs and HaCaTs photoaging by upregulating TIMP1.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(a), Representative immunofluorescence staining images of positive cells of ROS (green) and DAPI (scale bar, 35 μm).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Quantitation of ROS-positive cells. n = 3, **p &lt; 0.01,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(c), Representative immunofluorescence staining images of positive cells of γ-H2Ax (red) and DAPI (scale bar, 20 μm).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Quantitation of a mean number of γ-H2Ax foci/cell. n = 3, **p &lt; 0.01,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Quantitation of transwell assays of HaCaTs. n = 3, **p &lt; 0.01,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Quantitation of migration assays of HaCaTs. n = 3, **p &lt; 0.01,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(g), Quantitative of TIMP1, MMP1, MMP9, and TIMP1 in HDFs by Western blot. n = 3, *p &lt; 0.05, **p &lt; 0.01, ***p &lt; 0.001,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2C1247">
      <w:pPr>
        <w:keepNext/>
        <w:spacing w:before="240" w:after="60"/>
        <w:outlineLvl w:val="0"/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b/>
          <w:bCs/>
          <w:noProof/>
          <w:kern w:val="32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863600</wp:posOffset>
            </wp:positionH>
            <wp:positionV relativeFrom="paragraph">
              <wp:posOffset>180340</wp:posOffset>
            </wp:positionV>
            <wp:extent cx="4213860" cy="2649220"/>
            <wp:effectExtent l="0" t="0" r="2540" b="5080"/>
            <wp:wrapTopAndBottom/>
            <wp:docPr id="11564663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66347" name="图片 11564663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S8.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Figure S8: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TIMP1</w:t>
      </w: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 reduced MMP1, MMP3, and MMP9 levels induced by UVB in T-skin model.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(a), Representative immunofluorescence staining images of MMP1 (red) and DAPI (scale bar, 20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Representative immunofluorescence staining images of MMP3 (red) and DAPI (scale bar, 20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Representative immunofluorescence staining images of MMP9 (red) and DAPI (scale bar, 20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(d), Fluorescence intensity of MMP1 levels. n = 3, ***p &lt; 0.001, ****p &lt; 0.0001.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Fluorescence intensity of MMP3 levels. n = 3,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Fluorescence intensity of MMP9 levels. n = 3, ***p &lt; 0.001,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81268C">
      <w:pPr>
        <w:keepNext/>
        <w:spacing w:before="240" w:after="60"/>
        <w:outlineLvl w:val="0"/>
        <w:rPr>
          <w:rFonts w:ascii="Times New Roman Bold" w:hAnsi="Times New Roman Bold" w:cs="Times New Roman Bold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1003300</wp:posOffset>
            </wp:positionH>
            <wp:positionV relativeFrom="paragraph">
              <wp:posOffset>176530</wp:posOffset>
            </wp:positionV>
            <wp:extent cx="3934460" cy="6569710"/>
            <wp:effectExtent l="0" t="0" r="2540" b="0"/>
            <wp:wrapTopAndBottom/>
            <wp:docPr id="98033419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34191" name="图片 9803341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S9.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Figure S9: MSC-EV rescues HDFs photoaging by a downregulating NOTCH signaling pathway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(a), Quantitation of NOTCH1, NICD1, HES1, SIRT1, P16, P21,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and</w:t>
      </w: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 P53 by Western blot after EV treatment. n = 3, *p &lt; 0.05, **p &lt; 0.01, ***p &lt; 0.001, ****p &lt; 0.0001.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Quantitation of NOTCH1, NICD1, HES1, SIRT1, P16, P21, and P53 by Western blot after TIMP1 treatment. n = 3, *p &lt; 0.05, **p &lt; 0.01, ***p &lt; 0.001.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(c), Quantitation of positive cells of HES1 in nude mice dorsal skin injected PBS, AMSC-EV or HUMSC-EV. n = 6,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Quantitation of SA-β-gal positive cells in HDFs. n = 3, **p &lt; 0.01,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(e), Fluorescence intensity of ROS levels. n = 3, *p &lt; 0.05, **p &lt; 0.01, ***p &lt; 0.001, ****p &lt; 0.0001.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Quantitation of a mean number of γ-H2Ax foci/cell. n = 3, *p &lt; 0.05, **p &lt; 0.01,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  <w:r w:rsidR="0081268C" w:rsidRPr="00315DB3">
        <w:rPr>
          <w:rFonts w:ascii="Times New Roman Bold" w:hAnsi="Times New Roman Bold" w:cs="Times New Roman Bold"/>
          <w:b/>
          <w:bCs/>
          <w:noProof/>
          <w:kern w:val="32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417830</wp:posOffset>
            </wp:positionH>
            <wp:positionV relativeFrom="paragraph">
              <wp:posOffset>175260</wp:posOffset>
            </wp:positionV>
            <wp:extent cx="5108575" cy="4701540"/>
            <wp:effectExtent l="0" t="0" r="0" b="0"/>
            <wp:wrapTopAndBottom/>
            <wp:docPr id="7784255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25520" name="图片 7784255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S10.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Figure S10: MSC-EV rescues HDFs photoaging by a downregulating NOTCH signaling pathway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in T-Skin model</w:t>
      </w:r>
      <w:r w:rsidRPr="00315DB3">
        <w:rPr>
          <w:rFonts w:ascii="Times New Roman Regular" w:hAnsi="Times New Roman Regular" w:cs="Times New Roman Regular"/>
          <w:sz w:val="24"/>
          <w:szCs w:val="24"/>
        </w:rPr>
        <w:t>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(a), Representative immunofluorescence staining images of SA-β-gal (red), ROS (red) and γ-H2Ax (green) (scale bar, 30 μm).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(b), Quantitation of SA-β-gal positive cells in T-Skin model. n = 3, *p &lt; 0.05, **p &lt; 0.01, ***p &lt; 0.001, ****p &lt; 0.0001.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(c), Quantitation of ROS positive cells in T-Skin model. n = 3, *p &lt; 0.05, **p &lt; 0.01, ***p &lt; 0.001, ****p &lt; 0.0001.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Quantitation of γ-H2Ax positive cells in T-Skin model. n = 3, *p &lt; 0.05, **p &lt; 0.01, ***p &lt; 0.001, ****p &lt; 0.0001.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(e), Western blot analysis showing expression of HES1 and GAPDH after UVB, FM (culture medium), EV, TIMP1, GI254023X, and VPA treatment.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(f), Quantitation of HES1 by Western blot after UVB, FM (culture medium), EV, TIMP1, GI254023X, and VPA treatment. n = 3, *p &lt; 0.05, ***p &lt; 0.001,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b/>
          <w:bCs/>
          <w:kern w:val="32"/>
          <w:sz w:val="24"/>
          <w:szCs w:val="24"/>
        </w:rPr>
      </w:pPr>
      <w:r w:rsidRPr="00315DB3">
        <w:rPr>
          <w:rFonts w:ascii="Times New Roman Regular" w:hAnsi="Times New Roman Regular" w:cs="Times New Roman Regular"/>
          <w:b/>
          <w:bCs/>
          <w:kern w:val="32"/>
          <w:sz w:val="24"/>
          <w:szCs w:val="24"/>
        </w:rPr>
        <w:br w:type="page"/>
      </w:r>
    </w:p>
    <w:p w:rsidR="007C2AED" w:rsidRPr="00315DB3" w:rsidRDefault="00CC16BE">
      <w:pPr>
        <w:spacing w:line="360" w:lineRule="auto"/>
        <w:rPr>
          <w:rFonts w:ascii="Times New Roman Bold" w:hAnsi="Times New Roman Bold" w:cs="Times New Roman Bold" w:hint="eastAsia"/>
          <w:b/>
          <w:bCs/>
          <w:sz w:val="24"/>
          <w:szCs w:val="24"/>
        </w:rPr>
      </w:pPr>
      <w:r w:rsidRPr="00315DB3">
        <w:rPr>
          <w:rFonts w:ascii="Times New Roman Bold" w:hAnsi="Times New Roman Bold" w:cs="Times New Roman Bold"/>
          <w:b/>
          <w:bCs/>
          <w:noProof/>
          <w:kern w:val="32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714375</wp:posOffset>
            </wp:positionH>
            <wp:positionV relativeFrom="paragraph">
              <wp:posOffset>180340</wp:posOffset>
            </wp:positionV>
            <wp:extent cx="4514215" cy="5532755"/>
            <wp:effectExtent l="0" t="0" r="0" b="4445"/>
            <wp:wrapTopAndBottom/>
            <wp:docPr id="4481684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845" name="图片 4481684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553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S11.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color w:val="4F81BD" w:themeColor="accent1"/>
          <w:sz w:val="24"/>
          <w:szCs w:val="24"/>
        </w:rPr>
      </w:pPr>
      <w:r w:rsidRPr="00315DB3">
        <w:rPr>
          <w:rFonts w:ascii="Times New Roman Regular" w:hAnsi="Times New Roman Regular" w:cs="Times New Roman Regular"/>
          <w:color w:val="4F81BD" w:themeColor="accent1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Figure S11: Pre-treatment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with </w:t>
      </w: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AMSC-EV and HUMSC-EV </w:t>
      </w:r>
      <w:r w:rsidRPr="00315DB3">
        <w:rPr>
          <w:rFonts w:ascii="Times New Roman Regular" w:hAnsi="Times New Roman Regular" w:cs="Times New Roman Regular"/>
          <w:sz w:val="24"/>
          <w:szCs w:val="24"/>
          <w:lang w:eastAsia="zh-Hans"/>
        </w:rPr>
        <w:t>before UVB exposure in HaCaTs and HDFs.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(a), Schematic representation of pre-treatment with AMSC-EV and HUMSC-EV before UVB exposure in HaCaTs and HDFs. (Created with BioRender.com) 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Representative immunofluorescence staining images ROS (green) and DAPI of HaCaTs and HDFs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(c), Fluorescence intensity of ROS levels of HaCaTs and HDFs. n = 3, ***p &lt; 0.001, ****p &lt; 0.0001. 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(d), Representative immunofluorescence staining images of positive cells of γ-H2Ax (red) and DAPI of HaCaTs and HDFs (scale bar, 30 μm).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(e), Quantitation of mean number of γ-H2Ax foci/cell of HaCaTs and HDFs. n = 3, ****p &lt; 0.0001.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CC16BE">
      <w:pPr>
        <w:spacing w:line="360" w:lineRule="auto"/>
        <w:rPr>
          <w:rFonts w:ascii="Times New Roman Bold" w:hAnsi="Times New Roman Bold" w:cs="Times New Roman Bold" w:hint="eastAsia"/>
          <w:b/>
          <w:bCs/>
          <w:sz w:val="24"/>
          <w:szCs w:val="24"/>
        </w:rPr>
      </w:pPr>
      <w:r w:rsidRPr="00315DB3">
        <w:rPr>
          <w:rFonts w:ascii="Times New Roman Regular" w:hAnsi="Times New Roman Regular" w:cs="Times New Roman Regular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1943100</wp:posOffset>
            </wp:positionH>
            <wp:positionV relativeFrom="paragraph">
              <wp:posOffset>180975</wp:posOffset>
            </wp:positionV>
            <wp:extent cx="2057400" cy="2552700"/>
            <wp:effectExtent l="0" t="0" r="0" b="0"/>
            <wp:wrapTopAndBottom/>
            <wp:docPr id="17548480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48025" name="图片 17548480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DB3">
        <w:rPr>
          <w:rFonts w:ascii="Times New Roman Bold" w:hAnsi="Times New Roman Bold" w:cs="Times New Roman Bold"/>
          <w:b/>
          <w:bCs/>
          <w:kern w:val="32"/>
          <w:sz w:val="24"/>
          <w:szCs w:val="24"/>
        </w:rPr>
        <w:t>Figure. S12.</w:t>
      </w:r>
    </w:p>
    <w:p w:rsidR="007C2AED" w:rsidRPr="00315DB3" w:rsidRDefault="00000000">
      <w:pPr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Figure S12: miRNA contents of AMSC-EV and HUMSC-EV.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 xml:space="preserve">(a), Venn diagram of the miRNA contents of AMSC-EV and HUMSC-EV. </w:t>
      </w:r>
    </w:p>
    <w:p w:rsidR="007C2AED" w:rsidRPr="00315DB3" w:rsidRDefault="00000000">
      <w:pPr>
        <w:spacing w:line="36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t>(b), Heatmap of the common TOP 20 miRNA contents of AMSC-EV and HUMSC-EV.</w:t>
      </w:r>
    </w:p>
    <w:p w:rsidR="007C2AED" w:rsidRPr="00315DB3" w:rsidRDefault="00000000">
      <w:pPr>
        <w:widowControl/>
        <w:jc w:val="left"/>
        <w:rPr>
          <w:rFonts w:ascii="Times New Roman Regular" w:hAnsi="Times New Roman Regular" w:cs="Times New Roman Regular" w:hint="eastAsia"/>
          <w:sz w:val="24"/>
          <w:szCs w:val="24"/>
        </w:rPr>
      </w:pPr>
      <w:r w:rsidRPr="00315DB3">
        <w:rPr>
          <w:rFonts w:ascii="Times New Roman Regular" w:hAnsi="Times New Roman Regular" w:cs="Times New Roman Regular"/>
          <w:sz w:val="24"/>
          <w:szCs w:val="24"/>
        </w:rPr>
        <w:br w:type="page"/>
      </w:r>
    </w:p>
    <w:p w:rsidR="007C2AED" w:rsidRPr="00315DB3" w:rsidRDefault="00000000">
      <w:pPr>
        <w:pStyle w:val="SMHeading"/>
        <w:rPr>
          <w:rFonts w:ascii="Times New Roman Bold" w:hAnsi="Times New Roman Bold" w:cs="Times New Roman Bold" w:hint="eastAsia"/>
          <w:sz w:val="24"/>
        </w:rPr>
      </w:pPr>
      <w:r w:rsidRPr="00315DB3">
        <w:rPr>
          <w:rFonts w:ascii="Times New Roman Bold" w:hAnsi="Times New Roman Bold" w:cs="Times New Roman Bold"/>
          <w:sz w:val="24"/>
        </w:rPr>
        <w:t>Table S1. Sequences of  primers and siRNA</w:t>
      </w:r>
    </w:p>
    <w:tbl>
      <w:tblPr>
        <w:tblpPr w:leftFromText="180" w:rightFromText="180" w:vertAnchor="text" w:horzAnchor="page" w:tblpX="1423" w:tblpY="498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7C2AED" w:rsidRPr="00315DB3">
        <w:trPr>
          <w:trHeight w:val="336"/>
        </w:trPr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4"/>
                <w:szCs w:val="24"/>
              </w:rPr>
              <w:t>Sequences (5′-3′)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hGAPDH-F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ACATCGCTCAGACACCATG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hGAPDH-R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TGTAGTTGAGGTCAATGAAG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hMMP1-F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ATGAAGCAGCCCAGATGTGGAG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hMMP1-R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TGGTCCACATCTGCTCTTGGCA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hMMP9-F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TGTACCGCTATGGTTACACTCG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hMMP9-R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GGCAGGGACAGTTGCTTCT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hTIMP1-F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CTTCTGCAATTCCGACCTCGT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hTIMP1-R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ACGCTGGTATAAGGTGGTCTG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hCOL3A1-F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GTT TTG CCC CGT ATT ATG GA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hCOL3A1-R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GGA AGT TCA GGA TTG CCG TA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hIL-1β-F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ATGATGGCTTATTACAGTGGCAA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hIL-1β-R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GTCGGAGATTCGTAGCTGGA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hIL-6-F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ACTCACCTCTTCAGAACGAATTG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hIL-6R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CCATCTTTGGAAGGTTCAGGTTG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hTNF-a-F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CAAAGTAGACCTGCCCAGAC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hTNF-a-R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GACCTCTCTCTAATCAGCCC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hHes1-F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TCAACACGACACCGGATAAAC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hHes1-R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GCCGCGAGCTATCTTTCTTCA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hHeyL-F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ATGAGTCCTGGGAGAGACCC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hHeyL-R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 xml:space="preserve"> GCCAGTCAGTCATTGCTCCT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hDLL1-F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CTTCCCCTTCGGCTTCAC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hDLL1-R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GGGTTTTCTGTTGCGAGGT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hLFNG-F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GTCAGCGAGAACAAGGTGC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hLFNG-R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GATCCGCTCAGCCGTATTCAT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hTle1-F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CCAGTACCTCTCACGCCTCA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hTle1-F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GCCCACTCAGAGCACTAGAC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P53-F1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CAGCACATGACGGAGGTTGT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P53-R1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TCATCCAAATACTCCACACGC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P16-F1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GATCCAGGTGGGTAGAAGGTC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P16-R1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CCCCTGCAAACTTCGTCCT</w:t>
            </w:r>
          </w:p>
        </w:tc>
      </w:tr>
      <w:tr w:rsidR="007C2AED" w:rsidRPr="00315DB3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P21-F1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TGTCCGTCAGAACCCATGC</w:t>
            </w:r>
          </w:p>
        </w:tc>
      </w:tr>
      <w:tr w:rsidR="007C2AED" w:rsidRPr="00315DB3">
        <w:trPr>
          <w:trHeight w:val="33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P21-R1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AAAGTCGAAGTTCCATCGCTC</w:t>
            </w:r>
          </w:p>
        </w:tc>
      </w:tr>
      <w:tr w:rsidR="007C2AED" w:rsidRPr="00315DB3">
        <w:trPr>
          <w:trHeight w:val="33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LMNB1-F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AAGCATGAAACGCGCTTGG</w:t>
            </w:r>
          </w:p>
        </w:tc>
      </w:tr>
      <w:tr w:rsidR="007C2AED" w:rsidRPr="00315DB3">
        <w:trPr>
          <w:trHeight w:val="336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LMNB1-R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AED" w:rsidRPr="00315DB3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AGTTTGGCATGGTAAGTCTGC</w:t>
            </w:r>
          </w:p>
        </w:tc>
      </w:tr>
    </w:tbl>
    <w:p w:rsidR="00457239" w:rsidRPr="00315DB3" w:rsidRDefault="00457239" w:rsidP="00457239">
      <w:pPr>
        <w:pStyle w:val="SMcaption"/>
        <w:rPr>
          <w:rFonts w:ascii="Times New Roman Regular" w:hAnsi="Times New Roman Regular" w:cs="Times New Roman Regular" w:hint="eastAsia"/>
          <w:sz w:val="24"/>
          <w:szCs w:val="24"/>
        </w:rPr>
      </w:pPr>
    </w:p>
    <w:p w:rsidR="007C2AED" w:rsidRPr="00315DB3" w:rsidRDefault="007C2AED">
      <w:pPr>
        <w:pStyle w:val="SMHeading"/>
        <w:rPr>
          <w:rFonts w:ascii="Times New Roman Regular" w:hAnsi="Times New Roman Regular" w:cs="Times New Roman Regular" w:hint="eastAsia"/>
          <w:sz w:val="24"/>
        </w:rPr>
      </w:pPr>
    </w:p>
    <w:tbl>
      <w:tblPr>
        <w:tblStyle w:val="610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639"/>
        <w:gridCol w:w="4640"/>
      </w:tblGrid>
      <w:tr w:rsidR="007C2AED" w:rsidRPr="00315DB3" w:rsidTr="007C2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tcBorders>
              <w:top w:val="nil"/>
            </w:tcBorders>
          </w:tcPr>
          <w:p w:rsidR="007C2AED" w:rsidRPr="00315DB3" w:rsidRDefault="00000000">
            <w:pPr>
              <w:widowControl/>
              <w:ind w:rightChars="40" w:right="84"/>
              <w:jc w:val="left"/>
              <w:rPr>
                <w:rFonts w:ascii="Times New Roman Regular" w:eastAsiaTheme="minorEastAsia" w:hAnsi="Times New Roman Regular" w:cs="Times New Roman Regular" w:hint="eastAsia"/>
                <w:sz w:val="24"/>
                <w:szCs w:val="24"/>
              </w:rPr>
            </w:pPr>
            <w:r w:rsidRPr="00315DB3">
              <w:rPr>
                <w:rFonts w:ascii="Times New Roman Regular" w:eastAsiaTheme="minorEastAsia" w:hAnsi="Times New Roman Regular" w:cs="Times New Roman Regular"/>
                <w:b w:val="0"/>
                <w:bCs w:val="0"/>
                <w:sz w:val="24"/>
                <w:szCs w:val="24"/>
              </w:rPr>
              <w:t>Sequences of siRNA</w:t>
            </w:r>
          </w:p>
        </w:tc>
        <w:tc>
          <w:tcPr>
            <w:tcW w:w="4640" w:type="dxa"/>
            <w:tcBorders>
              <w:top w:val="nil"/>
            </w:tcBorders>
          </w:tcPr>
          <w:p w:rsidR="007C2AED" w:rsidRPr="00315DB3" w:rsidRDefault="007C2AED">
            <w:pPr>
              <w:widowControl/>
              <w:ind w:rightChars="40" w:right="8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inorEastAsia" w:hAnsi="Times New Roman Regular" w:cs="Times New Roman Regular" w:hint="eastAsia"/>
                <w:sz w:val="24"/>
                <w:szCs w:val="24"/>
              </w:rPr>
            </w:pPr>
          </w:p>
        </w:tc>
      </w:tr>
      <w:tr w:rsidR="007C2AED" w:rsidRPr="00315DB3" w:rsidTr="007C2AED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7C2AED" w:rsidRPr="00315DB3" w:rsidRDefault="00000000">
            <w:pPr>
              <w:widowControl/>
              <w:ind w:rightChars="40" w:right="84"/>
              <w:jc w:val="left"/>
              <w:rPr>
                <w:rFonts w:ascii="Times New Roman Bold" w:eastAsiaTheme="minorEastAsia" w:hAnsi="Times New Roman Bold" w:cs="Times New Roman Bold" w:hint="eastAsia"/>
                <w:b w:val="0"/>
                <w:bCs w:val="0"/>
                <w:sz w:val="24"/>
                <w:szCs w:val="24"/>
              </w:rPr>
            </w:pPr>
            <w:r w:rsidRPr="00315DB3">
              <w:rPr>
                <w:rFonts w:ascii="Times New Roman Bold" w:eastAsiaTheme="minorEastAsia" w:hAnsi="Times New Roman Bold" w:cs="Times New Roman Bold"/>
                <w:sz w:val="24"/>
                <w:szCs w:val="24"/>
              </w:rPr>
              <w:t xml:space="preserve">Name </w:t>
            </w:r>
          </w:p>
        </w:tc>
        <w:tc>
          <w:tcPr>
            <w:tcW w:w="464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7C2AED" w:rsidRPr="00315DB3" w:rsidRDefault="00000000">
            <w:pPr>
              <w:widowControl/>
              <w:ind w:rightChars="40" w:right="84" w:firstLine="4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Theme="minorEastAsia" w:hAnsi="Times New Roman Bold" w:cs="Times New Roman Bold" w:hint="eastAsia"/>
                <w:b/>
                <w:bCs/>
                <w:sz w:val="24"/>
                <w:szCs w:val="24"/>
              </w:rPr>
            </w:pPr>
            <w:r w:rsidRPr="00315DB3">
              <w:rPr>
                <w:rFonts w:ascii="Times New Roman Bold" w:eastAsiaTheme="minorEastAsia" w:hAnsi="Times New Roman Bold" w:cs="Times New Roman Bold"/>
                <w:b/>
                <w:bCs/>
                <w:sz w:val="24"/>
                <w:szCs w:val="24"/>
              </w:rPr>
              <w:t>Sequences</w:t>
            </w:r>
          </w:p>
        </w:tc>
      </w:tr>
      <w:tr w:rsidR="007C2AED" w:rsidRPr="00315DB3" w:rsidTr="007C2AE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C2AED" w:rsidRPr="00315DB3" w:rsidRDefault="00000000">
            <w:pPr>
              <w:widowControl/>
              <w:jc w:val="left"/>
              <w:rPr>
                <w:rFonts w:ascii="Times New Roman Regular" w:eastAsiaTheme="minorEastAsia" w:hAnsi="Times New Roman Regular" w:cs="Times New Roman Regular" w:hint="eastAsia"/>
                <w:color w:val="3F4140"/>
                <w:sz w:val="24"/>
                <w:szCs w:val="24"/>
              </w:rPr>
            </w:pPr>
            <w:r w:rsidRPr="00315DB3">
              <w:rPr>
                <w:rFonts w:ascii="Times New Roman Regular" w:eastAsiaTheme="minorEastAsia" w:hAnsi="Times New Roman Regular" w:cs="Times New Roman Regular"/>
                <w:b w:val="0"/>
                <w:bCs w:val="0"/>
                <w:color w:val="3F4140"/>
                <w:sz w:val="24"/>
                <w:szCs w:val="24"/>
              </w:rPr>
              <w:t>si-TIMP1-F</w:t>
            </w:r>
          </w:p>
        </w:tc>
        <w:tc>
          <w:tcPr>
            <w:tcW w:w="4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7C2AED" w:rsidRPr="00315DB3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inorEastAsia" w:hAnsi="Times New Roman Regular" w:cs="Times New Roman Regular" w:hint="eastAsia"/>
                <w:color w:val="000000"/>
                <w:sz w:val="24"/>
                <w:szCs w:val="24"/>
              </w:rPr>
            </w:pPr>
            <w:r w:rsidRPr="00315DB3">
              <w:rPr>
                <w:rFonts w:ascii="Times New Roman Regular" w:eastAsiaTheme="minorEastAsia" w:hAnsi="Times New Roman Regular" w:cs="Times New Roman Regular"/>
                <w:color w:val="000000"/>
                <w:sz w:val="24"/>
                <w:szCs w:val="24"/>
              </w:rPr>
              <w:t>GCAAUUCCGACCUCGUCAUTT</w:t>
            </w:r>
          </w:p>
        </w:tc>
      </w:tr>
      <w:tr w:rsidR="007C2AED" w:rsidRPr="00315DB3" w:rsidTr="007C2AED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shd w:val="clear" w:color="auto" w:fill="FFFFFF" w:themeFill="background1"/>
          </w:tcPr>
          <w:p w:rsidR="007C2AED" w:rsidRPr="00315DB3" w:rsidRDefault="00000000">
            <w:pPr>
              <w:widowControl/>
              <w:jc w:val="left"/>
              <w:rPr>
                <w:rFonts w:ascii="Times New Roman Regular" w:eastAsiaTheme="minorEastAsia" w:hAnsi="Times New Roman Regular" w:cs="Times New Roman Regular" w:hint="eastAsia"/>
                <w:color w:val="3F4140"/>
                <w:sz w:val="24"/>
                <w:szCs w:val="24"/>
              </w:rPr>
            </w:pPr>
            <w:r w:rsidRPr="00315DB3">
              <w:rPr>
                <w:rFonts w:ascii="Times New Roman Regular" w:eastAsiaTheme="minorEastAsia" w:hAnsi="Times New Roman Regular" w:cs="Times New Roman Regular"/>
                <w:b w:val="0"/>
                <w:bCs w:val="0"/>
                <w:color w:val="3F4140"/>
                <w:sz w:val="24"/>
                <w:szCs w:val="24"/>
              </w:rPr>
              <w:t>si-TIMP1-R</w:t>
            </w:r>
          </w:p>
        </w:tc>
        <w:tc>
          <w:tcPr>
            <w:tcW w:w="4640" w:type="dxa"/>
            <w:tcBorders>
              <w:top w:val="nil"/>
            </w:tcBorders>
            <w:shd w:val="clear" w:color="auto" w:fill="FFFFFF" w:themeFill="background1"/>
          </w:tcPr>
          <w:p w:rsidR="007C2AED" w:rsidRPr="00315DB3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inorEastAsia" w:hAnsi="Times New Roman Regular" w:cs="Times New Roman Regular" w:hint="eastAsia"/>
                <w:color w:val="000000"/>
                <w:sz w:val="24"/>
                <w:szCs w:val="24"/>
              </w:rPr>
            </w:pPr>
            <w:r w:rsidRPr="00315DB3">
              <w:rPr>
                <w:rFonts w:ascii="Times New Roman Regular" w:eastAsiaTheme="minorEastAsia" w:hAnsi="Times New Roman Regular" w:cs="Times New Roman Regular"/>
                <w:color w:val="000000"/>
                <w:sz w:val="24"/>
                <w:szCs w:val="24"/>
              </w:rPr>
              <w:t>AUGACGAGGUCGGAAUUGCTT</w:t>
            </w:r>
          </w:p>
        </w:tc>
      </w:tr>
    </w:tbl>
    <w:p w:rsidR="00457239" w:rsidRPr="00315DB3" w:rsidRDefault="00457239" w:rsidP="00457239">
      <w:pPr>
        <w:pStyle w:val="SMcaption"/>
        <w:rPr>
          <w:rFonts w:ascii="Times New Roman Regular" w:hAnsi="Times New Roman Regular" w:cs="Times New Roman Regular" w:hint="eastAsia"/>
          <w:sz w:val="24"/>
          <w:szCs w:val="24"/>
        </w:rPr>
      </w:pPr>
    </w:p>
    <w:p w:rsidR="007C2AED" w:rsidRPr="00315DB3" w:rsidRDefault="00000000">
      <w:pPr>
        <w:pStyle w:val="SMHeading"/>
        <w:rPr>
          <w:rFonts w:ascii="Times New Roman Bold" w:hAnsi="Times New Roman Bold" w:cs="Times New Roman Bold" w:hint="eastAsia"/>
          <w:sz w:val="24"/>
        </w:rPr>
      </w:pPr>
      <w:r w:rsidRPr="00315DB3">
        <w:rPr>
          <w:rFonts w:ascii="Times New Roman Bold" w:hAnsi="Times New Roman Bold" w:cs="Times New Roman Bold"/>
          <w:sz w:val="24"/>
        </w:rPr>
        <w:t>Table S2. Antibody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7C2AED" w:rsidRPr="00315DB3">
        <w:trPr>
          <w:trHeight w:val="336"/>
        </w:trPr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Bold" w:hAnsi="Times New Roman Bold" w:cs="Times New Roman Bold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4"/>
                <w:szCs w:val="24"/>
              </w:rPr>
              <w:t>Antibody name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Bold" w:hAnsi="Times New Roman Bold" w:cs="Times New Roman Bold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4"/>
                <w:szCs w:val="24"/>
              </w:rPr>
              <w:t>Purchasing companies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Bold" w:hAnsi="Times New Roman Bold" w:cs="Times New Roman Bold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4"/>
                <w:szCs w:val="24"/>
              </w:rPr>
              <w:t>Cat No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CD63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25682-1-AP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CD9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ab92726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TSG101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ab125011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 xml:space="preserve">Alix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92880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Calnexin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2433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MMP1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10371-2-AP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10375-2-AP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TIMP1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6644-1-AP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Collagen III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ab7778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 xml:space="preserve">10494-1-AP 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FSTL1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20182-1-AP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Entactin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13766-1-AP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NOTCH1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20687-1-AP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P16-INK4A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10883-1-AP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P21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10355-1-AP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P53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10442-1-AP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SIRT1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13161-1-AP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HES1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11988S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Lamin B1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12987-1-AP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beta galactosidase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15518-1-AP</w:t>
            </w:r>
          </w:p>
        </w:tc>
      </w:tr>
      <w:tr w:rsidR="007C2AED" w:rsidRPr="00315DB3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P16-INK4A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ab241543</w:t>
            </w:r>
          </w:p>
        </w:tc>
      </w:tr>
      <w:tr w:rsidR="007C2AED">
        <w:trPr>
          <w:trHeight w:val="336"/>
        </w:trPr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Lamin B1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2AED" w:rsidRPr="00315DB3" w:rsidRDefault="00000000">
            <w:pPr>
              <w:widowControl/>
              <w:rPr>
                <w:rFonts w:ascii="Times New Roman Regular" w:hAnsi="Times New Roman Regular" w:cs="Times New Roman Regular" w:hint="eastAsia"/>
                <w:color w:val="000000"/>
                <w:kern w:val="0"/>
                <w:sz w:val="24"/>
                <w:szCs w:val="24"/>
              </w:rPr>
            </w:pPr>
            <w:r w:rsidRPr="00315DB3"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szCs w:val="24"/>
              </w:rPr>
              <w:t>ab16048</w:t>
            </w:r>
          </w:p>
        </w:tc>
      </w:tr>
    </w:tbl>
    <w:p w:rsidR="00457239" w:rsidRDefault="00457239">
      <w:pPr>
        <w:pStyle w:val="SMcaption"/>
        <w:rPr>
          <w:rFonts w:ascii="Times New Roman Regular" w:hAnsi="Times New Roman Regular" w:cs="Times New Roman Regular" w:hint="eastAsia"/>
          <w:sz w:val="24"/>
          <w:szCs w:val="24"/>
        </w:rPr>
      </w:pPr>
    </w:p>
    <w:sectPr w:rsidR="00457239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4C99" w:rsidRDefault="00F44C99">
      <w:r>
        <w:separator/>
      </w:r>
    </w:p>
  </w:endnote>
  <w:endnote w:type="continuationSeparator" w:id="0">
    <w:p w:rsidR="00F44C99" w:rsidRDefault="00F4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Times New Roman Bold">
    <w:altName w:val="Times New Roman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C2AED" w:rsidRDefault="00000000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:rsidR="007C2AED" w:rsidRDefault="007C2AED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4C99" w:rsidRDefault="00F44C99">
      <w:r>
        <w:separator/>
      </w:r>
    </w:p>
  </w:footnote>
  <w:footnote w:type="continuationSeparator" w:id="0">
    <w:p w:rsidR="00F44C99" w:rsidRDefault="00F4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C2AED" w:rsidRDefault="007C2AED">
    <w:pPr>
      <w:jc w:val="right"/>
      <w:rPr>
        <w:sz w:val="20"/>
      </w:rPr>
    </w:pPr>
  </w:p>
  <w:p w:rsidR="007C2AED" w:rsidRDefault="007C2A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884633620">
    <w:abstractNumId w:val="3"/>
  </w:num>
  <w:num w:numId="2" w16cid:durableId="9451668">
    <w:abstractNumId w:val="5"/>
  </w:num>
  <w:num w:numId="3" w16cid:durableId="502941691">
    <w:abstractNumId w:val="8"/>
  </w:num>
  <w:num w:numId="4" w16cid:durableId="2559583">
    <w:abstractNumId w:val="9"/>
  </w:num>
  <w:num w:numId="5" w16cid:durableId="1554849606">
    <w:abstractNumId w:val="6"/>
  </w:num>
  <w:num w:numId="6" w16cid:durableId="534275607">
    <w:abstractNumId w:val="2"/>
  </w:num>
  <w:num w:numId="7" w16cid:durableId="245237165">
    <w:abstractNumId w:val="7"/>
  </w:num>
  <w:num w:numId="8" w16cid:durableId="1374816933">
    <w:abstractNumId w:val="4"/>
  </w:num>
  <w:num w:numId="9" w16cid:durableId="1568488782">
    <w:abstractNumId w:val="1"/>
  </w:num>
  <w:num w:numId="10" w16cid:durableId="122965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oNotDisplayPageBoundaries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894795A1"/>
    <w:rsid w:val="8BF7E925"/>
    <w:rsid w:val="8D7D4521"/>
    <w:rsid w:val="955F583B"/>
    <w:rsid w:val="979E4724"/>
    <w:rsid w:val="9BE70993"/>
    <w:rsid w:val="9D5C47E7"/>
    <w:rsid w:val="9E6D6665"/>
    <w:rsid w:val="9F53E90A"/>
    <w:rsid w:val="AA57E76D"/>
    <w:rsid w:val="AF651D4D"/>
    <w:rsid w:val="AFDE163B"/>
    <w:rsid w:val="B3677C9E"/>
    <w:rsid w:val="B3DA66CB"/>
    <w:rsid w:val="B57F3E24"/>
    <w:rsid w:val="B5F2129B"/>
    <w:rsid w:val="B6BF1767"/>
    <w:rsid w:val="B7BFCB1C"/>
    <w:rsid w:val="B7CECCFF"/>
    <w:rsid w:val="BED72700"/>
    <w:rsid w:val="BEF9EEB1"/>
    <w:rsid w:val="BF4F6CF2"/>
    <w:rsid w:val="BFB9EC74"/>
    <w:rsid w:val="BFCFB8A6"/>
    <w:rsid w:val="BFFD9452"/>
    <w:rsid w:val="CBFDBD7E"/>
    <w:rsid w:val="CF72D068"/>
    <w:rsid w:val="CFBE880C"/>
    <w:rsid w:val="CFFF4526"/>
    <w:rsid w:val="D77CDEDA"/>
    <w:rsid w:val="D7FF662C"/>
    <w:rsid w:val="D8DF9373"/>
    <w:rsid w:val="DAAF35EE"/>
    <w:rsid w:val="DAE61285"/>
    <w:rsid w:val="DB6E07DF"/>
    <w:rsid w:val="DBCDE024"/>
    <w:rsid w:val="DCF34C0F"/>
    <w:rsid w:val="DE1006EC"/>
    <w:rsid w:val="DEAEB4AD"/>
    <w:rsid w:val="DF3FF5F0"/>
    <w:rsid w:val="DFDF7009"/>
    <w:rsid w:val="DFF7F53E"/>
    <w:rsid w:val="DFFE500E"/>
    <w:rsid w:val="DFFF148A"/>
    <w:rsid w:val="E173AE08"/>
    <w:rsid w:val="E9A50A4F"/>
    <w:rsid w:val="E9D2962F"/>
    <w:rsid w:val="EAA34352"/>
    <w:rsid w:val="EBBBB1C3"/>
    <w:rsid w:val="EEBF0510"/>
    <w:rsid w:val="EEFD5589"/>
    <w:rsid w:val="EEFFB029"/>
    <w:rsid w:val="EFBFA165"/>
    <w:rsid w:val="EFDD2060"/>
    <w:rsid w:val="EFF37895"/>
    <w:rsid w:val="EFFD083B"/>
    <w:rsid w:val="EFFE5ED4"/>
    <w:rsid w:val="F17F3F9A"/>
    <w:rsid w:val="F597083D"/>
    <w:rsid w:val="F5DCC8C8"/>
    <w:rsid w:val="F67832BE"/>
    <w:rsid w:val="F7F72F3B"/>
    <w:rsid w:val="F7FB107A"/>
    <w:rsid w:val="F9FB2B0D"/>
    <w:rsid w:val="F9FE4A77"/>
    <w:rsid w:val="FA73C801"/>
    <w:rsid w:val="FAFEC7BF"/>
    <w:rsid w:val="FB3D1855"/>
    <w:rsid w:val="FBBF1E30"/>
    <w:rsid w:val="FBF79AE3"/>
    <w:rsid w:val="FBFAB447"/>
    <w:rsid w:val="FC7F12FE"/>
    <w:rsid w:val="FCBF98AA"/>
    <w:rsid w:val="FCFFDF7A"/>
    <w:rsid w:val="FDB72CCA"/>
    <w:rsid w:val="FDBB20A0"/>
    <w:rsid w:val="FDBB8DF5"/>
    <w:rsid w:val="FDDD55CB"/>
    <w:rsid w:val="FDFB4317"/>
    <w:rsid w:val="FDFF020E"/>
    <w:rsid w:val="FDFF6AE0"/>
    <w:rsid w:val="FE176D0D"/>
    <w:rsid w:val="FE6E1885"/>
    <w:rsid w:val="FE7C27CF"/>
    <w:rsid w:val="FE9D792E"/>
    <w:rsid w:val="FEDF9461"/>
    <w:rsid w:val="FEE7F217"/>
    <w:rsid w:val="FEEF0D86"/>
    <w:rsid w:val="FEF6C769"/>
    <w:rsid w:val="FEFFEF2A"/>
    <w:rsid w:val="FF7F258F"/>
    <w:rsid w:val="FF7F7872"/>
    <w:rsid w:val="FF9F47BD"/>
    <w:rsid w:val="FFB945CA"/>
    <w:rsid w:val="FFBF6770"/>
    <w:rsid w:val="FFCE0316"/>
    <w:rsid w:val="FFD38C5C"/>
    <w:rsid w:val="FFECF273"/>
    <w:rsid w:val="FFF77B15"/>
    <w:rsid w:val="FFFB3344"/>
    <w:rsid w:val="FFFC95EC"/>
    <w:rsid w:val="FFFD039B"/>
    <w:rsid w:val="FFFD6508"/>
    <w:rsid w:val="FFFF4B36"/>
    <w:rsid w:val="FFFFACD1"/>
    <w:rsid w:val="00015F74"/>
    <w:rsid w:val="000528C7"/>
    <w:rsid w:val="00065EBD"/>
    <w:rsid w:val="00075FCB"/>
    <w:rsid w:val="00083B44"/>
    <w:rsid w:val="000850DC"/>
    <w:rsid w:val="00092028"/>
    <w:rsid w:val="000C2771"/>
    <w:rsid w:val="000D46F4"/>
    <w:rsid w:val="000E7A51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29DD"/>
    <w:rsid w:val="002077B9"/>
    <w:rsid w:val="00262D72"/>
    <w:rsid w:val="00294FBB"/>
    <w:rsid w:val="002B3205"/>
    <w:rsid w:val="002C030F"/>
    <w:rsid w:val="002C1247"/>
    <w:rsid w:val="002D338B"/>
    <w:rsid w:val="00315DB3"/>
    <w:rsid w:val="00331D75"/>
    <w:rsid w:val="00355362"/>
    <w:rsid w:val="00363E44"/>
    <w:rsid w:val="00395E86"/>
    <w:rsid w:val="003A2FD8"/>
    <w:rsid w:val="003B40E6"/>
    <w:rsid w:val="003E74FB"/>
    <w:rsid w:val="003F6E14"/>
    <w:rsid w:val="00405336"/>
    <w:rsid w:val="004571D5"/>
    <w:rsid w:val="00457239"/>
    <w:rsid w:val="00461D81"/>
    <w:rsid w:val="0046356B"/>
    <w:rsid w:val="00477182"/>
    <w:rsid w:val="004779CB"/>
    <w:rsid w:val="004A487C"/>
    <w:rsid w:val="004A7C9C"/>
    <w:rsid w:val="004C58E0"/>
    <w:rsid w:val="004E42D8"/>
    <w:rsid w:val="004E7BA2"/>
    <w:rsid w:val="004F7EDF"/>
    <w:rsid w:val="005001AC"/>
    <w:rsid w:val="00527D71"/>
    <w:rsid w:val="00545F08"/>
    <w:rsid w:val="005520A8"/>
    <w:rsid w:val="005607DD"/>
    <w:rsid w:val="00562B32"/>
    <w:rsid w:val="005879C6"/>
    <w:rsid w:val="005A558C"/>
    <w:rsid w:val="005E28F8"/>
    <w:rsid w:val="005E6513"/>
    <w:rsid w:val="00651114"/>
    <w:rsid w:val="00664560"/>
    <w:rsid w:val="0066799B"/>
    <w:rsid w:val="00670299"/>
    <w:rsid w:val="00691985"/>
    <w:rsid w:val="006A1B64"/>
    <w:rsid w:val="00700AAA"/>
    <w:rsid w:val="007108F5"/>
    <w:rsid w:val="00713E5B"/>
    <w:rsid w:val="00727F39"/>
    <w:rsid w:val="007402FC"/>
    <w:rsid w:val="00740E4A"/>
    <w:rsid w:val="007411A1"/>
    <w:rsid w:val="00773285"/>
    <w:rsid w:val="00793072"/>
    <w:rsid w:val="007C2AED"/>
    <w:rsid w:val="00807D35"/>
    <w:rsid w:val="0081268C"/>
    <w:rsid w:val="008218C4"/>
    <w:rsid w:val="00821F38"/>
    <w:rsid w:val="00850239"/>
    <w:rsid w:val="0085190D"/>
    <w:rsid w:val="00867A98"/>
    <w:rsid w:val="00870867"/>
    <w:rsid w:val="00885C9B"/>
    <w:rsid w:val="008A7DE7"/>
    <w:rsid w:val="008D5D2A"/>
    <w:rsid w:val="00914B63"/>
    <w:rsid w:val="009354F3"/>
    <w:rsid w:val="009447DC"/>
    <w:rsid w:val="00961BA5"/>
    <w:rsid w:val="009743A9"/>
    <w:rsid w:val="009A5287"/>
    <w:rsid w:val="009B23BA"/>
    <w:rsid w:val="009B2AC5"/>
    <w:rsid w:val="009B7984"/>
    <w:rsid w:val="009F4BED"/>
    <w:rsid w:val="009F7D93"/>
    <w:rsid w:val="00A13757"/>
    <w:rsid w:val="00A3403B"/>
    <w:rsid w:val="00A51A12"/>
    <w:rsid w:val="00A627D4"/>
    <w:rsid w:val="00A74DA2"/>
    <w:rsid w:val="00A846CC"/>
    <w:rsid w:val="00AA46FE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3E05"/>
    <w:rsid w:val="00C04CC1"/>
    <w:rsid w:val="00C154DD"/>
    <w:rsid w:val="00C2136B"/>
    <w:rsid w:val="00C4096C"/>
    <w:rsid w:val="00C50C6D"/>
    <w:rsid w:val="00C5445B"/>
    <w:rsid w:val="00C600D9"/>
    <w:rsid w:val="00C868F7"/>
    <w:rsid w:val="00C92B22"/>
    <w:rsid w:val="00CC1384"/>
    <w:rsid w:val="00CC16BE"/>
    <w:rsid w:val="00CC743F"/>
    <w:rsid w:val="00CD3720"/>
    <w:rsid w:val="00CF1848"/>
    <w:rsid w:val="00CF5C2F"/>
    <w:rsid w:val="00D04BCF"/>
    <w:rsid w:val="00D143D9"/>
    <w:rsid w:val="00D5511B"/>
    <w:rsid w:val="00D64D55"/>
    <w:rsid w:val="00D766F1"/>
    <w:rsid w:val="00DA5970"/>
    <w:rsid w:val="00DC60A9"/>
    <w:rsid w:val="00DD34CD"/>
    <w:rsid w:val="00E15FEF"/>
    <w:rsid w:val="00E257C8"/>
    <w:rsid w:val="00E26C24"/>
    <w:rsid w:val="00E40327"/>
    <w:rsid w:val="00E41512"/>
    <w:rsid w:val="00E4519A"/>
    <w:rsid w:val="00E55AD9"/>
    <w:rsid w:val="00E73EFC"/>
    <w:rsid w:val="00E853D5"/>
    <w:rsid w:val="00E92C27"/>
    <w:rsid w:val="00E9773B"/>
    <w:rsid w:val="00EA6F42"/>
    <w:rsid w:val="00EC13A3"/>
    <w:rsid w:val="00EC7C85"/>
    <w:rsid w:val="00F125EE"/>
    <w:rsid w:val="00F12E98"/>
    <w:rsid w:val="00F22029"/>
    <w:rsid w:val="00F43A84"/>
    <w:rsid w:val="00F44C99"/>
    <w:rsid w:val="00F515FB"/>
    <w:rsid w:val="00F630EA"/>
    <w:rsid w:val="00F673F0"/>
    <w:rsid w:val="00F7007E"/>
    <w:rsid w:val="00F73193"/>
    <w:rsid w:val="00F73709"/>
    <w:rsid w:val="00F74F95"/>
    <w:rsid w:val="00F80705"/>
    <w:rsid w:val="00FA1481"/>
    <w:rsid w:val="00FF04E3"/>
    <w:rsid w:val="0E6785C4"/>
    <w:rsid w:val="1C9DDF9A"/>
    <w:rsid w:val="1DF91CA3"/>
    <w:rsid w:val="1EFD8247"/>
    <w:rsid w:val="2BEDAC84"/>
    <w:rsid w:val="2E9E4843"/>
    <w:rsid w:val="2F3DF798"/>
    <w:rsid w:val="367B6C4D"/>
    <w:rsid w:val="37EC17BF"/>
    <w:rsid w:val="39DAF408"/>
    <w:rsid w:val="3BDE4FBD"/>
    <w:rsid w:val="3BFFCE74"/>
    <w:rsid w:val="3DDD291D"/>
    <w:rsid w:val="3E6FEFF6"/>
    <w:rsid w:val="3EDDDEC8"/>
    <w:rsid w:val="3F7FCE31"/>
    <w:rsid w:val="3FBEDE0D"/>
    <w:rsid w:val="3FBF3FF2"/>
    <w:rsid w:val="3FF6C9F5"/>
    <w:rsid w:val="47FFFEE0"/>
    <w:rsid w:val="4DDF95BB"/>
    <w:rsid w:val="4EABDAEA"/>
    <w:rsid w:val="4F0F414C"/>
    <w:rsid w:val="4FADC171"/>
    <w:rsid w:val="4FDA9F62"/>
    <w:rsid w:val="4FDF07BA"/>
    <w:rsid w:val="4FEF0DDD"/>
    <w:rsid w:val="53793998"/>
    <w:rsid w:val="57EF5F3B"/>
    <w:rsid w:val="597F11F5"/>
    <w:rsid w:val="5ACEA829"/>
    <w:rsid w:val="5AF734FB"/>
    <w:rsid w:val="5CCF11F1"/>
    <w:rsid w:val="5DF6E51E"/>
    <w:rsid w:val="5DFFB014"/>
    <w:rsid w:val="5F6CE5F9"/>
    <w:rsid w:val="5F7C0513"/>
    <w:rsid w:val="5FF73CDF"/>
    <w:rsid w:val="5FFB57CF"/>
    <w:rsid w:val="65A3018E"/>
    <w:rsid w:val="6ADF90E6"/>
    <w:rsid w:val="6BB7049B"/>
    <w:rsid w:val="6BF23F5E"/>
    <w:rsid w:val="6C7B43B6"/>
    <w:rsid w:val="6DF77FFE"/>
    <w:rsid w:val="6DFA3109"/>
    <w:rsid w:val="6DFF62DB"/>
    <w:rsid w:val="6ED6B673"/>
    <w:rsid w:val="6EEDF54F"/>
    <w:rsid w:val="6F5FBD41"/>
    <w:rsid w:val="6FBF1882"/>
    <w:rsid w:val="6FE625D6"/>
    <w:rsid w:val="6FFE77E4"/>
    <w:rsid w:val="6FFF0689"/>
    <w:rsid w:val="7375D8F2"/>
    <w:rsid w:val="759FED6F"/>
    <w:rsid w:val="75FF0F02"/>
    <w:rsid w:val="76A4234C"/>
    <w:rsid w:val="76EFBB05"/>
    <w:rsid w:val="77679069"/>
    <w:rsid w:val="77BED6F4"/>
    <w:rsid w:val="77DE2F4C"/>
    <w:rsid w:val="77DF2082"/>
    <w:rsid w:val="78D989C9"/>
    <w:rsid w:val="79DB3D58"/>
    <w:rsid w:val="79DFA8CE"/>
    <w:rsid w:val="79FDE548"/>
    <w:rsid w:val="7AEF97F5"/>
    <w:rsid w:val="7B7D0D92"/>
    <w:rsid w:val="7B7F5075"/>
    <w:rsid w:val="7BDB7637"/>
    <w:rsid w:val="7CF7AFCA"/>
    <w:rsid w:val="7DED10B6"/>
    <w:rsid w:val="7DEE3381"/>
    <w:rsid w:val="7DFFD5E2"/>
    <w:rsid w:val="7DFFE8AB"/>
    <w:rsid w:val="7DFFF3E9"/>
    <w:rsid w:val="7E3FAD6F"/>
    <w:rsid w:val="7E77EE79"/>
    <w:rsid w:val="7E7FE7CC"/>
    <w:rsid w:val="7EBED8DE"/>
    <w:rsid w:val="7EBF22AA"/>
    <w:rsid w:val="7EBF6D3A"/>
    <w:rsid w:val="7EEB4B3E"/>
    <w:rsid w:val="7EFF68FB"/>
    <w:rsid w:val="7EFFE1BD"/>
    <w:rsid w:val="7F3B6B76"/>
    <w:rsid w:val="7FAB6A2F"/>
    <w:rsid w:val="7FB6A365"/>
    <w:rsid w:val="7FBDD2A5"/>
    <w:rsid w:val="7FDF0B4B"/>
    <w:rsid w:val="7FDF3E70"/>
    <w:rsid w:val="7FEFCC47"/>
    <w:rsid w:val="7FF75045"/>
    <w:rsid w:val="7FF7B824"/>
    <w:rsid w:val="7FFE9751"/>
    <w:rsid w:val="7FFF403D"/>
    <w:rsid w:val="7F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57D02F-DFE7-C947-9C8D-2D3DAFA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semiHidden="1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semiHidden="1" w:qFormat="1"/>
    <w:lsdException w:name="FollowedHyperlink" w:semiHidden="1" w:unhideWhenUsed="1" w:qFormat="1"/>
    <w:lsdException w:name="Strong" w:semiHidden="1" w:qFormat="1"/>
    <w:lsdException w:name="Emphasis" w:semiHidden="1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1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TOC5">
    <w:name w:val="toc 5"/>
    <w:basedOn w:val="a1"/>
    <w:next w:val="a1"/>
    <w:semiHidden/>
    <w:qFormat/>
    <w:pPr>
      <w:ind w:left="960"/>
    </w:pPr>
  </w:style>
  <w:style w:type="paragraph" w:styleId="TOC3">
    <w:name w:val="toc 3"/>
    <w:basedOn w:val="a1"/>
    <w:next w:val="a1"/>
    <w:semiHidden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qFormat/>
    <w:pPr>
      <w:ind w:left="1680"/>
    </w:pPr>
  </w:style>
  <w:style w:type="paragraph" w:styleId="35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qFormat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semiHidden/>
    <w:qFormat/>
    <w:pPr>
      <w:ind w:left="240"/>
    </w:pPr>
  </w:style>
  <w:style w:type="paragraph" w:styleId="TOC9">
    <w:name w:val="toc 9"/>
    <w:basedOn w:val="a1"/>
    <w:next w:val="a1"/>
    <w:semiHidden/>
    <w:qFormat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character" w:styleId="afffd">
    <w:name w:val="page number"/>
    <w:basedOn w:val="a2"/>
    <w:semiHidden/>
    <w:qFormat/>
  </w:style>
  <w:style w:type="character" w:styleId="afffe">
    <w:name w:val="FollowedHyperlink"/>
    <w:semiHidden/>
    <w:unhideWhenUsed/>
    <w:qFormat/>
    <w:rPr>
      <w:color w:val="800080"/>
      <w:u w:val="single"/>
    </w:rPr>
  </w:style>
  <w:style w:type="character" w:styleId="affff">
    <w:name w:val="line number"/>
    <w:basedOn w:val="a2"/>
    <w:semiHidden/>
    <w:unhideWhenUsed/>
    <w:qFormat/>
  </w:style>
  <w:style w:type="character" w:styleId="affff0">
    <w:name w:val="Hyperlink"/>
    <w:semiHidden/>
    <w:qFormat/>
    <w:rPr>
      <w:color w:val="0000FF"/>
      <w:u w:val="single"/>
    </w:rPr>
  </w:style>
  <w:style w:type="character" w:styleId="affff1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uiPriority w:val="1"/>
    <w:semiHidden/>
    <w:qFormat/>
    <w:rPr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table" w:customStyle="1" w:styleId="610">
    <w:name w:val="清单表 6 彩色1"/>
    <w:uiPriority w:val="51"/>
    <w:qFormat/>
    <w:rPr>
      <w:rFonts w:asciiTheme="minorHAnsi" w:hAnsiTheme="minorHAnsi" w:cstheme="minorBidi"/>
      <w:color w:val="000000" w:themeColor="text1"/>
      <w:kern w:val="2"/>
      <w:sz w:val="21"/>
      <w:szCs w:val="22"/>
    </w:rPr>
    <w:tblPr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1600</Words>
  <Characters>9124</Characters>
  <Application>Microsoft Office Word</Application>
  <DocSecurity>0</DocSecurity>
  <Lines>76</Lines>
  <Paragraphs>21</Paragraphs>
  <ScaleCrop>false</ScaleCrop>
  <Company>AAAS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Microsoft Office User</cp:lastModifiedBy>
  <cp:revision>34</cp:revision>
  <cp:lastPrinted>2018-01-18T19:53:00Z</cp:lastPrinted>
  <dcterms:created xsi:type="dcterms:W3CDTF">2019-07-23T09:29:00Z</dcterms:created>
  <dcterms:modified xsi:type="dcterms:W3CDTF">2024-09-24T10:29:00Z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DE904CE7A8578C851DA78366D7877D97_42</vt:lpwstr>
  </property>
</Properties>
</file>