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850" w:rsidRDefault="00A76850">
      <w:pPr>
        <w:rPr>
          <w:sz w:val="36"/>
          <w:szCs w:val="36"/>
        </w:rPr>
      </w:pPr>
    </w:p>
    <w:p w:rsidR="00A76850" w:rsidRDefault="00A76850">
      <w:pPr>
        <w:jc w:val="center"/>
        <w:rPr>
          <w:sz w:val="36"/>
          <w:szCs w:val="36"/>
        </w:rPr>
      </w:pPr>
    </w:p>
    <w:p w:rsidR="00A76850" w:rsidRDefault="009A3451">
      <w:pPr>
        <w:jc w:val="center"/>
        <w:rPr>
          <w:sz w:val="36"/>
          <w:szCs w:val="36"/>
        </w:rPr>
      </w:pPr>
      <w:r>
        <w:rPr>
          <w:sz w:val="36"/>
          <w:szCs w:val="36"/>
        </w:rPr>
        <w:t>Supplementary Materials for</w:t>
      </w:r>
    </w:p>
    <w:p w:rsidR="00A76850" w:rsidRDefault="00A76850"/>
    <w:p w:rsidR="00A76850" w:rsidRDefault="009A3451">
      <w:pPr>
        <w:spacing w:line="360" w:lineRule="auto"/>
        <w:jc w:val="center"/>
        <w:rPr>
          <w:sz w:val="28"/>
          <w:szCs w:val="28"/>
        </w:rPr>
      </w:pPr>
      <w:r>
        <w:rPr>
          <w:rFonts w:hint="eastAsia"/>
          <w:sz w:val="28"/>
          <w:szCs w:val="28"/>
        </w:rPr>
        <w:t xml:space="preserve">Neoadjuvant apatinib addition to sintilimab and carboplatin-taxane based chemotherapy in patients with early triple-negative breast cancer: </w:t>
      </w:r>
    </w:p>
    <w:p w:rsidR="00A76850" w:rsidRDefault="009A3451">
      <w:pPr>
        <w:spacing w:line="360" w:lineRule="auto"/>
        <w:jc w:val="center"/>
        <w:rPr>
          <w:sz w:val="28"/>
          <w:szCs w:val="28"/>
        </w:rPr>
      </w:pPr>
      <w:r>
        <w:rPr>
          <w:rFonts w:hint="eastAsia"/>
          <w:sz w:val="28"/>
          <w:szCs w:val="28"/>
        </w:rPr>
        <w:t>the phase 2 NeoSAC trial</w:t>
      </w:r>
    </w:p>
    <w:p w:rsidR="00A76850" w:rsidRDefault="009A3451">
      <w:pPr>
        <w:spacing w:line="360" w:lineRule="auto"/>
        <w:rPr>
          <w:szCs w:val="24"/>
        </w:rPr>
      </w:pPr>
      <w:r>
        <w:rPr>
          <w:rFonts w:hint="eastAsia"/>
          <w:szCs w:val="24"/>
        </w:rPr>
        <w:t>Guoshuang Shen, Zhilin Liu, Miaozhou Wang, Yi Zhao, Xinlan Liu, Yujin Hou, Wenbiao Ma, Jingqi Han, Xiaofeng Zhou, Dengfeng Ren, Fuxing Zhao, Zitao Li, Shifen Huang, Yongzhi Chen, Yingjian He, Yan Liu, Zijun Zhu, Yongxin Li, Jinming Li, Mengting Da, Hongnan Mo, Feng Du, Liang Cui, Jing Bai, Zhen Liu, Fei Ma, Jiuda Zhao</w:t>
      </w:r>
    </w:p>
    <w:p w:rsidR="00A76850" w:rsidRDefault="00A76850">
      <w:pPr>
        <w:jc w:val="center"/>
        <w:rPr>
          <w:szCs w:val="24"/>
        </w:rPr>
      </w:pPr>
    </w:p>
    <w:p w:rsidR="00A76850" w:rsidRDefault="00A76850">
      <w:pPr>
        <w:jc w:val="center"/>
        <w:rPr>
          <w:szCs w:val="24"/>
        </w:rPr>
      </w:pPr>
    </w:p>
    <w:p w:rsidR="00A76850" w:rsidRDefault="009A3451">
      <w:pPr>
        <w:rPr>
          <w:lang w:eastAsia="zh-CN"/>
        </w:rPr>
      </w:pPr>
      <w:r>
        <w:rPr>
          <w:szCs w:val="24"/>
        </w:rPr>
        <w:t xml:space="preserve">Correspondence to: </w:t>
      </w:r>
      <w:hyperlink r:id="rId7" w:history="1">
        <w:r>
          <w:rPr>
            <w:rStyle w:val="affff"/>
            <w:rFonts w:hint="eastAsia"/>
          </w:rPr>
          <w:t>qhdxlz@163.com</w:t>
        </w:r>
      </w:hyperlink>
      <w:r>
        <w:rPr>
          <w:rFonts w:hint="eastAsia"/>
          <w:lang w:eastAsia="zh-CN"/>
        </w:rPr>
        <w:t>;</w:t>
      </w:r>
      <w:r>
        <w:rPr>
          <w:lang w:eastAsia="zh-CN"/>
        </w:rPr>
        <w:t xml:space="preserve"> </w:t>
      </w:r>
      <w:hyperlink r:id="rId8" w:history="1">
        <w:r>
          <w:rPr>
            <w:rStyle w:val="affff"/>
            <w:rFonts w:hint="eastAsia"/>
          </w:rPr>
          <w:t>drmafei@126.com</w:t>
        </w:r>
      </w:hyperlink>
      <w:r>
        <w:rPr>
          <w:rFonts w:hint="eastAsia"/>
          <w:lang w:eastAsia="zh-CN"/>
        </w:rPr>
        <w:t>;</w:t>
      </w:r>
      <w:r>
        <w:t xml:space="preserve"> </w:t>
      </w:r>
      <w:hyperlink r:id="rId9" w:history="1">
        <w:r>
          <w:rPr>
            <w:rStyle w:val="affff"/>
            <w:rFonts w:hint="eastAsia"/>
          </w:rPr>
          <w:t>jiudazhao</w:t>
        </w:r>
        <w:r>
          <w:rPr>
            <w:rStyle w:val="affff"/>
          </w:rPr>
          <w:t>@126.com</w:t>
        </w:r>
      </w:hyperlink>
      <w:r>
        <w:rPr>
          <w:rFonts w:hint="eastAsia"/>
          <w:lang w:eastAsia="zh-CN"/>
        </w:rPr>
        <w:t>;</w:t>
      </w:r>
    </w:p>
    <w:p w:rsidR="00A76850" w:rsidRDefault="00A76850">
      <w:pPr>
        <w:jc w:val="center"/>
        <w:rPr>
          <w:szCs w:val="24"/>
        </w:rPr>
      </w:pPr>
    </w:p>
    <w:p w:rsidR="00A76850" w:rsidRDefault="00A76850"/>
    <w:p w:rsidR="00A76850" w:rsidRDefault="009A3451">
      <w:pPr>
        <w:rPr>
          <w:b/>
          <w:szCs w:val="24"/>
        </w:rPr>
      </w:pPr>
      <w:r>
        <w:rPr>
          <w:b/>
          <w:szCs w:val="24"/>
        </w:rPr>
        <w:t>This PDF file includes:</w:t>
      </w:r>
    </w:p>
    <w:p w:rsidR="00A76850" w:rsidRDefault="00A76850">
      <w:pPr>
        <w:rPr>
          <w:szCs w:val="24"/>
        </w:rPr>
      </w:pPr>
    </w:p>
    <w:p w:rsidR="00D762E8" w:rsidRDefault="00D762E8">
      <w:pPr>
        <w:spacing w:line="360" w:lineRule="auto"/>
        <w:ind w:left="720"/>
        <w:rPr>
          <w:szCs w:val="24"/>
        </w:rPr>
      </w:pPr>
      <w:r>
        <w:t>Materials and Methods</w:t>
      </w:r>
    </w:p>
    <w:p w:rsidR="00A76850" w:rsidRDefault="009A3451">
      <w:pPr>
        <w:spacing w:line="360" w:lineRule="auto"/>
        <w:ind w:left="720"/>
        <w:rPr>
          <w:szCs w:val="24"/>
          <w:lang w:eastAsia="zh-CN"/>
        </w:rPr>
      </w:pPr>
      <w:r>
        <w:rPr>
          <w:szCs w:val="24"/>
        </w:rPr>
        <w:t>Figures S1 to S</w:t>
      </w:r>
      <w:r>
        <w:rPr>
          <w:rFonts w:hint="eastAsia"/>
          <w:szCs w:val="24"/>
          <w:lang w:eastAsia="zh-CN"/>
        </w:rPr>
        <w:t>5</w:t>
      </w:r>
    </w:p>
    <w:p w:rsidR="00883607" w:rsidRDefault="00883607" w:rsidP="00883607">
      <w:pPr>
        <w:spacing w:line="360" w:lineRule="auto"/>
        <w:ind w:left="720"/>
        <w:rPr>
          <w:szCs w:val="24"/>
        </w:rPr>
      </w:pPr>
      <w:r>
        <w:rPr>
          <w:szCs w:val="24"/>
        </w:rPr>
        <w:t>Table S1</w:t>
      </w:r>
    </w:p>
    <w:p w:rsidR="00883607" w:rsidRPr="00883607" w:rsidRDefault="00883607" w:rsidP="00883607">
      <w:pPr>
        <w:spacing w:line="360" w:lineRule="auto"/>
        <w:rPr>
          <w:szCs w:val="24"/>
          <w:lang w:eastAsia="zh-CN"/>
        </w:rPr>
      </w:pPr>
      <w:bookmarkStart w:id="0" w:name="_GoBack"/>
      <w:bookmarkEnd w:id="0"/>
    </w:p>
    <w:p w:rsidR="00A76850" w:rsidRDefault="009A3451">
      <w:pPr>
        <w:pStyle w:val="SMHeading"/>
      </w:pPr>
      <w:r>
        <w:br w:type="page"/>
      </w:r>
      <w:bookmarkStart w:id="1" w:name="Tables"/>
      <w:bookmarkStart w:id="2" w:name="MaterialsMethods"/>
      <w:bookmarkEnd w:id="1"/>
      <w:bookmarkEnd w:id="2"/>
      <w:r>
        <w:lastRenderedPageBreak/>
        <w:t>Materials and Methods</w:t>
      </w:r>
    </w:p>
    <w:p w:rsidR="00A76850" w:rsidRDefault="009A3451">
      <w:pPr>
        <w:pStyle w:val="SMText"/>
        <w:spacing w:line="360" w:lineRule="auto"/>
        <w:ind w:firstLine="0"/>
        <w:rPr>
          <w:lang w:eastAsia="zh-CN"/>
        </w:rPr>
      </w:pPr>
      <w:r>
        <w:rPr>
          <w:rFonts w:ascii="Times New Roman Bold" w:hAnsi="Times New Roman Bold" w:cs="Times New Roman Bold"/>
          <w:b/>
          <w:bCs/>
        </w:rPr>
        <w:t>RNA extraction and sequencing</w:t>
      </w:r>
    </w:p>
    <w:p w:rsidR="00A76850" w:rsidRDefault="009A3451">
      <w:pPr>
        <w:pStyle w:val="SMText"/>
        <w:spacing w:line="360" w:lineRule="auto"/>
        <w:ind w:firstLine="0"/>
        <w:jc w:val="both"/>
      </w:pPr>
      <w:r>
        <w:t>The RNA extraction from pretreatment and postoperative FFPE tissues utilizes the RNeasy FFPE Kit (QIAGEN). Following extraction, the concentration and total quantity of the RNA samples are determined using Qubit 4.0. The integrity of the RNA samples</w:t>
      </w:r>
      <w:r>
        <w:rPr>
          <w:rFonts w:hint="eastAsia"/>
          <w:lang w:eastAsia="zh-CN"/>
        </w:rPr>
        <w:t xml:space="preserve"> </w:t>
      </w:r>
      <w:r>
        <w:t>is</w:t>
      </w:r>
      <w:r>
        <w:rPr>
          <w:rFonts w:hint="eastAsia"/>
          <w:lang w:eastAsia="zh-CN"/>
        </w:rPr>
        <w:t xml:space="preserve"> </w:t>
      </w:r>
      <w:r>
        <w:t>assessed</w:t>
      </w:r>
      <w:r>
        <w:rPr>
          <w:rFonts w:hint="eastAsia"/>
          <w:lang w:eastAsia="zh-CN"/>
        </w:rPr>
        <w:t xml:space="preserve"> </w:t>
      </w:r>
      <w:r>
        <w:t>with</w:t>
      </w:r>
      <w:r>
        <w:rPr>
          <w:rFonts w:hint="eastAsia"/>
          <w:lang w:eastAsia="zh-CN"/>
        </w:rPr>
        <w:t xml:space="preserve"> </w:t>
      </w:r>
      <w:r>
        <w:t>the</w:t>
      </w:r>
      <w:r>
        <w:rPr>
          <w:rFonts w:hint="eastAsia"/>
          <w:lang w:eastAsia="zh-CN"/>
        </w:rPr>
        <w:t xml:space="preserve"> </w:t>
      </w:r>
      <w:r>
        <w:t>Agilent</w:t>
      </w:r>
      <w:r>
        <w:rPr>
          <w:rFonts w:hint="eastAsia"/>
          <w:lang w:eastAsia="zh-CN"/>
        </w:rPr>
        <w:t xml:space="preserve"> </w:t>
      </w:r>
      <w:r>
        <w:t>2100</w:t>
      </w:r>
      <w:r>
        <w:rPr>
          <w:rFonts w:hint="eastAsia"/>
          <w:lang w:eastAsia="zh-CN"/>
        </w:rPr>
        <w:t xml:space="preserve"> </w:t>
      </w:r>
      <w:r>
        <w:t>system,</w:t>
      </w:r>
      <w:r>
        <w:rPr>
          <w:rFonts w:hint="eastAsia"/>
          <w:lang w:eastAsia="zh-CN"/>
        </w:rPr>
        <w:t xml:space="preserve"> </w:t>
      </w:r>
      <w:r>
        <w:t>and</w:t>
      </w:r>
      <w:r>
        <w:rPr>
          <w:rFonts w:hint="eastAsia"/>
          <w:lang w:eastAsia="zh-CN"/>
        </w:rPr>
        <w:t xml:space="preserve"> </w:t>
      </w:r>
      <w:r>
        <w:t>sample</w:t>
      </w:r>
      <w:r>
        <w:rPr>
          <w:rFonts w:hint="eastAsia"/>
          <w:lang w:eastAsia="zh-CN"/>
        </w:rPr>
        <w:t xml:space="preserve"> </w:t>
      </w:r>
      <w:r>
        <w:t>purity</w:t>
      </w:r>
      <w:r>
        <w:rPr>
          <w:rFonts w:hint="eastAsia"/>
          <w:lang w:eastAsia="zh-CN"/>
        </w:rPr>
        <w:t xml:space="preserve"> </w:t>
      </w:r>
      <w:r>
        <w:t>is monitored using NanoDrop spectrophotometry. Targeted removal of ribosomal RNA (rRNA) is achieved using the NEBNext® rRNA Depletion Kit (Human/Mouse/Rat) (NEB). Subsequent to rRNA depletion and fragmentation, cDNA synthesis and NGS library preparation are carried out using the NEBNext® UltraⅢ II DNA Library Prep Kit</w:t>
      </w:r>
      <w:r>
        <w:rPr>
          <w:rFonts w:hint="eastAsia"/>
          <w:lang w:eastAsia="zh-CN"/>
        </w:rPr>
        <w:t xml:space="preserve"> </w:t>
      </w:r>
      <w:r>
        <w:t>for</w:t>
      </w:r>
      <w:r>
        <w:rPr>
          <w:rFonts w:hint="eastAsia"/>
          <w:lang w:eastAsia="zh-CN"/>
        </w:rPr>
        <w:t xml:space="preserve"> </w:t>
      </w:r>
      <w:r>
        <w:t>Illumina</w:t>
      </w:r>
      <w:r>
        <w:rPr>
          <w:rFonts w:hint="eastAsia"/>
          <w:lang w:eastAsia="zh-CN"/>
        </w:rPr>
        <w:t xml:space="preserve"> </w:t>
      </w:r>
      <w:r>
        <w:t>(NEB).</w:t>
      </w:r>
      <w:r>
        <w:rPr>
          <w:rFonts w:hint="eastAsia"/>
          <w:lang w:eastAsia="zh-CN"/>
        </w:rPr>
        <w:t xml:space="preserve"> </w:t>
      </w:r>
      <w:r>
        <w:t>Library concentration</w:t>
      </w:r>
      <w:r>
        <w:rPr>
          <w:rFonts w:hint="eastAsia"/>
          <w:lang w:eastAsia="zh-CN"/>
        </w:rPr>
        <w:t xml:space="preserve"> </w:t>
      </w:r>
      <w:r>
        <w:t>and</w:t>
      </w:r>
      <w:r>
        <w:rPr>
          <w:rFonts w:hint="eastAsia"/>
          <w:lang w:eastAsia="zh-CN"/>
        </w:rPr>
        <w:t xml:space="preserve"> </w:t>
      </w:r>
      <w:r>
        <w:t>fragment</w:t>
      </w:r>
      <w:r>
        <w:rPr>
          <w:rFonts w:hint="eastAsia"/>
          <w:lang w:eastAsia="zh-CN"/>
        </w:rPr>
        <w:t xml:space="preserve"> </w:t>
      </w:r>
      <w:r>
        <w:t>size</w:t>
      </w:r>
      <w:r>
        <w:rPr>
          <w:rFonts w:hint="eastAsia"/>
          <w:lang w:eastAsia="zh-CN"/>
        </w:rPr>
        <w:t xml:space="preserve"> </w:t>
      </w:r>
      <w:r>
        <w:t>distribution</w:t>
      </w:r>
      <w:r>
        <w:rPr>
          <w:rFonts w:hint="eastAsia"/>
          <w:lang w:eastAsia="zh-CN"/>
        </w:rPr>
        <w:t xml:space="preserve"> </w:t>
      </w:r>
      <w:r>
        <w:t>are evaluated using the NGS 3K Reagent Kit (PerkinElmer). Sequencing of the samples</w:t>
      </w:r>
      <w:r>
        <w:rPr>
          <w:rFonts w:hint="eastAsia"/>
          <w:lang w:eastAsia="zh-CN"/>
        </w:rPr>
        <w:t xml:space="preserve"> </w:t>
      </w:r>
      <w:r>
        <w:t>is performed as 100 bp paired-end reads on the DNBSEQ-T7RS platform.</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RNA-seq data processing</w:t>
      </w:r>
    </w:p>
    <w:p w:rsidR="00A76850" w:rsidRDefault="009A3451">
      <w:pPr>
        <w:pStyle w:val="SMText"/>
        <w:spacing w:line="360" w:lineRule="auto"/>
        <w:ind w:firstLine="0"/>
        <w:jc w:val="both"/>
      </w:pPr>
      <w:r>
        <w:t xml:space="preserve">After eliminating terminal adaptor sequences and filtering out low-quality data with fastp software (version: 0.20.0), rRNA reads are further removed by aligning clean reads against the rRNA database downloaded from NCBI using bowtie2 (version: </w:t>
      </w:r>
      <w:hyperlink r:id="rId10" w:history="1">
        <w:r>
          <w:t>2.3.5.1</w:t>
        </w:r>
      </w:hyperlink>
      <w:r>
        <w:t>). Subsequently, the clean reads, devoid of known rRNA, are aligned to the reference</w:t>
      </w:r>
      <w:r>
        <w:rPr>
          <w:rFonts w:hint="eastAsia"/>
          <w:lang w:eastAsia="zh-CN"/>
        </w:rPr>
        <w:t xml:space="preserve"> </w:t>
      </w:r>
      <w:r>
        <w:t>human</w:t>
      </w:r>
      <w:r>
        <w:rPr>
          <w:rFonts w:hint="eastAsia"/>
          <w:lang w:eastAsia="zh-CN"/>
        </w:rPr>
        <w:t xml:space="preserve"> </w:t>
      </w:r>
      <w:r>
        <w:t>genome</w:t>
      </w:r>
      <w:r>
        <w:rPr>
          <w:rFonts w:hint="eastAsia"/>
          <w:lang w:eastAsia="zh-CN"/>
        </w:rPr>
        <w:t xml:space="preserve"> </w:t>
      </w:r>
      <w:r>
        <w:t>(GRCh37)</w:t>
      </w:r>
      <w:r>
        <w:rPr>
          <w:rFonts w:hint="eastAsia"/>
          <w:lang w:eastAsia="zh-CN"/>
        </w:rPr>
        <w:t xml:space="preserve"> </w:t>
      </w:r>
      <w:r>
        <w:t>utilizing</w:t>
      </w:r>
      <w:r>
        <w:rPr>
          <w:rFonts w:hint="eastAsia"/>
          <w:lang w:eastAsia="zh-CN"/>
        </w:rPr>
        <w:t xml:space="preserve"> </w:t>
      </w:r>
      <w:r>
        <w:t>STAR</w:t>
      </w:r>
      <w:r>
        <w:rPr>
          <w:rFonts w:hint="eastAsia"/>
          <w:lang w:eastAsia="zh-CN"/>
        </w:rPr>
        <w:t xml:space="preserve"> </w:t>
      </w:r>
      <w:r>
        <w:t>software</w:t>
      </w:r>
      <w:r>
        <w:rPr>
          <w:rFonts w:hint="eastAsia"/>
          <w:lang w:eastAsia="zh-CN"/>
        </w:rPr>
        <w:t xml:space="preserve"> </w:t>
      </w:r>
      <w:r>
        <w:t>(version:</w:t>
      </w:r>
      <w:r>
        <w:rPr>
          <w:rFonts w:hint="eastAsia"/>
          <w:lang w:eastAsia="zh-CN"/>
        </w:rPr>
        <w:t xml:space="preserve"> </w:t>
      </w:r>
      <w:r>
        <w:t>2.7.6a). Transcript</w:t>
      </w:r>
      <w:r>
        <w:rPr>
          <w:rFonts w:hint="eastAsia"/>
          <w:lang w:eastAsia="zh-CN"/>
        </w:rPr>
        <w:t xml:space="preserve"> </w:t>
      </w:r>
      <w:r>
        <w:t>assembly</w:t>
      </w:r>
      <w:r>
        <w:rPr>
          <w:rFonts w:hint="eastAsia"/>
          <w:lang w:eastAsia="zh-CN"/>
        </w:rPr>
        <w:t xml:space="preserve"> </w:t>
      </w:r>
      <w:r>
        <w:t>is</w:t>
      </w:r>
      <w:r>
        <w:rPr>
          <w:rFonts w:hint="eastAsia"/>
          <w:lang w:eastAsia="zh-CN"/>
        </w:rPr>
        <w:t xml:space="preserve"> </w:t>
      </w:r>
      <w:r>
        <w:t>performed</w:t>
      </w:r>
      <w:r>
        <w:rPr>
          <w:rFonts w:hint="eastAsia"/>
          <w:lang w:eastAsia="zh-CN"/>
        </w:rPr>
        <w:t xml:space="preserve"> </w:t>
      </w:r>
      <w:r>
        <w:t>by</w:t>
      </w:r>
      <w:r>
        <w:rPr>
          <w:rFonts w:hint="eastAsia"/>
          <w:lang w:eastAsia="zh-CN"/>
        </w:rPr>
        <w:t xml:space="preserve"> </w:t>
      </w:r>
      <w:r>
        <w:t>using</w:t>
      </w:r>
      <w:r>
        <w:rPr>
          <w:rFonts w:hint="eastAsia"/>
          <w:lang w:eastAsia="zh-CN"/>
        </w:rPr>
        <w:t xml:space="preserve"> </w:t>
      </w:r>
      <w:r>
        <w:t>StringTie</w:t>
      </w:r>
      <w:r>
        <w:rPr>
          <w:rFonts w:hint="eastAsia"/>
          <w:lang w:eastAsia="zh-CN"/>
        </w:rPr>
        <w:t xml:space="preserve"> </w:t>
      </w:r>
      <w:r>
        <w:t>software</w:t>
      </w:r>
      <w:r>
        <w:rPr>
          <w:rFonts w:hint="eastAsia"/>
          <w:lang w:eastAsia="zh-CN"/>
        </w:rPr>
        <w:t xml:space="preserve"> </w:t>
      </w:r>
      <w:r>
        <w:t>(v2.0.4).</w:t>
      </w:r>
      <w:r>
        <w:rPr>
          <w:rFonts w:hint="eastAsia"/>
          <w:lang w:eastAsia="zh-CN"/>
        </w:rPr>
        <w:t xml:space="preserve"> </w:t>
      </w:r>
      <w:r>
        <w:t>RSeQC (version: 2.6.4) assessment is employed to compute a set of quality control metrics. A predefined threshold is established, requiring an rRNA rate of less than 20% and mapped reads exceeding 40 million.</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Immune infiltration evaluation</w:t>
      </w:r>
    </w:p>
    <w:p w:rsidR="00A76850" w:rsidRDefault="009A3451">
      <w:pPr>
        <w:pStyle w:val="SMText"/>
        <w:spacing w:line="360" w:lineRule="auto"/>
        <w:ind w:firstLine="0"/>
        <w:jc w:val="both"/>
      </w:pPr>
      <w:r>
        <w:t>The GSVA</w:t>
      </w:r>
      <w:r>
        <w:rPr>
          <w:highlight w:val="yellow"/>
        </w:rPr>
        <w:fldChar w:fldCharType="begin"/>
      </w:r>
      <w:r>
        <w:rPr>
          <w:highlight w:val="yellow"/>
        </w:rPr>
        <w:instrText xml:space="preserve"> ADDIN ZOTERO_ITEM CSL_CITATION {"citationID":"oE1gSQVm","properties":{"formattedCitation":"\\super 1\\nosupersub{}","plainCitation":"1","noteIndex":0},"citationItems":[{"id":573,"uris":["http://zotero.org/users/13286093/items/5YS3WUJE"],"itemData":{"id":573,"type":"article-journal","abstract":"BACKGROUND: Gene set enrichment (GSE) analysis is a popular framework for condensing information from gene expression profiles into a pathway or signature summary. The strengths of this approach over single gene analysis include noise and dimension reduction, as well as greater biological interpretability. As molecular profiling experiments move beyond simple case-control studies, robust and flexible GSE methodologies are needed that can model pathway activity within highly heterogeneous data sets.\nRESULTS: To address this challenge, we introduce Gene Set Variation Analysis (GSVA), a GSE method that estimates variation of pathway activity over a sample population in an unsupervised manner. We demonstrate the robustness of GSVA in a comparison with current state of the art sample-wise enrichment methods. Further, we provide examples of its utility in differential pathway activity and survival analysis. Lastly, we show how GSVA works analogously with data from both microarray and RNA-seq experiments.\nCONCLUSIONS: GSVA provides increased power to detect subtle pathway activity changes over a sample population in comparison to corresponding methods. While GSE methods are generally regarded as end points of a bioinformatic analysis, GSVA constitutes a starting point to build pathway-centric models of biology. Moreover, GSVA contributes to the current need of GSE methods for RNA-seq data. GSVA is an open source software package for R which forms part of the Bioconductor project and can be downloaded at http://www.bioconductor.org.","container-title":"BMC bioinformatics","DOI":"10.1186/1471-2105-14-7","ISSN":"1471-2105","journalAbbreviation":"BMC Bioinformatics","language":"eng","note":"PMID: 23323831\nPMCID: PMC3618321","page":"7","source":"PubMed","title":"GSVA: gene set variation analysis for microarray and RNA-seq data","title-short":"GSVA","volume":"14","author":[{"family":"Hänzelmann","given":"Sonja"},{"family":"Castelo","given":"Robert"},{"family":"Guinney","given":"Justin"}],"issued":{"date-parts":[["2013",1,16]]}}}],"schema":"https://github.com/citation-style-language/schema/raw/master/csl-citation.json"} </w:instrText>
      </w:r>
      <w:r>
        <w:rPr>
          <w:highlight w:val="yellow"/>
        </w:rPr>
        <w:fldChar w:fldCharType="separate"/>
      </w:r>
      <w:r>
        <w:rPr>
          <w:szCs w:val="24"/>
          <w:vertAlign w:val="superscript"/>
        </w:rPr>
        <w:t>1</w:t>
      </w:r>
      <w:r>
        <w:rPr>
          <w:highlight w:val="yellow"/>
        </w:rPr>
        <w:fldChar w:fldCharType="end"/>
      </w:r>
      <w:r>
        <w:rPr>
          <w:rFonts w:hint="eastAsia"/>
          <w:lang w:eastAsia="zh-CN"/>
        </w:rPr>
        <w:t xml:space="preserve"> </w:t>
      </w:r>
      <w:r>
        <w:t>R package (version</w:t>
      </w:r>
      <w:r>
        <w:rPr>
          <w:rFonts w:hint="eastAsia"/>
          <w:lang w:eastAsia="zh-CN"/>
        </w:rPr>
        <w:t xml:space="preserve"> </w:t>
      </w:r>
      <w:r>
        <w:t>1.36.3) is implemented to conduct single-sample</w:t>
      </w:r>
      <w:r>
        <w:rPr>
          <w:rFonts w:hint="eastAsia"/>
          <w:lang w:eastAsia="zh-CN"/>
        </w:rPr>
        <w:t xml:space="preserve"> </w:t>
      </w:r>
      <w:r>
        <w:t>gene</w:t>
      </w:r>
      <w:r>
        <w:rPr>
          <w:rFonts w:hint="eastAsia"/>
          <w:lang w:eastAsia="zh-CN"/>
        </w:rPr>
        <w:t xml:space="preserve"> </w:t>
      </w:r>
      <w:r>
        <w:t>set</w:t>
      </w:r>
      <w:r>
        <w:rPr>
          <w:rFonts w:hint="eastAsia"/>
          <w:lang w:eastAsia="zh-CN"/>
        </w:rPr>
        <w:t xml:space="preserve"> </w:t>
      </w:r>
      <w:r>
        <w:t>enrichment</w:t>
      </w:r>
      <w:r>
        <w:rPr>
          <w:rFonts w:hint="eastAsia"/>
          <w:lang w:eastAsia="zh-CN"/>
        </w:rPr>
        <w:t xml:space="preserve"> </w:t>
      </w:r>
      <w:r>
        <w:t>analysis</w:t>
      </w:r>
      <w:r>
        <w:rPr>
          <w:rFonts w:hint="eastAsia"/>
          <w:lang w:eastAsia="zh-CN"/>
        </w:rPr>
        <w:t xml:space="preserve"> </w:t>
      </w:r>
      <w:r>
        <w:t>(ssGSEA),</w:t>
      </w:r>
      <w:r>
        <w:rPr>
          <w:rFonts w:hint="eastAsia"/>
          <w:lang w:eastAsia="zh-CN"/>
        </w:rPr>
        <w:t xml:space="preserve"> </w:t>
      </w:r>
      <w:r>
        <w:t>focusing</w:t>
      </w:r>
      <w:r>
        <w:rPr>
          <w:rFonts w:hint="eastAsia"/>
          <w:lang w:eastAsia="zh-CN"/>
        </w:rPr>
        <w:t xml:space="preserve"> </w:t>
      </w:r>
      <w:r>
        <w:t>on</w:t>
      </w:r>
      <w:r>
        <w:rPr>
          <w:rFonts w:hint="eastAsia"/>
          <w:lang w:eastAsia="zh-CN"/>
        </w:rPr>
        <w:t xml:space="preserve"> </w:t>
      </w:r>
      <w:r>
        <w:t>the</w:t>
      </w:r>
      <w:r>
        <w:rPr>
          <w:rFonts w:hint="eastAsia"/>
          <w:lang w:eastAsia="zh-CN"/>
        </w:rPr>
        <w:t xml:space="preserve"> </w:t>
      </w:r>
      <w:r>
        <w:t>infiltration</w:t>
      </w:r>
      <w:r>
        <w:rPr>
          <w:rFonts w:hint="eastAsia"/>
          <w:lang w:eastAsia="zh-CN"/>
        </w:rPr>
        <w:t xml:space="preserve"> </w:t>
      </w:r>
      <w:r>
        <w:t>level</w:t>
      </w:r>
      <w:r>
        <w:rPr>
          <w:rFonts w:hint="eastAsia"/>
          <w:lang w:eastAsia="zh-CN"/>
        </w:rPr>
        <w:t xml:space="preserve"> </w:t>
      </w:r>
      <w:r>
        <w:t>of</w:t>
      </w:r>
      <w:r>
        <w:rPr>
          <w:rFonts w:hint="eastAsia"/>
          <w:lang w:eastAsia="zh-CN"/>
        </w:rPr>
        <w:t xml:space="preserve"> </w:t>
      </w:r>
      <w:r>
        <w:t>15 distinct</w:t>
      </w:r>
      <w:r>
        <w:rPr>
          <w:rFonts w:hint="eastAsia"/>
          <w:lang w:eastAsia="zh-CN"/>
        </w:rPr>
        <w:t xml:space="preserve"> </w:t>
      </w:r>
      <w:r>
        <w:t>immune</w:t>
      </w:r>
      <w:r>
        <w:rPr>
          <w:rFonts w:hint="eastAsia"/>
          <w:lang w:eastAsia="zh-CN"/>
        </w:rPr>
        <w:t xml:space="preserve"> </w:t>
      </w:r>
      <w:r>
        <w:t>cell</w:t>
      </w:r>
      <w:r>
        <w:rPr>
          <w:rFonts w:hint="eastAsia"/>
          <w:lang w:eastAsia="zh-CN"/>
        </w:rPr>
        <w:t xml:space="preserve"> </w:t>
      </w:r>
      <w:r>
        <w:t>types. Marker</w:t>
      </w:r>
      <w:r>
        <w:rPr>
          <w:rFonts w:hint="eastAsia"/>
          <w:lang w:eastAsia="zh-CN"/>
        </w:rPr>
        <w:t xml:space="preserve"> </w:t>
      </w:r>
      <w:r>
        <w:t>genes</w:t>
      </w:r>
      <w:r>
        <w:rPr>
          <w:rFonts w:hint="eastAsia"/>
          <w:lang w:eastAsia="zh-CN"/>
        </w:rPr>
        <w:t xml:space="preserve"> </w:t>
      </w:r>
      <w:r>
        <w:t>specific</w:t>
      </w:r>
      <w:r>
        <w:rPr>
          <w:rFonts w:hint="eastAsia"/>
          <w:lang w:eastAsia="zh-CN"/>
        </w:rPr>
        <w:t xml:space="preserve"> </w:t>
      </w:r>
      <w:r>
        <w:t>to</w:t>
      </w:r>
      <w:r>
        <w:rPr>
          <w:rFonts w:hint="eastAsia"/>
          <w:lang w:eastAsia="zh-CN"/>
        </w:rPr>
        <w:t xml:space="preserve"> </w:t>
      </w:r>
      <w:r>
        <w:t>each</w:t>
      </w:r>
      <w:r>
        <w:rPr>
          <w:rFonts w:hint="eastAsia"/>
          <w:lang w:eastAsia="zh-CN"/>
        </w:rPr>
        <w:t xml:space="preserve"> </w:t>
      </w:r>
      <w:r>
        <w:t>immune</w:t>
      </w:r>
      <w:r>
        <w:rPr>
          <w:rFonts w:hint="eastAsia"/>
          <w:lang w:eastAsia="zh-CN"/>
        </w:rPr>
        <w:t xml:space="preserve"> </w:t>
      </w:r>
      <w:r>
        <w:t>cell</w:t>
      </w:r>
      <w:r>
        <w:rPr>
          <w:rFonts w:hint="eastAsia"/>
          <w:lang w:eastAsia="zh-CN"/>
        </w:rPr>
        <w:t xml:space="preserve"> </w:t>
      </w:r>
      <w:r>
        <w:t>type</w:t>
      </w:r>
      <w:r>
        <w:rPr>
          <w:rFonts w:hint="eastAsia"/>
          <w:lang w:eastAsia="zh-CN"/>
        </w:rPr>
        <w:t xml:space="preserve"> </w:t>
      </w:r>
      <w:r>
        <w:t>are referenced from a published article</w:t>
      </w:r>
      <w:r>
        <w:rPr>
          <w:highlight w:val="yellow"/>
        </w:rPr>
        <w:fldChar w:fldCharType="begin"/>
      </w:r>
      <w:r>
        <w:rPr>
          <w:highlight w:val="yellow"/>
        </w:rPr>
        <w:instrText xml:space="preserve"> ADDIN ZOTERO_ITEM CSL_CITATION {"citationID":"JzgFz5Sl","properties":{"formattedCitation":"\\super 2\\nosupersub{}","plainCitation":"2","noteIndex":0},"citationItems":[{"id":575,"uris":["http://zotero.org/users/13286093/items/BV2Y62IH"],"itemData":{"id":575,"type":"article-journal","abstract":"BACKGROUND: Abundant evidence shows that triple-negative breast cancer (TNBC) is heterogeneous, and many efforts have been devoted to identifying TNBC subtypes on the basis of genomic profiling. However, few studies have explored the classification of TNBC specifically based on immune signatures that may facilitate the optimal stratification of TNBC patients responsive to immunotherapy.\nMETHODS: Using four publicly available TNBC genomics datasets, we classified TNBC on the basis of the immunogenomic profiling of 29 immune signatures. Unsupervised and supervised machine learning methods were used to perform the classification.\nRESULTS: We identified three TNBC subtypes that we named Immunity High (Immunity_H), Immunity Medium (Immunity_M), and Immunity Low (Immunity_L) and demonstrated that this classification was reliable and predictable by analyzing multiple different datasets. Immunity_H was characterized by greater immune cell infiltration and anti-tumor immune activities, as well as better survival prognosis compared to the other subtypes. Besides the immune signatures, some cancer-associated pathways were hyperactivated in Immunity_H, including apoptosis, calcium signaling, MAPK signaling, PI3K-Akt signaling, and RAS signaling. In contrast, Immunity_L presented depressed immune signatures and increased activation of cell cycle, Hippo signaling, DNA replication, mismatch repair, cell adhesion molecule binding, spliceosome, adherens junction function, pyrimidine metabolism, glycosylphosphatidylinositol (GPI)-anchor biosynthesis, and RNA polymerase pathways. Furthermore, we identified a gene co-expression subnetwork centered around five transcription factor (TF) genes (CORO1A, STAT4, BCL11B, ZNF831, and EOMES) specifically significant in the Immunity_H subtype and a subnetwork centered around two TF genes (IRF8 and SPI1) characteristic of the Immunity_L subtype.\nCONCLUSIONS: The identification of TNBC subtypes based on immune signatures has potential clinical implications for TNBC treatment.","container-title":"Journal of experimental &amp; clinical cancer research: CR","DOI":"10.1186/s13046-018-1002-1","ISSN":"1756-9966","issue":"1","journalAbbreviation":"J Exp Clin Cancer Res","language":"eng","note":"PMID: 30594216\nPMCID: PMC6310928","page":"327","source":"PubMed","title":"Classification of triple-negative breast cancers based on Immunogenomic profiling","volume":"37","author":[{"family":"He","given":"Yin"},{"family":"Jiang","given":"Zehang"},{"family":"Chen","given":"Cai"},{"family":"Wang","given":"Xiaosheng"}],"issued":{"date-parts":[["2018",12,29]]}}}],"schema":"https://github.com/citation-style-language/schema/raw/master/csl-citation.json"} </w:instrText>
      </w:r>
      <w:r>
        <w:rPr>
          <w:highlight w:val="yellow"/>
        </w:rPr>
        <w:fldChar w:fldCharType="separate"/>
      </w:r>
      <w:r>
        <w:rPr>
          <w:szCs w:val="24"/>
          <w:vertAlign w:val="superscript"/>
        </w:rPr>
        <w:t>2</w:t>
      </w:r>
      <w:r>
        <w:rPr>
          <w:highlight w:val="yellow"/>
        </w:rPr>
        <w:fldChar w:fldCharType="end"/>
      </w:r>
      <w:r>
        <w:t>, and the gene sets are provided in Table S1. The "ESTIMATE" R package is utilized to evaluate the</w:t>
      </w:r>
      <w:r>
        <w:rPr>
          <w:rFonts w:hint="eastAsia"/>
          <w:lang w:eastAsia="zh-CN"/>
        </w:rPr>
        <w:t xml:space="preserve"> </w:t>
      </w:r>
      <w:r>
        <w:t>stromal, immune, and tumor purity scores of triple-negative breast cancer (TNBC). This assessment is grounded in the proportional representation of immune and stromal cells, providing valuable insights into the overall composition and purity of the tumor microenvironment</w:t>
      </w:r>
      <w:r>
        <w:rPr>
          <w:highlight w:val="yellow"/>
        </w:rPr>
        <w:fldChar w:fldCharType="begin"/>
      </w:r>
      <w:r>
        <w:rPr>
          <w:highlight w:val="yellow"/>
        </w:rPr>
        <w:instrText xml:space="preserve"> ADDIN ZOTERO_ITEM CSL_CITATION {"citationID":"dLbIHco3","properties":{"formattedCitation":"\\super 3\\nosupersub{}","plainCitation":"3","noteIndex":0},"citationItems":[{"id":578,"uris":["http://zotero.org/users/13286093/items/CFY7SEVH"],"itemData":{"id":578,"type":"article-journal","abstract":"Infiltrating stromal and immune cells form the major fraction of normal cells in tumour tissue and not only perturb the tumour signal in molecular studies but also have an important role in cancer biology. Here we describe 'Estimation of STromal and Immune cells in MAlignant Tumours using Expression data' (ESTIMATE)--a method that uses gene expression signatures to infer the fraction of stromal and immune cells in tumour samples. ESTIMATE scores correlate with DNA copy number-based tumour purity across samples from 11 different tumour types, profiled on Agilent, Affymetrix platforms or based on RNA sequencing and available through The Cancer Genome Atlas. The prediction accuracy is further corroborated using 3,809 transcriptional profiles available elsewhere in the public domain. The ESTIMATE method allows consideration of tumour-associated normal cells in genomic and transcriptomic studies. An R-library is available on https://sourceforge.net/projects/estimateproject/.","container-title":"Nature Communications","DOI":"10.1038/ncomms3612","ISSN":"2041-1723","journalAbbreviation":"Nat Commun","language":"eng","note":"PMID: 24113773\nPMCID: PMC3826632","page":"2612","source":"PubMed","title":"Inferring tumour purity and stromal and immune cell admixture from expression data","volume":"4","author":[{"family":"Yoshihara","given":"Kosuke"},{"family":"Shahmoradgoli","given":"Maria"},{"family":"Martínez","given":"Emmanuel"},{"family":"Vegesna","given":"Rahulsimham"},{"family":"Kim","given":"Hoon"},{"family":"Torres-Garcia","given":"Wandaliz"},{"family":"Treviño","given":"Victor"},{"family":"Shen","given":"Hui"},{"family":"Laird","given":"Peter W."},{"family":"Levine","given":"Douglas A."},{"family":"Carter","given":"Scott L."},{"family":"Getz","given":"Gad"},{"family":"Stemke-Hale","given":"Katherine"},{"family":"Mills","given":"Gordon B."},{"family":"Verhaak","given":"Roel G. W."}],"issued":{"date-parts":[["2013"]]}}}],"schema":"https://github.com/citation-style-language/schema/raw/master/csl-citation.json"} </w:instrText>
      </w:r>
      <w:r>
        <w:rPr>
          <w:highlight w:val="yellow"/>
        </w:rPr>
        <w:fldChar w:fldCharType="separate"/>
      </w:r>
      <w:r>
        <w:rPr>
          <w:szCs w:val="24"/>
          <w:vertAlign w:val="superscript"/>
        </w:rPr>
        <w:t>3</w:t>
      </w:r>
      <w:r>
        <w:rPr>
          <w:highlight w:val="yellow"/>
        </w:rPr>
        <w:fldChar w:fldCharType="end"/>
      </w:r>
      <w:r>
        <w:t>.</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Gene Set Enrichment Analysis</w:t>
      </w:r>
    </w:p>
    <w:p w:rsidR="00A76850" w:rsidRDefault="009A3451">
      <w:pPr>
        <w:pStyle w:val="SMText"/>
        <w:spacing w:line="360" w:lineRule="auto"/>
        <w:ind w:firstLine="0"/>
        <w:jc w:val="both"/>
      </w:pPr>
      <w:r>
        <w:t>The baseline samples with gene expression profiles were partitioned into two groups according to the therapeutic</w:t>
      </w:r>
      <w:r>
        <w:rPr>
          <w:rFonts w:hint="eastAsia"/>
          <w:lang w:eastAsia="zh-CN"/>
        </w:rPr>
        <w:t xml:space="preserve"> </w:t>
      </w:r>
      <w:r>
        <w:t>efficacy.</w:t>
      </w:r>
      <w:r>
        <w:rPr>
          <w:rFonts w:hint="eastAsia"/>
          <w:lang w:eastAsia="zh-CN"/>
        </w:rPr>
        <w:t xml:space="preserve"> </w:t>
      </w:r>
      <w:r>
        <w:t>Count</w:t>
      </w:r>
      <w:r>
        <w:rPr>
          <w:rFonts w:hint="eastAsia"/>
          <w:lang w:eastAsia="zh-CN"/>
        </w:rPr>
        <w:t xml:space="preserve"> </w:t>
      </w:r>
      <w:r>
        <w:t>values</w:t>
      </w:r>
      <w:r>
        <w:rPr>
          <w:rFonts w:hint="eastAsia"/>
          <w:lang w:eastAsia="zh-CN"/>
        </w:rPr>
        <w:t xml:space="preserve"> </w:t>
      </w:r>
      <w:r>
        <w:t>served</w:t>
      </w:r>
      <w:r>
        <w:rPr>
          <w:rFonts w:hint="eastAsia"/>
          <w:lang w:eastAsia="zh-CN"/>
        </w:rPr>
        <w:t xml:space="preserve"> </w:t>
      </w:r>
      <w:r>
        <w:t>as</w:t>
      </w:r>
      <w:r>
        <w:rPr>
          <w:rFonts w:hint="eastAsia"/>
          <w:lang w:eastAsia="zh-CN"/>
        </w:rPr>
        <w:t xml:space="preserve"> </w:t>
      </w:r>
      <w:r>
        <w:t>input</w:t>
      </w:r>
      <w:r>
        <w:rPr>
          <w:rFonts w:hint="eastAsia"/>
          <w:lang w:eastAsia="zh-CN"/>
        </w:rPr>
        <w:t xml:space="preserve"> </w:t>
      </w:r>
      <w:r>
        <w:t>data.</w:t>
      </w:r>
      <w:r>
        <w:rPr>
          <w:rFonts w:hint="eastAsia"/>
          <w:lang w:eastAsia="zh-CN"/>
        </w:rPr>
        <w:t xml:space="preserve"> </w:t>
      </w:r>
      <w:r>
        <w:t>The</w:t>
      </w:r>
      <w:r>
        <w:rPr>
          <w:rFonts w:hint="eastAsia"/>
          <w:lang w:eastAsia="zh-CN"/>
        </w:rPr>
        <w:t xml:space="preserve"> </w:t>
      </w:r>
      <w:r>
        <w:t>R package “limma” was employed to determine Fold Change from gene expression data</w:t>
      </w:r>
      <w:r>
        <w:rPr>
          <w:rFonts w:hint="eastAsia"/>
          <w:lang w:eastAsia="zh-CN"/>
        </w:rPr>
        <w:t xml:space="preserve"> </w:t>
      </w:r>
      <w:r>
        <w:t>between</w:t>
      </w:r>
      <w:r>
        <w:rPr>
          <w:rFonts w:hint="eastAsia"/>
          <w:lang w:eastAsia="zh-CN"/>
        </w:rPr>
        <w:t xml:space="preserve"> </w:t>
      </w:r>
      <w:r>
        <w:t>the</w:t>
      </w:r>
      <w:r>
        <w:rPr>
          <w:rFonts w:hint="eastAsia"/>
          <w:lang w:eastAsia="zh-CN"/>
        </w:rPr>
        <w:t xml:space="preserve"> </w:t>
      </w:r>
      <w:r>
        <w:t>pCR</w:t>
      </w:r>
      <w:r>
        <w:rPr>
          <w:rFonts w:hint="eastAsia"/>
          <w:lang w:eastAsia="zh-CN"/>
        </w:rPr>
        <w:t xml:space="preserve"> </w:t>
      </w:r>
      <w:r>
        <w:t>and</w:t>
      </w:r>
      <w:r>
        <w:rPr>
          <w:rFonts w:hint="eastAsia"/>
          <w:lang w:eastAsia="zh-CN"/>
        </w:rPr>
        <w:t xml:space="preserve"> </w:t>
      </w:r>
      <w:r>
        <w:t>non_pCR</w:t>
      </w:r>
      <w:r>
        <w:rPr>
          <w:rFonts w:hint="eastAsia"/>
          <w:lang w:eastAsia="zh-CN"/>
        </w:rPr>
        <w:t xml:space="preserve"> </w:t>
      </w:r>
      <w:r>
        <w:t>groups.</w:t>
      </w:r>
      <w:r>
        <w:rPr>
          <w:rFonts w:hint="eastAsia"/>
          <w:lang w:eastAsia="zh-CN"/>
        </w:rPr>
        <w:t xml:space="preserve"> </w:t>
      </w:r>
      <w:r>
        <w:t>Subsequently,</w:t>
      </w:r>
      <w:r>
        <w:rPr>
          <w:rFonts w:hint="eastAsia"/>
          <w:lang w:eastAsia="zh-CN"/>
        </w:rPr>
        <w:t xml:space="preserve"> </w:t>
      </w:r>
      <w:r>
        <w:t>all</w:t>
      </w:r>
      <w:r>
        <w:rPr>
          <w:rFonts w:hint="eastAsia"/>
          <w:lang w:eastAsia="zh-CN"/>
        </w:rPr>
        <w:t xml:space="preserve"> </w:t>
      </w:r>
      <w:r>
        <w:t>log2FoldChange values were utilized as input for the “clusterProfiler” R package to perform gene set enrichment</w:t>
      </w:r>
      <w:r>
        <w:rPr>
          <w:rFonts w:hint="eastAsia"/>
          <w:lang w:eastAsia="zh-CN"/>
        </w:rPr>
        <w:t xml:space="preserve"> </w:t>
      </w:r>
      <w:r>
        <w:t>analysis</w:t>
      </w:r>
      <w:r>
        <w:rPr>
          <w:rFonts w:hint="eastAsia"/>
          <w:lang w:eastAsia="zh-CN"/>
        </w:rPr>
        <w:t xml:space="preserve"> </w:t>
      </w:r>
      <w:r>
        <w:t>(GSEA).</w:t>
      </w:r>
      <w:r>
        <w:rPr>
          <w:rFonts w:hint="eastAsia"/>
          <w:lang w:eastAsia="zh-CN"/>
        </w:rPr>
        <w:t xml:space="preserve"> </w:t>
      </w:r>
      <w:r>
        <w:t>The</w:t>
      </w:r>
      <w:r>
        <w:rPr>
          <w:rFonts w:hint="eastAsia"/>
          <w:lang w:eastAsia="zh-CN"/>
        </w:rPr>
        <w:t xml:space="preserve"> </w:t>
      </w:r>
      <w:r>
        <w:t>Hallmark</w:t>
      </w:r>
      <w:r>
        <w:rPr>
          <w:rFonts w:hint="eastAsia"/>
          <w:lang w:eastAsia="zh-CN"/>
        </w:rPr>
        <w:t xml:space="preserve"> </w:t>
      </w:r>
      <w:r>
        <w:t>gene sets</w:t>
      </w:r>
      <w:r>
        <w:rPr>
          <w:rFonts w:hint="eastAsia"/>
          <w:lang w:eastAsia="zh-CN"/>
        </w:rPr>
        <w:t xml:space="preserve"> </w:t>
      </w:r>
      <w:r>
        <w:t>were</w:t>
      </w:r>
      <w:r>
        <w:rPr>
          <w:rFonts w:hint="eastAsia"/>
          <w:lang w:eastAsia="zh-CN"/>
        </w:rPr>
        <w:t xml:space="preserve"> </w:t>
      </w:r>
      <w:r>
        <w:t>obtained</w:t>
      </w:r>
      <w:r>
        <w:rPr>
          <w:rFonts w:hint="eastAsia"/>
          <w:lang w:eastAsia="zh-CN"/>
        </w:rPr>
        <w:t xml:space="preserve"> </w:t>
      </w:r>
      <w:r>
        <w:t>from</w:t>
      </w:r>
      <w:r>
        <w:rPr>
          <w:rFonts w:hint="eastAsia"/>
          <w:lang w:eastAsia="zh-CN"/>
        </w:rPr>
        <w:t xml:space="preserve"> </w:t>
      </w:r>
      <w:r>
        <w:t>the MSigDB</w:t>
      </w:r>
      <w:r>
        <w:rPr>
          <w:rFonts w:hint="eastAsia"/>
          <w:lang w:eastAsia="zh-CN"/>
        </w:rPr>
        <w:t xml:space="preserve"> </w:t>
      </w:r>
      <w:r>
        <w:t>database</w:t>
      </w:r>
      <w:r>
        <w:rPr>
          <w:rFonts w:hint="eastAsia"/>
          <w:lang w:eastAsia="zh-CN"/>
        </w:rPr>
        <w:t xml:space="preserve"> </w:t>
      </w:r>
      <w:r>
        <w:t>(https://www.gsea</w:t>
      </w:r>
      <w:r>
        <w:rPr>
          <w:rFonts w:hint="eastAsia"/>
          <w:lang w:eastAsia="zh-CN"/>
        </w:rPr>
        <w:t xml:space="preserve"> </w:t>
      </w:r>
      <w:r>
        <w:t>msigdb.org/gsea/msigdb/human/collections.jsp#H).</w:t>
      </w:r>
      <w:r>
        <w:rPr>
          <w:rFonts w:hint="eastAsia"/>
          <w:lang w:eastAsia="zh-CN"/>
        </w:rPr>
        <w:t xml:space="preserve"> </w:t>
      </w:r>
      <w:r>
        <w:t>Terms</w:t>
      </w:r>
      <w:r>
        <w:rPr>
          <w:rFonts w:hint="eastAsia"/>
          <w:lang w:eastAsia="zh-CN"/>
        </w:rPr>
        <w:t xml:space="preserve"> </w:t>
      </w:r>
      <w:r>
        <w:t>with</w:t>
      </w:r>
      <w:r>
        <w:rPr>
          <w:rFonts w:hint="eastAsia"/>
          <w:lang w:eastAsia="zh-CN"/>
        </w:rPr>
        <w:t xml:space="preserve"> </w:t>
      </w:r>
      <w:r>
        <w:t>|NES|</w:t>
      </w:r>
      <w:r>
        <w:rPr>
          <w:rFonts w:hint="eastAsia"/>
          <w:lang w:eastAsia="zh-CN"/>
        </w:rPr>
        <w:t xml:space="preserve"> </w:t>
      </w:r>
      <w:r>
        <w:t>&gt;1,</w:t>
      </w:r>
      <w:r>
        <w:rPr>
          <w:rFonts w:hint="eastAsia"/>
          <w:lang w:eastAsia="zh-CN"/>
        </w:rPr>
        <w:t xml:space="preserve"> </w:t>
      </w:r>
      <w:r>
        <w:rPr>
          <w:rFonts w:ascii="Times New Roman Italic" w:hAnsi="Times New Roman Italic" w:cs="Times New Roman Italic"/>
          <w:i/>
          <w:iCs/>
        </w:rPr>
        <w:t>p</w:t>
      </w:r>
      <w:r>
        <w:t>-value</w:t>
      </w:r>
      <w:r>
        <w:rPr>
          <w:rFonts w:hint="eastAsia"/>
          <w:lang w:eastAsia="zh-CN"/>
        </w:rPr>
        <w:t xml:space="preserve"> </w:t>
      </w:r>
      <w:r>
        <w:t>&lt;</w:t>
      </w:r>
      <w:r>
        <w:rPr>
          <w:rFonts w:hint="eastAsia"/>
          <w:lang w:eastAsia="zh-CN"/>
        </w:rPr>
        <w:t xml:space="preserve"> </w:t>
      </w:r>
      <w:r>
        <w:t>0.05,</w:t>
      </w:r>
      <w:r>
        <w:rPr>
          <w:rFonts w:hint="eastAsia"/>
          <w:lang w:eastAsia="zh-CN"/>
        </w:rPr>
        <w:t xml:space="preserve"> </w:t>
      </w:r>
      <w:r>
        <w:t>and</w:t>
      </w:r>
      <w:r>
        <w:rPr>
          <w:rFonts w:hint="eastAsia"/>
          <w:lang w:eastAsia="zh-CN"/>
        </w:rPr>
        <w:t xml:space="preserve"> </w:t>
      </w:r>
      <w:r>
        <w:t>FDR</w:t>
      </w:r>
      <w:r>
        <w:rPr>
          <w:rFonts w:hint="eastAsia"/>
          <w:lang w:eastAsia="zh-CN"/>
        </w:rPr>
        <w:t xml:space="preserve"> </w:t>
      </w:r>
      <w:r>
        <w:t>q-value</w:t>
      </w:r>
      <w:r>
        <w:rPr>
          <w:rFonts w:hint="eastAsia"/>
          <w:lang w:eastAsia="zh-CN"/>
        </w:rPr>
        <w:t xml:space="preserve"> </w:t>
      </w:r>
      <w:r>
        <w:t>&lt;</w:t>
      </w:r>
      <w:r>
        <w:rPr>
          <w:rFonts w:hint="eastAsia"/>
          <w:lang w:eastAsia="zh-CN"/>
        </w:rPr>
        <w:t xml:space="preserve"> </w:t>
      </w:r>
      <w:r>
        <w:t>0.1</w:t>
      </w:r>
      <w:r>
        <w:rPr>
          <w:rFonts w:hint="eastAsia"/>
          <w:lang w:eastAsia="zh-CN"/>
        </w:rPr>
        <w:t xml:space="preserve"> </w:t>
      </w:r>
      <w:r>
        <w:t>were considered significant.</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Oxeiptosis score</w:t>
      </w:r>
    </w:p>
    <w:p w:rsidR="00A76850" w:rsidRDefault="009A3451">
      <w:pPr>
        <w:pStyle w:val="SMText"/>
        <w:spacing w:line="360" w:lineRule="auto"/>
        <w:ind w:firstLine="0"/>
        <w:jc w:val="both"/>
      </w:pPr>
      <w:r>
        <w:t>We compared the activity (assessed via GSEA scores) of the Oxeiptosis biological process, which involves marker genes</w:t>
      </w:r>
      <w:r>
        <w:rPr>
          <w:rFonts w:hint="eastAsia"/>
          <w:lang w:eastAsia="zh-CN"/>
        </w:rPr>
        <w:t xml:space="preserve"> </w:t>
      </w:r>
      <w:r>
        <w:t>PGAM5, KEAP1, AIFM1, NRF2, and AIRE, among the different groups of TNBC. The statistical significance of the results was determined using the Wilcoxon rank sum test.</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Multiple immunofluorescence staining introduction</w:t>
      </w:r>
    </w:p>
    <w:p w:rsidR="00A76850" w:rsidRDefault="009A3451">
      <w:pPr>
        <w:pStyle w:val="SMText"/>
        <w:spacing w:line="360" w:lineRule="auto"/>
        <w:ind w:firstLine="0"/>
        <w:jc w:val="both"/>
      </w:pPr>
      <w:r>
        <w:t>To</w:t>
      </w:r>
      <w:r>
        <w:rPr>
          <w:rFonts w:hint="eastAsia"/>
          <w:lang w:eastAsia="zh-CN"/>
        </w:rPr>
        <w:t xml:space="preserve"> </w:t>
      </w:r>
      <w:r>
        <w:t>identify</w:t>
      </w:r>
      <w:r>
        <w:rPr>
          <w:rFonts w:hint="eastAsia"/>
          <w:lang w:eastAsia="zh-CN"/>
        </w:rPr>
        <w:t xml:space="preserve"> </w:t>
      </w:r>
      <w:r>
        <w:t>specific</w:t>
      </w:r>
      <w:r>
        <w:rPr>
          <w:rFonts w:hint="eastAsia"/>
          <w:lang w:eastAsia="zh-CN"/>
        </w:rPr>
        <w:t xml:space="preserve"> </w:t>
      </w:r>
      <w:r>
        <w:t>cell</w:t>
      </w:r>
      <w:r>
        <w:rPr>
          <w:rFonts w:hint="eastAsia"/>
          <w:lang w:eastAsia="zh-CN"/>
        </w:rPr>
        <w:t xml:space="preserve"> </w:t>
      </w:r>
      <w:r>
        <w:t>subsets</w:t>
      </w:r>
      <w:r>
        <w:rPr>
          <w:rFonts w:hint="eastAsia"/>
          <w:lang w:eastAsia="zh-CN"/>
        </w:rPr>
        <w:t xml:space="preserve"> </w:t>
      </w:r>
      <w:r>
        <w:t>within</w:t>
      </w:r>
      <w:r>
        <w:rPr>
          <w:rFonts w:hint="eastAsia"/>
          <w:lang w:eastAsia="zh-CN"/>
        </w:rPr>
        <w:t xml:space="preserve"> </w:t>
      </w:r>
      <w:r>
        <w:t>the</w:t>
      </w:r>
      <w:r>
        <w:rPr>
          <w:rFonts w:hint="eastAsia"/>
          <w:lang w:eastAsia="zh-CN"/>
        </w:rPr>
        <w:t xml:space="preserve"> </w:t>
      </w:r>
      <w:r>
        <w:t>tumor</w:t>
      </w:r>
      <w:r>
        <w:rPr>
          <w:rFonts w:hint="eastAsia"/>
          <w:lang w:eastAsia="zh-CN"/>
        </w:rPr>
        <w:t xml:space="preserve"> </w:t>
      </w:r>
      <w:r>
        <w:t>microenvironment</w:t>
      </w:r>
      <w:r>
        <w:rPr>
          <w:rFonts w:hint="eastAsia"/>
          <w:lang w:eastAsia="zh-CN"/>
        </w:rPr>
        <w:t xml:space="preserve"> </w:t>
      </w:r>
      <w:r>
        <w:t>(TME),</w:t>
      </w:r>
      <w:r>
        <w:rPr>
          <w:rFonts w:hint="eastAsia"/>
          <w:lang w:eastAsia="zh-CN"/>
        </w:rPr>
        <w:t xml:space="preserve"> </w:t>
      </w:r>
      <w:r>
        <w:t>we employ a multiplex immunofluorescence (mIF) staining technique using the PANO 7-plex IHC kit (Cat. No. 0004100100, Panovue, Beijing, China)</w:t>
      </w:r>
      <w:r>
        <w:rPr>
          <w:vertAlign w:val="superscript"/>
        </w:rPr>
        <w:fldChar w:fldCharType="begin"/>
      </w:r>
      <w:r>
        <w:rPr>
          <w:vertAlign w:val="superscript"/>
        </w:rPr>
        <w:instrText xml:space="preserve"> ADDIN ZOTERO_ITEM CSL_CITATION {"citationID":"Eu97e2Qz","properties":{"formattedCitation":"\\super 4\\uc0\\u8211{}6\\nosupersub{}","plainCitation":"4–6","noteIndex":0},"citationItems":[{"id":581,"uris":["http://zotero.org/users/13286093/items/ENY2NINM"],"itemData":{"id":581,"type":"article-journal","abstract":"Hepatocellular carcinoma (HCC) has high relapse and low 5-year survival rates. Single-cell profiling in relapsed HCC may aid in the design of effective anticancer therapies, including immunotherapies. We profiled the transcriptomes of </w:instrText>
      </w:r>
      <w:r>
        <w:rPr>
          <w:rFonts w:ascii="Cambria Math" w:hAnsi="Cambria Math" w:cs="Cambria Math"/>
          <w:vertAlign w:val="superscript"/>
        </w:rPr>
        <w:instrText>∼</w:instrText>
      </w:r>
      <w:r>
        <w:rPr>
          <w:vertAlign w:val="superscript"/>
        </w:rPr>
        <w:instrText xml:space="preserve">17,000 cells from 18 primary or early-relapse HCC cases. Early-relapse tumors have reduced levels of regulatory T cells, increased dendritic cells (DCs), and increased infiltrated CD8+ T cells, compared with primary tumors, in two independent cohorts. Remarkably, CD8+ T cells in recurrent tumors overexpressed KLRB1 (CD161) and displayed an innate-like low cytotoxic state, with low clonal expansion, unlike the classical exhausted state observed in primary HCC. The enrichment of these cells was associated with a worse prognosis. Differential gene expression and interaction analyses revealed potential immune evasion mechanisms in recurrent tumor cells that dampen DC antigen presentation and recruit innate-like CD8+ T cells. Our comprehensive picture of the HCC ecosystem provides deeper insights into immune evasion mechanisms associated with tumor relapse.","container-title":"Cell","DOI":"10.1016/j.cell.2020.11.041","ISSN":"1097-4172","issue":"2","journalAbbreviation":"Cell","language":"eng","note":"PMID: 33357445","page":"404-421.e16","source":"PubMed","title":"Single-cell landscape of the ecosystem in early-relapse hepatocellular carcinoma","volume":"184","author":[{"family":"Sun","given":"Yunfan"},{"family":"Wu","given":"Liang"},{"family":"Zhong","given":"Yu"},{"family":"Zhou","given":"Kaiqian"},{"family":"Hou","given":"Yong"},{"family":"Wang","given":"Zifei"},{"family":"Zhang","given":"Zefan"},{"family":"Xie","given":"Jiarui"},{"family":"Wang","given":"Chunqing"},{"family":"Chen","given":"Dandan"},{"family":"Huang","given":"Yaling"},{"family":"Wei","given":"Xiaochan"},{"family":"Shi","given":"Yinghong"},{"family":"Zhao","given":"Zhikun"},{"family":"Li","given":"Yuehua"},{"family":"Guo","given":"Ziwei"},{"family":"Yu","given":"Qichao"},{"family":"Xu","given":"Liqin"},{"family":"Volpe","given":"Giacomo"},{"family":"Qiu","given":"Shuangjian"},{"family":"Zhou","given":"Jian"},{"family":"Ward","given":"Carl"},{"family":"Sun","given":"Huichuan"},{"family":"Yin","given":"Ye"},{"family":"Xu","given":"Xun"},{"family":"Wang","given":"Xiangdong"},{"family":"Esteban","given":"Miguel A."},{"family":"Yang","given":"Huanming"},{"family":"Wang","given":"Jian"},{"family":"Dean","given":"Michael"},{"family":"Zhang","given":"Yaguang"},{"family":"Liu","given":"Shiping"},{"family":"Yang","given":"Xinrong"},{"family":"Fan","given":"Jia"}],"issued":{"date-parts":[["2021",1,21]]}},"label":"page"},{"id":587,"uris":["http://zotero.org/users/13286093/items/MP8S8XPP"],"itemData":{"id":587,"type":"article-journal","abstract":"OBJECTIVE: A comprehensive immune landscape for HBV infection is pivotal to achieve HBV cure.\nDESIGN: We performed single-cell RNA sequencing of 2 43 000 cells from 46 paired liver and blood samples of 23 individuals, including six immune tolerant, 5 immune active (IA), 3 acute recovery (AR), 3 chronic resolved and 6 HBV-free healthy controls (HCs). Flow cytometry and histological assays were applied in a second HBV cohort for validation.\nRESULTS: Both IA and AR were characterised by high levels of intrahepatic exhausted CD8+ T (Tex) cells. In IA, Tex cells were mainly derived from liver-resident GZMK+ effector memory T cells and self-expansion. By contrast, peripheral CX3CR1+ effector T cells and GZMK+ effector memory T cells were the main source of Tex cells in AR. In IA but not AR, significant cell-cell interactions were observed between Tex cells and regulatory CD4+ T cells, as well as between Tex and FCGR3A+ macrophages. Such interactions were potentially mediated through human leukocyte antigen class I molecules together with their receptors CANX and LILRBs, respectively, contributing to the dysfunction of antiviral immune responses. By contrast, CX3CR1+GNLY+ central memory CD8+ T cells were concurrently expanded in both liver and blood of AR, providing a potential surrogate marker for viral resolution. In clinic, intrahepatic Tex cells were positively correlated with serum alanine aminotransferase levels and histological grading scores.\nCONCLUSION: Our study dissects the coordinated immune responses for different HBV infection phases and provides a rich resource for fully understanding immunopathogenesis and developing effective therapeutic strategies.","container-title":"Gut","DOI":"10.1136/gutjnl-2021-325915","ISSN":"1468-3288","issue":"1","journalAbbreviation":"Gut","language":"eng","note":"PMID: 35361683\nPMCID: PMC9763233","page":"153-167","source":"PubMed","title":"Single-cell RNA sequencing reveals intrahepatic and peripheral immune characteristics related to disease phases in HBV-infected patients","volume":"72","author":[{"family":"Zhang","given":"Chao"},{"family":"Li","given":"Jiesheng"},{"family":"Cheng","given":"Yongqian"},{"family":"Meng","given":"Fanping"},{"family":"Song","given":"Jin-Wen"},{"family":"Fan","given":"Xing"},{"family":"Fan","given":"Hongtao"},{"family":"Li","given":"Jing"},{"family":"Fu","given":"Yu-Long"},{"family":"Zhou","given":"Ming-Ju"},{"family":"Hu","given":"Wei"},{"family":"Wang","given":"Si-Yu"},{"family":"Fu","given":"Yuan-Jie"},{"family":"Zhang","given":"Ji-Yuan"},{"family":"Xu","given":"Ruo-Nan"},{"family":"Shi","given":"Ming"},{"family":"Hu","given":"Xueda"},{"family":"Zhang","given":"Zemin"},{"family":"Ren","given":"Xianwen"},{"family":"Wang","given":"Fu-Sheng"}],"issued":{"date-parts":[["2023",1]]}},"label":"page"},{"id":584,"uris":["http://zotero.org/users/13286093/items/NK982NLJ"],"itemData":{"id":584,"type":"article-journal","abstract":"Nasopharyngeal carcinoma (NPC) is an aggressive malignancy with extremely skewed ethnic and geographic distributions. Increasing evidence indicates that targeting the tumor microenvironment (TME) represents a promising therapeutic approach in NPC, highlighting an urgent need to deepen the understanding of the complex NPC TME. Here, we generated single-cell transcriptome profiles for 7581 malignant cells and 40,285 immune cells from fifteen primary NPC tumors and one normal sample. We revealed malignant signatures capturing intratumoral transcriptional heterogeneity and predicting aggressiveness of malignant cells. Diverse immune cell subtypes were identified, including novel subtypes such as CLEC9A+ dendritic cells (DCs). We further revealed transcriptional regulators underlying immune cell diversity, and cell-cell interaction analyses highlighted promising immunotherapeutic targets in NPC. Moreover, we established the immune subtype-specific signatures, and demonstrated that the signatures of macrophages, plasmacytoid dendritic cells (pDCs), CLEC9A+ DCs, natural killer (NK) cells, and plasma cells were significantly associated with improved survival outcomes in NPC. Taken together, our findings represent a unique resource providing in-depth insights into the cellular heterogeneity of NPC TME and highlight potential biomarkers for anticancer treatment and risk stratification, laying a new foundation for precision therapies in NPC.","container-title":"Cell Research","DOI":"10.1038/s41422-020-0374-x","ISSN":"1748-7838","issue":"11","journalAbbreviation":"Cell Res","language":"eng","note":"PMID: 32686767\nPMCID: PMC7784929","page":"1024-1042","source":"PubMed","title":"Single-cell transcriptomics reveals regulators underlying immune cell diversity and immune subtypes associated with prognosis in nasopharyngeal carcinoma","volume":"30","author":[{"family":"Chen","given":"Yu-Pei"},{"family":"Yin","given":"Jian-Hua"},{"family":"Li","given":"Wen-Fei"},{"family":"Li","given":"Han-Jie"},{"family":"Chen","given":"Dong-Ping"},{"family":"Zhang","given":"Cui-Juan"},{"family":"Lv","given":"Jia-Wei"},{"family":"Wang","given":"Ya-Qin"},{"family":"Li","given":"Xiao-Min"},{"family":"Li","given":"Jun-Yan"},{"family":"Zhang","given":"Pan-Pan"},{"family":"Li","given":"Ying-Qin"},{"family":"He","given":"Qing-Mei"},{"family":"Yang","given":"Xiao-Jing"},{"family":"Lei","given":"Yuan"},{"family":"Tang","given":"Ling-Long"},{"family":"Zhou","given":"Guan-Qun"},{"family":"Mao","given":"Yan-Ping"},{"family":"Wei","given":"Chen"},{"family":"Xiong","given":"Ke-Xu"},{"family":"Zhang","given":"Hong-Bo"},{"family":"Zhu","given":"Shi-Da"},{"family":"Hou","given":"Yong"},{"family":"Sun","given":"Ying"},{"family":"Dean","given":"Michael"},{"family":"Amit","given":"Ido"},{"family":"Wu","given":"Kui"},{"family":"Kuang","given":"Dong-Ming"},{"family":"Li","given":"Gui-Bo"},{"family":"Liu","given":"Na"},{"family":"Ma","given":"Jun"}],"issued":{"date-parts":[["2020",11]]}},"label":"page"}],"schema":"https://github.com/citation-style-language/schema/raw/master/csl-citation.json"} </w:instrText>
      </w:r>
      <w:r>
        <w:rPr>
          <w:vertAlign w:val="superscript"/>
        </w:rPr>
        <w:fldChar w:fldCharType="separate"/>
      </w:r>
      <w:r>
        <w:rPr>
          <w:szCs w:val="24"/>
          <w:vertAlign w:val="superscript"/>
        </w:rPr>
        <w:t>4–6</w:t>
      </w:r>
      <w:r>
        <w:rPr>
          <w:vertAlign w:val="superscript"/>
        </w:rPr>
        <w:fldChar w:fldCharType="end"/>
      </w:r>
      <w:r>
        <w:t>. This method</w:t>
      </w:r>
      <w:r>
        <w:rPr>
          <w:rFonts w:hint="eastAsia"/>
          <w:lang w:eastAsia="zh-CN"/>
        </w:rPr>
        <w:t xml:space="preserve"> </w:t>
      </w:r>
      <w:r>
        <w:t>involves</w:t>
      </w:r>
      <w:r>
        <w:rPr>
          <w:rFonts w:hint="eastAsia"/>
          <w:lang w:eastAsia="zh-CN"/>
        </w:rPr>
        <w:t xml:space="preserve"> </w:t>
      </w:r>
      <w:r>
        <w:t>the</w:t>
      </w:r>
      <w:r>
        <w:rPr>
          <w:rFonts w:hint="eastAsia"/>
          <w:lang w:eastAsia="zh-CN"/>
        </w:rPr>
        <w:t xml:space="preserve"> </w:t>
      </w:r>
      <w:r>
        <w:t>sequential</w:t>
      </w:r>
      <w:r>
        <w:rPr>
          <w:rFonts w:hint="eastAsia"/>
          <w:lang w:eastAsia="zh-CN"/>
        </w:rPr>
        <w:t xml:space="preserve"> </w:t>
      </w:r>
      <w:r>
        <w:t>application</w:t>
      </w:r>
      <w:r>
        <w:rPr>
          <w:rFonts w:hint="eastAsia"/>
          <w:lang w:eastAsia="zh-CN"/>
        </w:rPr>
        <w:t xml:space="preserve"> </w:t>
      </w:r>
      <w:r>
        <w:t>of</w:t>
      </w:r>
      <w:r>
        <w:rPr>
          <w:rFonts w:hint="eastAsia"/>
          <w:lang w:eastAsia="zh-CN"/>
        </w:rPr>
        <w:t xml:space="preserve"> </w:t>
      </w:r>
      <w:r>
        <w:t>different</w:t>
      </w:r>
      <w:r>
        <w:rPr>
          <w:rFonts w:hint="eastAsia"/>
          <w:lang w:eastAsia="zh-CN"/>
        </w:rPr>
        <w:t xml:space="preserve"> </w:t>
      </w:r>
      <w:r>
        <w:t>primary</w:t>
      </w:r>
      <w:r>
        <w:rPr>
          <w:rFonts w:hint="eastAsia"/>
          <w:lang w:eastAsia="zh-CN"/>
        </w:rPr>
        <w:t xml:space="preserve"> </w:t>
      </w:r>
      <w:r>
        <w:t>antibodies,</w:t>
      </w:r>
      <w:r>
        <w:rPr>
          <w:rFonts w:hint="eastAsia"/>
          <w:lang w:eastAsia="zh-CN"/>
        </w:rPr>
        <w:t xml:space="preserve"> </w:t>
      </w:r>
      <w:r>
        <w:t>followed</w:t>
      </w:r>
      <w:r>
        <w:rPr>
          <w:rFonts w:hint="eastAsia"/>
          <w:lang w:eastAsia="zh-CN"/>
        </w:rPr>
        <w:t xml:space="preserve"> </w:t>
      </w:r>
      <w:r>
        <w:t>by incubation</w:t>
      </w:r>
      <w:r>
        <w:rPr>
          <w:rFonts w:hint="eastAsia"/>
          <w:lang w:eastAsia="zh-CN"/>
        </w:rPr>
        <w:t xml:space="preserve"> </w:t>
      </w:r>
      <w:r>
        <w:t>with</w:t>
      </w:r>
      <w:r>
        <w:rPr>
          <w:rFonts w:hint="eastAsia"/>
          <w:lang w:eastAsia="zh-CN"/>
        </w:rPr>
        <w:t xml:space="preserve"> </w:t>
      </w:r>
      <w:r>
        <w:t>horseradish</w:t>
      </w:r>
      <w:r>
        <w:rPr>
          <w:rFonts w:hint="eastAsia"/>
          <w:lang w:eastAsia="zh-CN"/>
        </w:rPr>
        <w:t xml:space="preserve"> </w:t>
      </w:r>
      <w:r>
        <w:t>peroxidase-conjugated</w:t>
      </w:r>
      <w:r>
        <w:rPr>
          <w:rFonts w:hint="eastAsia"/>
          <w:lang w:eastAsia="zh-CN"/>
        </w:rPr>
        <w:t xml:space="preserve"> </w:t>
      </w:r>
      <w:r>
        <w:t>secondary</w:t>
      </w:r>
      <w:r>
        <w:rPr>
          <w:rFonts w:hint="eastAsia"/>
          <w:lang w:eastAsia="zh-CN"/>
        </w:rPr>
        <w:t xml:space="preserve"> </w:t>
      </w:r>
      <w:r>
        <w:t>antibodies</w:t>
      </w:r>
      <w:r>
        <w:rPr>
          <w:rFonts w:hint="eastAsia"/>
          <w:lang w:eastAsia="zh-CN"/>
        </w:rPr>
        <w:t xml:space="preserve"> </w:t>
      </w:r>
      <w:r>
        <w:t>and tyramide signal amplification (TSA). Microwave treatment is performed on the slides after each TSA step to enhance signal intensity. Finally, nuclei are counterstained with 4',6-diamidino-2-phenylindole (DAPI, Sigma-Aldrich) following the labeling of all</w:t>
      </w:r>
      <w:r>
        <w:rPr>
          <w:rFonts w:hint="eastAsia"/>
          <w:lang w:eastAsia="zh-CN"/>
        </w:rPr>
        <w:t xml:space="preserve"> </w:t>
      </w:r>
      <w:r>
        <w:t>human</w:t>
      </w:r>
      <w:r>
        <w:rPr>
          <w:rFonts w:hint="eastAsia"/>
          <w:lang w:eastAsia="zh-CN"/>
        </w:rPr>
        <w:t xml:space="preserve"> </w:t>
      </w:r>
      <w:r>
        <w:t>antigens</w:t>
      </w:r>
      <w:r>
        <w:rPr>
          <w:vertAlign w:val="superscript"/>
        </w:rPr>
        <w:fldChar w:fldCharType="begin"/>
      </w:r>
      <w:r>
        <w:rPr>
          <w:vertAlign w:val="superscript"/>
        </w:rPr>
        <w:instrText xml:space="preserve"> ADDIN ZOTERO_ITEM CSL_CITATION {"citationID":"DvhjU7OK","properties":{"formattedCitation":"\\super 4\\uc0\\u8211{}6\\nosupersub{}","plainCitation":"4–6","noteIndex":0},"citationItems":[{"id":581,"uris":["http://zotero.org/users/13286093/items/ENY2NINM"],"itemData":{"id":581,"type":"article-journal","abstract":"Hepatocellular carcinoma (HCC) has high relapse and low 5-year survival rates. Single-cell profiling in relapsed HCC may aid in the design of effective anticancer therapies, including immunotherapies. We profiled the transcriptomes of </w:instrText>
      </w:r>
      <w:r>
        <w:rPr>
          <w:rFonts w:ascii="Cambria Math" w:hAnsi="Cambria Math" w:cs="Cambria Math"/>
          <w:vertAlign w:val="superscript"/>
        </w:rPr>
        <w:instrText>∼</w:instrText>
      </w:r>
      <w:r>
        <w:rPr>
          <w:vertAlign w:val="superscript"/>
        </w:rPr>
        <w:instrText xml:space="preserve">17,000 cells from 18 primary or early-relapse HCC cases. Early-relapse tumors have reduced levels of regulatory T cells, increased dendritic cells (DCs), and increased infiltrated CD8+ T cells, compared with primary tumors, in two independent cohorts. Remarkably, CD8+ T cells in recurrent tumors overexpressed KLRB1 (CD161) and displayed an innate-like low cytotoxic state, with low clonal expansion, unlike the classical exhausted state observed in primary HCC. The enrichment of these cells was associated with a worse prognosis. Differential gene expression and interaction analyses revealed potential immune evasion mechanisms in recurrent tumor cells that dampen DC antigen presentation and recruit innate-like CD8+ T cells. Our comprehensive picture of the HCC ecosystem provides deeper insights into immune evasion mechanisms associated with tumor relapse.","container-title":"Cell","DOI":"10.1016/j.cell.2020.11.041","ISSN":"1097-4172","issue":"2","journalAbbreviation":"Cell","language":"eng","note":"PMID: 33357445","page":"404-421.e16","source":"PubMed","title":"Single-cell landscape of the ecosystem in early-relapse hepatocellular carcinoma","volume":"184","author":[{"family":"Sun","given":"Yunfan"},{"family":"Wu","given":"Liang"},{"family":"Zhong","given":"Yu"},{"family":"Zhou","given":"Kaiqian"},{"family":"Hou","given":"Yong"},{"family":"Wang","given":"Zifei"},{"family":"Zhang","given":"Zefan"},{"family":"Xie","given":"Jiarui"},{"family":"Wang","given":"Chunqing"},{"family":"Chen","given":"Dandan"},{"family":"Huang","given":"Yaling"},{"family":"Wei","given":"Xiaochan"},{"family":"Shi","given":"Yinghong"},{"family":"Zhao","given":"Zhikun"},{"family":"Li","given":"Yuehua"},{"family":"Guo","given":"Ziwei"},{"family":"Yu","given":"Qichao"},{"family":"Xu","given":"Liqin"},{"family":"Volpe","given":"Giacomo"},{"family":"Qiu","given":"Shuangjian"},{"family":"Zhou","given":"Jian"},{"family":"Ward","given":"Carl"},{"family":"Sun","given":"Huichuan"},{"family":"Yin","given":"Ye"},{"family":"Xu","given":"Xun"},{"family":"Wang","given":"Xiangdong"},{"family":"Esteban","given":"Miguel A."},{"family":"Yang","given":"Huanming"},{"family":"Wang","given":"Jian"},{"family":"Dean","given":"Michael"},{"family":"Zhang","given":"Yaguang"},{"family":"Liu","given":"Shiping"},{"family":"Yang","given":"Xinrong"},{"family":"Fan","given":"Jia"}],"issued":{"date-parts":[["2021",1,21]]}},"label":"page"},{"id":587,"uris":["http://zotero.org/users/13286093/items/MP8S8XPP"],"itemData":{"id":587,"type":"article-journal","abstract":"OBJECTIVE: A comprehensive immune landscape for HBV infection is pivotal to achieve HBV cure.\nDESIGN: We performed single-cell RNA sequencing of 2 43 000 cells from 46 paired liver and blood samples of 23 individuals, including six immune tolerant, 5 immune active (IA), 3 acute recovery (AR), 3 chronic resolved and 6 HBV-free healthy controls (HCs). Flow cytometry and histological assays were applied in a second HBV cohort for validation.\nRESULTS: Both IA and AR were characterised by high levels of intrahepatic exhausted CD8+ T (Tex) cells. In IA, Tex cells were mainly derived from liver-resident GZMK+ effector memory T cells and self-expansion. By contrast, peripheral CX3CR1+ effector T cells and GZMK+ effector memory T cells were the main source of Tex cells in AR. In IA but not AR, significant cell-cell interactions were observed between Tex cells and regulatory CD4+ T cells, as well as between Tex and FCGR3A+ macrophages. Such interactions were potentially mediated through human leukocyte antigen class I molecules together with their receptors CANX and LILRBs, respectively, contributing to the dysfunction of antiviral immune responses. By contrast, CX3CR1+GNLY+ central memory CD8+ T cells were concurrently expanded in both liver and blood of AR, providing a potential surrogate marker for viral resolution. In clinic, intrahepatic Tex cells were positively correlated with serum alanine aminotransferase levels and histological grading scores.\nCONCLUSION: Our study dissects the coordinated immune responses for different HBV infection phases and provides a rich resource for fully understanding immunopathogenesis and developing effective therapeutic strategies.","container-title":"Gut","DOI":"10.1136/gutjnl-2021-325915","ISSN":"1468-3288","issue":"1","journalAbbreviation":"Gut","language":"eng","note":"PMID: 35361683\nPMCID: PMC9763233","page":"153-167","source":"PubMed","title":"Single-cell RNA sequencing reveals intrahepatic and peripheral immune characteristics related to disease phases in HBV-infected patients","volume":"72","author":[{"family":"Zhang","given":"Chao"},{"family":"Li","given":"Jiesheng"},{"family":"Cheng","given":"Yongqian"},{"family":"Meng","given":"Fanping"},{"family":"Song","given":"Jin-Wen"},{"family":"Fan","given":"Xing"},{"family":"Fan","given":"Hongtao"},{"family":"Li","given":"Jing"},{"family":"Fu","given":"Yu-Long"},{"family":"Zhou","given":"Ming-Ju"},{"family":"Hu","given":"Wei"},{"family":"Wang","given":"Si-Yu"},{"family":"Fu","given":"Yuan-Jie"},{"family":"Zhang","given":"Ji-Yuan"},{"family":"Xu","given":"Ruo-Nan"},{"family":"Shi","given":"Ming"},{"family":"Hu","given":"Xueda"},{"family":"Zhang","given":"Zemin"},{"family":"Ren","given":"Xianwen"},{"family":"Wang","given":"Fu-Sheng"}],"issued":{"date-parts":[["2023",1]]}},"label":"page"},{"id":584,"uris":["http://zotero.org/users/13286093/items/NK982NLJ"],"itemData":{"id":584,"type":"article-journal","abstract":"Nasopharyngeal carcinoma (NPC) is an aggressive malignancy with extremely skewed ethnic and geographic distributions. Increasing evidence indicates that targeting the tumor microenvironment (TME) represents a promising therapeutic approach in NPC, highlighting an urgent need to deepen the understanding of the complex NPC TME. Here, we generated single-cell transcriptome profiles for 7581 malignant cells and 40,285 immune cells from fifteen primary NPC tumors and one normal sample. We revealed malignant signatures capturing intratumoral transcriptional heterogeneity and predicting aggressiveness of malignant cells. Diverse immune cell subtypes were identified, including novel subtypes such as CLEC9A+ dendritic cells (DCs). We further revealed transcriptional regulators underlying immune cell diversity, and cell-cell interaction analyses highlighted promising immunotherapeutic targets in NPC. Moreover, we established the immune subtype-specific signatures, and demonstrated that the signatures of macrophages, plasmacytoid dendritic cells (pDCs), CLEC9A+ DCs, natural killer (NK) cells, and plasma cells were significantly associated with improved survival outcomes in NPC. Taken together, our findings represent a unique resource providing in-depth insights into the cellular heterogeneity of NPC TME and highlight potential biomarkers for anticancer treatment and risk stratification, laying a new foundation for precision therapies in NPC.","container-title":"Cell Research","DOI":"10.1038/s41422-020-0374-x","ISSN":"1748-7838","issue":"11","journalAbbreviation":"Cell Res","language":"eng","note":"PMID: 32686767\nPMCID: PMC7784929","page":"1024-1042","source":"PubMed","title":"Single-cell transcriptomics reveals regulators underlying immune cell diversity and immune subtypes associated with prognosis in nasopharyngeal carcinoma","volume":"30","author":[{"family":"Chen","given":"Yu-Pei"},{"family":"Yin","given":"Jian-Hua"},{"family":"Li","given":"Wen-Fei"},{"family":"Li","given":"Han-Jie"},{"family":"Chen","given":"Dong-Ping"},{"family":"Zhang","given":"Cui-Juan"},{"family":"Lv","given":"Jia-Wei"},{"family":"Wang","given":"Ya-Qin"},{"family":"Li","given":"Xiao-Min"},{"family":"Li","given":"Jun-Yan"},{"family":"Zhang","given":"Pan-Pan"},{"family":"Li","given":"Ying-Qin"},{"family":"He","given":"Qing-Mei"},{"family":"Yang","given":"Xiao-Jing"},{"family":"Lei","given":"Yuan"},{"family":"Tang","given":"Ling-Long"},{"family":"Zhou","given":"Guan-Qun"},{"family":"Mao","given":"Yan-Ping"},{"family":"Wei","given":"Chen"},{"family":"Xiong","given":"Ke-Xu"},{"family":"Zhang","given":"Hong-Bo"},{"family":"Zhu","given":"Shi-Da"},{"family":"Hou","given":"Yong"},{"family":"Sun","given":"Ying"},{"family":"Dean","given":"Michael"},{"family":"Amit","given":"Ido"},{"family":"Wu","given":"Kui"},{"family":"Kuang","given":"Dong-Ming"},{"family":"Li","given":"Gui-Bo"},{"family":"Liu","given":"Na"},{"family":"Ma","given":"Jun"}],"issued":{"date-parts":[["2020",11]]}},"label":"page"}],"schema":"https://github.com/citation-style-language/schema/raw/master/csl-citation.json"} </w:instrText>
      </w:r>
      <w:r>
        <w:rPr>
          <w:vertAlign w:val="superscript"/>
        </w:rPr>
        <w:fldChar w:fldCharType="separate"/>
      </w:r>
      <w:r>
        <w:rPr>
          <w:szCs w:val="24"/>
          <w:vertAlign w:val="superscript"/>
        </w:rPr>
        <w:t>4–6</w:t>
      </w:r>
      <w:r>
        <w:rPr>
          <w:vertAlign w:val="superscript"/>
        </w:rPr>
        <w:fldChar w:fldCharType="end"/>
      </w:r>
      <w:r>
        <w:t>.</w:t>
      </w:r>
      <w:r>
        <w:rPr>
          <w:rFonts w:hint="eastAsia"/>
          <w:lang w:eastAsia="zh-CN"/>
        </w:rPr>
        <w:t xml:space="preserve"> </w:t>
      </w:r>
      <w:r>
        <w:t>Panel</w:t>
      </w:r>
      <w:r>
        <w:rPr>
          <w:rFonts w:hint="eastAsia"/>
          <w:lang w:eastAsia="zh-CN"/>
        </w:rPr>
        <w:t xml:space="preserve"> </w:t>
      </w:r>
      <w:r>
        <w:t>contained</w:t>
      </w:r>
      <w:r>
        <w:rPr>
          <w:rFonts w:hint="eastAsia"/>
          <w:lang w:eastAsia="zh-CN"/>
        </w:rPr>
        <w:t xml:space="preserve"> </w:t>
      </w:r>
      <w:r>
        <w:t>antibodies</w:t>
      </w:r>
      <w:r>
        <w:rPr>
          <w:rFonts w:hint="eastAsia"/>
          <w:lang w:eastAsia="zh-CN"/>
        </w:rPr>
        <w:t xml:space="preserve"> </w:t>
      </w:r>
      <w:r>
        <w:t>against</w:t>
      </w:r>
      <w:r>
        <w:rPr>
          <w:rFonts w:hint="eastAsia"/>
          <w:lang w:eastAsia="zh-CN"/>
        </w:rPr>
        <w:t xml:space="preserve"> </w:t>
      </w:r>
      <w:r>
        <w:t>CD8,</w:t>
      </w:r>
      <w:r>
        <w:rPr>
          <w:rFonts w:hint="eastAsia"/>
          <w:lang w:eastAsia="zh-CN"/>
        </w:rPr>
        <w:t xml:space="preserve"> </w:t>
      </w:r>
      <w:r>
        <w:t>PD-L1,</w:t>
      </w:r>
      <w:r>
        <w:rPr>
          <w:rFonts w:hint="eastAsia"/>
          <w:lang w:eastAsia="zh-CN"/>
        </w:rPr>
        <w:t xml:space="preserve"> </w:t>
      </w:r>
      <w:r>
        <w:t>CD56, FOXP3, CD31, and PANCK.</w:t>
      </w:r>
    </w:p>
    <w:p w:rsidR="00A76850" w:rsidRDefault="00A76850">
      <w:pPr>
        <w:pStyle w:val="SMText"/>
        <w:spacing w:line="360" w:lineRule="auto"/>
        <w:ind w:firstLine="0"/>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t>Imaging analysis introduction</w:t>
      </w:r>
    </w:p>
    <w:p w:rsidR="00A76850" w:rsidRDefault="009A3451">
      <w:pPr>
        <w:pStyle w:val="SMText"/>
        <w:spacing w:line="360" w:lineRule="auto"/>
        <w:ind w:firstLine="0"/>
        <w:jc w:val="both"/>
      </w:pPr>
      <w:r>
        <w:t>Fluorescent whole-slide scanning is conducted using an Olympus VS200</w:t>
      </w:r>
      <w:r>
        <w:rPr>
          <w:rFonts w:hint="eastAsia"/>
          <w:lang w:eastAsia="zh-CN"/>
        </w:rPr>
        <w:t xml:space="preserve"> </w:t>
      </w:r>
      <w:r>
        <w:t>scanner (Olympus Germany) equipped with an Olympus UPLXAPO 20x objective lens. The fluorescence images of the entire slide are then analyzed using OuPath software.</w:t>
      </w:r>
    </w:p>
    <w:p w:rsidR="00A76850" w:rsidRDefault="00A76850">
      <w:pPr>
        <w:pStyle w:val="SMText"/>
        <w:spacing w:line="360" w:lineRule="auto"/>
        <w:ind w:firstLine="0"/>
        <w:rPr>
          <w:rFonts w:ascii="Times New Roman Bold" w:hAnsi="Times New Roman Bold" w:cs="Times New Roman Bold"/>
          <w:b/>
          <w:bCs/>
        </w:rPr>
      </w:pPr>
    </w:p>
    <w:p w:rsidR="00A76850" w:rsidRDefault="009A3451">
      <w:pPr>
        <w:pStyle w:val="SMText"/>
        <w:spacing w:line="360" w:lineRule="auto"/>
        <w:ind w:firstLine="0"/>
        <w:rPr>
          <w:rFonts w:ascii="Times New Roman Bold" w:hAnsi="Times New Roman Bold" w:cs="Times New Roman Bold"/>
          <w:b/>
          <w:bCs/>
        </w:rPr>
      </w:pPr>
      <w:r>
        <w:rPr>
          <w:rFonts w:ascii="Times New Roman Bold" w:hAnsi="Times New Roman Bold" w:cs="Times New Roman Bold"/>
          <w:b/>
          <w:bCs/>
        </w:rPr>
        <w:lastRenderedPageBreak/>
        <w:t>Statistical Analysis</w:t>
      </w:r>
    </w:p>
    <w:p w:rsidR="00A76850" w:rsidRDefault="009A3451">
      <w:pPr>
        <w:pStyle w:val="SMText"/>
        <w:spacing w:line="360" w:lineRule="auto"/>
        <w:ind w:firstLine="0"/>
        <w:jc w:val="both"/>
      </w:pPr>
      <w:r>
        <w:t>The differences in continuous variables between the two groups were assessed using the Wilcoxon rank sum test. All statistical tests were conducted as two-sided, and results</w:t>
      </w:r>
      <w:r>
        <w:rPr>
          <w:rFonts w:hint="eastAsia"/>
          <w:lang w:eastAsia="zh-CN"/>
        </w:rPr>
        <w:t xml:space="preserve"> </w:t>
      </w:r>
      <w:r>
        <w:t>with</w:t>
      </w:r>
      <w:r>
        <w:rPr>
          <w:rFonts w:hint="eastAsia"/>
          <w:lang w:eastAsia="zh-CN"/>
        </w:rPr>
        <w:t xml:space="preserve"> </w:t>
      </w:r>
      <w:r>
        <w:t>a</w:t>
      </w:r>
      <w:r>
        <w:rPr>
          <w:rFonts w:hint="eastAsia"/>
          <w:lang w:eastAsia="zh-CN"/>
        </w:rPr>
        <w:t xml:space="preserve"> </w:t>
      </w:r>
      <w:r>
        <w:rPr>
          <w:i/>
          <w:iCs/>
        </w:rPr>
        <w:t>p</w:t>
      </w:r>
      <w:r>
        <w:t>-value</w:t>
      </w:r>
      <w:r>
        <w:rPr>
          <w:rFonts w:hint="eastAsia"/>
          <w:lang w:eastAsia="zh-CN"/>
        </w:rPr>
        <w:t xml:space="preserve"> </w:t>
      </w:r>
      <w:r>
        <w:t>less</w:t>
      </w:r>
      <w:r>
        <w:rPr>
          <w:rFonts w:hint="eastAsia"/>
          <w:lang w:eastAsia="zh-CN"/>
        </w:rPr>
        <w:t xml:space="preserve"> </w:t>
      </w:r>
      <w:r>
        <w:t>than</w:t>
      </w:r>
      <w:r>
        <w:rPr>
          <w:rFonts w:hint="eastAsia"/>
          <w:lang w:eastAsia="zh-CN"/>
        </w:rPr>
        <w:t xml:space="preserve"> </w:t>
      </w:r>
      <w:r>
        <w:t>0.05</w:t>
      </w:r>
      <w:r>
        <w:rPr>
          <w:rFonts w:hint="eastAsia"/>
          <w:lang w:eastAsia="zh-CN"/>
        </w:rPr>
        <w:t xml:space="preserve"> </w:t>
      </w:r>
      <w:r>
        <w:t>were</w:t>
      </w:r>
      <w:r>
        <w:rPr>
          <w:rFonts w:hint="eastAsia"/>
          <w:lang w:eastAsia="zh-CN"/>
        </w:rPr>
        <w:t xml:space="preserve"> </w:t>
      </w:r>
      <w:r>
        <w:t>deemed</w:t>
      </w:r>
      <w:r>
        <w:rPr>
          <w:rFonts w:hint="eastAsia"/>
          <w:lang w:eastAsia="zh-CN"/>
        </w:rPr>
        <w:t xml:space="preserve"> </w:t>
      </w:r>
      <w:r>
        <w:t>statistically</w:t>
      </w:r>
      <w:r>
        <w:rPr>
          <w:rFonts w:hint="eastAsia"/>
          <w:lang w:eastAsia="zh-CN"/>
        </w:rPr>
        <w:t xml:space="preserve"> </w:t>
      </w:r>
      <w:r>
        <w:t>significant.</w:t>
      </w:r>
      <w:r>
        <w:rPr>
          <w:rFonts w:hint="eastAsia"/>
          <w:lang w:eastAsia="zh-CN"/>
        </w:rPr>
        <w:t xml:space="preserve"> </w:t>
      </w:r>
      <w:r>
        <w:t>All analyses and figure creation were executed using R version 4.0.3.</w:t>
      </w:r>
    </w:p>
    <w:p w:rsidR="00A76850" w:rsidRDefault="00A76850">
      <w:pPr>
        <w:pStyle w:val="SMText"/>
        <w:spacing w:line="360" w:lineRule="auto"/>
        <w:ind w:firstLine="0"/>
      </w:pPr>
    </w:p>
    <w:p w:rsidR="00A76850" w:rsidRDefault="009A3451">
      <w:pPr>
        <w:pStyle w:val="SMText"/>
        <w:spacing w:line="360" w:lineRule="auto"/>
        <w:ind w:firstLine="0"/>
        <w:rPr>
          <w:b/>
          <w:bCs/>
        </w:rPr>
      </w:pPr>
      <w:r>
        <w:rPr>
          <w:b/>
          <w:bCs/>
        </w:rPr>
        <w:t>References</w:t>
      </w:r>
    </w:p>
    <w:p w:rsidR="00A76850" w:rsidRDefault="009A3451">
      <w:pPr>
        <w:pStyle w:val="2d"/>
      </w:pPr>
      <w:r>
        <w:fldChar w:fldCharType="begin"/>
      </w:r>
      <w:r>
        <w:instrText xml:space="preserve"> ADDIN ZOTERO_BIBL {"uncited":[],"omitted":[],"custom":[]} CSL_BIBLIOGRAPHY </w:instrText>
      </w:r>
      <w:r>
        <w:fldChar w:fldCharType="separate"/>
      </w:r>
      <w:r>
        <w:t>1.</w:t>
      </w:r>
      <w:r>
        <w:tab/>
        <w:t xml:space="preserve">Hänzelmann, S., Castelo, R. &amp; Guinney, J. GSVA: gene set variation analysis for microarray and RNA-seq data. </w:t>
      </w:r>
      <w:r>
        <w:rPr>
          <w:i/>
          <w:iCs/>
        </w:rPr>
        <w:t>BMC Bioinformatics</w:t>
      </w:r>
      <w:r>
        <w:t xml:space="preserve"> </w:t>
      </w:r>
      <w:r>
        <w:rPr>
          <w:b/>
          <w:bCs/>
        </w:rPr>
        <w:t>14</w:t>
      </w:r>
      <w:r>
        <w:t>, 7 (2013).</w:t>
      </w:r>
    </w:p>
    <w:p w:rsidR="00A76850" w:rsidRDefault="009A3451">
      <w:pPr>
        <w:pStyle w:val="2d"/>
      </w:pPr>
      <w:r>
        <w:t>2.</w:t>
      </w:r>
      <w:r>
        <w:tab/>
        <w:t xml:space="preserve">He, Y., Jiang, Z., Chen, C. &amp; Wang, X. Classification of triple-negative breast cancers based on Immunogenomic profiling. </w:t>
      </w:r>
      <w:r>
        <w:rPr>
          <w:i/>
          <w:iCs/>
        </w:rPr>
        <w:t>J Exp Clin Cancer Res</w:t>
      </w:r>
      <w:r>
        <w:t xml:space="preserve"> </w:t>
      </w:r>
      <w:r>
        <w:rPr>
          <w:b/>
          <w:bCs/>
        </w:rPr>
        <w:t>37</w:t>
      </w:r>
      <w:r>
        <w:t>, 327 (2018).</w:t>
      </w:r>
    </w:p>
    <w:p w:rsidR="00A76850" w:rsidRDefault="009A3451">
      <w:pPr>
        <w:pStyle w:val="2d"/>
      </w:pPr>
      <w:r>
        <w:t>3.</w:t>
      </w:r>
      <w:r>
        <w:tab/>
        <w:t xml:space="preserve">Yoshihara, K. </w:t>
      </w:r>
      <w:r>
        <w:rPr>
          <w:i/>
          <w:iCs/>
        </w:rPr>
        <w:t>et al.</w:t>
      </w:r>
      <w:r>
        <w:t xml:space="preserve"> Inferring tumour purity and stromal and immune cell admixture from expression data. </w:t>
      </w:r>
      <w:r>
        <w:rPr>
          <w:i/>
          <w:iCs/>
        </w:rPr>
        <w:t>Nat Commun</w:t>
      </w:r>
      <w:r>
        <w:t xml:space="preserve"> </w:t>
      </w:r>
      <w:r>
        <w:rPr>
          <w:b/>
          <w:bCs/>
        </w:rPr>
        <w:t>4</w:t>
      </w:r>
      <w:r>
        <w:t>, 2612 (2013).</w:t>
      </w:r>
    </w:p>
    <w:p w:rsidR="00A76850" w:rsidRDefault="009A3451">
      <w:pPr>
        <w:pStyle w:val="2d"/>
      </w:pPr>
      <w:r>
        <w:t>4.</w:t>
      </w:r>
      <w:r>
        <w:tab/>
        <w:t xml:space="preserve">Sun, Y. </w:t>
      </w:r>
      <w:r>
        <w:rPr>
          <w:i/>
          <w:iCs/>
        </w:rPr>
        <w:t>et al.</w:t>
      </w:r>
      <w:r>
        <w:t xml:space="preserve"> Single-cell landscape of the ecosystem in early-relapse hepatocellular carcinoma. </w:t>
      </w:r>
      <w:r>
        <w:rPr>
          <w:i/>
          <w:iCs/>
        </w:rPr>
        <w:t>Cell</w:t>
      </w:r>
      <w:r>
        <w:t xml:space="preserve"> </w:t>
      </w:r>
      <w:r>
        <w:rPr>
          <w:b/>
          <w:bCs/>
        </w:rPr>
        <w:t>184</w:t>
      </w:r>
      <w:r>
        <w:t>, 404-421.e16 (2021).</w:t>
      </w:r>
    </w:p>
    <w:p w:rsidR="00A76850" w:rsidRDefault="009A3451">
      <w:pPr>
        <w:pStyle w:val="2d"/>
      </w:pPr>
      <w:r>
        <w:t>5.</w:t>
      </w:r>
      <w:r>
        <w:tab/>
        <w:t xml:space="preserve">Zhang, C. </w:t>
      </w:r>
      <w:r>
        <w:rPr>
          <w:i/>
          <w:iCs/>
        </w:rPr>
        <w:t>et al.</w:t>
      </w:r>
      <w:r>
        <w:t xml:space="preserve"> Single-cell RNA sequencing reveals intrahepatic and peripheral immune characteristics related to disease phases in HBV-infected patients. </w:t>
      </w:r>
      <w:r>
        <w:rPr>
          <w:i/>
          <w:iCs/>
        </w:rPr>
        <w:t>Gut</w:t>
      </w:r>
      <w:r>
        <w:t xml:space="preserve"> </w:t>
      </w:r>
      <w:r>
        <w:rPr>
          <w:b/>
          <w:bCs/>
        </w:rPr>
        <w:t>72</w:t>
      </w:r>
      <w:r>
        <w:t>, 153–167 (2023).</w:t>
      </w:r>
    </w:p>
    <w:p w:rsidR="00A76850" w:rsidRDefault="009A3451">
      <w:pPr>
        <w:pStyle w:val="2d"/>
      </w:pPr>
      <w:r>
        <w:t>6.</w:t>
      </w:r>
      <w:r>
        <w:tab/>
        <w:t xml:space="preserve">Chen, Y.-P. </w:t>
      </w:r>
      <w:r>
        <w:rPr>
          <w:i/>
          <w:iCs/>
        </w:rPr>
        <w:t>et al.</w:t>
      </w:r>
      <w:r>
        <w:t xml:space="preserve"> Single-cell transcriptomics reveals regulators underlying immune cell diversity and immune subtypes associated with prognosis in nasopharyngeal carcinoma. </w:t>
      </w:r>
      <w:r>
        <w:rPr>
          <w:i/>
          <w:iCs/>
        </w:rPr>
        <w:t>Cell Res</w:t>
      </w:r>
      <w:r>
        <w:t xml:space="preserve"> </w:t>
      </w:r>
      <w:r>
        <w:rPr>
          <w:b/>
          <w:bCs/>
        </w:rPr>
        <w:t>30</w:t>
      </w:r>
      <w:r>
        <w:t>, 1024–1042 (2020).</w:t>
      </w:r>
    </w:p>
    <w:p w:rsidR="00A76850" w:rsidRDefault="009A3451">
      <w:pPr>
        <w:pStyle w:val="SMText"/>
        <w:spacing w:line="360" w:lineRule="auto"/>
        <w:ind w:firstLine="0"/>
        <w:sectPr w:rsidR="00A76850">
          <w:headerReference w:type="default" r:id="rId11"/>
          <w:footerReference w:type="default" r:id="rId12"/>
          <w:pgSz w:w="12240" w:h="15840"/>
          <w:pgMar w:top="1440" w:right="1440" w:bottom="1440" w:left="1440" w:header="720" w:footer="720" w:gutter="0"/>
          <w:pgNumType w:start="1"/>
          <w:cols w:space="720"/>
          <w:docGrid w:linePitch="360"/>
        </w:sectPr>
      </w:pPr>
      <w:r>
        <w:fldChar w:fldCharType="end"/>
      </w:r>
    </w:p>
    <w:p w:rsidR="00A76850" w:rsidRDefault="009A3451">
      <w:pPr>
        <w:pStyle w:val="SMHeading"/>
      </w:pPr>
      <w:r>
        <w:rPr>
          <w:rFonts w:ascii="Times New Roman Bold" w:hAnsi="Times New Roman Bold" w:cs="Times New Roman Bold"/>
          <w:lang w:eastAsia="zh-CN"/>
        </w:rPr>
        <w:lastRenderedPageBreak/>
        <w:t>Supplementary F</w:t>
      </w:r>
      <w:r>
        <w:rPr>
          <w:rFonts w:ascii="Times New Roman Bold" w:hAnsi="Times New Roman Bold" w:cs="Times New Roman Bold" w:hint="eastAsia"/>
          <w:lang w:eastAsia="zh-CN"/>
        </w:rPr>
        <w:t>ig.</w:t>
      </w:r>
      <w:r>
        <w:rPr>
          <w:rFonts w:ascii="Times New Roman Bold" w:hAnsi="Times New Roman Bold" w:cs="Times New Roman Bold"/>
          <w:lang w:eastAsia="zh-CN"/>
        </w:rPr>
        <w:t xml:space="preserve"> 1</w:t>
      </w:r>
    </w:p>
    <w:p w:rsidR="00A76850" w:rsidRDefault="00A76850">
      <w:pPr>
        <w:pStyle w:val="SMcaption"/>
        <w:jc w:val="center"/>
      </w:pPr>
    </w:p>
    <w:p w:rsidR="00A76850" w:rsidRDefault="009A3451">
      <w:pPr>
        <w:pStyle w:val="SMcaption"/>
        <w:rPr>
          <w:lang w:eastAsia="zh-CN"/>
        </w:rPr>
      </w:pPr>
      <w:r>
        <w:rPr>
          <w:noProof/>
          <w:lang w:eastAsia="zh-CN"/>
        </w:rPr>
        <w:drawing>
          <wp:inline distT="0" distB="0" distL="114300" distR="114300">
            <wp:extent cx="5940425" cy="6200775"/>
            <wp:effectExtent l="0" t="0" r="3175" b="9525"/>
            <wp:docPr id="1" name="图片 1" descr="Supplementary Fig.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 1_00"/>
                    <pic:cNvPicPr>
                      <a:picLocks noChangeAspect="1"/>
                    </pic:cNvPicPr>
                  </pic:nvPicPr>
                  <pic:blipFill>
                    <a:blip r:embed="rId13"/>
                    <a:stretch>
                      <a:fillRect/>
                    </a:stretch>
                  </pic:blipFill>
                  <pic:spPr>
                    <a:xfrm>
                      <a:off x="0" y="0"/>
                      <a:ext cx="5940425" cy="6200775"/>
                    </a:xfrm>
                    <a:prstGeom prst="rect">
                      <a:avLst/>
                    </a:prstGeom>
                  </pic:spPr>
                </pic:pic>
              </a:graphicData>
            </a:graphic>
          </wp:inline>
        </w:drawing>
      </w:r>
    </w:p>
    <w:p w:rsidR="00A76850" w:rsidRDefault="00A76850">
      <w:pPr>
        <w:pStyle w:val="SMcaption"/>
        <w:jc w:val="both"/>
        <w:rPr>
          <w:lang w:eastAsia="zh-CN"/>
        </w:rPr>
      </w:pPr>
    </w:p>
    <w:p w:rsidR="00A76850" w:rsidRDefault="009A3451">
      <w:pPr>
        <w:pStyle w:val="SMcaption"/>
        <w:jc w:val="both"/>
        <w:rPr>
          <w:rFonts w:ascii="Times New Roman Bold" w:hAnsi="Times New Roman Bold" w:cs="Times New Roman Bold"/>
          <w:b/>
          <w:bCs/>
          <w:lang w:eastAsia="zh-CN"/>
        </w:rPr>
        <w:sectPr w:rsidR="00A76850">
          <w:pgSz w:w="12240" w:h="15840"/>
          <w:pgMar w:top="1440" w:right="1440" w:bottom="1440" w:left="1440" w:header="720" w:footer="720" w:gutter="0"/>
          <w:pgNumType w:start="1"/>
          <w:cols w:space="720"/>
          <w:docGrid w:linePitch="360"/>
        </w:sectPr>
      </w:pPr>
      <w:r>
        <w:rPr>
          <w:rFonts w:ascii="Times New Roman Bold" w:hAnsi="Times New Roman Bold" w:cs="Times New Roman Bold"/>
          <w:b/>
          <w:bCs/>
          <w:lang w:eastAsia="zh-CN"/>
        </w:rPr>
        <w:t>Supplementary F</w:t>
      </w:r>
      <w:r>
        <w:rPr>
          <w:rFonts w:ascii="Times New Roman Bold" w:hAnsi="Times New Roman Bold" w:cs="Times New Roman Bold" w:hint="eastAsia"/>
          <w:b/>
          <w:bCs/>
          <w:lang w:eastAsia="zh-CN"/>
        </w:rPr>
        <w:t xml:space="preserve">ig </w:t>
      </w:r>
      <w:r>
        <w:rPr>
          <w:rFonts w:ascii="Times New Roman Bold" w:hAnsi="Times New Roman Bold" w:cs="Times New Roman Bold"/>
          <w:b/>
          <w:bCs/>
          <w:lang w:eastAsia="zh-CN"/>
        </w:rPr>
        <w:t>1. Trial profile.</w:t>
      </w:r>
    </w:p>
    <w:p w:rsidR="00A76850" w:rsidRDefault="009A3451">
      <w:pPr>
        <w:pStyle w:val="afff6"/>
        <w:spacing w:before="240" w:after="60"/>
        <w:outlineLvl w:val="0"/>
      </w:pPr>
      <w:r>
        <w:rPr>
          <w:rFonts w:eastAsia="宋体" w:cs="Arial"/>
          <w:b/>
          <w:bCs/>
          <w:kern w:val="2"/>
          <w:lang w:eastAsia="zh-CN" w:bidi="ar"/>
        </w:rPr>
        <w:lastRenderedPageBreak/>
        <w:t>Supplementary F</w:t>
      </w:r>
      <w:r>
        <w:rPr>
          <w:rFonts w:eastAsia="宋体" w:cs="Arial" w:hint="eastAsia"/>
          <w:b/>
          <w:bCs/>
          <w:kern w:val="2"/>
          <w:lang w:eastAsia="zh-CN" w:bidi="ar"/>
        </w:rPr>
        <w:t>ig.</w:t>
      </w:r>
      <w:r>
        <w:rPr>
          <w:rFonts w:eastAsia="宋体" w:cs="Arial"/>
          <w:b/>
          <w:bCs/>
          <w:kern w:val="2"/>
          <w:lang w:eastAsia="zh-CN" w:bidi="ar"/>
        </w:rPr>
        <w:t xml:space="preserve"> 2</w:t>
      </w:r>
    </w:p>
    <w:p w:rsidR="00A76850" w:rsidRDefault="00A76850">
      <w:pPr>
        <w:pStyle w:val="SMcaption"/>
        <w:jc w:val="center"/>
        <w:rPr>
          <w:lang w:eastAsia="zh-CN"/>
        </w:rPr>
      </w:pPr>
    </w:p>
    <w:p w:rsidR="00A76850" w:rsidRDefault="009A3451">
      <w:pPr>
        <w:pStyle w:val="SMcaption"/>
        <w:jc w:val="center"/>
        <w:rPr>
          <w:lang w:eastAsia="zh-CN"/>
        </w:rPr>
      </w:pPr>
      <w:r>
        <w:rPr>
          <w:noProof/>
          <w:lang w:eastAsia="zh-CN"/>
        </w:rPr>
        <w:drawing>
          <wp:inline distT="0" distB="0" distL="114300" distR="114300">
            <wp:extent cx="5937885" cy="4081145"/>
            <wp:effectExtent l="0" t="0" r="5715" b="8255"/>
            <wp:docPr id="3" name="图片 3" descr="Supplementary Fig. 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 2_00"/>
                    <pic:cNvPicPr>
                      <a:picLocks noChangeAspect="1"/>
                    </pic:cNvPicPr>
                  </pic:nvPicPr>
                  <pic:blipFill>
                    <a:blip r:embed="rId14"/>
                    <a:stretch>
                      <a:fillRect/>
                    </a:stretch>
                  </pic:blipFill>
                  <pic:spPr>
                    <a:xfrm>
                      <a:off x="0" y="0"/>
                      <a:ext cx="5937885" cy="4081145"/>
                    </a:xfrm>
                    <a:prstGeom prst="rect">
                      <a:avLst/>
                    </a:prstGeom>
                  </pic:spPr>
                </pic:pic>
              </a:graphicData>
            </a:graphic>
          </wp:inline>
        </w:drawing>
      </w:r>
    </w:p>
    <w:p w:rsidR="00A76850" w:rsidRDefault="009A3451">
      <w:pPr>
        <w:pStyle w:val="afff6"/>
        <w:spacing w:before="240" w:after="60"/>
        <w:outlineLvl w:val="0"/>
        <w:rPr>
          <w:rFonts w:eastAsia="宋体" w:cs="Arial"/>
          <w:b/>
          <w:bCs/>
          <w:kern w:val="2"/>
          <w:lang w:eastAsia="zh-CN" w:bidi="ar"/>
        </w:rPr>
      </w:pPr>
      <w:r>
        <w:rPr>
          <w:rFonts w:eastAsia="宋体" w:cs="Arial"/>
          <w:b/>
          <w:bCs/>
          <w:kern w:val="2"/>
          <w:lang w:eastAsia="zh-CN" w:bidi="ar"/>
        </w:rPr>
        <w:t>Supplementary F</w:t>
      </w:r>
      <w:r>
        <w:rPr>
          <w:rFonts w:eastAsia="宋体" w:cs="Arial" w:hint="eastAsia"/>
          <w:b/>
          <w:bCs/>
          <w:kern w:val="2"/>
          <w:lang w:eastAsia="zh-CN" w:bidi="ar"/>
        </w:rPr>
        <w:t>ig.</w:t>
      </w:r>
      <w:r>
        <w:rPr>
          <w:rFonts w:eastAsia="宋体" w:cs="Arial"/>
          <w:b/>
          <w:bCs/>
          <w:kern w:val="2"/>
          <w:lang w:eastAsia="zh-CN" w:bidi="ar"/>
        </w:rPr>
        <w:t xml:space="preserve"> 2. Landscape of results in the study.</w:t>
      </w:r>
      <w:r>
        <w:rPr>
          <w:rFonts w:eastAsia="宋体" w:cs="Arial" w:hint="eastAsia"/>
          <w:b/>
          <w:bCs/>
          <w:kern w:val="2"/>
          <w:lang w:eastAsia="zh-CN" w:bidi="ar"/>
        </w:rPr>
        <w:t xml:space="preserve"> </w:t>
      </w:r>
    </w:p>
    <w:p w:rsidR="00A76850" w:rsidRDefault="009A3451">
      <w:pPr>
        <w:pStyle w:val="afff6"/>
        <w:rPr>
          <w:rFonts w:eastAsia="宋体" w:cs="Arial"/>
          <w:b/>
          <w:bCs/>
          <w:kern w:val="2"/>
          <w:lang w:eastAsia="zh-CN" w:bidi="ar"/>
        </w:rPr>
        <w:sectPr w:rsidR="00A76850">
          <w:pgSz w:w="12240" w:h="15840"/>
          <w:pgMar w:top="1440" w:right="1440" w:bottom="1440" w:left="1440" w:header="720" w:footer="720" w:gutter="0"/>
          <w:pgNumType w:start="1"/>
          <w:cols w:space="720"/>
          <w:docGrid w:linePitch="360"/>
        </w:sectPr>
      </w:pPr>
      <w:r>
        <w:rPr>
          <w:rFonts w:eastAsia="宋体"/>
          <w:lang w:eastAsia="zh-CN" w:bidi="ar"/>
        </w:rPr>
        <w:t>pCR, pathological complete response</w:t>
      </w:r>
    </w:p>
    <w:p w:rsidR="00A76850" w:rsidRDefault="009A3451">
      <w:pPr>
        <w:pStyle w:val="afff6"/>
        <w:spacing w:before="240" w:after="60"/>
        <w:outlineLvl w:val="0"/>
        <w:rPr>
          <w:rFonts w:eastAsia="宋体"/>
          <w:b/>
          <w:bCs/>
          <w:kern w:val="32"/>
          <w:lang w:eastAsia="zh-CN" w:bidi="ar"/>
        </w:rPr>
      </w:pPr>
      <w:r>
        <w:rPr>
          <w:rFonts w:eastAsia="宋体" w:cs="Arial"/>
          <w:b/>
          <w:bCs/>
          <w:kern w:val="2"/>
          <w:lang w:eastAsia="zh-CN" w:bidi="ar"/>
        </w:rPr>
        <w:lastRenderedPageBreak/>
        <w:t>Supplementary F</w:t>
      </w:r>
      <w:r>
        <w:rPr>
          <w:rFonts w:eastAsia="宋体" w:cs="Arial" w:hint="eastAsia"/>
          <w:b/>
          <w:bCs/>
          <w:kern w:val="2"/>
          <w:lang w:eastAsia="zh-CN" w:bidi="ar"/>
        </w:rPr>
        <w:t>ig. 3</w:t>
      </w:r>
      <w:r>
        <w:rPr>
          <w:rFonts w:eastAsia="宋体" w:cs="Arial"/>
          <w:b/>
          <w:bCs/>
          <w:kern w:val="2"/>
          <w:lang w:eastAsia="zh-CN" w:bidi="ar"/>
        </w:rPr>
        <w:t xml:space="preserve"> </w:t>
      </w:r>
    </w:p>
    <w:p w:rsidR="00A76850" w:rsidRDefault="009A3451">
      <w:pPr>
        <w:pStyle w:val="SMcaption"/>
        <w:jc w:val="center"/>
        <w:rPr>
          <w:lang w:eastAsia="zh-CN"/>
        </w:rPr>
      </w:pPr>
      <w:r>
        <w:rPr>
          <w:rFonts w:hint="eastAsia"/>
          <w:noProof/>
          <w:lang w:eastAsia="zh-CN"/>
        </w:rPr>
        <w:drawing>
          <wp:inline distT="0" distB="0" distL="114300" distR="114300">
            <wp:extent cx="4932680" cy="6703695"/>
            <wp:effectExtent l="0" t="0" r="7620" b="1905"/>
            <wp:docPr id="4" name="图片 4" descr="Supplementary Fig. 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 3_00"/>
                    <pic:cNvPicPr>
                      <a:picLocks noChangeAspect="1"/>
                    </pic:cNvPicPr>
                  </pic:nvPicPr>
                  <pic:blipFill>
                    <a:blip r:embed="rId15"/>
                    <a:stretch>
                      <a:fillRect/>
                    </a:stretch>
                  </pic:blipFill>
                  <pic:spPr>
                    <a:xfrm>
                      <a:off x="0" y="0"/>
                      <a:ext cx="4932680" cy="6703695"/>
                    </a:xfrm>
                    <a:prstGeom prst="rect">
                      <a:avLst/>
                    </a:prstGeom>
                  </pic:spPr>
                </pic:pic>
              </a:graphicData>
            </a:graphic>
          </wp:inline>
        </w:drawing>
      </w:r>
    </w:p>
    <w:p w:rsidR="00A76850" w:rsidRDefault="009A3451">
      <w:pPr>
        <w:pStyle w:val="afff6"/>
        <w:rPr>
          <w:rFonts w:ascii="Times New Roman Bold" w:eastAsia="宋体" w:hAnsi="Times New Roman Bold" w:cs="Times New Roman Bold"/>
          <w:b/>
          <w:bCs/>
        </w:rPr>
      </w:pPr>
      <w:r>
        <w:rPr>
          <w:rFonts w:ascii="Times New Roman Bold" w:eastAsia="宋体" w:hAnsi="Times New Roman Bold" w:cs="Times New Roman Bold"/>
          <w:b/>
          <w:bCs/>
          <w:lang w:eastAsia="zh-CN" w:bidi="ar"/>
        </w:rPr>
        <w:t>Supplementary F</w:t>
      </w:r>
      <w:r>
        <w:rPr>
          <w:rFonts w:ascii="Times New Roman Bold" w:eastAsia="宋体" w:hAnsi="Times New Roman Bold" w:cs="Times New Roman Bold" w:hint="eastAsia"/>
          <w:b/>
          <w:bCs/>
          <w:lang w:eastAsia="zh-CN" w:bidi="ar"/>
        </w:rPr>
        <w:t>ig.</w:t>
      </w:r>
      <w:r>
        <w:rPr>
          <w:rFonts w:ascii="Times New Roman Bold" w:eastAsia="宋体" w:hAnsi="Times New Roman Bold" w:cs="Times New Roman Bold"/>
          <w:b/>
          <w:bCs/>
          <w:lang w:eastAsia="zh-CN" w:bidi="ar"/>
        </w:rPr>
        <w:t xml:space="preserve"> 3. Multiplex immunofluorescence staining of samples</w:t>
      </w:r>
    </w:p>
    <w:p w:rsidR="00A76850" w:rsidRDefault="009A3451">
      <w:pPr>
        <w:pStyle w:val="afff6"/>
        <w:rPr>
          <w:rFonts w:eastAsia="宋体"/>
        </w:rPr>
      </w:pPr>
      <w:r>
        <w:rPr>
          <w:rFonts w:eastAsia="宋体"/>
          <w:lang w:eastAsia="zh-CN" w:bidi="ar"/>
        </w:rPr>
        <w:t>(</w:t>
      </w:r>
      <w:r>
        <w:rPr>
          <w:rFonts w:eastAsia="宋体" w:hint="eastAsia"/>
          <w:lang w:eastAsia="zh-CN" w:bidi="ar"/>
        </w:rPr>
        <w:t>a</w:t>
      </w:r>
      <w:r>
        <w:rPr>
          <w:rFonts w:eastAsia="宋体"/>
          <w:lang w:eastAsia="zh-CN" w:bidi="ar"/>
        </w:rPr>
        <w:t xml:space="preserve">) Multiplex immunofluorescence staining of samples at baseline for comparison between the pCR and non-pCR groups </w:t>
      </w:r>
    </w:p>
    <w:p w:rsidR="00A76850" w:rsidRDefault="009A3451">
      <w:pPr>
        <w:pStyle w:val="afff6"/>
        <w:rPr>
          <w:rFonts w:eastAsia="宋体"/>
        </w:rPr>
      </w:pPr>
      <w:r>
        <w:rPr>
          <w:rFonts w:eastAsia="宋体"/>
          <w:lang w:eastAsia="zh-CN" w:bidi="ar"/>
        </w:rPr>
        <w:t>(</w:t>
      </w:r>
      <w:r>
        <w:rPr>
          <w:rFonts w:eastAsia="宋体" w:hint="eastAsia"/>
          <w:lang w:eastAsia="zh-CN" w:bidi="ar"/>
        </w:rPr>
        <w:t>b</w:t>
      </w:r>
      <w:r>
        <w:rPr>
          <w:rFonts w:eastAsia="宋体"/>
          <w:lang w:eastAsia="zh-CN" w:bidi="ar"/>
        </w:rPr>
        <w:t>) Comparison of dynamic changes in multiplex immunofluorescence staining between the pCR and non-pCR groups pre- and post-treatment of samples</w:t>
      </w:r>
    </w:p>
    <w:p w:rsidR="00A76850" w:rsidRDefault="009A3451">
      <w:pPr>
        <w:pStyle w:val="afff6"/>
        <w:rPr>
          <w:rFonts w:eastAsia="宋体"/>
        </w:rPr>
        <w:sectPr w:rsidR="00A76850">
          <w:pgSz w:w="12242" w:h="15842"/>
          <w:pgMar w:top="1440" w:right="1440" w:bottom="1440" w:left="1440" w:header="720" w:footer="720" w:gutter="0"/>
          <w:pgNumType w:start="1"/>
          <w:cols w:space="720"/>
          <w:docGrid w:linePitch="360"/>
        </w:sectPr>
      </w:pPr>
      <w:r>
        <w:rPr>
          <w:rFonts w:eastAsia="宋体"/>
          <w:lang w:eastAsia="zh-CN" w:bidi="ar"/>
        </w:rPr>
        <w:t>pCR, pathological complete response</w:t>
      </w:r>
    </w:p>
    <w:p w:rsidR="00A76850" w:rsidRDefault="009A3451">
      <w:pPr>
        <w:pStyle w:val="afff6"/>
        <w:spacing w:before="240" w:after="60"/>
        <w:outlineLvl w:val="0"/>
        <w:rPr>
          <w:rFonts w:eastAsia="宋体"/>
          <w:b/>
          <w:bCs/>
          <w:kern w:val="32"/>
          <w:lang w:eastAsia="zh-CN" w:bidi="ar"/>
        </w:rPr>
      </w:pPr>
      <w:r>
        <w:rPr>
          <w:rFonts w:eastAsia="宋体" w:cs="Arial"/>
          <w:b/>
          <w:bCs/>
          <w:kern w:val="2"/>
          <w:lang w:eastAsia="zh-CN" w:bidi="ar"/>
        </w:rPr>
        <w:lastRenderedPageBreak/>
        <w:t>Supplementary F</w:t>
      </w:r>
      <w:r>
        <w:rPr>
          <w:rFonts w:eastAsia="宋体" w:cs="Arial" w:hint="eastAsia"/>
          <w:b/>
          <w:bCs/>
          <w:kern w:val="2"/>
          <w:lang w:eastAsia="zh-CN" w:bidi="ar"/>
        </w:rPr>
        <w:t>ig.</w:t>
      </w:r>
      <w:r>
        <w:rPr>
          <w:rFonts w:eastAsia="宋体" w:cs="Arial"/>
          <w:b/>
          <w:bCs/>
          <w:kern w:val="2"/>
          <w:lang w:eastAsia="zh-CN" w:bidi="ar"/>
        </w:rPr>
        <w:t xml:space="preserve"> </w:t>
      </w:r>
      <w:r>
        <w:rPr>
          <w:rFonts w:eastAsia="宋体" w:cs="Arial" w:hint="eastAsia"/>
          <w:b/>
          <w:bCs/>
          <w:kern w:val="2"/>
          <w:lang w:eastAsia="zh-CN" w:bidi="ar"/>
        </w:rPr>
        <w:t>4</w:t>
      </w:r>
    </w:p>
    <w:p w:rsidR="00A76850" w:rsidRDefault="009A3451">
      <w:pPr>
        <w:pStyle w:val="afff6"/>
        <w:spacing w:before="240" w:after="60"/>
        <w:jc w:val="center"/>
        <w:outlineLvl w:val="0"/>
        <w:rPr>
          <w:lang w:eastAsia="zh-CN"/>
        </w:rPr>
      </w:pPr>
      <w:r>
        <w:rPr>
          <w:noProof/>
          <w:lang w:eastAsia="zh-CN"/>
        </w:rPr>
        <w:drawing>
          <wp:inline distT="0" distB="0" distL="114300" distR="114300">
            <wp:extent cx="5939155" cy="4425950"/>
            <wp:effectExtent l="0" t="0" r="4445" b="6350"/>
            <wp:docPr id="6" name="图片 6" descr="Supplementary Fig. 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 4_00"/>
                    <pic:cNvPicPr>
                      <a:picLocks noChangeAspect="1"/>
                    </pic:cNvPicPr>
                  </pic:nvPicPr>
                  <pic:blipFill>
                    <a:blip r:embed="rId16"/>
                    <a:stretch>
                      <a:fillRect/>
                    </a:stretch>
                  </pic:blipFill>
                  <pic:spPr>
                    <a:xfrm>
                      <a:off x="0" y="0"/>
                      <a:ext cx="5939155" cy="4425950"/>
                    </a:xfrm>
                    <a:prstGeom prst="rect">
                      <a:avLst/>
                    </a:prstGeom>
                  </pic:spPr>
                </pic:pic>
              </a:graphicData>
            </a:graphic>
          </wp:inline>
        </w:drawing>
      </w:r>
    </w:p>
    <w:p w:rsidR="00A76850" w:rsidRDefault="009A3451">
      <w:pPr>
        <w:pStyle w:val="SMcaption"/>
        <w:jc w:val="both"/>
        <w:rPr>
          <w:lang w:eastAsia="zh-CN"/>
        </w:rPr>
        <w:sectPr w:rsidR="00A76850">
          <w:pgSz w:w="12240" w:h="15840"/>
          <w:pgMar w:top="1440" w:right="1440" w:bottom="1440" w:left="1440" w:header="720" w:footer="720" w:gutter="0"/>
          <w:pgNumType w:start="1"/>
          <w:cols w:space="720"/>
          <w:docGrid w:linePitch="360"/>
        </w:sectPr>
      </w:pPr>
      <w:r>
        <w:rPr>
          <w:rFonts w:hint="eastAsia"/>
        </w:rPr>
        <w:t>Supplementary F</w:t>
      </w:r>
      <w:r>
        <w:rPr>
          <w:rFonts w:hint="eastAsia"/>
          <w:lang w:eastAsia="zh-CN"/>
        </w:rPr>
        <w:t>ig</w:t>
      </w:r>
      <w:r>
        <w:rPr>
          <w:lang w:eastAsia="zh-CN"/>
        </w:rPr>
        <w:t xml:space="preserve"> </w:t>
      </w:r>
      <w:r>
        <w:rPr>
          <w:rFonts w:hint="eastAsia"/>
        </w:rPr>
        <w:t>4</w:t>
      </w:r>
      <w:r>
        <w:t>.</w:t>
      </w:r>
      <w:r>
        <w:rPr>
          <w:rFonts w:hint="eastAsia"/>
        </w:rPr>
        <w:t xml:space="preserve"> Multiplex immunofluorescence staining for CD8, PD-L1, CD56, FOXP3, CD31, and PANCK</w:t>
      </w:r>
      <w:r>
        <w:t>.</w:t>
      </w:r>
      <w:r>
        <w:rPr>
          <w:rFonts w:hint="eastAsia"/>
        </w:rPr>
        <w:t xml:space="preserve"> Scale bars,</w:t>
      </w:r>
      <w:r>
        <w:rPr>
          <w:rFonts w:hint="eastAsia"/>
          <w:lang w:eastAsia="zh-CN"/>
        </w:rPr>
        <w:t xml:space="preserve"> </w:t>
      </w:r>
      <w:r>
        <w:rPr>
          <w:rFonts w:hint="eastAsia"/>
        </w:rPr>
        <w:t xml:space="preserve">100 </w:t>
      </w:r>
      <w:hyperlink r:id="rId17" w:tgtFrame="https://cn.bing.com/_blank" w:history="1">
        <w:r>
          <w:t>μ</w:t>
        </w:r>
      </w:hyperlink>
      <w:r>
        <w:rPr>
          <w:rFonts w:hint="eastAsia"/>
        </w:rPr>
        <w:t>m</w:t>
      </w:r>
      <w:r>
        <w:rPr>
          <w:rFonts w:hint="eastAsia"/>
          <w:lang w:eastAsia="zh-CN"/>
        </w:rPr>
        <w:t>.</w:t>
      </w:r>
    </w:p>
    <w:p w:rsidR="00A76850" w:rsidRDefault="009A3451">
      <w:pPr>
        <w:pStyle w:val="afff6"/>
        <w:spacing w:before="240" w:after="60"/>
        <w:outlineLvl w:val="0"/>
        <w:rPr>
          <w:rFonts w:eastAsia="宋体"/>
          <w:b/>
          <w:bCs/>
          <w:kern w:val="32"/>
          <w:lang w:eastAsia="zh-CN" w:bidi="ar"/>
        </w:rPr>
      </w:pPr>
      <w:r>
        <w:rPr>
          <w:rFonts w:eastAsia="宋体" w:cs="Arial"/>
          <w:b/>
          <w:bCs/>
          <w:kern w:val="2"/>
          <w:lang w:eastAsia="zh-CN" w:bidi="ar"/>
        </w:rPr>
        <w:lastRenderedPageBreak/>
        <w:t>Supplementary F</w:t>
      </w:r>
      <w:r>
        <w:rPr>
          <w:rFonts w:eastAsia="宋体" w:cs="Arial" w:hint="eastAsia"/>
          <w:b/>
          <w:bCs/>
          <w:kern w:val="2"/>
          <w:lang w:eastAsia="zh-CN" w:bidi="ar"/>
        </w:rPr>
        <w:t>ig.</w:t>
      </w:r>
      <w:r>
        <w:rPr>
          <w:rFonts w:eastAsia="宋体" w:cs="Arial"/>
          <w:b/>
          <w:bCs/>
          <w:kern w:val="2"/>
          <w:lang w:eastAsia="zh-CN" w:bidi="ar"/>
        </w:rPr>
        <w:t xml:space="preserve"> </w:t>
      </w:r>
      <w:r>
        <w:rPr>
          <w:rFonts w:eastAsia="宋体"/>
          <w:b/>
          <w:bCs/>
          <w:kern w:val="2"/>
          <w:lang w:eastAsia="zh-CN" w:bidi="ar"/>
        </w:rPr>
        <w:t>5</w:t>
      </w:r>
    </w:p>
    <w:p w:rsidR="00A76850" w:rsidRDefault="009A3451">
      <w:pPr>
        <w:pStyle w:val="afff6"/>
        <w:spacing w:before="240" w:after="60"/>
        <w:jc w:val="center"/>
        <w:outlineLvl w:val="0"/>
        <w:rPr>
          <w:lang w:eastAsia="zh-CN"/>
        </w:rPr>
      </w:pPr>
      <w:r>
        <w:rPr>
          <w:rFonts w:eastAsia="宋体"/>
          <w:b/>
          <w:bCs/>
          <w:noProof/>
          <w:kern w:val="32"/>
          <w:lang w:eastAsia="zh-CN"/>
        </w:rPr>
        <w:drawing>
          <wp:inline distT="0" distB="0" distL="114300" distR="114300">
            <wp:extent cx="5941060" cy="3573145"/>
            <wp:effectExtent l="0" t="0" r="2540" b="8255"/>
            <wp:docPr id="5" name="图片 5" descr="Supplementary Fig. 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 5_00"/>
                    <pic:cNvPicPr>
                      <a:picLocks noChangeAspect="1"/>
                    </pic:cNvPicPr>
                  </pic:nvPicPr>
                  <pic:blipFill>
                    <a:blip r:embed="rId18"/>
                    <a:stretch>
                      <a:fillRect/>
                    </a:stretch>
                  </pic:blipFill>
                  <pic:spPr>
                    <a:xfrm>
                      <a:off x="0" y="0"/>
                      <a:ext cx="5941060" cy="3573145"/>
                    </a:xfrm>
                    <a:prstGeom prst="rect">
                      <a:avLst/>
                    </a:prstGeom>
                  </pic:spPr>
                </pic:pic>
              </a:graphicData>
            </a:graphic>
          </wp:inline>
        </w:drawing>
      </w:r>
    </w:p>
    <w:p w:rsidR="00A76850" w:rsidRDefault="009A3451">
      <w:pPr>
        <w:spacing w:line="360" w:lineRule="auto"/>
        <w:rPr>
          <w:rFonts w:eastAsia="宋体" w:cs="Arial"/>
          <w:b/>
          <w:bCs/>
          <w:kern w:val="2"/>
          <w:szCs w:val="24"/>
        </w:rPr>
      </w:pPr>
      <w:r>
        <w:rPr>
          <w:rFonts w:eastAsia="宋体" w:cs="Arial"/>
          <w:b/>
          <w:bCs/>
          <w:kern w:val="2"/>
          <w:szCs w:val="24"/>
          <w:lang w:eastAsia="zh-CN" w:bidi="ar"/>
        </w:rPr>
        <w:t>Supplementary F</w:t>
      </w:r>
      <w:r>
        <w:rPr>
          <w:rFonts w:eastAsia="宋体" w:cs="Arial" w:hint="eastAsia"/>
          <w:b/>
          <w:bCs/>
          <w:kern w:val="2"/>
          <w:szCs w:val="24"/>
          <w:lang w:eastAsia="zh-CN" w:bidi="ar"/>
        </w:rPr>
        <w:t>ig.</w:t>
      </w:r>
      <w:r>
        <w:rPr>
          <w:rFonts w:eastAsia="宋体" w:cs="Arial"/>
          <w:b/>
          <w:bCs/>
          <w:kern w:val="2"/>
          <w:szCs w:val="24"/>
          <w:lang w:eastAsia="zh-CN" w:bidi="ar"/>
        </w:rPr>
        <w:t xml:space="preserve"> </w:t>
      </w:r>
      <w:r>
        <w:rPr>
          <w:rFonts w:eastAsia="宋体"/>
          <w:b/>
          <w:bCs/>
          <w:kern w:val="2"/>
          <w:szCs w:val="24"/>
          <w:lang w:eastAsia="zh-CN" w:bidi="ar"/>
        </w:rPr>
        <w:t xml:space="preserve">5. </w:t>
      </w:r>
      <w:r>
        <w:rPr>
          <w:rFonts w:eastAsia="宋体" w:cs="Arial"/>
          <w:b/>
          <w:bCs/>
          <w:kern w:val="2"/>
          <w:szCs w:val="24"/>
          <w:lang w:eastAsia="zh-CN" w:bidi="ar"/>
        </w:rPr>
        <w:t>NeoSAC study design and immune</w:t>
      </w:r>
      <w:r>
        <w:rPr>
          <w:rFonts w:eastAsia="宋体" w:cs="Arial" w:hint="eastAsia"/>
          <w:b/>
          <w:bCs/>
          <w:kern w:val="2"/>
          <w:szCs w:val="24"/>
          <w:lang w:eastAsia="zh-CN" w:bidi="ar"/>
        </w:rPr>
        <w:t xml:space="preserve"> </w:t>
      </w:r>
      <w:r>
        <w:rPr>
          <w:rFonts w:eastAsia="宋体" w:cs="Arial"/>
          <w:b/>
          <w:bCs/>
          <w:kern w:val="2"/>
          <w:szCs w:val="24"/>
          <w:lang w:eastAsia="zh-CN" w:bidi="ar"/>
        </w:rPr>
        <w:t xml:space="preserve">microenvironment assessment </w:t>
      </w:r>
    </w:p>
    <w:p w:rsidR="00A76850" w:rsidRDefault="009A3451">
      <w:pPr>
        <w:spacing w:line="360" w:lineRule="auto"/>
        <w:rPr>
          <w:rFonts w:eastAsia="宋体" w:cs="Arial"/>
          <w:kern w:val="2"/>
          <w:szCs w:val="24"/>
        </w:rPr>
      </w:pPr>
      <w:r>
        <w:rPr>
          <w:rFonts w:eastAsia="宋体" w:cs="Arial"/>
          <w:kern w:val="2"/>
          <w:szCs w:val="24"/>
          <w:lang w:eastAsia="zh-CN" w:bidi="ar"/>
        </w:rPr>
        <w:t>* Clinical stage II and III: T stage, T1c; N stage, N1-2. or T stage: T2-4, N stage: N0-2; TNBC: triple-negative breast cancer; pCR: pathologic complete response; ITT: Intention-to-treat; mIF: multiplex immunohistochmistry; ssGSEA: single-sample gene set enrichment analysis; PD-L1:</w:t>
      </w:r>
      <w:r>
        <w:rPr>
          <w:rFonts w:eastAsia="宋体" w:cs="Arial" w:hint="eastAsia"/>
          <w:kern w:val="2"/>
          <w:szCs w:val="24"/>
          <w:lang w:eastAsia="zh-CN" w:bidi="ar"/>
        </w:rPr>
        <w:t xml:space="preserve"> </w:t>
      </w:r>
      <w:r>
        <w:rPr>
          <w:rFonts w:eastAsia="宋体" w:cs="Arial"/>
          <w:kern w:val="2"/>
          <w:szCs w:val="24"/>
          <w:lang w:eastAsia="zh-CN" w:bidi="ar"/>
        </w:rPr>
        <w:t>Programmed death-ligand 1; TILs (H&amp;E): Tumor-infiltrating lymphocytes (hematoxylin and eosin).</w:t>
      </w:r>
    </w:p>
    <w:p w:rsidR="00A76850" w:rsidRDefault="00A76850">
      <w:pPr>
        <w:jc w:val="center"/>
        <w:rPr>
          <w:lang w:eastAsia="zh-CN"/>
        </w:rPr>
        <w:sectPr w:rsidR="00A76850">
          <w:pgSz w:w="12240" w:h="15840"/>
          <w:pgMar w:top="1440" w:right="1440" w:bottom="1440" w:left="1440" w:header="720" w:footer="720" w:gutter="0"/>
          <w:pgNumType w:start="1"/>
          <w:cols w:space="720"/>
          <w:docGrid w:linePitch="360"/>
        </w:sectPr>
      </w:pPr>
    </w:p>
    <w:p w:rsidR="00A76850" w:rsidRDefault="009A3451">
      <w:pPr>
        <w:pStyle w:val="SMHeading"/>
        <w:rPr>
          <w:rFonts w:eastAsia="宋体"/>
          <w:lang w:eastAsia="zh-CN"/>
        </w:rPr>
      </w:pPr>
      <w:r>
        <w:rPr>
          <w:rFonts w:eastAsia="宋体" w:hint="eastAsia"/>
          <w:lang w:eastAsia="zh-CN"/>
        </w:rPr>
        <w:lastRenderedPageBreak/>
        <w:t>Supplementary Table</w:t>
      </w:r>
      <w:r>
        <w:rPr>
          <w:rFonts w:eastAsia="宋体"/>
          <w:lang w:eastAsia="zh-CN"/>
        </w:rPr>
        <w:t xml:space="preserve"> </w:t>
      </w:r>
      <w:r>
        <w:rPr>
          <w:rFonts w:eastAsia="宋体" w:hint="eastAsia"/>
          <w:lang w:eastAsia="zh-CN"/>
        </w:rPr>
        <w:t xml:space="preserve">1 </w:t>
      </w:r>
    </w:p>
    <w:p w:rsidR="00A76850" w:rsidRDefault="009A3451">
      <w:pPr>
        <w:pBdr>
          <w:top w:val="none" w:sz="0" w:space="0" w:color="000000"/>
          <w:left w:val="none" w:sz="0" w:space="0" w:color="000000"/>
          <w:bottom w:val="none" w:sz="0" w:space="0" w:color="000000"/>
          <w:right w:val="none" w:sz="0" w:space="0" w:color="000000"/>
        </w:pBdr>
        <w:snapToGrid w:val="0"/>
        <w:spacing w:before="40" w:after="40" w:line="100" w:lineRule="atLeast"/>
        <w:ind w:right="100"/>
        <w:rPr>
          <w:rFonts w:eastAsia="宋体"/>
          <w:szCs w:val="24"/>
          <w:lang w:eastAsia="zh-CN"/>
        </w:rPr>
      </w:pPr>
      <w:r>
        <w:rPr>
          <w:rFonts w:eastAsia="宋体" w:hint="eastAsia"/>
          <w:szCs w:val="24"/>
          <w:lang w:eastAsia="zh-CN"/>
        </w:rPr>
        <w:t>Supplementary Table</w:t>
      </w:r>
      <w:r>
        <w:rPr>
          <w:rFonts w:eastAsia="宋体"/>
          <w:szCs w:val="24"/>
          <w:lang w:eastAsia="zh-CN"/>
        </w:rPr>
        <w:t>.</w:t>
      </w:r>
      <w:r>
        <w:rPr>
          <w:rFonts w:eastAsia="宋体" w:hint="eastAsia"/>
          <w:szCs w:val="24"/>
          <w:lang w:eastAsia="zh-CN"/>
        </w:rPr>
        <w:t xml:space="preserve"> 1</w:t>
      </w:r>
      <w:r>
        <w:rPr>
          <w:rFonts w:eastAsia="宋体"/>
          <w:szCs w:val="24"/>
          <w:lang w:eastAsia="zh-CN"/>
        </w:rPr>
        <w:t xml:space="preserve"> </w:t>
      </w:r>
      <w:r>
        <w:rPr>
          <w:rFonts w:eastAsia="宋体" w:hint="eastAsia"/>
          <w:szCs w:val="24"/>
          <w:lang w:eastAsia="zh-CN"/>
        </w:rPr>
        <w:t>Pathological and clinical responses</w:t>
      </w:r>
    </w:p>
    <w:tbl>
      <w:tblPr>
        <w:tblpPr w:leftFromText="180" w:rightFromText="180" w:vertAnchor="text" w:horzAnchor="page" w:tblpX="1444" w:tblpY="30"/>
        <w:tblOverlap w:val="never"/>
        <w:tblW w:w="4960" w:type="pct"/>
        <w:tblLook w:val="04A0" w:firstRow="1" w:lastRow="0" w:firstColumn="1" w:lastColumn="0" w:noHBand="0" w:noVBand="1"/>
      </w:tblPr>
      <w:tblGrid>
        <w:gridCol w:w="3552"/>
        <w:gridCol w:w="2966"/>
        <w:gridCol w:w="2767"/>
      </w:tblGrid>
      <w:tr w:rsidR="00A76850">
        <w:trPr>
          <w:trHeight w:val="733"/>
          <w:tblHeader/>
        </w:trPr>
        <w:tc>
          <w:tcPr>
            <w:tcW w:w="1913" w:type="pct"/>
            <w:tcBorders>
              <w:top w:val="single" w:sz="8" w:space="0" w:color="000000"/>
              <w:left w:val="nil"/>
              <w:bottom w:val="single" w:sz="8" w:space="0" w:color="000000"/>
              <w:right w:val="nil"/>
            </w:tcBorders>
            <w:shd w:val="clear" w:color="auto" w:fill="D8D6C2"/>
            <w:tcMar>
              <w:top w:w="0" w:type="dxa"/>
              <w:left w:w="0" w:type="dxa"/>
              <w:bottom w:w="0" w:type="dxa"/>
              <w:right w:w="0" w:type="dxa"/>
            </w:tcMar>
            <w:vAlign w:val="center"/>
          </w:tcPr>
          <w:p w:rsidR="00A76850" w:rsidRDefault="00A76850">
            <w:pPr>
              <w:pBdr>
                <w:top w:val="none" w:sz="0" w:space="0" w:color="000000"/>
                <w:left w:val="none" w:sz="0" w:space="0" w:color="000000"/>
                <w:bottom w:val="none" w:sz="0" w:space="0" w:color="000000"/>
                <w:right w:val="none" w:sz="0" w:space="0" w:color="000000"/>
              </w:pBdr>
              <w:snapToGrid w:val="0"/>
              <w:spacing w:before="40" w:after="40" w:line="100" w:lineRule="atLeast"/>
              <w:ind w:left="100" w:right="100"/>
              <w:rPr>
                <w:rFonts w:eastAsia="宋体"/>
                <w:szCs w:val="24"/>
              </w:rPr>
            </w:pPr>
          </w:p>
        </w:tc>
        <w:tc>
          <w:tcPr>
            <w:tcW w:w="1597" w:type="pct"/>
            <w:tcBorders>
              <w:top w:val="single" w:sz="8" w:space="0" w:color="000000"/>
              <w:left w:val="nil"/>
              <w:bottom w:val="single" w:sz="8" w:space="0" w:color="000000"/>
              <w:right w:val="nil"/>
            </w:tcBorders>
            <w:shd w:val="clear" w:color="auto" w:fill="D8D6C2"/>
            <w:tcMar>
              <w:top w:w="0" w:type="dxa"/>
              <w:left w:w="0" w:type="dxa"/>
              <w:bottom w:w="0" w:type="dxa"/>
              <w:right w:w="0" w:type="dxa"/>
            </w:tcMar>
            <w:vAlign w:val="center"/>
          </w:tcPr>
          <w:p w:rsidR="00A76850" w:rsidRDefault="009A3451">
            <w:pPr>
              <w:pBdr>
                <w:top w:val="none" w:sz="0" w:space="0" w:color="000000"/>
                <w:left w:val="none" w:sz="0" w:space="0" w:color="000000"/>
                <w:bottom w:val="none" w:sz="0" w:space="0" w:color="000000"/>
                <w:right w:val="none" w:sz="0" w:space="0" w:color="000000"/>
              </w:pBdr>
              <w:snapToGrid w:val="0"/>
              <w:spacing w:before="40" w:after="40" w:line="100" w:lineRule="atLeast"/>
              <w:ind w:left="100" w:right="100"/>
              <w:rPr>
                <w:rFonts w:eastAsia="宋体"/>
                <w:b/>
                <w:color w:val="000000"/>
                <w:szCs w:val="24"/>
                <w:lang w:eastAsia="zh-CN"/>
              </w:rPr>
            </w:pPr>
            <w:r>
              <w:rPr>
                <w:rFonts w:eastAsia="宋体"/>
                <w:b/>
                <w:color w:val="000000"/>
                <w:szCs w:val="24"/>
                <w:lang w:eastAsia="zh-CN"/>
              </w:rPr>
              <w:t>I</w:t>
            </w:r>
            <w:r>
              <w:rPr>
                <w:rFonts w:eastAsia="Arial"/>
                <w:b/>
                <w:color w:val="000000"/>
                <w:szCs w:val="24"/>
              </w:rPr>
              <w:t>ntention-to-treat population</w:t>
            </w:r>
            <w:r>
              <w:rPr>
                <w:rFonts w:eastAsia="宋体"/>
                <w:b/>
                <w:color w:val="000000"/>
                <w:szCs w:val="24"/>
                <w:lang w:eastAsia="zh-CN"/>
              </w:rPr>
              <w:t xml:space="preserve"> </w:t>
            </w:r>
            <w:r>
              <w:rPr>
                <w:rFonts w:eastAsia="Arial"/>
                <w:b/>
                <w:color w:val="000000"/>
                <w:szCs w:val="24"/>
              </w:rPr>
              <w:t>(n=</w:t>
            </w:r>
            <w:r>
              <w:rPr>
                <w:rFonts w:eastAsia="宋体"/>
                <w:b/>
                <w:color w:val="000000"/>
                <w:szCs w:val="24"/>
                <w:lang w:eastAsia="zh-CN"/>
              </w:rPr>
              <w:t>34</w:t>
            </w:r>
            <w:r>
              <w:rPr>
                <w:rFonts w:eastAsia="Arial"/>
                <w:b/>
                <w:color w:val="000000"/>
                <w:szCs w:val="24"/>
              </w:rPr>
              <w:t>)</w:t>
            </w:r>
          </w:p>
        </w:tc>
        <w:tc>
          <w:tcPr>
            <w:tcW w:w="1489" w:type="pct"/>
            <w:tcBorders>
              <w:top w:val="single" w:sz="8" w:space="0" w:color="000000"/>
              <w:left w:val="nil"/>
              <w:bottom w:val="single" w:sz="8" w:space="0" w:color="000000"/>
              <w:right w:val="nil"/>
            </w:tcBorders>
            <w:shd w:val="clear" w:color="auto" w:fill="D8D6C2"/>
            <w:tcMar>
              <w:top w:w="0" w:type="dxa"/>
              <w:left w:w="0" w:type="dxa"/>
              <w:bottom w:w="0" w:type="dxa"/>
              <w:right w:w="0" w:type="dxa"/>
            </w:tcMar>
            <w:vAlign w:val="center"/>
          </w:tcPr>
          <w:p w:rsidR="00A76850" w:rsidRDefault="009A3451">
            <w:pPr>
              <w:pBdr>
                <w:top w:val="none" w:sz="0" w:space="0" w:color="000000"/>
                <w:left w:val="none" w:sz="0" w:space="0" w:color="000000"/>
                <w:bottom w:val="none" w:sz="0" w:space="0" w:color="000000"/>
                <w:right w:val="none" w:sz="0" w:space="0" w:color="000000"/>
              </w:pBdr>
              <w:snapToGrid w:val="0"/>
              <w:spacing w:before="40" w:after="40" w:line="100" w:lineRule="atLeast"/>
              <w:ind w:left="100" w:right="100"/>
              <w:rPr>
                <w:rFonts w:eastAsia="宋体"/>
                <w:b/>
                <w:color w:val="000000"/>
                <w:szCs w:val="24"/>
                <w:lang w:eastAsia="zh-CN"/>
              </w:rPr>
            </w:pPr>
            <w:r>
              <w:rPr>
                <w:rFonts w:eastAsia="宋体"/>
                <w:b/>
                <w:color w:val="000000"/>
                <w:szCs w:val="24"/>
                <w:lang w:eastAsia="zh-CN"/>
              </w:rPr>
              <w:t xml:space="preserve">Per-protocol </w:t>
            </w:r>
          </w:p>
          <w:p w:rsidR="00A76850" w:rsidRDefault="009A3451">
            <w:pPr>
              <w:pBdr>
                <w:top w:val="none" w:sz="0" w:space="0" w:color="000000"/>
                <w:left w:val="none" w:sz="0" w:space="0" w:color="000000"/>
                <w:bottom w:val="none" w:sz="0" w:space="0" w:color="000000"/>
                <w:right w:val="none" w:sz="0" w:space="0" w:color="000000"/>
              </w:pBdr>
              <w:snapToGrid w:val="0"/>
              <w:spacing w:before="40" w:after="40" w:line="100" w:lineRule="atLeast"/>
              <w:ind w:left="100" w:right="100"/>
              <w:rPr>
                <w:rFonts w:eastAsia="宋体"/>
                <w:szCs w:val="24"/>
              </w:rPr>
            </w:pPr>
            <w:r>
              <w:rPr>
                <w:rFonts w:eastAsia="宋体"/>
                <w:b/>
                <w:color w:val="000000"/>
                <w:szCs w:val="24"/>
                <w:lang w:eastAsia="zh-CN"/>
              </w:rPr>
              <w:t xml:space="preserve">population </w:t>
            </w:r>
            <w:r>
              <w:rPr>
                <w:rFonts w:eastAsia="Arial"/>
                <w:b/>
                <w:color w:val="000000"/>
                <w:szCs w:val="24"/>
              </w:rPr>
              <w:t>(n=</w:t>
            </w:r>
            <w:r>
              <w:rPr>
                <w:rFonts w:eastAsia="宋体"/>
                <w:b/>
                <w:color w:val="000000"/>
                <w:szCs w:val="24"/>
                <w:lang w:eastAsia="zh-CN"/>
              </w:rPr>
              <w:t>33</w:t>
            </w:r>
            <w:r>
              <w:rPr>
                <w:rFonts w:eastAsia="Arial"/>
                <w:b/>
                <w:color w:val="000000"/>
                <w:szCs w:val="24"/>
              </w:rPr>
              <w:t>)</w:t>
            </w:r>
            <w:r>
              <w:rPr>
                <w:rFonts w:hint="eastAsia"/>
                <w:b/>
                <w:color w:val="000000"/>
                <w:szCs w:val="24"/>
                <w:lang w:eastAsia="zh-CN"/>
              </w:rPr>
              <w:t xml:space="preserve"> </w:t>
            </w:r>
            <w:r>
              <w:rPr>
                <w:rFonts w:eastAsia="宋体"/>
                <w:color w:val="000000"/>
                <w:szCs w:val="24"/>
                <w:lang w:eastAsia="zh-CN"/>
              </w:rPr>
              <w:t>*</w:t>
            </w:r>
          </w:p>
        </w:tc>
      </w:tr>
      <w:tr w:rsidR="00A76850">
        <w:trPr>
          <w:trHeight w:val="581"/>
        </w:trPr>
        <w:tc>
          <w:tcPr>
            <w:tcW w:w="5000" w:type="pct"/>
            <w:gridSpan w:val="3"/>
            <w:tcBorders>
              <w:top w:val="single" w:sz="8" w:space="0" w:color="000000"/>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lang w:eastAsia="zh-CN"/>
              </w:rPr>
            </w:pPr>
            <w:r>
              <w:rPr>
                <w:rFonts w:eastAsia="Arial"/>
                <w:color w:val="000000"/>
                <w:szCs w:val="24"/>
              </w:rPr>
              <w:t>Total</w:t>
            </w:r>
            <w:r>
              <w:rPr>
                <w:rFonts w:eastAsia="宋体"/>
                <w:color w:val="000000"/>
                <w:szCs w:val="24"/>
                <w:lang w:eastAsia="zh-CN"/>
              </w:rPr>
              <w:t xml:space="preserve"> </w:t>
            </w:r>
            <w:r>
              <w:rPr>
                <w:rFonts w:eastAsia="Arial"/>
                <w:color w:val="000000"/>
                <w:szCs w:val="24"/>
              </w:rPr>
              <w:t>pathological</w:t>
            </w:r>
            <w:r>
              <w:rPr>
                <w:rFonts w:eastAsia="宋体"/>
                <w:color w:val="000000"/>
                <w:szCs w:val="24"/>
                <w:lang w:eastAsia="zh-CN"/>
              </w:rPr>
              <w:t xml:space="preserve"> </w:t>
            </w:r>
            <w:r>
              <w:rPr>
                <w:rFonts w:eastAsia="Arial"/>
                <w:color w:val="000000"/>
                <w:szCs w:val="24"/>
              </w:rPr>
              <w:t>complete response</w:t>
            </w:r>
            <w:r>
              <w:rPr>
                <w:rFonts w:eastAsia="宋体"/>
                <w:color w:val="000000"/>
                <w:szCs w:val="24"/>
                <w:lang w:eastAsia="zh-CN"/>
              </w:rPr>
              <w:t>*</w:t>
            </w:r>
          </w:p>
        </w:tc>
      </w:tr>
      <w:tr w:rsidR="00A76850">
        <w:trPr>
          <w:trHeight w:val="516"/>
        </w:trPr>
        <w:tc>
          <w:tcPr>
            <w:tcW w:w="1913"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color w:val="F6E2DF"/>
                <w:szCs w:val="24"/>
                <w:lang w:eastAsia="zh-CN"/>
              </w:rPr>
            </w:pPr>
            <w:r>
              <w:rPr>
                <w:rFonts w:eastAsia="宋体"/>
                <w:szCs w:val="24"/>
                <w:lang w:eastAsia="zh-CN"/>
              </w:rPr>
              <w:t>No</w:t>
            </w:r>
          </w:p>
        </w:tc>
        <w:tc>
          <w:tcPr>
            <w:tcW w:w="1597"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szCs w:val="24"/>
              </w:rPr>
            </w:pPr>
            <w:r>
              <w:rPr>
                <w:rFonts w:eastAsia="Arial"/>
                <w:color w:val="000000"/>
                <w:sz w:val="22"/>
                <w:szCs w:val="22"/>
              </w:rPr>
              <w:t>9 / 34 (26.5%)</w:t>
            </w:r>
          </w:p>
        </w:tc>
        <w:tc>
          <w:tcPr>
            <w:tcW w:w="1489"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color w:val="F6E2DF"/>
                <w:szCs w:val="24"/>
              </w:rPr>
            </w:pPr>
            <w:r>
              <w:rPr>
                <w:rFonts w:eastAsia="Arial"/>
                <w:szCs w:val="24"/>
              </w:rPr>
              <w:t>9 / 33 (27.3%)</w:t>
            </w:r>
          </w:p>
        </w:tc>
      </w:tr>
      <w:tr w:rsidR="00A76850">
        <w:trPr>
          <w:trHeight w:val="516"/>
        </w:trPr>
        <w:tc>
          <w:tcPr>
            <w:tcW w:w="1913"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color w:val="F6E2DF"/>
                <w:szCs w:val="24"/>
                <w:lang w:eastAsia="zh-CN"/>
              </w:rPr>
            </w:pPr>
            <w:r>
              <w:rPr>
                <w:rFonts w:eastAsia="宋体"/>
                <w:szCs w:val="24"/>
                <w:lang w:eastAsia="zh-CN"/>
              </w:rPr>
              <w:t>Yes</w:t>
            </w:r>
          </w:p>
        </w:tc>
        <w:tc>
          <w:tcPr>
            <w:tcW w:w="1597"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szCs w:val="24"/>
              </w:rPr>
            </w:pPr>
            <w:r>
              <w:rPr>
                <w:rFonts w:eastAsia="Arial"/>
                <w:color w:val="000000"/>
                <w:sz w:val="22"/>
                <w:szCs w:val="22"/>
              </w:rPr>
              <w:t>24 / 34 (70.6%)</w:t>
            </w:r>
          </w:p>
        </w:tc>
        <w:tc>
          <w:tcPr>
            <w:tcW w:w="1489" w:type="pct"/>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color w:val="F6E2DF"/>
                <w:szCs w:val="24"/>
              </w:rPr>
            </w:pPr>
            <w:r>
              <w:rPr>
                <w:rFonts w:eastAsia="Arial"/>
                <w:szCs w:val="24"/>
              </w:rPr>
              <w:t>24 / 33 (72.7%)</w:t>
            </w:r>
          </w:p>
        </w:tc>
      </w:tr>
      <w:tr w:rsidR="00A76850">
        <w:trPr>
          <w:trHeight w:val="516"/>
        </w:trPr>
        <w:tc>
          <w:tcPr>
            <w:tcW w:w="5000" w:type="pct"/>
            <w:gridSpan w:val="3"/>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vertAlign w:val="superscript"/>
                <w:lang w:eastAsia="zh-CN"/>
              </w:rPr>
            </w:pPr>
            <w:r>
              <w:rPr>
                <w:rFonts w:eastAsia="Arial"/>
                <w:color w:val="000000"/>
                <w:szCs w:val="24"/>
              </w:rPr>
              <w:t>Residual cancer burden score</w:t>
            </w:r>
            <w:r>
              <w:rPr>
                <w:rFonts w:eastAsia="宋体"/>
                <w:color w:val="000000"/>
                <w:szCs w:val="24"/>
                <w:lang w:eastAsia="zh-CN"/>
              </w:rPr>
              <w:t>*</w:t>
            </w:r>
          </w:p>
        </w:tc>
      </w:tr>
      <w:tr w:rsidR="00A76850">
        <w:trPr>
          <w:trHeight w:val="516"/>
        </w:trPr>
        <w:tc>
          <w:tcPr>
            <w:tcW w:w="1913"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szCs w:val="24"/>
              </w:rPr>
            </w:pPr>
            <w:r>
              <w:rPr>
                <w:rFonts w:eastAsia="Arial"/>
                <w:color w:val="000000"/>
                <w:szCs w:val="24"/>
              </w:rPr>
              <w:t>0</w:t>
            </w:r>
          </w:p>
        </w:tc>
        <w:tc>
          <w:tcPr>
            <w:tcW w:w="1597"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pacing w:before="100" w:after="100"/>
              <w:ind w:left="100" w:right="100"/>
              <w:rPr>
                <w:rFonts w:eastAsia="宋体"/>
                <w:szCs w:val="24"/>
              </w:rPr>
            </w:pPr>
            <w:r>
              <w:rPr>
                <w:rFonts w:eastAsia="Arial"/>
                <w:color w:val="000000"/>
                <w:sz w:val="22"/>
                <w:szCs w:val="22"/>
              </w:rPr>
              <w:t>24 / 34 (70.6%)</w:t>
            </w:r>
          </w:p>
        </w:tc>
        <w:tc>
          <w:tcPr>
            <w:tcW w:w="1489"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24 / 33 (72.7%)</w:t>
            </w:r>
          </w:p>
        </w:tc>
      </w:tr>
      <w:tr w:rsidR="00A76850">
        <w:trPr>
          <w:trHeight w:val="516"/>
        </w:trPr>
        <w:tc>
          <w:tcPr>
            <w:tcW w:w="1913"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szCs w:val="24"/>
              </w:rPr>
            </w:pPr>
            <w:r>
              <w:rPr>
                <w:rFonts w:eastAsia="Arial"/>
                <w:color w:val="000000"/>
                <w:szCs w:val="24"/>
              </w:rPr>
              <w:t>I</w:t>
            </w:r>
          </w:p>
        </w:tc>
        <w:tc>
          <w:tcPr>
            <w:tcW w:w="1597"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pacing w:before="100" w:after="100"/>
              <w:ind w:left="100" w:right="100"/>
              <w:rPr>
                <w:rFonts w:eastAsia="宋体"/>
                <w:szCs w:val="24"/>
              </w:rPr>
            </w:pPr>
            <w:r>
              <w:rPr>
                <w:rFonts w:eastAsia="Arial"/>
                <w:color w:val="000000"/>
                <w:sz w:val="22"/>
                <w:szCs w:val="22"/>
              </w:rPr>
              <w:t>3 / 34 (8.8%)</w:t>
            </w:r>
          </w:p>
        </w:tc>
        <w:tc>
          <w:tcPr>
            <w:tcW w:w="1489"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3 / 33 (9.1%)</w:t>
            </w:r>
          </w:p>
        </w:tc>
      </w:tr>
      <w:tr w:rsidR="00A76850">
        <w:trPr>
          <w:trHeight w:val="516"/>
        </w:trPr>
        <w:tc>
          <w:tcPr>
            <w:tcW w:w="1913"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szCs w:val="24"/>
              </w:rPr>
            </w:pPr>
            <w:r>
              <w:rPr>
                <w:rFonts w:eastAsia="Arial"/>
                <w:color w:val="000000"/>
                <w:szCs w:val="24"/>
              </w:rPr>
              <w:t>II</w:t>
            </w:r>
          </w:p>
        </w:tc>
        <w:tc>
          <w:tcPr>
            <w:tcW w:w="1597"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color w:val="000000"/>
                <w:szCs w:val="24"/>
              </w:rPr>
            </w:pPr>
            <w:r>
              <w:rPr>
                <w:rFonts w:eastAsia="Arial"/>
                <w:color w:val="000000"/>
                <w:sz w:val="22"/>
                <w:szCs w:val="22"/>
              </w:rPr>
              <w:t>5 / 34 (14.7%)</w:t>
            </w:r>
          </w:p>
        </w:tc>
        <w:tc>
          <w:tcPr>
            <w:tcW w:w="1489"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5 / 33 (15.2%)</w:t>
            </w:r>
          </w:p>
        </w:tc>
      </w:tr>
      <w:tr w:rsidR="00A76850">
        <w:trPr>
          <w:trHeight w:val="516"/>
        </w:trPr>
        <w:tc>
          <w:tcPr>
            <w:tcW w:w="1913"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宋体"/>
                <w:szCs w:val="24"/>
              </w:rPr>
            </w:pPr>
            <w:r>
              <w:rPr>
                <w:rFonts w:eastAsia="Arial"/>
                <w:color w:val="000000"/>
                <w:szCs w:val="24"/>
              </w:rPr>
              <w:t>III</w:t>
            </w:r>
          </w:p>
        </w:tc>
        <w:tc>
          <w:tcPr>
            <w:tcW w:w="1597"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pacing w:before="100" w:after="100"/>
              <w:ind w:left="100" w:right="100"/>
              <w:rPr>
                <w:rFonts w:eastAsia="宋体"/>
                <w:szCs w:val="24"/>
              </w:rPr>
            </w:pPr>
            <w:r>
              <w:rPr>
                <w:rFonts w:eastAsia="Arial"/>
                <w:color w:val="000000"/>
                <w:sz w:val="22"/>
                <w:szCs w:val="22"/>
              </w:rPr>
              <w:t>1 / 34 (2.9%)</w:t>
            </w:r>
          </w:p>
        </w:tc>
        <w:tc>
          <w:tcPr>
            <w:tcW w:w="1489" w:type="pct"/>
            <w:tcBorders>
              <w:top w:val="nil"/>
              <w:left w:val="nil"/>
              <w:bottom w:val="nil"/>
              <w:right w:val="nil"/>
            </w:tcBorders>
            <w:shd w:val="clear" w:color="auto" w:fill="ECEAD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1 / 33 (3.0%)</w:t>
            </w:r>
          </w:p>
        </w:tc>
      </w:tr>
      <w:tr w:rsidR="00A76850">
        <w:trPr>
          <w:trHeight w:val="516"/>
        </w:trPr>
        <w:tc>
          <w:tcPr>
            <w:tcW w:w="5000" w:type="pct"/>
            <w:gridSpan w:val="3"/>
            <w:tcBorders>
              <w:top w:val="nil"/>
              <w:left w:val="nil"/>
              <w:bottom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Clinical</w:t>
            </w:r>
            <w:r>
              <w:rPr>
                <w:rFonts w:eastAsia="宋体"/>
                <w:color w:val="000000"/>
                <w:szCs w:val="24"/>
                <w:lang w:eastAsia="zh-CN"/>
              </w:rPr>
              <w:t xml:space="preserve"> </w:t>
            </w:r>
            <w:r>
              <w:rPr>
                <w:rFonts w:eastAsia="Arial"/>
                <w:color w:val="000000"/>
                <w:szCs w:val="24"/>
              </w:rPr>
              <w:t>responses</w:t>
            </w:r>
          </w:p>
        </w:tc>
      </w:tr>
      <w:tr w:rsidR="00A76850">
        <w:trPr>
          <w:trHeight w:val="516"/>
        </w:trPr>
        <w:tc>
          <w:tcPr>
            <w:tcW w:w="1913" w:type="pct"/>
            <w:tcBorders>
              <w:top w:val="nil"/>
              <w:left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jc w:val="both"/>
              <w:rPr>
                <w:rFonts w:eastAsia="宋体"/>
                <w:szCs w:val="24"/>
              </w:rPr>
            </w:pPr>
            <w:r>
              <w:rPr>
                <w:rFonts w:eastAsia="Arial"/>
                <w:color w:val="000000"/>
                <w:szCs w:val="24"/>
              </w:rPr>
              <w:t>Complete response</w:t>
            </w:r>
          </w:p>
        </w:tc>
        <w:tc>
          <w:tcPr>
            <w:tcW w:w="1597" w:type="pct"/>
            <w:tcBorders>
              <w:top w:val="nil"/>
              <w:left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color w:val="000000"/>
                <w:szCs w:val="24"/>
              </w:rPr>
            </w:pPr>
            <w:r>
              <w:rPr>
                <w:rFonts w:eastAsia="宋体"/>
                <w:color w:val="000000"/>
                <w:sz w:val="22"/>
                <w:szCs w:val="22"/>
                <w:lang w:eastAsia="zh-CN"/>
              </w:rPr>
              <w:t>21</w:t>
            </w:r>
            <w:r>
              <w:rPr>
                <w:rFonts w:eastAsia="Arial"/>
                <w:color w:val="000000"/>
                <w:sz w:val="22"/>
                <w:szCs w:val="22"/>
              </w:rPr>
              <w:t xml:space="preserve"> / 34 (</w:t>
            </w:r>
            <w:r>
              <w:rPr>
                <w:rFonts w:eastAsia="宋体"/>
                <w:color w:val="000000"/>
                <w:sz w:val="22"/>
                <w:szCs w:val="22"/>
                <w:lang w:eastAsia="zh-CN"/>
              </w:rPr>
              <w:t>61</w:t>
            </w:r>
            <w:r>
              <w:rPr>
                <w:rFonts w:eastAsia="Arial"/>
                <w:color w:val="000000"/>
                <w:sz w:val="22"/>
                <w:szCs w:val="22"/>
              </w:rPr>
              <w:t>.</w:t>
            </w:r>
            <w:r>
              <w:rPr>
                <w:rFonts w:eastAsia="宋体"/>
                <w:color w:val="000000"/>
                <w:sz w:val="22"/>
                <w:szCs w:val="22"/>
                <w:lang w:eastAsia="zh-CN"/>
              </w:rPr>
              <w:t>8</w:t>
            </w:r>
            <w:r>
              <w:rPr>
                <w:rFonts w:eastAsia="Arial"/>
                <w:color w:val="000000"/>
                <w:sz w:val="22"/>
                <w:szCs w:val="22"/>
              </w:rPr>
              <w:t>%)</w:t>
            </w:r>
          </w:p>
        </w:tc>
        <w:tc>
          <w:tcPr>
            <w:tcW w:w="1489" w:type="pct"/>
            <w:tcBorders>
              <w:top w:val="nil"/>
              <w:left w:val="nil"/>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宋体"/>
                <w:szCs w:val="24"/>
              </w:rPr>
            </w:pPr>
            <w:r>
              <w:rPr>
                <w:rFonts w:eastAsia="Arial"/>
                <w:color w:val="000000"/>
                <w:szCs w:val="24"/>
              </w:rPr>
              <w:t>21 / 3</w:t>
            </w:r>
            <w:r>
              <w:rPr>
                <w:rFonts w:eastAsia="宋体"/>
                <w:color w:val="000000"/>
                <w:szCs w:val="24"/>
                <w:lang w:eastAsia="zh-CN"/>
              </w:rPr>
              <w:t>3</w:t>
            </w:r>
            <w:r>
              <w:rPr>
                <w:rFonts w:eastAsia="Arial"/>
                <w:color w:val="000000"/>
                <w:szCs w:val="24"/>
              </w:rPr>
              <w:t xml:space="preserve"> (6</w:t>
            </w:r>
            <w:r>
              <w:rPr>
                <w:rFonts w:eastAsia="宋体"/>
                <w:color w:val="000000"/>
                <w:szCs w:val="24"/>
                <w:lang w:eastAsia="zh-CN"/>
              </w:rPr>
              <w:t>3</w:t>
            </w:r>
            <w:r>
              <w:rPr>
                <w:rFonts w:eastAsia="Arial"/>
                <w:color w:val="000000"/>
                <w:szCs w:val="24"/>
              </w:rPr>
              <w:t>.</w:t>
            </w:r>
            <w:r>
              <w:rPr>
                <w:rFonts w:eastAsia="宋体"/>
                <w:color w:val="000000"/>
                <w:szCs w:val="24"/>
                <w:lang w:eastAsia="zh-CN"/>
              </w:rPr>
              <w:t>6</w:t>
            </w:r>
            <w:r>
              <w:rPr>
                <w:rFonts w:eastAsia="Arial"/>
                <w:color w:val="000000"/>
                <w:szCs w:val="24"/>
              </w:rPr>
              <w:t>%)</w:t>
            </w:r>
          </w:p>
        </w:tc>
      </w:tr>
      <w:tr w:rsidR="00A76850">
        <w:trPr>
          <w:trHeight w:val="516"/>
        </w:trPr>
        <w:tc>
          <w:tcPr>
            <w:tcW w:w="1913" w:type="pct"/>
            <w:tcBorders>
              <w:top w:val="nil"/>
              <w:left w:val="nil"/>
              <w:bottom w:val="single" w:sz="4" w:space="0" w:color="auto"/>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300" w:right="100"/>
              <w:rPr>
                <w:rFonts w:eastAsia="Arial"/>
                <w:color w:val="000000"/>
                <w:szCs w:val="24"/>
              </w:rPr>
            </w:pPr>
            <w:r>
              <w:rPr>
                <w:rFonts w:eastAsia="Arial"/>
                <w:color w:val="000000"/>
                <w:szCs w:val="24"/>
              </w:rPr>
              <w:t>Partial response</w:t>
            </w:r>
          </w:p>
        </w:tc>
        <w:tc>
          <w:tcPr>
            <w:tcW w:w="1597" w:type="pct"/>
            <w:tcBorders>
              <w:top w:val="nil"/>
              <w:left w:val="nil"/>
              <w:bottom w:val="single" w:sz="4" w:space="0" w:color="auto"/>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color w:val="000000"/>
                <w:szCs w:val="24"/>
              </w:rPr>
            </w:pPr>
            <w:r>
              <w:rPr>
                <w:rFonts w:eastAsia="宋体"/>
                <w:color w:val="000000"/>
                <w:sz w:val="22"/>
                <w:szCs w:val="22"/>
                <w:lang w:eastAsia="zh-CN"/>
              </w:rPr>
              <w:t>13</w:t>
            </w:r>
            <w:r>
              <w:rPr>
                <w:rFonts w:eastAsia="Arial"/>
                <w:color w:val="000000"/>
                <w:sz w:val="22"/>
                <w:szCs w:val="22"/>
              </w:rPr>
              <w:t xml:space="preserve"> / 34 (</w:t>
            </w:r>
            <w:r>
              <w:rPr>
                <w:rFonts w:eastAsia="宋体"/>
                <w:color w:val="000000"/>
                <w:sz w:val="22"/>
                <w:szCs w:val="22"/>
                <w:lang w:eastAsia="zh-CN"/>
              </w:rPr>
              <w:t>38</w:t>
            </w:r>
            <w:r>
              <w:rPr>
                <w:rFonts w:eastAsia="Arial"/>
                <w:color w:val="000000"/>
                <w:sz w:val="22"/>
                <w:szCs w:val="22"/>
              </w:rPr>
              <w:t>.</w:t>
            </w:r>
            <w:r>
              <w:rPr>
                <w:rFonts w:eastAsia="宋体"/>
                <w:color w:val="000000"/>
                <w:sz w:val="22"/>
                <w:szCs w:val="22"/>
                <w:lang w:eastAsia="zh-CN"/>
              </w:rPr>
              <w:t>2</w:t>
            </w:r>
            <w:r>
              <w:rPr>
                <w:rFonts w:eastAsia="Arial"/>
                <w:color w:val="000000"/>
                <w:sz w:val="22"/>
                <w:szCs w:val="22"/>
              </w:rPr>
              <w:t>%)</w:t>
            </w:r>
          </w:p>
        </w:tc>
        <w:tc>
          <w:tcPr>
            <w:tcW w:w="1489" w:type="pct"/>
            <w:tcBorders>
              <w:top w:val="nil"/>
              <w:left w:val="nil"/>
              <w:bottom w:val="single" w:sz="4" w:space="0" w:color="auto"/>
              <w:right w:val="nil"/>
            </w:tcBorders>
            <w:shd w:val="clear" w:color="auto" w:fill="FFFFFF"/>
            <w:tcMar>
              <w:top w:w="0" w:type="dxa"/>
              <w:left w:w="0" w:type="dxa"/>
              <w:bottom w:w="0" w:type="dxa"/>
              <w:right w:w="0" w:type="dxa"/>
            </w:tcMar>
          </w:tcPr>
          <w:p w:rsidR="00A76850" w:rsidRDefault="009A3451">
            <w:pPr>
              <w:pBdr>
                <w:top w:val="none" w:sz="0" w:space="0" w:color="000000"/>
                <w:left w:val="none" w:sz="0" w:space="0" w:color="000000"/>
                <w:bottom w:val="none" w:sz="0" w:space="0" w:color="000000"/>
                <w:right w:val="none" w:sz="0" w:space="0" w:color="000000"/>
              </w:pBdr>
              <w:snapToGrid w:val="0"/>
              <w:spacing w:before="100" w:after="100" w:line="100" w:lineRule="atLeast"/>
              <w:ind w:left="100" w:right="100"/>
              <w:rPr>
                <w:rFonts w:eastAsia="Arial"/>
                <w:color w:val="000000"/>
                <w:szCs w:val="24"/>
              </w:rPr>
            </w:pPr>
            <w:r>
              <w:rPr>
                <w:rFonts w:eastAsia="Arial"/>
                <w:color w:val="000000"/>
                <w:szCs w:val="24"/>
              </w:rPr>
              <w:t>12 / 3</w:t>
            </w:r>
            <w:r>
              <w:rPr>
                <w:rFonts w:eastAsia="宋体"/>
                <w:color w:val="000000"/>
                <w:szCs w:val="24"/>
                <w:lang w:eastAsia="zh-CN"/>
              </w:rPr>
              <w:t>3</w:t>
            </w:r>
            <w:r>
              <w:rPr>
                <w:rFonts w:eastAsia="Arial"/>
                <w:color w:val="000000"/>
                <w:szCs w:val="24"/>
              </w:rPr>
              <w:t xml:space="preserve"> (3</w:t>
            </w:r>
            <w:r>
              <w:rPr>
                <w:rFonts w:eastAsia="宋体"/>
                <w:color w:val="000000"/>
                <w:szCs w:val="24"/>
                <w:lang w:eastAsia="zh-CN"/>
              </w:rPr>
              <w:t>6</w:t>
            </w:r>
            <w:r>
              <w:rPr>
                <w:rFonts w:eastAsia="Arial"/>
                <w:color w:val="000000"/>
                <w:szCs w:val="24"/>
              </w:rPr>
              <w:t>.</w:t>
            </w:r>
            <w:r>
              <w:rPr>
                <w:rFonts w:eastAsia="宋体"/>
                <w:color w:val="000000"/>
                <w:szCs w:val="24"/>
                <w:lang w:eastAsia="zh-CN"/>
              </w:rPr>
              <w:t>4</w:t>
            </w:r>
            <w:r>
              <w:rPr>
                <w:rFonts w:eastAsia="Arial"/>
                <w:color w:val="000000"/>
                <w:szCs w:val="24"/>
              </w:rPr>
              <w:t>%)</w:t>
            </w:r>
          </w:p>
        </w:tc>
      </w:tr>
    </w:tbl>
    <w:p w:rsidR="00A76850" w:rsidRDefault="00A76850">
      <w:pPr>
        <w:tabs>
          <w:tab w:val="left" w:pos="1152"/>
        </w:tabs>
        <w:rPr>
          <w:rFonts w:eastAsia="宋体"/>
          <w:szCs w:val="24"/>
          <w:lang w:eastAsia="zh-CN"/>
        </w:rPr>
      </w:pPr>
    </w:p>
    <w:p w:rsidR="00A76850" w:rsidRDefault="009A3451">
      <w:pPr>
        <w:tabs>
          <w:tab w:val="left" w:pos="1152"/>
        </w:tabs>
        <w:rPr>
          <w:rFonts w:eastAsia="宋体"/>
          <w:szCs w:val="24"/>
          <w:lang w:eastAsia="zh-CN"/>
        </w:rPr>
      </w:pPr>
      <w:r>
        <w:rPr>
          <w:rFonts w:eastAsia="宋体" w:hint="eastAsia"/>
          <w:szCs w:val="24"/>
          <w:lang w:eastAsia="zh-CN"/>
        </w:rPr>
        <w:t xml:space="preserve">Data are n (%). </w:t>
      </w:r>
    </w:p>
    <w:p w:rsidR="00A76850" w:rsidRDefault="009A3451">
      <w:pPr>
        <w:tabs>
          <w:tab w:val="left" w:pos="1152"/>
        </w:tabs>
        <w:rPr>
          <w:rFonts w:eastAsia="宋体"/>
          <w:szCs w:val="24"/>
          <w:lang w:eastAsia="zh-CN"/>
        </w:rPr>
      </w:pPr>
      <w:r>
        <w:rPr>
          <w:rFonts w:eastAsia="宋体" w:hint="eastAsia"/>
          <w:szCs w:val="24"/>
          <w:lang w:eastAsia="zh-CN"/>
        </w:rPr>
        <w:t>*One patient in the Intention-to-treat group l</w:t>
      </w:r>
      <w:r>
        <w:rPr>
          <w:rFonts w:eastAsia="宋体"/>
          <w:szCs w:val="24"/>
          <w:lang w:eastAsia="zh-CN"/>
        </w:rPr>
        <w:t>ost</w:t>
      </w:r>
      <w:r>
        <w:rPr>
          <w:rFonts w:eastAsia="宋体" w:hint="eastAsia"/>
          <w:szCs w:val="24"/>
          <w:lang w:eastAsia="zh-CN"/>
        </w:rPr>
        <w:t xml:space="preserve"> </w:t>
      </w:r>
      <w:r>
        <w:rPr>
          <w:rFonts w:eastAsia="宋体"/>
          <w:szCs w:val="24"/>
          <w:lang w:eastAsia="zh-CN"/>
        </w:rPr>
        <w:t>follow-up after 3 cycles of neoadjuvant therapy</w:t>
      </w:r>
      <w:r>
        <w:rPr>
          <w:rFonts w:eastAsia="宋体" w:hint="eastAsia"/>
          <w:szCs w:val="24"/>
          <w:lang w:eastAsia="zh-CN"/>
        </w:rPr>
        <w:t>.</w:t>
      </w:r>
    </w:p>
    <w:sectPr w:rsidR="00A7685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E78" w:rsidRDefault="004D0E78">
      <w:r>
        <w:separator/>
      </w:r>
    </w:p>
  </w:endnote>
  <w:endnote w:type="continuationSeparator" w:id="0">
    <w:p w:rsidR="004D0E78" w:rsidRDefault="004D0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2020803070505020304"/>
    <w:charset w:val="00"/>
    <w:family w:val="auto"/>
    <w:pitch w:val="default"/>
    <w:sig w:usb0="00000000" w:usb1="00000000" w:usb2="00000001" w:usb3="00000000" w:csb0="400001BF" w:csb1="DFF70000"/>
  </w:font>
  <w:font w:name="Times New Roman Italic">
    <w:altName w:val="Times New Roman"/>
    <w:panose1 w:val="02020503050405090304"/>
    <w:charset w:val="00"/>
    <w:family w:val="auto"/>
    <w:pitch w:val="default"/>
    <w:sig w:usb0="00000000" w:usb1="00000000" w:usb2="00000001" w:usb3="00000000" w:csb0="400001BF" w:csb1="DFF70000"/>
  </w:font>
  <w:font w:name="Cambria Math">
    <w:panose1 w:val="02040503050406030204"/>
    <w:charset w:val="00"/>
    <w:family w:val="roman"/>
    <w:pitch w:val="default"/>
    <w:sig w:usb0="E00006FF" w:usb1="420024FF" w:usb2="02000000" w:usb3="00000000" w:csb0="2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850" w:rsidRDefault="009A3451">
    <w:pPr>
      <w:pStyle w:val="aff6"/>
      <w:jc w:val="right"/>
    </w:pPr>
    <w:r>
      <w:fldChar w:fldCharType="begin"/>
    </w:r>
    <w:r>
      <w:instrText xml:space="preserve"> PAGE   \* MERGEFORMAT </w:instrText>
    </w:r>
    <w:r>
      <w:fldChar w:fldCharType="separate"/>
    </w:r>
    <w:r w:rsidR="00D762E8">
      <w:rPr>
        <w:noProof/>
      </w:rPr>
      <w:t>1</w:t>
    </w:r>
    <w:r>
      <w:fldChar w:fldCharType="end"/>
    </w:r>
  </w:p>
  <w:p w:rsidR="00A76850" w:rsidRDefault="00A76850">
    <w:pPr>
      <w:pStyle w:val="af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E78" w:rsidRDefault="004D0E78">
      <w:r>
        <w:separator/>
      </w:r>
    </w:p>
  </w:footnote>
  <w:footnote w:type="continuationSeparator" w:id="0">
    <w:p w:rsidR="004D0E78" w:rsidRDefault="004D0E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850" w:rsidRDefault="00A76850">
    <w:pPr>
      <w:jc w:val="right"/>
      <w:rPr>
        <w:sz w:val="20"/>
      </w:rPr>
    </w:pPr>
  </w:p>
  <w:p w:rsidR="00A76850" w:rsidRDefault="00A7685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B7B593CD"/>
    <w:rsid w:val="B7B9CE24"/>
    <w:rsid w:val="BBDF0EF7"/>
    <w:rsid w:val="D7F8B3D9"/>
    <w:rsid w:val="DBB7CB90"/>
    <w:rsid w:val="DBF96FF3"/>
    <w:rsid w:val="DE32DFE3"/>
    <w:rsid w:val="DFF934B9"/>
    <w:rsid w:val="E6F7DBCD"/>
    <w:rsid w:val="F5FAD14C"/>
    <w:rsid w:val="FDFD4101"/>
    <w:rsid w:val="FFF7F265"/>
    <w:rsid w:val="00015F74"/>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84A81"/>
    <w:rsid w:val="001A1BDE"/>
    <w:rsid w:val="001F0876"/>
    <w:rsid w:val="001F167C"/>
    <w:rsid w:val="001F5E91"/>
    <w:rsid w:val="002077B9"/>
    <w:rsid w:val="00262D72"/>
    <w:rsid w:val="00294FBB"/>
    <w:rsid w:val="002B3205"/>
    <w:rsid w:val="002C030F"/>
    <w:rsid w:val="00331D75"/>
    <w:rsid w:val="00355362"/>
    <w:rsid w:val="00363E44"/>
    <w:rsid w:val="00395E86"/>
    <w:rsid w:val="003A2FD8"/>
    <w:rsid w:val="003B40E6"/>
    <w:rsid w:val="003E74FB"/>
    <w:rsid w:val="003F6E14"/>
    <w:rsid w:val="004000D7"/>
    <w:rsid w:val="00405336"/>
    <w:rsid w:val="004571D5"/>
    <w:rsid w:val="00461D81"/>
    <w:rsid w:val="0046356B"/>
    <w:rsid w:val="00477182"/>
    <w:rsid w:val="004779CB"/>
    <w:rsid w:val="004D0E78"/>
    <w:rsid w:val="004E42D8"/>
    <w:rsid w:val="004E7BA2"/>
    <w:rsid w:val="004F7EDF"/>
    <w:rsid w:val="005001AC"/>
    <w:rsid w:val="00527D71"/>
    <w:rsid w:val="005520A8"/>
    <w:rsid w:val="005607DD"/>
    <w:rsid w:val="0059263B"/>
    <w:rsid w:val="005A558C"/>
    <w:rsid w:val="005E28F8"/>
    <w:rsid w:val="005E6513"/>
    <w:rsid w:val="00651114"/>
    <w:rsid w:val="00664560"/>
    <w:rsid w:val="00670299"/>
    <w:rsid w:val="00691985"/>
    <w:rsid w:val="006A1B64"/>
    <w:rsid w:val="007108F5"/>
    <w:rsid w:val="00713E5B"/>
    <w:rsid w:val="007402FC"/>
    <w:rsid w:val="007411A1"/>
    <w:rsid w:val="00793072"/>
    <w:rsid w:val="007A0271"/>
    <w:rsid w:val="007B5BA7"/>
    <w:rsid w:val="00807D35"/>
    <w:rsid w:val="008218C4"/>
    <w:rsid w:val="00821E8B"/>
    <w:rsid w:val="00821F38"/>
    <w:rsid w:val="00867A98"/>
    <w:rsid w:val="00870867"/>
    <w:rsid w:val="00883607"/>
    <w:rsid w:val="00885C9B"/>
    <w:rsid w:val="008D5D2A"/>
    <w:rsid w:val="00914B63"/>
    <w:rsid w:val="00915689"/>
    <w:rsid w:val="009354F3"/>
    <w:rsid w:val="009447DC"/>
    <w:rsid w:val="00961BA5"/>
    <w:rsid w:val="009743A9"/>
    <w:rsid w:val="009A3451"/>
    <w:rsid w:val="009A5287"/>
    <w:rsid w:val="009B2AC5"/>
    <w:rsid w:val="009B7984"/>
    <w:rsid w:val="009F4BED"/>
    <w:rsid w:val="009F7D93"/>
    <w:rsid w:val="00A0196A"/>
    <w:rsid w:val="00A3403B"/>
    <w:rsid w:val="00A51A12"/>
    <w:rsid w:val="00A627D4"/>
    <w:rsid w:val="00A74DA2"/>
    <w:rsid w:val="00A76850"/>
    <w:rsid w:val="00AB399E"/>
    <w:rsid w:val="00AC59D0"/>
    <w:rsid w:val="00AD16B1"/>
    <w:rsid w:val="00AD499C"/>
    <w:rsid w:val="00B36869"/>
    <w:rsid w:val="00B43B31"/>
    <w:rsid w:val="00B47CFA"/>
    <w:rsid w:val="00B57F00"/>
    <w:rsid w:val="00B77B2A"/>
    <w:rsid w:val="00B82C22"/>
    <w:rsid w:val="00B93DBA"/>
    <w:rsid w:val="00B9440A"/>
    <w:rsid w:val="00BB2D2A"/>
    <w:rsid w:val="00BC3E04"/>
    <w:rsid w:val="00BD58CF"/>
    <w:rsid w:val="00BF0C92"/>
    <w:rsid w:val="00C04CC1"/>
    <w:rsid w:val="00C4096C"/>
    <w:rsid w:val="00C50C6D"/>
    <w:rsid w:val="00C600D9"/>
    <w:rsid w:val="00C92B22"/>
    <w:rsid w:val="00CC1384"/>
    <w:rsid w:val="00CC4BD6"/>
    <w:rsid w:val="00CC743F"/>
    <w:rsid w:val="00CD3720"/>
    <w:rsid w:val="00CF1848"/>
    <w:rsid w:val="00CF5C2F"/>
    <w:rsid w:val="00D04BCF"/>
    <w:rsid w:val="00D143D9"/>
    <w:rsid w:val="00D5511B"/>
    <w:rsid w:val="00D762E8"/>
    <w:rsid w:val="00D766F1"/>
    <w:rsid w:val="00E257C8"/>
    <w:rsid w:val="00E41512"/>
    <w:rsid w:val="00E4519A"/>
    <w:rsid w:val="00E853D5"/>
    <w:rsid w:val="00E9773B"/>
    <w:rsid w:val="00EA6F42"/>
    <w:rsid w:val="00EC13A3"/>
    <w:rsid w:val="00EC7C85"/>
    <w:rsid w:val="00F125EE"/>
    <w:rsid w:val="00F12E98"/>
    <w:rsid w:val="00F22029"/>
    <w:rsid w:val="00F515FB"/>
    <w:rsid w:val="00F630EA"/>
    <w:rsid w:val="00F7007E"/>
    <w:rsid w:val="00F73193"/>
    <w:rsid w:val="00F74F95"/>
    <w:rsid w:val="00F80705"/>
    <w:rsid w:val="00FA1481"/>
    <w:rsid w:val="00FF04E3"/>
    <w:rsid w:val="00FF7A06"/>
    <w:rsid w:val="0B7F21E8"/>
    <w:rsid w:val="0E142B94"/>
    <w:rsid w:val="0FFE68DF"/>
    <w:rsid w:val="1C195187"/>
    <w:rsid w:val="1EB69B6D"/>
    <w:rsid w:val="2ED95569"/>
    <w:rsid w:val="2EE79A6C"/>
    <w:rsid w:val="31BB1005"/>
    <w:rsid w:val="32BF32E3"/>
    <w:rsid w:val="36DFFA5E"/>
    <w:rsid w:val="3B362412"/>
    <w:rsid w:val="3FF74F9A"/>
    <w:rsid w:val="4F939DC1"/>
    <w:rsid w:val="53A07C03"/>
    <w:rsid w:val="5DF940D4"/>
    <w:rsid w:val="5F352111"/>
    <w:rsid w:val="603D1AA2"/>
    <w:rsid w:val="67FF6466"/>
    <w:rsid w:val="6DDED582"/>
    <w:rsid w:val="77E6017E"/>
    <w:rsid w:val="789D44F9"/>
    <w:rsid w:val="7B0F6A28"/>
    <w:rsid w:val="7D6F43F4"/>
    <w:rsid w:val="7DFD27D8"/>
    <w:rsid w:val="7E4B7F1C"/>
    <w:rsid w:val="7E76FC12"/>
    <w:rsid w:val="7F6F4E21"/>
    <w:rsid w:val="7F7E99C9"/>
    <w:rsid w:val="7FD70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7B736"/>
  <w15:docId w15:val="{ECCD8A55-B9B6-45FE-A582-43EC49A7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qFormat="1"/>
    <w:lsdException w:name="Closing" w:semiHidden="1" w:qFormat="1"/>
    <w:lsdException w:name="Signature" w:semiHidden="1" w:qFormat="1"/>
    <w:lsdException w:name="Default Paragraph Font" w:semiHidden="1"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rFonts w:eastAsiaTheme="minorEastAsia"/>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lang w:eastAsia="en-US"/>
    </w:rPr>
  </w:style>
  <w:style w:type="paragraph" w:styleId="32">
    <w:name w:val="List 3"/>
    <w:basedOn w:val="a1"/>
    <w:semiHidden/>
    <w:qFormat/>
    <w:pPr>
      <w:ind w:left="1080" w:hanging="360"/>
      <w:contextualSpacing/>
    </w:pPr>
  </w:style>
  <w:style w:type="paragraph" w:styleId="71">
    <w:name w:val="toc 7"/>
    <w:basedOn w:val="a1"/>
    <w:next w:val="a1"/>
    <w:autoRedefine/>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autoRedefine/>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autoRedefine/>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qFormat/>
    <w:rPr>
      <w:sz w:val="20"/>
    </w:rPr>
  </w:style>
  <w:style w:type="paragraph" w:styleId="61">
    <w:name w:val="index 6"/>
    <w:basedOn w:val="a1"/>
    <w:next w:val="a1"/>
    <w:autoRedefine/>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autoRedefine/>
    <w:semiHidden/>
    <w:qFormat/>
    <w:pPr>
      <w:ind w:left="960" w:hanging="240"/>
    </w:pPr>
  </w:style>
  <w:style w:type="paragraph" w:styleId="54">
    <w:name w:val="toc 5"/>
    <w:basedOn w:val="a1"/>
    <w:next w:val="a1"/>
    <w:autoRedefine/>
    <w:semiHidden/>
    <w:qFormat/>
    <w:pPr>
      <w:ind w:left="960"/>
    </w:pPr>
  </w:style>
  <w:style w:type="paragraph" w:styleId="35">
    <w:name w:val="toc 3"/>
    <w:basedOn w:val="a1"/>
    <w:next w:val="a1"/>
    <w:autoRedefine/>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82">
    <w:name w:val="toc 8"/>
    <w:basedOn w:val="a1"/>
    <w:next w:val="a1"/>
    <w:autoRedefine/>
    <w:semiHidden/>
    <w:qFormat/>
    <w:pPr>
      <w:ind w:left="1680"/>
    </w:pPr>
  </w:style>
  <w:style w:type="paragraph" w:styleId="36">
    <w:name w:val="index 3"/>
    <w:basedOn w:val="a1"/>
    <w:next w:val="a1"/>
    <w:autoRedefine/>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5">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semiHidden/>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semiHidden/>
    <w:qFormat/>
    <w:pPr>
      <w:tabs>
        <w:tab w:val="center" w:pos="4680"/>
        <w:tab w:val="right" w:pos="9360"/>
      </w:tabs>
    </w:pPr>
  </w:style>
  <w:style w:type="paragraph" w:styleId="affb">
    <w:name w:val="Signature"/>
    <w:basedOn w:val="a1"/>
    <w:link w:val="affc"/>
    <w:semiHidden/>
    <w:qFormat/>
    <w:pPr>
      <w:ind w:left="4320"/>
    </w:pPr>
  </w:style>
  <w:style w:type="paragraph" w:styleId="11">
    <w:name w:val="toc 1"/>
    <w:basedOn w:val="a1"/>
    <w:next w:val="a1"/>
    <w:autoRedefine/>
    <w:semiHidden/>
    <w:qFormat/>
  </w:style>
  <w:style w:type="paragraph" w:styleId="43">
    <w:name w:val="List Continue 4"/>
    <w:basedOn w:val="a1"/>
    <w:semiHidden/>
    <w:qFormat/>
    <w:pPr>
      <w:spacing w:after="120"/>
      <w:ind w:left="1440"/>
      <w:contextualSpacing/>
    </w:pPr>
  </w:style>
  <w:style w:type="paragraph" w:styleId="44">
    <w:name w:val="toc 4"/>
    <w:basedOn w:val="a1"/>
    <w:next w:val="a1"/>
    <w:autoRedefine/>
    <w:semiHidden/>
    <w:qFormat/>
    <w:pPr>
      <w:ind w:left="720"/>
    </w:pPr>
  </w:style>
  <w:style w:type="paragraph" w:styleId="affd">
    <w:name w:val="index heading"/>
    <w:basedOn w:val="a1"/>
    <w:next w:val="12"/>
    <w:semiHidden/>
    <w:qFormat/>
    <w:rPr>
      <w:rFonts w:ascii="Cambria" w:hAnsi="Cambria"/>
      <w:b/>
      <w:bCs/>
    </w:rPr>
  </w:style>
  <w:style w:type="paragraph" w:styleId="12">
    <w:name w:val="index 1"/>
    <w:basedOn w:val="a1"/>
    <w:next w:val="a1"/>
    <w:autoRedefine/>
    <w:semiHidden/>
    <w:qFormat/>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62">
    <w:name w:val="toc 6"/>
    <w:basedOn w:val="a1"/>
    <w:next w:val="a1"/>
    <w:autoRedefine/>
    <w:semiHidden/>
    <w:qFormat/>
    <w:pPr>
      <w:ind w:left="1200"/>
    </w:pPr>
  </w:style>
  <w:style w:type="paragraph" w:styleId="56">
    <w:name w:val="List 5"/>
    <w:basedOn w:val="a1"/>
    <w:semiHidden/>
    <w:qFormat/>
    <w:pPr>
      <w:ind w:left="1800" w:hanging="360"/>
      <w:contextualSpacing/>
    </w:pPr>
  </w:style>
  <w:style w:type="paragraph" w:styleId="37">
    <w:name w:val="Body Text Indent 3"/>
    <w:basedOn w:val="a1"/>
    <w:link w:val="38"/>
    <w:semiHidden/>
    <w:qFormat/>
    <w:pPr>
      <w:spacing w:after="120"/>
      <w:ind w:left="360"/>
    </w:pPr>
    <w:rPr>
      <w:sz w:val="16"/>
      <w:szCs w:val="16"/>
    </w:rPr>
  </w:style>
  <w:style w:type="paragraph" w:styleId="72">
    <w:name w:val="index 7"/>
    <w:basedOn w:val="a1"/>
    <w:next w:val="a1"/>
    <w:autoRedefine/>
    <w:semiHidden/>
    <w:qFormat/>
    <w:pPr>
      <w:ind w:left="1680" w:hanging="240"/>
    </w:pPr>
  </w:style>
  <w:style w:type="paragraph" w:styleId="91">
    <w:name w:val="index 9"/>
    <w:basedOn w:val="a1"/>
    <w:next w:val="a1"/>
    <w:autoRedefine/>
    <w:semiHidden/>
    <w:qFormat/>
    <w:pPr>
      <w:ind w:left="2160" w:hanging="240"/>
    </w:pPr>
  </w:style>
  <w:style w:type="paragraph" w:styleId="afff3">
    <w:name w:val="table of figures"/>
    <w:basedOn w:val="a1"/>
    <w:next w:val="a1"/>
    <w:semiHidden/>
    <w:qFormat/>
  </w:style>
  <w:style w:type="paragraph" w:styleId="26">
    <w:name w:val="toc 2"/>
    <w:basedOn w:val="a1"/>
    <w:next w:val="a1"/>
    <w:autoRedefine/>
    <w:semiHidden/>
    <w:qFormat/>
    <w:pPr>
      <w:ind w:left="240"/>
    </w:pPr>
  </w:style>
  <w:style w:type="paragraph" w:styleId="92">
    <w:name w:val="toc 9"/>
    <w:basedOn w:val="a1"/>
    <w:next w:val="a1"/>
    <w:autoRedefine/>
    <w:semiHidden/>
    <w:qFormat/>
    <w:pPr>
      <w:ind w:left="1920"/>
    </w:pPr>
  </w:style>
  <w:style w:type="paragraph" w:styleId="27">
    <w:name w:val="Body Text 2"/>
    <w:basedOn w:val="a1"/>
    <w:link w:val="28"/>
    <w:semiHidden/>
    <w:qFormat/>
    <w:pPr>
      <w:spacing w:after="120" w:line="480" w:lineRule="auto"/>
    </w:pPr>
  </w:style>
  <w:style w:type="paragraph" w:styleId="45">
    <w:name w:val="List 4"/>
    <w:basedOn w:val="a1"/>
    <w:semiHidden/>
    <w:qFormat/>
    <w:pPr>
      <w:ind w:left="1440" w:hanging="360"/>
      <w:contextualSpacing/>
    </w:pPr>
  </w:style>
  <w:style w:type="paragraph" w:styleId="29">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semiHidden/>
    <w:qFormat/>
    <w:rPr>
      <w:szCs w:val="24"/>
    </w:rPr>
  </w:style>
  <w:style w:type="paragraph" w:styleId="39">
    <w:name w:val="List Continue 3"/>
    <w:basedOn w:val="a1"/>
    <w:semiHidden/>
    <w:qFormat/>
    <w:pPr>
      <w:spacing w:after="120"/>
      <w:ind w:left="1080"/>
      <w:contextualSpacing/>
    </w:pPr>
  </w:style>
  <w:style w:type="paragraph" w:styleId="2a">
    <w:name w:val="index 2"/>
    <w:basedOn w:val="a1"/>
    <w:next w:val="a1"/>
    <w:autoRedefine/>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b">
    <w:name w:val="Body Text First Indent 2"/>
    <w:basedOn w:val="afa"/>
    <w:link w:val="2c"/>
    <w:semiHidden/>
    <w:qFormat/>
    <w:pPr>
      <w:ind w:firstLine="210"/>
    </w:pPr>
  </w:style>
  <w:style w:type="character" w:styleId="afffd">
    <w:name w:val="page number"/>
    <w:basedOn w:val="a2"/>
    <w:semiHidden/>
    <w:qFormat/>
  </w:style>
  <w:style w:type="character" w:styleId="afffe">
    <w:name w:val="FollowedHyperlink"/>
    <w:semiHidden/>
    <w:unhideWhenUsed/>
    <w:qFormat/>
    <w:rPr>
      <w:color w:val="800080"/>
      <w:u w:val="single"/>
    </w:rPr>
  </w:style>
  <w:style w:type="character" w:styleId="affff">
    <w:name w:val="Hyperlink"/>
    <w:basedOn w:val="a2"/>
    <w:semiHidden/>
    <w:qFormat/>
    <w:rPr>
      <w:color w:val="0000FF"/>
      <w:u w:val="single"/>
    </w:rPr>
  </w:style>
  <w:style w:type="character" w:styleId="affff0">
    <w:name w:val="annotation reference"/>
    <w:semiHidden/>
    <w:unhideWhenUsed/>
    <w:qFormat/>
    <w:rPr>
      <w:sz w:val="16"/>
      <w:szCs w:val="16"/>
    </w:rPr>
  </w:style>
  <w:style w:type="character" w:customStyle="1" w:styleId="10">
    <w:name w:val="标题 1 字符"/>
    <w:link w:val="1"/>
    <w:semiHidden/>
    <w:qFormat/>
    <w:rPr>
      <w:b/>
      <w:bCs/>
      <w:kern w:val="32"/>
      <w:sz w:val="24"/>
      <w:szCs w:val="24"/>
    </w:rPr>
  </w:style>
  <w:style w:type="character" w:customStyle="1" w:styleId="22">
    <w:name w:val="标题 2 字符"/>
    <w:link w:val="21"/>
    <w:semiHidden/>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qFormat/>
    <w:rPr>
      <w:rFonts w:ascii="Tahoma" w:hAnsi="Tahoma" w:cs="Tahoma"/>
      <w:sz w:val="16"/>
      <w:szCs w:val="16"/>
    </w:rPr>
  </w:style>
  <w:style w:type="paragraph" w:customStyle="1" w:styleId="13">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8">
    <w:name w:val="正文文本 2 字符"/>
    <w:link w:val="27"/>
    <w:semiHidden/>
    <w:qFormat/>
    <w:rPr>
      <w:sz w:val="24"/>
    </w:rPr>
  </w:style>
  <w:style w:type="character" w:customStyle="1" w:styleId="34">
    <w:name w:val="正文文本 3 字符"/>
    <w:link w:val="33"/>
    <w:semiHidden/>
    <w:qFormat/>
    <w:rPr>
      <w:sz w:val="16"/>
      <w:szCs w:val="16"/>
    </w:rPr>
  </w:style>
  <w:style w:type="character" w:customStyle="1" w:styleId="afffc">
    <w:name w:val="正文首行缩进 字符"/>
    <w:link w:val="afffb"/>
    <w:semiHidden/>
    <w:qFormat/>
    <w:rPr>
      <w:sz w:val="24"/>
    </w:rPr>
  </w:style>
  <w:style w:type="character" w:customStyle="1" w:styleId="afb">
    <w:name w:val="正文文本缩进 字符"/>
    <w:link w:val="afa"/>
    <w:semiHidden/>
    <w:qFormat/>
    <w:rPr>
      <w:sz w:val="24"/>
    </w:rPr>
  </w:style>
  <w:style w:type="character" w:customStyle="1" w:styleId="2c">
    <w:name w:val="正文首行缩进 2 字符"/>
    <w:link w:val="2b"/>
    <w:semiHidden/>
    <w:qFormat/>
    <w:rPr>
      <w:sz w:val="24"/>
    </w:rPr>
  </w:style>
  <w:style w:type="character" w:customStyle="1" w:styleId="25">
    <w:name w:val="正文文本缩进 2 字符"/>
    <w:link w:val="24"/>
    <w:semiHidden/>
    <w:qFormat/>
    <w:rPr>
      <w:sz w:val="24"/>
    </w:rPr>
  </w:style>
  <w:style w:type="character" w:customStyle="1" w:styleId="38">
    <w:name w:val="正文文本缩进 3 字符"/>
    <w:link w:val="37"/>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semiHidden/>
    <w:qFormat/>
  </w:style>
  <w:style w:type="character" w:customStyle="1" w:styleId="afffa">
    <w:name w:val="批注主题 字符"/>
    <w:link w:val="afff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semiHidden/>
    <w:qFormat/>
    <w:rPr>
      <w:sz w:val="24"/>
    </w:rPr>
  </w:style>
  <w:style w:type="character" w:customStyle="1" w:styleId="afff2">
    <w:name w:val="脚注文本 字符"/>
    <w:basedOn w:val="a2"/>
    <w:link w:val="afff1"/>
    <w:semiHidden/>
    <w:qFormat/>
  </w:style>
  <w:style w:type="character" w:customStyle="1" w:styleId="affa">
    <w:name w:val="页眉 字符"/>
    <w:link w:val="aff9"/>
    <w:semiHidden/>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1">
    <w:name w:val="Intense Quote"/>
    <w:basedOn w:val="a1"/>
    <w:next w:val="a1"/>
    <w:link w:val="affff2"/>
    <w:uiPriority w:val="30"/>
    <w:semiHidden/>
    <w:qFormat/>
    <w:pPr>
      <w:pBdr>
        <w:bottom w:val="single" w:sz="4" w:space="4" w:color="4F81BD"/>
      </w:pBdr>
      <w:spacing w:before="200" w:after="280"/>
      <w:ind w:left="936" w:right="936"/>
    </w:pPr>
    <w:rPr>
      <w:b/>
      <w:bCs/>
      <w:i/>
      <w:iCs/>
      <w:color w:val="4F81BD"/>
    </w:rPr>
  </w:style>
  <w:style w:type="character" w:customStyle="1" w:styleId="affff2">
    <w:name w:val="明显引用 字符"/>
    <w:link w:val="affff1"/>
    <w:uiPriority w:val="30"/>
    <w:semiHidden/>
    <w:qFormat/>
    <w:rPr>
      <w:b/>
      <w:bCs/>
      <w:i/>
      <w:iCs/>
      <w:color w:val="4F81BD"/>
      <w:sz w:val="24"/>
    </w:rPr>
  </w:style>
  <w:style w:type="paragraph" w:styleId="affff3">
    <w:name w:val="List Paragraph"/>
    <w:basedOn w:val="a1"/>
    <w:uiPriority w:val="34"/>
    <w:semiHidden/>
    <w:qFormat/>
    <w:pPr>
      <w:ind w:left="720"/>
    </w:pPr>
  </w:style>
  <w:style w:type="character" w:customStyle="1" w:styleId="a6">
    <w:name w:val="宏文本 字符"/>
    <w:link w:val="a5"/>
    <w:semiHidden/>
    <w:qFormat/>
    <w:rPr>
      <w:rFonts w:ascii="Courier New" w:hAnsi="Courier New" w:cs="Courier New"/>
      <w:lang w:val="en-US" w:eastAsia="en-US" w:bidi="ar-SA"/>
    </w:rPr>
  </w:style>
  <w:style w:type="character" w:customStyle="1" w:styleId="afff5">
    <w:name w:val="信息标题 字符"/>
    <w:link w:val="afff4"/>
    <w:semiHidden/>
    <w:qFormat/>
    <w:rPr>
      <w:rFonts w:ascii="Cambria" w:hAnsi="Cambria"/>
      <w:sz w:val="24"/>
      <w:szCs w:val="24"/>
      <w:shd w:val="pct20" w:color="auto" w:fill="auto"/>
    </w:rPr>
  </w:style>
  <w:style w:type="paragraph" w:styleId="affff4">
    <w:name w:val="No Spacing"/>
    <w:uiPriority w:val="1"/>
    <w:semiHidden/>
    <w:qFormat/>
    <w:rPr>
      <w:rFonts w:eastAsiaTheme="minorEastAsia"/>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qFormat/>
    <w:rPr>
      <w:rFonts w:ascii="Courier New" w:hAnsi="Courier New" w:cs="Courier New"/>
    </w:rPr>
  </w:style>
  <w:style w:type="paragraph" w:styleId="affff5">
    <w:name w:val="Quote"/>
    <w:basedOn w:val="a1"/>
    <w:next w:val="a1"/>
    <w:link w:val="affff6"/>
    <w:uiPriority w:val="29"/>
    <w:semiHidden/>
    <w:qFormat/>
    <w:rPr>
      <w:i/>
      <w:iCs/>
      <w:color w:val="000000"/>
    </w:rPr>
  </w:style>
  <w:style w:type="character" w:customStyle="1" w:styleId="affff6">
    <w:name w:val="引用 字符"/>
    <w:link w:val="affff5"/>
    <w:uiPriority w:val="29"/>
    <w:semiHidden/>
    <w:qFormat/>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
    <w:name w:val="TOC 标题1"/>
    <w:basedOn w:val="1"/>
    <w:next w:val="a1"/>
    <w:uiPriority w:val="39"/>
    <w:semiHidden/>
    <w:unhideWhenUsed/>
    <w:qFormat/>
    <w:pPr>
      <w:outlineLvl w:val="9"/>
    </w:pPr>
    <w:rPr>
      <w:rFonts w:ascii="Cambria" w:hAnsi="Cambria"/>
      <w:sz w:val="32"/>
      <w:szCs w:val="32"/>
    </w:rPr>
  </w:style>
  <w:style w:type="character" w:customStyle="1" w:styleId="14">
    <w:name w:val="未处理的提及1"/>
    <w:basedOn w:val="a2"/>
    <w:uiPriority w:val="99"/>
    <w:semiHidden/>
    <w:unhideWhenUsed/>
    <w:qFormat/>
    <w:rPr>
      <w:color w:val="808080"/>
      <w:shd w:val="clear" w:color="auto" w:fill="E6E6E6"/>
    </w:rPr>
  </w:style>
  <w:style w:type="paragraph" w:customStyle="1" w:styleId="2d">
    <w:name w:val="书目2"/>
    <w:basedOn w:val="a1"/>
    <w:next w:val="a1"/>
    <w:uiPriority w:val="37"/>
    <w:unhideWhenUsed/>
    <w:qFormat/>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drmafei@126.com" TargetMode="External"/><Relationship Id="rId13" Type="http://schemas.openxmlformats.org/officeDocument/2006/relationships/image" Target="media/image1.jpeg"/><Relationship Id="rId1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mailto:qhdxlz@163.com" TargetMode="External"/><Relationship Id="rId12" Type="http://schemas.openxmlformats.org/officeDocument/2006/relationships/footer" Target="footer1.xml"/><Relationship Id="rId17" Type="http://schemas.openxmlformats.org/officeDocument/2006/relationships/hyperlink" Target="https://baike.baidu.com/item/%CE%BC/2842656"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2.3.5.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iudazhao@126.com"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5154</Words>
  <Characters>29384</Characters>
  <Application>Microsoft Office Word</Application>
  <DocSecurity>0</DocSecurity>
  <Lines>244</Lines>
  <Paragraphs>68</Paragraphs>
  <ScaleCrop>false</ScaleCrop>
  <Company>AAAS</Company>
  <LinksUpToDate>false</LinksUpToDate>
  <CharactersWithSpaces>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sun</cp:lastModifiedBy>
  <cp:revision>7</cp:revision>
  <cp:lastPrinted>2018-01-14T03:53:00Z</cp:lastPrinted>
  <dcterms:created xsi:type="dcterms:W3CDTF">2019-07-18T17:29:00Z</dcterms:created>
  <dcterms:modified xsi:type="dcterms:W3CDTF">2025-01-10T09:29:00Z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E432D1ADC63A4B6087E577C1887876CC_13</vt:lpwstr>
  </property>
  <property fmtid="{D5CDD505-2E9C-101B-9397-08002B2CF9AE}" pid="4" name="KSOTemplateDocerSaveRecord">
    <vt:lpwstr>eyJoZGlkIjoiODViY2JkMjU3NGYzZTEwMzZmMGFkZWViYmNkYWU3NDIiLCJ1c2VySWQiOiIzODYyMzYwODAifQ==</vt:lpwstr>
  </property>
  <property fmtid="{D5CDD505-2E9C-101B-9397-08002B2CF9AE}" pid="5" name="ZOTERO_PREF_1">
    <vt:lpwstr>&lt;data data-version="3" zotero-version="7.0.11"&gt;&lt;session id="bD5pzpnl"/&gt;&lt;style id="http://www.zotero.org/styles/nature" hasBibliography="1" bibliographyStyleHasBeenSet="1"/&gt;&lt;prefs&gt;&lt;pref name="fieldType" value="Field"/&gt;&lt;/prefs&gt;&lt;/data&gt;</vt:lpwstr>
  </property>
</Properties>
</file>