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4342E" w14:textId="77777777" w:rsidR="003B61E9" w:rsidRDefault="003B61E9">
      <w:pPr>
        <w:rPr>
          <w:color w:val="000000" w:themeColor="text1"/>
          <w:sz w:val="36"/>
          <w:szCs w:val="36"/>
        </w:rPr>
      </w:pPr>
    </w:p>
    <w:p w14:paraId="49729D28" w14:textId="77777777" w:rsidR="003B61E9" w:rsidRDefault="003B61E9">
      <w:pPr>
        <w:jc w:val="center"/>
        <w:rPr>
          <w:color w:val="000000" w:themeColor="text1"/>
          <w:sz w:val="36"/>
          <w:szCs w:val="36"/>
        </w:rPr>
      </w:pPr>
    </w:p>
    <w:p w14:paraId="4D03D635" w14:textId="77777777" w:rsidR="003B61E9" w:rsidRDefault="00000000">
      <w:pPr>
        <w:jc w:val="center"/>
        <w:rPr>
          <w:color w:val="000000" w:themeColor="text1"/>
          <w:sz w:val="36"/>
          <w:szCs w:val="36"/>
        </w:rPr>
      </w:pPr>
      <w:r>
        <w:rPr>
          <w:color w:val="000000" w:themeColor="text1"/>
          <w:sz w:val="36"/>
          <w:szCs w:val="36"/>
        </w:rPr>
        <w:t>Supplementary Materials for</w:t>
      </w:r>
    </w:p>
    <w:p w14:paraId="273D7E74" w14:textId="77777777" w:rsidR="003B61E9" w:rsidRDefault="00000000">
      <w:pPr>
        <w:jc w:val="center"/>
        <w:rPr>
          <w:color w:val="000000" w:themeColor="text1"/>
          <w:sz w:val="28"/>
          <w:szCs w:val="28"/>
        </w:rPr>
      </w:pPr>
      <w:r>
        <w:rPr>
          <w:color w:val="000000" w:themeColor="text1"/>
          <w:sz w:val="28"/>
          <w:szCs w:val="28"/>
        </w:rPr>
        <w:t>B lymphopoiesis accelerates early cerebral amyloid pathology</w:t>
      </w:r>
    </w:p>
    <w:p w14:paraId="7D2901C0" w14:textId="77777777" w:rsidR="003B61E9" w:rsidRDefault="003B61E9">
      <w:pPr>
        <w:jc w:val="center"/>
        <w:rPr>
          <w:color w:val="000000" w:themeColor="text1"/>
          <w:sz w:val="28"/>
          <w:szCs w:val="28"/>
        </w:rPr>
      </w:pPr>
    </w:p>
    <w:p w14:paraId="29352C3F" w14:textId="77777777" w:rsidR="003B61E9" w:rsidRDefault="00000000">
      <w:pPr>
        <w:jc w:val="center"/>
        <w:rPr>
          <w:color w:val="000000" w:themeColor="text1"/>
          <w:sz w:val="24"/>
          <w:szCs w:val="24"/>
        </w:rPr>
      </w:pPr>
      <w:r>
        <w:rPr>
          <w:color w:val="000000" w:themeColor="text1"/>
          <w:sz w:val="24"/>
          <w:szCs w:val="24"/>
        </w:rPr>
        <w:t>Jing Zhang</w:t>
      </w:r>
      <w:r>
        <w:rPr>
          <w:color w:val="000000" w:themeColor="text1"/>
          <w:sz w:val="24"/>
          <w:szCs w:val="24"/>
          <w:vertAlign w:val="superscript"/>
        </w:rPr>
        <w:t>1†*</w:t>
      </w:r>
      <w:r>
        <w:rPr>
          <w:color w:val="000000" w:themeColor="text1"/>
          <w:sz w:val="24"/>
          <w:szCs w:val="24"/>
        </w:rPr>
        <w:t xml:space="preserve">, </w:t>
      </w:r>
      <w:proofErr w:type="spellStart"/>
      <w:r>
        <w:rPr>
          <w:color w:val="000000" w:themeColor="text1"/>
          <w:sz w:val="24"/>
          <w:szCs w:val="24"/>
        </w:rPr>
        <w:t>Wenting</w:t>
      </w:r>
      <w:proofErr w:type="spellEnd"/>
      <w:r>
        <w:rPr>
          <w:color w:val="000000" w:themeColor="text1"/>
          <w:sz w:val="24"/>
          <w:szCs w:val="24"/>
        </w:rPr>
        <w:t xml:space="preserve"> Fang</w:t>
      </w:r>
      <w:r>
        <w:rPr>
          <w:color w:val="000000" w:themeColor="text1"/>
          <w:sz w:val="24"/>
          <w:szCs w:val="24"/>
          <w:vertAlign w:val="superscript"/>
        </w:rPr>
        <w:t>1†</w:t>
      </w:r>
      <w:r>
        <w:rPr>
          <w:color w:val="000000" w:themeColor="text1"/>
          <w:sz w:val="24"/>
          <w:szCs w:val="24"/>
        </w:rPr>
        <w:t>, Hanchen Liu</w:t>
      </w:r>
      <w:r>
        <w:rPr>
          <w:color w:val="000000" w:themeColor="text1"/>
          <w:sz w:val="24"/>
          <w:szCs w:val="24"/>
          <w:vertAlign w:val="superscript"/>
        </w:rPr>
        <w:t>1†</w:t>
      </w:r>
      <w:r>
        <w:rPr>
          <w:color w:val="000000" w:themeColor="text1"/>
          <w:sz w:val="24"/>
          <w:szCs w:val="24"/>
        </w:rPr>
        <w:t>, Ran Li</w:t>
      </w:r>
      <w:r>
        <w:rPr>
          <w:color w:val="000000" w:themeColor="text1"/>
          <w:sz w:val="24"/>
          <w:szCs w:val="24"/>
          <w:vertAlign w:val="superscript"/>
        </w:rPr>
        <w:t>2†</w:t>
      </w:r>
      <w:r>
        <w:rPr>
          <w:color w:val="000000" w:themeColor="text1"/>
          <w:sz w:val="24"/>
          <w:szCs w:val="24"/>
        </w:rPr>
        <w:t xml:space="preserve">, </w:t>
      </w:r>
      <w:proofErr w:type="spellStart"/>
      <w:r>
        <w:rPr>
          <w:color w:val="000000" w:themeColor="text1"/>
          <w:sz w:val="24"/>
          <w:szCs w:val="24"/>
        </w:rPr>
        <w:t>Zhibao</w:t>
      </w:r>
      <w:proofErr w:type="spellEnd"/>
      <w:r>
        <w:rPr>
          <w:color w:val="000000" w:themeColor="text1"/>
          <w:sz w:val="24"/>
          <w:szCs w:val="24"/>
        </w:rPr>
        <w:t xml:space="preserve"> Zhu</w:t>
      </w:r>
      <w:r>
        <w:rPr>
          <w:color w:val="000000" w:themeColor="text1"/>
          <w:sz w:val="24"/>
          <w:szCs w:val="24"/>
          <w:vertAlign w:val="superscript"/>
        </w:rPr>
        <w:t>3†</w:t>
      </w:r>
      <w:r>
        <w:rPr>
          <w:color w:val="000000" w:themeColor="text1"/>
          <w:sz w:val="24"/>
          <w:szCs w:val="24"/>
        </w:rPr>
        <w:t>, Xin Wu</w:t>
      </w:r>
      <w:r>
        <w:rPr>
          <w:color w:val="000000" w:themeColor="text1"/>
          <w:sz w:val="24"/>
          <w:szCs w:val="24"/>
          <w:vertAlign w:val="superscript"/>
        </w:rPr>
        <w:t>1</w:t>
      </w:r>
      <w:r>
        <w:rPr>
          <w:color w:val="000000" w:themeColor="text1"/>
          <w:sz w:val="24"/>
          <w:szCs w:val="24"/>
        </w:rPr>
        <w:t>, Shaobo Yao</w:t>
      </w:r>
      <w:r>
        <w:rPr>
          <w:color w:val="000000" w:themeColor="text1"/>
          <w:sz w:val="24"/>
          <w:szCs w:val="24"/>
          <w:vertAlign w:val="superscript"/>
        </w:rPr>
        <w:t>3</w:t>
      </w:r>
      <w:r>
        <w:rPr>
          <w:color w:val="000000" w:themeColor="text1"/>
          <w:sz w:val="24"/>
          <w:szCs w:val="24"/>
        </w:rPr>
        <w:t>, Ying Fu</w:t>
      </w:r>
      <w:r>
        <w:rPr>
          <w:color w:val="000000" w:themeColor="text1"/>
          <w:sz w:val="24"/>
          <w:szCs w:val="24"/>
          <w:vertAlign w:val="superscript"/>
        </w:rPr>
        <w:t>3</w:t>
      </w:r>
      <w:r>
        <w:rPr>
          <w:color w:val="000000" w:themeColor="text1"/>
          <w:sz w:val="24"/>
          <w:szCs w:val="24"/>
        </w:rPr>
        <w:t>, Rui Li</w:t>
      </w:r>
      <w:r>
        <w:rPr>
          <w:color w:val="000000" w:themeColor="text1"/>
          <w:sz w:val="24"/>
          <w:szCs w:val="24"/>
          <w:vertAlign w:val="superscript"/>
        </w:rPr>
        <w:t>1</w:t>
      </w:r>
      <w:r>
        <w:rPr>
          <w:color w:val="000000" w:themeColor="text1"/>
          <w:sz w:val="24"/>
          <w:szCs w:val="24"/>
        </w:rPr>
        <w:t xml:space="preserve">, </w:t>
      </w:r>
      <w:proofErr w:type="spellStart"/>
      <w:r>
        <w:rPr>
          <w:color w:val="000000" w:themeColor="text1"/>
          <w:sz w:val="24"/>
          <w:szCs w:val="24"/>
        </w:rPr>
        <w:t>Wanjin</w:t>
      </w:r>
      <w:proofErr w:type="spellEnd"/>
      <w:r>
        <w:rPr>
          <w:color w:val="000000" w:themeColor="text1"/>
          <w:sz w:val="24"/>
          <w:szCs w:val="24"/>
        </w:rPr>
        <w:t xml:space="preserve"> Chen</w:t>
      </w:r>
      <w:r>
        <w:rPr>
          <w:color w:val="000000" w:themeColor="text1"/>
          <w:sz w:val="24"/>
          <w:szCs w:val="24"/>
          <w:vertAlign w:val="superscript"/>
        </w:rPr>
        <w:t>3</w:t>
      </w:r>
      <w:r>
        <w:rPr>
          <w:color w:val="000000" w:themeColor="text1"/>
          <w:sz w:val="24"/>
          <w:szCs w:val="24"/>
        </w:rPr>
        <w:t xml:space="preserve">, </w:t>
      </w:r>
      <w:proofErr w:type="spellStart"/>
      <w:r>
        <w:rPr>
          <w:color w:val="000000" w:themeColor="text1"/>
          <w:sz w:val="24"/>
          <w:szCs w:val="24"/>
        </w:rPr>
        <w:t>Qinyong</w:t>
      </w:r>
      <w:proofErr w:type="spellEnd"/>
      <w:r>
        <w:rPr>
          <w:color w:val="000000" w:themeColor="text1"/>
          <w:sz w:val="24"/>
          <w:szCs w:val="24"/>
        </w:rPr>
        <w:t xml:space="preserve"> Ye</w:t>
      </w:r>
      <w:r>
        <w:rPr>
          <w:color w:val="000000" w:themeColor="text1"/>
          <w:sz w:val="24"/>
          <w:szCs w:val="24"/>
          <w:vertAlign w:val="superscript"/>
        </w:rPr>
        <w:t>1</w:t>
      </w:r>
      <w:r>
        <w:rPr>
          <w:color w:val="000000" w:themeColor="text1"/>
          <w:sz w:val="24"/>
          <w:szCs w:val="24"/>
        </w:rPr>
        <w:t>, Qiang Liu</w:t>
      </w:r>
      <w:r>
        <w:rPr>
          <w:color w:val="000000" w:themeColor="text1"/>
          <w:sz w:val="24"/>
          <w:szCs w:val="24"/>
          <w:vertAlign w:val="superscript"/>
        </w:rPr>
        <w:t>1,2*</w:t>
      </w:r>
      <w:r>
        <w:rPr>
          <w:color w:val="000000" w:themeColor="text1"/>
          <w:sz w:val="24"/>
          <w:szCs w:val="24"/>
        </w:rPr>
        <w:t xml:space="preserve">, </w:t>
      </w:r>
      <w:proofErr w:type="spellStart"/>
      <w:r>
        <w:rPr>
          <w:color w:val="000000" w:themeColor="text1"/>
          <w:sz w:val="24"/>
          <w:szCs w:val="24"/>
        </w:rPr>
        <w:t>Xiaochun</w:t>
      </w:r>
      <w:proofErr w:type="spellEnd"/>
      <w:r>
        <w:rPr>
          <w:color w:val="000000" w:themeColor="text1"/>
          <w:sz w:val="24"/>
          <w:szCs w:val="24"/>
        </w:rPr>
        <w:t xml:space="preserve"> Chen</w:t>
      </w:r>
      <w:r>
        <w:rPr>
          <w:color w:val="000000" w:themeColor="text1"/>
          <w:sz w:val="24"/>
          <w:szCs w:val="24"/>
          <w:vertAlign w:val="superscript"/>
        </w:rPr>
        <w:t>1*</w:t>
      </w:r>
    </w:p>
    <w:p w14:paraId="77EF2C59" w14:textId="77777777" w:rsidR="003B61E9" w:rsidRDefault="003B61E9">
      <w:pPr>
        <w:jc w:val="center"/>
        <w:rPr>
          <w:color w:val="000000" w:themeColor="text1"/>
          <w:sz w:val="24"/>
          <w:szCs w:val="24"/>
        </w:rPr>
      </w:pPr>
    </w:p>
    <w:p w14:paraId="2D854CC4" w14:textId="77777777" w:rsidR="003B61E9" w:rsidRDefault="00000000">
      <w:pPr>
        <w:jc w:val="center"/>
        <w:rPr>
          <w:color w:val="000000" w:themeColor="text1"/>
          <w:sz w:val="24"/>
          <w:szCs w:val="24"/>
        </w:rPr>
      </w:pPr>
      <w:r>
        <w:rPr>
          <w:color w:val="000000" w:themeColor="text1"/>
          <w:sz w:val="24"/>
          <w:szCs w:val="24"/>
        </w:rPr>
        <w:t>Correspondence to: chenxc998@fjmu.edu.cn</w:t>
      </w:r>
      <w:r>
        <w:rPr>
          <w:rFonts w:hint="eastAsia"/>
          <w:color w:val="000000" w:themeColor="text1"/>
          <w:sz w:val="24"/>
          <w:szCs w:val="24"/>
        </w:rPr>
        <w:t xml:space="preserve">; </w:t>
      </w:r>
      <w:r>
        <w:rPr>
          <w:color w:val="000000" w:themeColor="text1"/>
          <w:sz w:val="24"/>
          <w:szCs w:val="24"/>
        </w:rPr>
        <w:t>qliu@tmu.edu.cn</w:t>
      </w:r>
      <w:r>
        <w:rPr>
          <w:rFonts w:hint="eastAsia"/>
          <w:color w:val="000000" w:themeColor="text1"/>
          <w:sz w:val="24"/>
          <w:szCs w:val="24"/>
        </w:rPr>
        <w:t xml:space="preserve">; </w:t>
      </w:r>
      <w:r>
        <w:rPr>
          <w:color w:val="000000" w:themeColor="text1"/>
          <w:sz w:val="24"/>
          <w:szCs w:val="24"/>
        </w:rPr>
        <w:t>drzj@fjmu.edu.cn</w:t>
      </w:r>
    </w:p>
    <w:p w14:paraId="6DDECD8C" w14:textId="77777777" w:rsidR="003B61E9" w:rsidRDefault="003B61E9">
      <w:pPr>
        <w:rPr>
          <w:color w:val="000000" w:themeColor="text1"/>
          <w:sz w:val="24"/>
          <w:szCs w:val="24"/>
        </w:rPr>
      </w:pPr>
    </w:p>
    <w:p w14:paraId="1780659A" w14:textId="77777777" w:rsidR="003B61E9" w:rsidRDefault="003B61E9">
      <w:pPr>
        <w:rPr>
          <w:b/>
          <w:color w:val="000000" w:themeColor="text1"/>
          <w:sz w:val="24"/>
          <w:szCs w:val="24"/>
        </w:rPr>
      </w:pPr>
    </w:p>
    <w:p w14:paraId="33C69498" w14:textId="77777777" w:rsidR="003B61E9" w:rsidRDefault="00000000">
      <w:pPr>
        <w:rPr>
          <w:b/>
          <w:color w:val="000000" w:themeColor="text1"/>
          <w:sz w:val="24"/>
          <w:szCs w:val="24"/>
        </w:rPr>
      </w:pPr>
      <w:r>
        <w:rPr>
          <w:b/>
          <w:color w:val="000000" w:themeColor="text1"/>
          <w:sz w:val="24"/>
          <w:szCs w:val="24"/>
        </w:rPr>
        <w:t>This PDF file includes:</w:t>
      </w:r>
    </w:p>
    <w:p w14:paraId="643F6847" w14:textId="77777777" w:rsidR="003B61E9" w:rsidRDefault="003B61E9">
      <w:pPr>
        <w:rPr>
          <w:color w:val="000000" w:themeColor="text1"/>
          <w:sz w:val="24"/>
          <w:szCs w:val="24"/>
        </w:rPr>
      </w:pPr>
    </w:p>
    <w:p w14:paraId="6F905C8F" w14:textId="77777777" w:rsidR="003B61E9" w:rsidRDefault="00000000">
      <w:pPr>
        <w:ind w:left="720"/>
        <w:rPr>
          <w:color w:val="000000" w:themeColor="text1"/>
          <w:sz w:val="24"/>
          <w:szCs w:val="24"/>
        </w:rPr>
      </w:pPr>
      <w:r>
        <w:rPr>
          <w:color w:val="000000" w:themeColor="text1"/>
          <w:sz w:val="24"/>
          <w:szCs w:val="24"/>
        </w:rPr>
        <w:t>Materials and Methods</w:t>
      </w:r>
    </w:p>
    <w:p w14:paraId="103BC1F4" w14:textId="77777777" w:rsidR="003B61E9" w:rsidRDefault="00000000">
      <w:pPr>
        <w:ind w:left="720"/>
        <w:rPr>
          <w:color w:val="000000" w:themeColor="text1"/>
          <w:sz w:val="24"/>
          <w:szCs w:val="24"/>
        </w:rPr>
      </w:pPr>
      <w:r>
        <w:rPr>
          <w:color w:val="000000" w:themeColor="text1"/>
          <w:sz w:val="24"/>
          <w:szCs w:val="24"/>
        </w:rPr>
        <w:t>Supplementary Text</w:t>
      </w:r>
    </w:p>
    <w:p w14:paraId="5F8C659C" w14:textId="77777777" w:rsidR="003B61E9" w:rsidRDefault="00000000">
      <w:pPr>
        <w:ind w:left="720"/>
        <w:rPr>
          <w:color w:val="000000" w:themeColor="text1"/>
          <w:sz w:val="24"/>
          <w:szCs w:val="24"/>
        </w:rPr>
      </w:pPr>
      <w:r>
        <w:rPr>
          <w:color w:val="000000" w:themeColor="text1"/>
          <w:sz w:val="24"/>
          <w:szCs w:val="24"/>
        </w:rPr>
        <w:t>Fig</w:t>
      </w:r>
      <w:r>
        <w:rPr>
          <w:rFonts w:hint="eastAsia"/>
          <w:color w:val="000000" w:themeColor="text1"/>
          <w:sz w:val="24"/>
          <w:szCs w:val="24"/>
        </w:rPr>
        <w:t>ure</w:t>
      </w:r>
      <w:r>
        <w:rPr>
          <w:color w:val="000000" w:themeColor="text1"/>
          <w:sz w:val="24"/>
          <w:szCs w:val="24"/>
        </w:rPr>
        <w:t>s. S1 to S</w:t>
      </w:r>
      <w:r>
        <w:rPr>
          <w:rFonts w:hint="eastAsia"/>
          <w:color w:val="000000" w:themeColor="text1"/>
          <w:sz w:val="24"/>
          <w:szCs w:val="24"/>
        </w:rPr>
        <w:t>9</w:t>
      </w:r>
    </w:p>
    <w:p w14:paraId="282305D0" w14:textId="77777777" w:rsidR="003B61E9" w:rsidRDefault="00000000">
      <w:pPr>
        <w:ind w:left="720"/>
        <w:rPr>
          <w:color w:val="000000" w:themeColor="text1"/>
          <w:sz w:val="24"/>
          <w:szCs w:val="24"/>
        </w:rPr>
      </w:pPr>
      <w:r>
        <w:rPr>
          <w:color w:val="000000" w:themeColor="text1"/>
          <w:sz w:val="24"/>
          <w:szCs w:val="24"/>
        </w:rPr>
        <w:t>Tables S1</w:t>
      </w:r>
      <w:r>
        <w:rPr>
          <w:rFonts w:hint="eastAsia"/>
          <w:color w:val="000000" w:themeColor="text1"/>
          <w:sz w:val="24"/>
          <w:szCs w:val="24"/>
        </w:rPr>
        <w:t xml:space="preserve"> to S2</w:t>
      </w:r>
    </w:p>
    <w:p w14:paraId="62A2C4DE" w14:textId="77777777" w:rsidR="003B61E9" w:rsidRDefault="003B61E9">
      <w:pPr>
        <w:spacing w:beforeLines="50" w:before="156" w:afterLines="50" w:after="156" w:line="480" w:lineRule="auto"/>
        <w:rPr>
          <w:b/>
          <w:color w:val="000000" w:themeColor="text1"/>
          <w:sz w:val="24"/>
          <w:szCs w:val="24"/>
        </w:rPr>
      </w:pPr>
    </w:p>
    <w:p w14:paraId="19675D5B" w14:textId="77777777" w:rsidR="003B61E9" w:rsidRDefault="003B61E9">
      <w:pPr>
        <w:spacing w:beforeLines="50" w:before="156" w:afterLines="50" w:after="156" w:line="480" w:lineRule="auto"/>
        <w:rPr>
          <w:b/>
          <w:color w:val="000000" w:themeColor="text1"/>
          <w:sz w:val="24"/>
          <w:szCs w:val="24"/>
        </w:rPr>
      </w:pPr>
    </w:p>
    <w:p w14:paraId="2D752455" w14:textId="77777777" w:rsidR="003B61E9" w:rsidRDefault="003B61E9">
      <w:pPr>
        <w:spacing w:beforeLines="50" w:before="156" w:afterLines="50" w:after="156" w:line="480" w:lineRule="auto"/>
        <w:rPr>
          <w:b/>
          <w:color w:val="000000" w:themeColor="text1"/>
          <w:sz w:val="24"/>
          <w:szCs w:val="24"/>
        </w:rPr>
      </w:pPr>
    </w:p>
    <w:p w14:paraId="01FF942B" w14:textId="77777777" w:rsidR="003B61E9" w:rsidRDefault="003B61E9">
      <w:pPr>
        <w:spacing w:beforeLines="50" w:before="156" w:afterLines="50" w:after="156" w:line="480" w:lineRule="auto"/>
        <w:rPr>
          <w:b/>
          <w:color w:val="000000" w:themeColor="text1"/>
          <w:sz w:val="24"/>
          <w:szCs w:val="24"/>
        </w:rPr>
      </w:pPr>
    </w:p>
    <w:p w14:paraId="44E3ED71" w14:textId="77777777" w:rsidR="003B61E9" w:rsidRDefault="003B61E9">
      <w:pPr>
        <w:spacing w:beforeLines="50" w:before="156" w:afterLines="50" w:after="156" w:line="480" w:lineRule="auto"/>
        <w:rPr>
          <w:b/>
          <w:color w:val="000000" w:themeColor="text1"/>
          <w:sz w:val="24"/>
          <w:szCs w:val="24"/>
        </w:rPr>
      </w:pPr>
    </w:p>
    <w:p w14:paraId="7718EE41" w14:textId="77777777" w:rsidR="003B61E9" w:rsidRDefault="003B61E9">
      <w:pPr>
        <w:spacing w:beforeLines="50" w:before="156" w:afterLines="50" w:after="156" w:line="480" w:lineRule="auto"/>
        <w:rPr>
          <w:b/>
          <w:color w:val="000000" w:themeColor="text1"/>
          <w:sz w:val="24"/>
          <w:szCs w:val="24"/>
        </w:rPr>
      </w:pPr>
    </w:p>
    <w:p w14:paraId="12791B2B" w14:textId="77777777" w:rsidR="003B61E9" w:rsidRDefault="003B61E9">
      <w:pPr>
        <w:spacing w:beforeLines="50" w:before="156" w:afterLines="50" w:after="156" w:line="480" w:lineRule="auto"/>
        <w:rPr>
          <w:b/>
          <w:color w:val="000000" w:themeColor="text1"/>
          <w:sz w:val="24"/>
          <w:szCs w:val="24"/>
        </w:rPr>
      </w:pPr>
    </w:p>
    <w:p w14:paraId="4B13F54C" w14:textId="77777777" w:rsidR="003B61E9" w:rsidRDefault="003B61E9">
      <w:pPr>
        <w:spacing w:beforeLines="50" w:before="156" w:afterLines="50" w:after="156" w:line="480" w:lineRule="auto"/>
        <w:rPr>
          <w:b/>
          <w:color w:val="000000" w:themeColor="text1"/>
          <w:sz w:val="24"/>
          <w:szCs w:val="24"/>
        </w:rPr>
      </w:pPr>
    </w:p>
    <w:p w14:paraId="57B632AF" w14:textId="77777777" w:rsidR="003B61E9" w:rsidRDefault="00000000">
      <w:pPr>
        <w:spacing w:line="480" w:lineRule="auto"/>
        <w:rPr>
          <w:b/>
          <w:bCs/>
          <w:color w:val="000000" w:themeColor="text1"/>
          <w:sz w:val="24"/>
          <w:szCs w:val="24"/>
        </w:rPr>
      </w:pPr>
      <w:r>
        <w:rPr>
          <w:b/>
          <w:bCs/>
          <w:color w:val="000000" w:themeColor="text1"/>
          <w:sz w:val="24"/>
          <w:szCs w:val="24"/>
        </w:rPr>
        <w:lastRenderedPageBreak/>
        <w:t>MATERIALS AND METHODS</w:t>
      </w:r>
    </w:p>
    <w:p w14:paraId="2BB06FEC" w14:textId="77777777" w:rsidR="003B61E9" w:rsidRPr="009C44B9" w:rsidRDefault="00000000">
      <w:pPr>
        <w:spacing w:line="480" w:lineRule="auto"/>
        <w:jc w:val="both"/>
        <w:rPr>
          <w:b/>
          <w:bCs/>
          <w:color w:val="000000" w:themeColor="text1"/>
          <w:sz w:val="24"/>
          <w:szCs w:val="24"/>
        </w:rPr>
      </w:pPr>
      <w:r w:rsidRPr="009C44B9">
        <w:rPr>
          <w:b/>
          <w:bCs/>
          <w:color w:val="000000" w:themeColor="text1"/>
          <w:sz w:val="24"/>
          <w:szCs w:val="24"/>
        </w:rPr>
        <w:t>Resource availability</w:t>
      </w:r>
    </w:p>
    <w:p w14:paraId="2AC28D46" w14:textId="77777777" w:rsidR="003B61E9" w:rsidRDefault="00000000">
      <w:pPr>
        <w:spacing w:line="480" w:lineRule="auto"/>
        <w:jc w:val="both"/>
        <w:rPr>
          <w:b/>
          <w:bCs/>
          <w:color w:val="000000" w:themeColor="text1"/>
          <w:sz w:val="24"/>
          <w:szCs w:val="24"/>
        </w:rPr>
      </w:pPr>
      <w:r>
        <w:rPr>
          <w:b/>
          <w:bCs/>
          <w:color w:val="000000" w:themeColor="text1"/>
          <w:sz w:val="24"/>
          <w:szCs w:val="24"/>
        </w:rPr>
        <w:t>Lead contact</w:t>
      </w:r>
    </w:p>
    <w:p w14:paraId="04B2766C" w14:textId="77777777" w:rsidR="003B61E9" w:rsidRDefault="00000000">
      <w:pPr>
        <w:spacing w:line="480" w:lineRule="auto"/>
        <w:rPr>
          <w:color w:val="000000" w:themeColor="text1"/>
          <w:sz w:val="24"/>
          <w:szCs w:val="24"/>
        </w:rPr>
      </w:pPr>
      <w:r>
        <w:rPr>
          <w:color w:val="000000" w:themeColor="text1"/>
          <w:sz w:val="24"/>
          <w:szCs w:val="24"/>
        </w:rPr>
        <w:t xml:space="preserve">Further information and requests for resources and reagents should be directed to and will be fulfilled by the lead contact, </w:t>
      </w:r>
      <w:proofErr w:type="spellStart"/>
      <w:r>
        <w:rPr>
          <w:color w:val="000000" w:themeColor="text1"/>
          <w:sz w:val="24"/>
          <w:szCs w:val="24"/>
        </w:rPr>
        <w:t>Xiaochun</w:t>
      </w:r>
      <w:proofErr w:type="spellEnd"/>
      <w:r>
        <w:rPr>
          <w:color w:val="000000" w:themeColor="text1"/>
          <w:sz w:val="24"/>
          <w:szCs w:val="24"/>
        </w:rPr>
        <w:t xml:space="preserve"> Chen (</w:t>
      </w:r>
      <w:hyperlink r:id="rId7" w:history="1">
        <w:r w:rsidR="003B61E9">
          <w:rPr>
            <w:rStyle w:val="af1"/>
            <w:color w:val="000000" w:themeColor="text1"/>
            <w:sz w:val="24"/>
            <w:szCs w:val="24"/>
          </w:rPr>
          <w:t>chenxc998@fjmu.edu.cn</w:t>
        </w:r>
      </w:hyperlink>
      <w:r>
        <w:rPr>
          <w:color w:val="000000" w:themeColor="text1"/>
          <w:sz w:val="24"/>
          <w:szCs w:val="24"/>
        </w:rPr>
        <w:t>).</w:t>
      </w:r>
    </w:p>
    <w:p w14:paraId="4D75C55B" w14:textId="77777777" w:rsidR="003B61E9" w:rsidRDefault="003B61E9">
      <w:pPr>
        <w:spacing w:line="480" w:lineRule="auto"/>
        <w:jc w:val="both"/>
        <w:rPr>
          <w:rFonts w:ascii="Cambria" w:hAnsi="Cambria" w:cs="Arial"/>
          <w:b/>
          <w:bCs/>
          <w:color w:val="000000" w:themeColor="text1"/>
          <w:szCs w:val="24"/>
        </w:rPr>
      </w:pPr>
    </w:p>
    <w:p w14:paraId="3A210FC6" w14:textId="77777777" w:rsidR="003B61E9" w:rsidRDefault="00000000">
      <w:pPr>
        <w:spacing w:line="480" w:lineRule="auto"/>
        <w:jc w:val="both"/>
        <w:rPr>
          <w:b/>
          <w:bCs/>
          <w:color w:val="000000" w:themeColor="text1"/>
          <w:sz w:val="24"/>
          <w:szCs w:val="24"/>
        </w:rPr>
      </w:pPr>
      <w:r>
        <w:rPr>
          <w:b/>
          <w:bCs/>
          <w:color w:val="000000" w:themeColor="text1"/>
          <w:sz w:val="24"/>
          <w:szCs w:val="24"/>
        </w:rPr>
        <w:t>Materials availability</w:t>
      </w:r>
    </w:p>
    <w:p w14:paraId="2166DEFF" w14:textId="77777777" w:rsidR="003B61E9" w:rsidRDefault="00000000">
      <w:pPr>
        <w:spacing w:line="480" w:lineRule="auto"/>
        <w:jc w:val="both"/>
        <w:rPr>
          <w:color w:val="000000" w:themeColor="text1"/>
          <w:sz w:val="24"/>
          <w:szCs w:val="24"/>
        </w:rPr>
      </w:pPr>
      <w:r>
        <w:rPr>
          <w:color w:val="000000" w:themeColor="text1"/>
          <w:sz w:val="24"/>
          <w:szCs w:val="24"/>
        </w:rPr>
        <w:t xml:space="preserve">All the datasets presented in the paper are available in the supplemental material or deposited in the indicated repositories as described in the methods section. All RNA sequencing data supporting this study are available for download </w:t>
      </w:r>
      <w:r>
        <w:rPr>
          <w:sz w:val="24"/>
          <w:szCs w:val="24"/>
        </w:rPr>
        <w:t xml:space="preserve">from the Genome Sequence Archive (GSA) database with public access </w:t>
      </w:r>
      <w:r>
        <w:rPr>
          <w:color w:val="000000" w:themeColor="text1"/>
          <w:sz w:val="24"/>
          <w:szCs w:val="24"/>
        </w:rPr>
        <w:t>(</w:t>
      </w:r>
      <w:hyperlink r:id="rId8" w:history="1">
        <w:r w:rsidR="003B61E9">
          <w:rPr>
            <w:rStyle w:val="af1"/>
            <w:color w:val="000000" w:themeColor="text1"/>
            <w:sz w:val="24"/>
            <w:szCs w:val="24"/>
          </w:rPr>
          <w:t>CRA011593</w:t>
        </w:r>
      </w:hyperlink>
      <w:r>
        <w:rPr>
          <w:color w:val="000000" w:themeColor="text1"/>
          <w:sz w:val="24"/>
          <w:szCs w:val="24"/>
        </w:rPr>
        <w:t xml:space="preserve">; </w:t>
      </w:r>
      <w:hyperlink r:id="rId9" w:history="1">
        <w:r w:rsidR="003B61E9">
          <w:rPr>
            <w:rStyle w:val="af1"/>
            <w:color w:val="000000" w:themeColor="text1"/>
            <w:sz w:val="24"/>
            <w:szCs w:val="24"/>
          </w:rPr>
          <w:t>CRA010690</w:t>
        </w:r>
      </w:hyperlink>
      <w:r>
        <w:rPr>
          <w:color w:val="000000" w:themeColor="text1"/>
          <w:sz w:val="24"/>
          <w:szCs w:val="24"/>
        </w:rPr>
        <w:t>)</w:t>
      </w:r>
      <w:r>
        <w:rPr>
          <w:sz w:val="24"/>
          <w:szCs w:val="24"/>
        </w:rPr>
        <w:t>.</w:t>
      </w:r>
    </w:p>
    <w:p w14:paraId="02859BBB" w14:textId="77777777" w:rsidR="003B61E9" w:rsidRDefault="003B61E9">
      <w:pPr>
        <w:spacing w:beforeLines="50" w:before="156" w:afterLines="50" w:after="156" w:line="480" w:lineRule="auto"/>
        <w:rPr>
          <w:b/>
          <w:bCs/>
          <w:color w:val="000000" w:themeColor="text1"/>
          <w:sz w:val="24"/>
          <w:szCs w:val="24"/>
        </w:rPr>
      </w:pPr>
    </w:p>
    <w:p w14:paraId="5AB40629" w14:textId="77777777" w:rsidR="003B61E9" w:rsidRDefault="00000000">
      <w:pPr>
        <w:spacing w:beforeLines="50" w:before="156" w:afterLines="50" w:after="156" w:line="480" w:lineRule="auto"/>
        <w:rPr>
          <w:b/>
          <w:bCs/>
          <w:color w:val="000000" w:themeColor="text1"/>
          <w:sz w:val="24"/>
          <w:szCs w:val="24"/>
        </w:rPr>
      </w:pPr>
      <w:r>
        <w:rPr>
          <w:b/>
          <w:bCs/>
          <w:color w:val="000000" w:themeColor="text1"/>
          <w:sz w:val="24"/>
          <w:szCs w:val="24"/>
        </w:rPr>
        <w:t>Patients</w:t>
      </w:r>
    </w:p>
    <w:p w14:paraId="475D39B3" w14:textId="77777777" w:rsidR="003B61E9" w:rsidRDefault="00000000">
      <w:pPr>
        <w:spacing w:line="480" w:lineRule="auto"/>
        <w:rPr>
          <w:color w:val="000000" w:themeColor="text1"/>
          <w:sz w:val="24"/>
        </w:rPr>
      </w:pPr>
      <w:r>
        <w:rPr>
          <w:color w:val="000000" w:themeColor="text1"/>
          <w:sz w:val="24"/>
          <w:szCs w:val="24"/>
        </w:rPr>
        <w:t xml:space="preserve">Patient studies </w:t>
      </w:r>
      <w:r>
        <w:rPr>
          <w:rFonts w:hint="eastAsia"/>
          <w:color w:val="000000" w:themeColor="text1"/>
          <w:sz w:val="24"/>
          <w:szCs w:val="24"/>
        </w:rPr>
        <w:t>observed</w:t>
      </w:r>
      <w:r>
        <w:rPr>
          <w:color w:val="000000" w:themeColor="text1"/>
          <w:sz w:val="24"/>
          <w:szCs w:val="24"/>
        </w:rPr>
        <w:t xml:space="preserve"> the Declaration of Helsinki. The inclusion of human subjects and supporting documentation were </w:t>
      </w:r>
      <w:r>
        <w:rPr>
          <w:rFonts w:hint="eastAsia"/>
          <w:color w:val="000000" w:themeColor="text1"/>
          <w:sz w:val="24"/>
          <w:szCs w:val="24"/>
        </w:rPr>
        <w:t>grant</w:t>
      </w:r>
      <w:r>
        <w:rPr>
          <w:color w:val="000000" w:themeColor="text1"/>
          <w:sz w:val="24"/>
          <w:szCs w:val="24"/>
        </w:rPr>
        <w:t>ed by the Ethics Committees of The First Affiliated Hospital of Fujian Medical University</w:t>
      </w:r>
      <w:r>
        <w:rPr>
          <w:color w:val="000000" w:themeColor="text1"/>
        </w:rPr>
        <w:t xml:space="preserve"> </w:t>
      </w:r>
      <w:r>
        <w:rPr>
          <w:color w:val="000000" w:themeColor="text1"/>
          <w:sz w:val="24"/>
          <w:szCs w:val="24"/>
        </w:rPr>
        <w:t xml:space="preserve">(Approval </w:t>
      </w:r>
      <w:proofErr w:type="gramStart"/>
      <w:r>
        <w:rPr>
          <w:color w:val="000000" w:themeColor="text1"/>
          <w:sz w:val="24"/>
          <w:szCs w:val="24"/>
        </w:rPr>
        <w:t>No. :</w:t>
      </w:r>
      <w:proofErr w:type="gramEnd"/>
      <w:r>
        <w:rPr>
          <w:color w:val="000000" w:themeColor="text1"/>
          <w:sz w:val="24"/>
          <w:szCs w:val="24"/>
        </w:rPr>
        <w:t xml:space="preserve"> MRCTA, ECFAH of FMU [2021]692). </w:t>
      </w:r>
      <w:r>
        <w:rPr>
          <w:rFonts w:hint="eastAsia"/>
          <w:color w:val="000000" w:themeColor="text1"/>
          <w:sz w:val="24"/>
          <w:szCs w:val="24"/>
        </w:rPr>
        <w:t>A</w:t>
      </w:r>
      <w:r>
        <w:rPr>
          <w:color w:val="000000" w:themeColor="text1"/>
          <w:sz w:val="24"/>
          <w:szCs w:val="24"/>
        </w:rPr>
        <w:t xml:space="preserve">ll the subjects </w:t>
      </w:r>
      <w:r>
        <w:rPr>
          <w:rFonts w:hint="eastAsia"/>
          <w:color w:val="000000" w:themeColor="text1"/>
          <w:sz w:val="24"/>
          <w:szCs w:val="24"/>
        </w:rPr>
        <w:t>gave their i</w:t>
      </w:r>
      <w:r>
        <w:rPr>
          <w:color w:val="000000" w:themeColor="text1"/>
          <w:sz w:val="24"/>
          <w:szCs w:val="24"/>
        </w:rPr>
        <w:t xml:space="preserve">nformed consent at the time of enrollment. </w:t>
      </w:r>
      <w:r>
        <w:rPr>
          <w:rFonts w:eastAsia="微软雅黑"/>
          <w:color w:val="000000" w:themeColor="text1"/>
          <w:sz w:val="24"/>
          <w:szCs w:val="24"/>
        </w:rPr>
        <w:t xml:space="preserve">PET/CT images were </w:t>
      </w:r>
      <w:r>
        <w:rPr>
          <w:rFonts w:eastAsia="微软雅黑" w:hint="eastAsia"/>
          <w:color w:val="000000" w:themeColor="text1"/>
          <w:sz w:val="24"/>
          <w:szCs w:val="24"/>
        </w:rPr>
        <w:t>acquir</w:t>
      </w:r>
      <w:r>
        <w:rPr>
          <w:rFonts w:eastAsia="微软雅黑"/>
          <w:color w:val="000000" w:themeColor="text1"/>
          <w:sz w:val="24"/>
          <w:szCs w:val="24"/>
        </w:rPr>
        <w:t xml:space="preserve">ed from 8 non-AD dementias (2 males and 6 females) and 18 AD dementias (11 males and 7 females). </w:t>
      </w:r>
      <w:r>
        <w:rPr>
          <w:rFonts w:hint="eastAsia"/>
          <w:color w:val="000000" w:themeColor="text1"/>
          <w:sz w:val="24"/>
        </w:rPr>
        <w:t>N</w:t>
      </w:r>
      <w:r>
        <w:rPr>
          <w:color w:val="000000" w:themeColor="text1"/>
          <w:sz w:val="24"/>
        </w:rPr>
        <w:t xml:space="preserve">o </w:t>
      </w:r>
      <w:r>
        <w:rPr>
          <w:rFonts w:hint="eastAsia"/>
          <w:color w:val="000000" w:themeColor="text1"/>
          <w:sz w:val="24"/>
        </w:rPr>
        <w:t>marked</w:t>
      </w:r>
      <w:r>
        <w:rPr>
          <w:color w:val="000000" w:themeColor="text1"/>
          <w:sz w:val="24"/>
        </w:rPr>
        <w:t xml:space="preserve"> difference</w:t>
      </w:r>
      <w:r>
        <w:rPr>
          <w:rFonts w:hint="eastAsia"/>
          <w:color w:val="000000" w:themeColor="text1"/>
          <w:sz w:val="24"/>
        </w:rPr>
        <w:t xml:space="preserve"> was present</w:t>
      </w:r>
      <w:r>
        <w:rPr>
          <w:color w:val="000000" w:themeColor="text1"/>
          <w:sz w:val="24"/>
        </w:rPr>
        <w:t xml:space="preserve"> in age (</w:t>
      </w:r>
      <w:r>
        <w:rPr>
          <w:rFonts w:eastAsia="微软雅黑"/>
          <w:color w:val="000000" w:themeColor="text1"/>
          <w:sz w:val="24"/>
          <w:szCs w:val="24"/>
        </w:rPr>
        <w:t>66.88± 7.16</w:t>
      </w:r>
      <w:r>
        <w:rPr>
          <w:color w:val="000000" w:themeColor="text1"/>
          <w:sz w:val="24"/>
        </w:rPr>
        <w:t xml:space="preserve"> vs. </w:t>
      </w:r>
      <w:r>
        <w:rPr>
          <w:rFonts w:eastAsia="微软雅黑"/>
          <w:color w:val="000000" w:themeColor="text1"/>
          <w:sz w:val="24"/>
          <w:szCs w:val="24"/>
        </w:rPr>
        <w:t>68.47 ±9.61</w:t>
      </w:r>
      <w:r>
        <w:rPr>
          <w:color w:val="000000" w:themeColor="text1"/>
          <w:sz w:val="24"/>
        </w:rPr>
        <w:t xml:space="preserve"> years, P = 0. 681), education (</w:t>
      </w:r>
      <w:r>
        <w:rPr>
          <w:rFonts w:eastAsia="微软雅黑"/>
          <w:color w:val="000000" w:themeColor="text1"/>
          <w:sz w:val="24"/>
          <w:szCs w:val="24"/>
        </w:rPr>
        <w:t>11.63 ± 5.81</w:t>
      </w:r>
      <w:r>
        <w:rPr>
          <w:color w:val="000000" w:themeColor="text1"/>
          <w:sz w:val="24"/>
        </w:rPr>
        <w:t xml:space="preserve"> vs. </w:t>
      </w:r>
      <w:r>
        <w:rPr>
          <w:rFonts w:eastAsia="微软雅黑"/>
          <w:color w:val="000000" w:themeColor="text1"/>
          <w:sz w:val="24"/>
          <w:szCs w:val="24"/>
        </w:rPr>
        <w:t>10.76 ± 5.27</w:t>
      </w:r>
      <w:r>
        <w:rPr>
          <w:color w:val="000000" w:themeColor="text1"/>
          <w:sz w:val="24"/>
        </w:rPr>
        <w:t xml:space="preserve"> years, P = 0.716) and MMSE (</w:t>
      </w:r>
      <w:r>
        <w:rPr>
          <w:rFonts w:eastAsia="微软雅黑"/>
          <w:color w:val="000000" w:themeColor="text1"/>
          <w:sz w:val="24"/>
          <w:szCs w:val="24"/>
        </w:rPr>
        <w:t>21.63 ± 5.37</w:t>
      </w:r>
      <w:r>
        <w:rPr>
          <w:color w:val="000000" w:themeColor="text1"/>
          <w:sz w:val="24"/>
        </w:rPr>
        <w:t xml:space="preserve"> vs. </w:t>
      </w:r>
      <w:r>
        <w:rPr>
          <w:rFonts w:eastAsia="微软雅黑"/>
          <w:color w:val="000000" w:themeColor="text1"/>
          <w:sz w:val="24"/>
          <w:szCs w:val="24"/>
        </w:rPr>
        <w:t>17.65 ± 5.37</w:t>
      </w:r>
      <w:r>
        <w:rPr>
          <w:color w:val="000000" w:themeColor="text1"/>
          <w:sz w:val="24"/>
        </w:rPr>
        <w:t>, P = 0.10) scores of the recruited subjects (</w:t>
      </w:r>
      <w:r>
        <w:rPr>
          <w:b/>
          <w:bCs/>
          <w:color w:val="000000" w:themeColor="text1"/>
          <w:sz w:val="24"/>
          <w:szCs w:val="24"/>
        </w:rPr>
        <w:t>supplementary </w:t>
      </w:r>
      <w:r>
        <w:rPr>
          <w:b/>
          <w:color w:val="000000" w:themeColor="text1"/>
          <w:sz w:val="24"/>
        </w:rPr>
        <w:t>Table 1</w:t>
      </w:r>
      <w:r>
        <w:rPr>
          <w:color w:val="000000" w:themeColor="text1"/>
          <w:sz w:val="24"/>
        </w:rPr>
        <w:t>).</w:t>
      </w:r>
    </w:p>
    <w:p w14:paraId="5E7B5A99" w14:textId="77777777" w:rsidR="003B61E9" w:rsidRDefault="003B61E9">
      <w:pPr>
        <w:spacing w:line="480" w:lineRule="auto"/>
        <w:rPr>
          <w:color w:val="000000" w:themeColor="text1"/>
          <w:sz w:val="24"/>
          <w:szCs w:val="24"/>
        </w:rPr>
      </w:pPr>
    </w:p>
    <w:p w14:paraId="3D4F7FDE" w14:textId="77777777" w:rsidR="003B61E9" w:rsidRDefault="00000000">
      <w:pPr>
        <w:spacing w:beforeLines="50" w:before="156" w:afterLines="50" w:after="156" w:line="480" w:lineRule="auto"/>
        <w:rPr>
          <w:b/>
          <w:bCs/>
          <w:color w:val="000000" w:themeColor="text1"/>
          <w:sz w:val="24"/>
          <w:szCs w:val="24"/>
        </w:rPr>
      </w:pPr>
      <w:r>
        <w:rPr>
          <w:b/>
          <w:bCs/>
          <w:color w:val="000000" w:themeColor="text1"/>
          <w:sz w:val="24"/>
          <w:szCs w:val="24"/>
        </w:rPr>
        <w:t>Animals</w:t>
      </w:r>
    </w:p>
    <w:p w14:paraId="2DE92AC9" w14:textId="77777777" w:rsidR="003B61E9" w:rsidRDefault="00000000">
      <w:pPr>
        <w:spacing w:line="480" w:lineRule="auto"/>
        <w:rPr>
          <w:color w:val="000000" w:themeColor="text1"/>
          <w:sz w:val="24"/>
          <w:szCs w:val="24"/>
        </w:rPr>
      </w:pPr>
      <w:r>
        <w:rPr>
          <w:color w:val="000000" w:themeColor="text1"/>
          <w:sz w:val="24"/>
          <w:szCs w:val="24"/>
        </w:rPr>
        <w:lastRenderedPageBreak/>
        <w:t xml:space="preserve">The 5×FAD mice, a model that </w:t>
      </w:r>
      <w:proofErr w:type="spellStart"/>
      <w:r>
        <w:rPr>
          <w:color w:val="000000" w:themeColor="text1"/>
          <w:sz w:val="24"/>
          <w:szCs w:val="24"/>
        </w:rPr>
        <w:t>coexpresses</w:t>
      </w:r>
      <w:proofErr w:type="spellEnd"/>
      <w:r>
        <w:rPr>
          <w:color w:val="000000" w:themeColor="text1"/>
          <w:sz w:val="24"/>
          <w:szCs w:val="24"/>
        </w:rPr>
        <w:t xml:space="preserve"> five familial </w:t>
      </w:r>
      <w:r>
        <w:rPr>
          <w:rFonts w:hint="eastAsia"/>
          <w:color w:val="000000" w:themeColor="text1"/>
          <w:sz w:val="24"/>
          <w:szCs w:val="24"/>
        </w:rPr>
        <w:t>AD</w:t>
      </w:r>
      <w:r>
        <w:rPr>
          <w:color w:val="000000" w:themeColor="text1"/>
          <w:sz w:val="24"/>
          <w:szCs w:val="24"/>
        </w:rPr>
        <w:t xml:space="preserve"> mutations in the human amyloid precursor protein [K670N/M671L (Swedish) + I716V (Florida) + V717I (London)] and human presenilin 1 (M146L+L286V) under the control of the murine Thy-1 promoter</w:t>
      </w:r>
      <w:r>
        <w:rPr>
          <w:rFonts w:hint="eastAsia"/>
          <w:color w:val="000000" w:themeColor="text1"/>
          <w:sz w:val="24"/>
          <w:szCs w:val="24"/>
        </w:rPr>
        <w:t xml:space="preserve"> </w:t>
      </w:r>
      <w:r>
        <w:rPr>
          <w:color w:val="000000" w:themeColor="text1"/>
          <w:sz w:val="24"/>
          <w:szCs w:val="24"/>
        </w:rPr>
        <w:fldChar w:fldCharType="begin"/>
      </w:r>
      <w:r>
        <w:rPr>
          <w:rFonts w:hint="eastAsia"/>
          <w:color w:val="000000" w:themeColor="text1"/>
          <w:sz w:val="24"/>
          <w:szCs w:val="24"/>
        </w:rPr>
        <w:instrText xml:space="preserve"> ADDIN NE.Ref.{7368D5E0-488D-45D3-827D-73B397341E7A}</w:instrText>
      </w:r>
      <w:r>
        <w:rPr>
          <w:color w:val="000000" w:themeColor="text1"/>
          <w:sz w:val="24"/>
          <w:szCs w:val="24"/>
        </w:rPr>
        <w:fldChar w:fldCharType="separate"/>
      </w:r>
      <w:r>
        <w:rPr>
          <w:rFonts w:eastAsia="Times New Roman"/>
          <w:color w:val="080000"/>
          <w:szCs w:val="24"/>
          <w:vertAlign w:val="superscript"/>
        </w:rPr>
        <w:t>1</w:t>
      </w:r>
      <w:r>
        <w:rPr>
          <w:color w:val="000000" w:themeColor="text1"/>
          <w:sz w:val="24"/>
          <w:szCs w:val="24"/>
        </w:rPr>
        <w:fldChar w:fldCharType="end"/>
      </w:r>
      <w:r>
        <w:rPr>
          <w:color w:val="000000" w:themeColor="text1"/>
          <w:sz w:val="24"/>
          <w:szCs w:val="24"/>
        </w:rPr>
        <w:t xml:space="preserve">, were </w:t>
      </w:r>
      <w:r>
        <w:rPr>
          <w:rFonts w:hint="eastAsia"/>
          <w:color w:val="000000" w:themeColor="text1"/>
          <w:sz w:val="24"/>
          <w:szCs w:val="24"/>
        </w:rPr>
        <w:t>provided by</w:t>
      </w:r>
      <w:r>
        <w:rPr>
          <w:color w:val="000000" w:themeColor="text1"/>
          <w:sz w:val="24"/>
          <w:szCs w:val="24"/>
        </w:rPr>
        <w:t xml:space="preserve"> Jackson Laboratory (stock no. 034848‑JAX, Bar Harbor, ME, USA). </w:t>
      </w:r>
      <w:bookmarkStart w:id="0" w:name="OLE_LINK11"/>
      <w:r>
        <w:rPr>
          <w:color w:val="000000" w:themeColor="text1"/>
          <w:sz w:val="24"/>
          <w:szCs w:val="24"/>
        </w:rPr>
        <w:t xml:space="preserve">APP/PS1 mice (stock no. 034832‑JAX), another model that </w:t>
      </w:r>
      <w:r>
        <w:rPr>
          <w:rFonts w:hint="eastAsia"/>
          <w:color w:val="000000" w:themeColor="text1"/>
          <w:sz w:val="24"/>
          <w:szCs w:val="24"/>
        </w:rPr>
        <w:t>featur</w:t>
      </w:r>
      <w:r>
        <w:rPr>
          <w:color w:val="000000" w:themeColor="text1"/>
          <w:sz w:val="24"/>
          <w:szCs w:val="24"/>
        </w:rPr>
        <w:t>es</w:t>
      </w:r>
      <w:r>
        <w:rPr>
          <w:color w:val="000000" w:themeColor="text1"/>
          <w:sz w:val="24"/>
          <w:szCs w:val="24"/>
          <w:shd w:val="clear" w:color="auto" w:fill="FFFFFF"/>
        </w:rPr>
        <w:t xml:space="preserve"> a mutant human presenilin 1 (PS1-dE9) and a chimeric mouse/human amyloid precursor protein (Mo/HuAPP695swe)</w:t>
      </w:r>
      <w:r>
        <w:rPr>
          <w:color w:val="000000" w:themeColor="text1"/>
          <w:sz w:val="24"/>
          <w:szCs w:val="24"/>
        </w:rPr>
        <w:t xml:space="preserve">, </w:t>
      </w:r>
      <w:r>
        <w:rPr>
          <w:rFonts w:hint="eastAsia"/>
          <w:color w:val="000000" w:themeColor="text1"/>
          <w:sz w:val="24"/>
          <w:szCs w:val="24"/>
        </w:rPr>
        <w:t xml:space="preserve">and </w:t>
      </w:r>
      <w:r>
        <w:rPr>
          <w:color w:val="000000" w:themeColor="text1"/>
          <w:sz w:val="24"/>
          <w:szCs w:val="24"/>
        </w:rPr>
        <w:t>IL-6 knockout mice (B6.129S2-</w:t>
      </w:r>
      <w:r>
        <w:rPr>
          <w:i/>
          <w:iCs/>
          <w:color w:val="000000" w:themeColor="text1"/>
          <w:sz w:val="24"/>
          <w:szCs w:val="24"/>
        </w:rPr>
        <w:t>Il6</w:t>
      </w:r>
      <w:r>
        <w:rPr>
          <w:color w:val="000000" w:themeColor="text1"/>
          <w:sz w:val="24"/>
          <w:szCs w:val="24"/>
          <w:vertAlign w:val="superscript"/>
        </w:rPr>
        <w:t>tm1Kopf</w:t>
      </w:r>
      <w:r>
        <w:rPr>
          <w:color w:val="000000" w:themeColor="text1"/>
          <w:sz w:val="24"/>
          <w:szCs w:val="24"/>
        </w:rPr>
        <w:t>/J)</w:t>
      </w:r>
      <w:r>
        <w:rPr>
          <w:rFonts w:hint="eastAsia"/>
          <w:color w:val="000000" w:themeColor="text1"/>
          <w:sz w:val="24"/>
          <w:szCs w:val="24"/>
        </w:rPr>
        <w:t xml:space="preserve"> </w:t>
      </w:r>
      <w:r>
        <w:rPr>
          <w:color w:val="000000" w:themeColor="text1"/>
          <w:sz w:val="24"/>
          <w:szCs w:val="24"/>
        </w:rPr>
        <w:t>(stock no. 002650)</w:t>
      </w:r>
      <w:r>
        <w:rPr>
          <w:rFonts w:hint="eastAsia"/>
          <w:color w:val="000000" w:themeColor="text1"/>
          <w:sz w:val="24"/>
          <w:szCs w:val="24"/>
        </w:rPr>
        <w:t xml:space="preserve"> </w:t>
      </w:r>
      <w:r>
        <w:rPr>
          <w:color w:val="000000" w:themeColor="text1"/>
          <w:sz w:val="24"/>
          <w:szCs w:val="24"/>
        </w:rPr>
        <w:t xml:space="preserve">were </w:t>
      </w:r>
      <w:r>
        <w:rPr>
          <w:rFonts w:hint="eastAsia"/>
          <w:color w:val="000000" w:themeColor="text1"/>
          <w:sz w:val="24"/>
          <w:szCs w:val="24"/>
        </w:rPr>
        <w:t>procur</w:t>
      </w:r>
      <w:r>
        <w:rPr>
          <w:color w:val="000000" w:themeColor="text1"/>
          <w:sz w:val="24"/>
          <w:szCs w:val="24"/>
        </w:rPr>
        <w:t>ed from Jackson Laboratory</w:t>
      </w:r>
      <w:bookmarkStart w:id="1" w:name="_Hlk206356915"/>
      <w:r>
        <w:rPr>
          <w:color w:val="000000" w:themeColor="text1"/>
          <w:sz w:val="24"/>
          <w:szCs w:val="24"/>
        </w:rPr>
        <w:t xml:space="preserve"> (Bar Harbor, ME, USA)</w:t>
      </w:r>
      <w:bookmarkEnd w:id="1"/>
      <w:r>
        <w:rPr>
          <w:color w:val="000000" w:themeColor="text1"/>
          <w:sz w:val="24"/>
          <w:szCs w:val="24"/>
        </w:rPr>
        <w:t xml:space="preserve">. </w:t>
      </w:r>
      <w:bookmarkEnd w:id="0"/>
      <w:r>
        <w:rPr>
          <w:color w:val="000000" w:themeColor="text1"/>
          <w:sz w:val="24"/>
          <w:szCs w:val="24"/>
        </w:rPr>
        <w:t xml:space="preserve">All the mutant mice were backcrossed to the B6 background for 15 generations. The genotypes were </w:t>
      </w:r>
      <w:r>
        <w:rPr>
          <w:rFonts w:hint="eastAsia"/>
          <w:color w:val="000000" w:themeColor="text1"/>
          <w:sz w:val="24"/>
          <w:szCs w:val="24"/>
        </w:rPr>
        <w:t>veri</w:t>
      </w:r>
      <w:r>
        <w:rPr>
          <w:color w:val="000000" w:themeColor="text1"/>
          <w:sz w:val="24"/>
          <w:szCs w:val="24"/>
        </w:rPr>
        <w:t>fied via</w:t>
      </w:r>
      <w:r>
        <w:rPr>
          <w:rFonts w:hint="eastAsia"/>
          <w:color w:val="000000" w:themeColor="text1"/>
          <w:sz w:val="24"/>
          <w:szCs w:val="24"/>
        </w:rPr>
        <w:t xml:space="preserve"> a</w:t>
      </w:r>
      <w:r>
        <w:rPr>
          <w:color w:val="000000" w:themeColor="text1"/>
          <w:sz w:val="24"/>
          <w:szCs w:val="24"/>
        </w:rPr>
        <w:t xml:space="preserve"> PCR analysis of the tail DNA as </w:t>
      </w:r>
      <w:r>
        <w:rPr>
          <w:rFonts w:hint="eastAsia"/>
          <w:color w:val="000000" w:themeColor="text1"/>
          <w:sz w:val="24"/>
          <w:szCs w:val="24"/>
        </w:rPr>
        <w:t>document</w:t>
      </w:r>
      <w:r>
        <w:rPr>
          <w:color w:val="000000" w:themeColor="text1"/>
          <w:sz w:val="24"/>
          <w:szCs w:val="24"/>
        </w:rPr>
        <w:t xml:space="preserve">ed previously </w:t>
      </w:r>
      <w:r>
        <w:rPr>
          <w:color w:val="000000" w:themeColor="text1"/>
          <w:sz w:val="24"/>
          <w:szCs w:val="24"/>
        </w:rPr>
        <w:fldChar w:fldCharType="begin"/>
      </w:r>
      <w:r>
        <w:rPr>
          <w:rFonts w:hint="eastAsia"/>
          <w:color w:val="000000" w:themeColor="text1"/>
          <w:sz w:val="24"/>
          <w:szCs w:val="24"/>
        </w:rPr>
        <w:instrText xml:space="preserve"> ADDIN NE.Ref.{0BB85E18-AF73-4C6D-BEF7-F3378A818761}</w:instrText>
      </w:r>
      <w:r>
        <w:rPr>
          <w:color w:val="000000" w:themeColor="text1"/>
          <w:sz w:val="24"/>
          <w:szCs w:val="24"/>
        </w:rPr>
        <w:fldChar w:fldCharType="separate"/>
      </w:r>
      <w:r>
        <w:rPr>
          <w:rFonts w:eastAsia="Times New Roman"/>
          <w:color w:val="080000"/>
          <w:szCs w:val="24"/>
          <w:vertAlign w:val="superscript"/>
        </w:rPr>
        <w:t>2</w:t>
      </w:r>
      <w:r>
        <w:rPr>
          <w:color w:val="000000" w:themeColor="text1"/>
          <w:sz w:val="24"/>
          <w:szCs w:val="24"/>
        </w:rPr>
        <w:fldChar w:fldCharType="end"/>
      </w:r>
      <w:r>
        <w:rPr>
          <w:color w:val="000000" w:themeColor="text1"/>
          <w:sz w:val="24"/>
          <w:szCs w:val="24"/>
        </w:rPr>
        <w:t xml:space="preserve">. </w:t>
      </w:r>
      <w:r>
        <w:rPr>
          <w:rFonts w:hint="eastAsia"/>
          <w:color w:val="000000" w:themeColor="text1"/>
          <w:sz w:val="24"/>
          <w:szCs w:val="24"/>
        </w:rPr>
        <w:t xml:space="preserve">Both sexes of mice </w:t>
      </w:r>
      <w:r>
        <w:rPr>
          <w:color w:val="000000" w:themeColor="text1"/>
          <w:sz w:val="24"/>
          <w:szCs w:val="24"/>
        </w:rPr>
        <w:t xml:space="preserve">were </w:t>
      </w:r>
      <w:r>
        <w:rPr>
          <w:rFonts w:hint="eastAsia"/>
          <w:color w:val="000000" w:themeColor="text1"/>
          <w:sz w:val="24"/>
          <w:szCs w:val="24"/>
        </w:rPr>
        <w:t>enroll</w:t>
      </w:r>
      <w:r>
        <w:rPr>
          <w:color w:val="000000" w:themeColor="text1"/>
          <w:sz w:val="24"/>
          <w:szCs w:val="24"/>
        </w:rPr>
        <w:t>ed in this study</w:t>
      </w:r>
      <w:r>
        <w:rPr>
          <w:rFonts w:hint="eastAsia"/>
          <w:color w:val="000000" w:themeColor="text1"/>
          <w:sz w:val="24"/>
          <w:szCs w:val="24"/>
        </w:rPr>
        <w:t xml:space="preserve"> and raised</w:t>
      </w:r>
      <w:r>
        <w:rPr>
          <w:color w:val="000000" w:themeColor="text1"/>
          <w:sz w:val="24"/>
          <w:szCs w:val="24"/>
        </w:rPr>
        <w:t xml:space="preserve"> </w:t>
      </w:r>
      <w:r>
        <w:rPr>
          <w:rFonts w:hint="eastAsia"/>
          <w:color w:val="000000" w:themeColor="text1"/>
          <w:sz w:val="24"/>
          <w:szCs w:val="24"/>
        </w:rPr>
        <w:t>(</w:t>
      </w:r>
      <w:r>
        <w:rPr>
          <w:color w:val="000000" w:themeColor="text1"/>
          <w:sz w:val="24"/>
          <w:szCs w:val="24"/>
        </w:rPr>
        <w:t>a maximum of five individuals per cage</w:t>
      </w:r>
      <w:r>
        <w:rPr>
          <w:rFonts w:hint="eastAsia"/>
          <w:color w:val="000000" w:themeColor="text1"/>
          <w:sz w:val="24"/>
          <w:szCs w:val="24"/>
        </w:rPr>
        <w:t>)</w:t>
      </w:r>
      <w:r>
        <w:rPr>
          <w:color w:val="000000" w:themeColor="text1"/>
          <w:sz w:val="24"/>
          <w:szCs w:val="24"/>
        </w:rPr>
        <w:t xml:space="preserve"> in a pathogen-free environment</w:t>
      </w:r>
      <w:r>
        <w:rPr>
          <w:rFonts w:hint="eastAsia"/>
          <w:color w:val="000000" w:themeColor="text1"/>
          <w:sz w:val="24"/>
          <w:szCs w:val="24"/>
        </w:rPr>
        <w:t xml:space="preserve">, which was maintained on </w:t>
      </w:r>
      <w:r>
        <w:rPr>
          <w:color w:val="000000" w:themeColor="text1"/>
          <w:sz w:val="24"/>
          <w:szCs w:val="24"/>
        </w:rPr>
        <w:t>a controlled light-dark cycle</w:t>
      </w:r>
      <w:r>
        <w:rPr>
          <w:rFonts w:hint="eastAsia"/>
          <w:color w:val="000000" w:themeColor="text1"/>
          <w:sz w:val="24"/>
          <w:szCs w:val="24"/>
        </w:rPr>
        <w:t xml:space="preserve">, with </w:t>
      </w:r>
      <w:r>
        <w:rPr>
          <w:color w:val="000000" w:themeColor="text1"/>
          <w:sz w:val="24"/>
          <w:szCs w:val="24"/>
        </w:rPr>
        <w:t xml:space="preserve">a stable temperature of 21 ± 1°C and </w:t>
      </w:r>
      <w:r>
        <w:rPr>
          <w:rFonts w:hint="eastAsia"/>
          <w:color w:val="000000" w:themeColor="text1"/>
          <w:sz w:val="24"/>
          <w:szCs w:val="24"/>
        </w:rPr>
        <w:t xml:space="preserve">a </w:t>
      </w:r>
      <w:r>
        <w:rPr>
          <w:color w:val="000000" w:themeColor="text1"/>
          <w:sz w:val="24"/>
          <w:szCs w:val="24"/>
        </w:rPr>
        <w:t>humidity level ranging from 50% to 60%. The</w:t>
      </w:r>
      <w:r>
        <w:rPr>
          <w:rFonts w:hint="eastAsia"/>
          <w:color w:val="000000" w:themeColor="text1"/>
          <w:sz w:val="24"/>
          <w:szCs w:val="24"/>
        </w:rPr>
        <w:t xml:space="preserve"> animals </w:t>
      </w:r>
      <w:r>
        <w:rPr>
          <w:color w:val="000000" w:themeColor="text1"/>
          <w:sz w:val="24"/>
          <w:szCs w:val="24"/>
        </w:rPr>
        <w:t>access</w:t>
      </w:r>
      <w:r>
        <w:rPr>
          <w:rFonts w:hint="eastAsia"/>
          <w:color w:val="000000" w:themeColor="text1"/>
          <w:sz w:val="24"/>
          <w:szCs w:val="24"/>
        </w:rPr>
        <w:t>ed both water and food unrestrictedly</w:t>
      </w:r>
      <w:r>
        <w:rPr>
          <w:color w:val="000000" w:themeColor="text1"/>
          <w:sz w:val="24"/>
          <w:szCs w:val="24"/>
        </w:rPr>
        <w:t xml:space="preserve">. All animal </w:t>
      </w:r>
      <w:r>
        <w:rPr>
          <w:rFonts w:hint="eastAsia"/>
          <w:color w:val="000000" w:themeColor="text1"/>
          <w:sz w:val="24"/>
          <w:szCs w:val="24"/>
        </w:rPr>
        <w:t>procedure</w:t>
      </w:r>
      <w:r>
        <w:rPr>
          <w:color w:val="000000" w:themeColor="text1"/>
          <w:sz w:val="24"/>
          <w:szCs w:val="24"/>
        </w:rPr>
        <w:t xml:space="preserve">s </w:t>
      </w:r>
      <w:r>
        <w:rPr>
          <w:rFonts w:hint="eastAsia"/>
          <w:color w:val="000000" w:themeColor="text1"/>
          <w:sz w:val="24"/>
          <w:szCs w:val="24"/>
        </w:rPr>
        <w:t>followed</w:t>
      </w:r>
      <w:r>
        <w:rPr>
          <w:color w:val="000000" w:themeColor="text1"/>
          <w:sz w:val="24"/>
          <w:szCs w:val="24"/>
        </w:rPr>
        <w:t xml:space="preserve"> the regulations and policies established by the Institutional Animal Care and Use Committee at Fujian Medical University and adhered to international standards for the ethical treatment of animals.</w:t>
      </w:r>
    </w:p>
    <w:p w14:paraId="651B3144" w14:textId="77777777" w:rsidR="003B61E9" w:rsidRDefault="003B61E9">
      <w:pPr>
        <w:spacing w:beforeLines="50" w:before="156" w:afterLines="50" w:after="156" w:line="480" w:lineRule="auto"/>
        <w:rPr>
          <w:b/>
          <w:bCs/>
          <w:color w:val="000000" w:themeColor="text1"/>
          <w:sz w:val="24"/>
          <w:szCs w:val="24"/>
        </w:rPr>
      </w:pPr>
    </w:p>
    <w:p w14:paraId="42DD27F1" w14:textId="77777777" w:rsidR="003B61E9" w:rsidRDefault="00000000">
      <w:pPr>
        <w:spacing w:beforeLines="50" w:before="156" w:afterLines="50" w:after="156" w:line="480" w:lineRule="auto"/>
        <w:rPr>
          <w:b/>
          <w:bCs/>
          <w:color w:val="000000" w:themeColor="text1"/>
          <w:sz w:val="24"/>
          <w:szCs w:val="24"/>
        </w:rPr>
      </w:pPr>
      <w:r>
        <w:rPr>
          <w:b/>
          <w:bCs/>
          <w:color w:val="000000" w:themeColor="text1"/>
          <w:sz w:val="24"/>
          <w:szCs w:val="24"/>
        </w:rPr>
        <w:t>Human PET/CT imaging</w:t>
      </w:r>
    </w:p>
    <w:p w14:paraId="39523114" w14:textId="77777777" w:rsidR="003B61E9" w:rsidRDefault="00000000">
      <w:pPr>
        <w:spacing w:line="480" w:lineRule="auto"/>
        <w:jc w:val="both"/>
        <w:rPr>
          <w:color w:val="000000" w:themeColor="text1"/>
          <w:sz w:val="24"/>
          <w:szCs w:val="24"/>
        </w:rPr>
      </w:pPr>
      <w:bookmarkStart w:id="2" w:name="_Hlk200005193"/>
      <w:r>
        <w:rPr>
          <w:color w:val="000000" w:themeColor="text1"/>
          <w:sz w:val="24"/>
          <w:szCs w:val="24"/>
        </w:rPr>
        <w:t>PET/CT imaging was performed using distinct Aβ tracers across two patient cohorts: 4 non-AD dementia patients and 12 AD dementia patients were scanned with the 18F-92 tracer; 4 non-AD dementia patients and 6 AD dementia patients were scanned with the 18F-AV45 tracer. PET w</w:t>
      </w:r>
      <w:r>
        <w:rPr>
          <w:rFonts w:hint="eastAsia"/>
          <w:color w:val="000000" w:themeColor="text1"/>
          <w:sz w:val="24"/>
          <w:szCs w:val="24"/>
        </w:rPr>
        <w:t>as</w:t>
      </w:r>
      <w:r>
        <w:rPr>
          <w:color w:val="000000" w:themeColor="text1"/>
          <w:sz w:val="24"/>
          <w:szCs w:val="24"/>
        </w:rPr>
        <w:t xml:space="preserve"> </w:t>
      </w:r>
      <w:r>
        <w:rPr>
          <w:rFonts w:hint="eastAsia"/>
          <w:color w:val="000000" w:themeColor="text1"/>
          <w:sz w:val="24"/>
          <w:szCs w:val="24"/>
        </w:rPr>
        <w:t>conduct</w:t>
      </w:r>
      <w:r>
        <w:rPr>
          <w:color w:val="000000" w:themeColor="text1"/>
          <w:sz w:val="24"/>
          <w:szCs w:val="24"/>
        </w:rPr>
        <w:t xml:space="preserve">ed to </w:t>
      </w:r>
      <w:r>
        <w:rPr>
          <w:rFonts w:hint="eastAsia"/>
          <w:color w:val="000000" w:themeColor="text1"/>
          <w:sz w:val="24"/>
          <w:szCs w:val="24"/>
        </w:rPr>
        <w:t>assess</w:t>
      </w:r>
      <w:r>
        <w:rPr>
          <w:color w:val="000000" w:themeColor="text1"/>
          <w:sz w:val="24"/>
          <w:szCs w:val="24"/>
        </w:rPr>
        <w:t xml:space="preserve"> the brain and bone marrow Aβ burden via a PET/CT system (Biograph mCT64 PET/CT, Siemens Healthcare Molecular Imaging, Knoxville, USA). Before each PET acquisition, low-dose CT scans were acquired from the vertex to mid-thigh via the following parameters: spiral mode with a 120 </w:t>
      </w:r>
      <w:proofErr w:type="spellStart"/>
      <w:r>
        <w:rPr>
          <w:color w:val="000000" w:themeColor="text1"/>
          <w:sz w:val="24"/>
          <w:szCs w:val="24"/>
        </w:rPr>
        <w:t>kVp</w:t>
      </w:r>
      <w:proofErr w:type="spellEnd"/>
      <w:r>
        <w:rPr>
          <w:color w:val="000000" w:themeColor="text1"/>
          <w:sz w:val="24"/>
          <w:szCs w:val="24"/>
        </w:rPr>
        <w:t xml:space="preserve"> tube voltage, automated tube current modulation (35--165 </w:t>
      </w:r>
      <w:proofErr w:type="spellStart"/>
      <w:r>
        <w:rPr>
          <w:color w:val="000000" w:themeColor="text1"/>
          <w:sz w:val="24"/>
          <w:szCs w:val="24"/>
        </w:rPr>
        <w:t>mAs</w:t>
      </w:r>
      <w:proofErr w:type="spellEnd"/>
      <w:r>
        <w:rPr>
          <w:color w:val="000000" w:themeColor="text1"/>
          <w:sz w:val="24"/>
          <w:szCs w:val="24"/>
        </w:rPr>
        <w:t xml:space="preserve">), 0.8 s/rotation gantry speed, table feed of 15 mm/rotation, pitch factor of 1.0, 512 × 512 matrix, and 3 mm slice thickness. The PET/CT </w:t>
      </w:r>
      <w:r>
        <w:rPr>
          <w:rFonts w:hint="eastAsia"/>
          <w:color w:val="000000" w:themeColor="text1"/>
          <w:sz w:val="24"/>
          <w:szCs w:val="24"/>
        </w:rPr>
        <w:t>initiated</w:t>
      </w:r>
      <w:r>
        <w:rPr>
          <w:color w:val="000000" w:themeColor="text1"/>
          <w:sz w:val="24"/>
          <w:szCs w:val="24"/>
        </w:rPr>
        <w:t xml:space="preserve"> 60 min after the intravenous injection of 9.02–</w:t>
      </w:r>
      <w:r>
        <w:rPr>
          <w:color w:val="000000" w:themeColor="text1"/>
          <w:sz w:val="24"/>
          <w:szCs w:val="24"/>
        </w:rPr>
        <w:lastRenderedPageBreak/>
        <w:t xml:space="preserve">11.00 </w:t>
      </w:r>
      <w:proofErr w:type="spellStart"/>
      <w:r>
        <w:rPr>
          <w:color w:val="000000" w:themeColor="text1"/>
          <w:sz w:val="24"/>
          <w:szCs w:val="24"/>
        </w:rPr>
        <w:t>mCi</w:t>
      </w:r>
      <w:proofErr w:type="spellEnd"/>
      <w:r>
        <w:rPr>
          <w:color w:val="000000" w:themeColor="text1"/>
          <w:sz w:val="24"/>
          <w:szCs w:val="24"/>
        </w:rPr>
        <w:t xml:space="preserve"> (334–407 MBq) 18F-92 or 4.67–5.46 </w:t>
      </w:r>
      <w:proofErr w:type="spellStart"/>
      <w:r>
        <w:rPr>
          <w:color w:val="000000" w:themeColor="text1"/>
          <w:sz w:val="24"/>
          <w:szCs w:val="24"/>
        </w:rPr>
        <w:t>mCi</w:t>
      </w:r>
      <w:proofErr w:type="spellEnd"/>
      <w:r>
        <w:rPr>
          <w:color w:val="000000" w:themeColor="text1"/>
          <w:sz w:val="24"/>
          <w:szCs w:val="24"/>
        </w:rPr>
        <w:t xml:space="preserve"> (172–202 MBq) 18F-AV45 for 20 min</w:t>
      </w:r>
      <w:r>
        <w:rPr>
          <w:rFonts w:hint="eastAsia"/>
          <w:color w:val="000000" w:themeColor="text1"/>
          <w:sz w:val="24"/>
          <w:szCs w:val="24"/>
        </w:rPr>
        <w:t xml:space="preserve">, with no obvious </w:t>
      </w:r>
      <w:r>
        <w:rPr>
          <w:color w:val="000000" w:themeColor="text1"/>
          <w:sz w:val="24"/>
          <w:szCs w:val="24"/>
        </w:rPr>
        <w:t xml:space="preserve">difference in the injected dose </w:t>
      </w:r>
      <w:r>
        <w:rPr>
          <w:rFonts w:hint="eastAsia"/>
          <w:color w:val="000000" w:themeColor="text1"/>
          <w:sz w:val="24"/>
          <w:szCs w:val="24"/>
        </w:rPr>
        <w:t>across</w:t>
      </w:r>
      <w:r>
        <w:rPr>
          <w:color w:val="000000" w:themeColor="text1"/>
          <w:sz w:val="24"/>
          <w:szCs w:val="24"/>
        </w:rPr>
        <w:t xml:space="preserve"> the recruited subjects (</w:t>
      </w:r>
      <w:r>
        <w:rPr>
          <w:b/>
          <w:bCs/>
          <w:color w:val="000000" w:themeColor="text1"/>
          <w:sz w:val="24"/>
          <w:szCs w:val="24"/>
        </w:rPr>
        <w:t>supplementary Table 1</w:t>
      </w:r>
      <w:r>
        <w:rPr>
          <w:color w:val="000000" w:themeColor="text1"/>
          <w:sz w:val="24"/>
          <w:szCs w:val="24"/>
        </w:rPr>
        <w:t xml:space="preserve">). </w:t>
      </w:r>
      <w:r>
        <w:rPr>
          <w:rFonts w:hint="eastAsia"/>
          <w:color w:val="000000" w:themeColor="text1"/>
          <w:sz w:val="24"/>
          <w:szCs w:val="24"/>
        </w:rPr>
        <w:t>B</w:t>
      </w:r>
      <w:r>
        <w:rPr>
          <w:color w:val="000000" w:themeColor="text1"/>
          <w:sz w:val="24"/>
          <w:szCs w:val="24"/>
        </w:rPr>
        <w:t>efore the PET scans</w:t>
      </w:r>
      <w:r>
        <w:rPr>
          <w:rFonts w:hint="eastAsia"/>
          <w:color w:val="000000" w:themeColor="text1"/>
          <w:sz w:val="24"/>
          <w:szCs w:val="24"/>
        </w:rPr>
        <w:t>,</w:t>
      </w:r>
      <w:r>
        <w:rPr>
          <w:color w:val="000000" w:themeColor="text1"/>
          <w:sz w:val="24"/>
          <w:szCs w:val="24"/>
        </w:rPr>
        <w:t xml:space="preserve"> </w:t>
      </w:r>
      <w:r>
        <w:rPr>
          <w:rFonts w:hint="eastAsia"/>
          <w:color w:val="000000" w:themeColor="text1"/>
          <w:sz w:val="24"/>
          <w:szCs w:val="24"/>
        </w:rPr>
        <w:t>a</w:t>
      </w:r>
      <w:r>
        <w:rPr>
          <w:color w:val="000000" w:themeColor="text1"/>
          <w:sz w:val="24"/>
          <w:szCs w:val="24"/>
        </w:rPr>
        <w:t xml:space="preserve">ll </w:t>
      </w:r>
      <w:r>
        <w:rPr>
          <w:rFonts w:hint="eastAsia"/>
          <w:color w:val="000000" w:themeColor="text1"/>
          <w:sz w:val="24"/>
          <w:szCs w:val="24"/>
        </w:rPr>
        <w:t>patient</w:t>
      </w:r>
      <w:r>
        <w:rPr>
          <w:color w:val="000000" w:themeColor="text1"/>
          <w:sz w:val="24"/>
          <w:szCs w:val="24"/>
        </w:rPr>
        <w:t>s provided written informed consent.</w:t>
      </w:r>
      <w:r>
        <w:rPr>
          <w:rFonts w:hint="eastAsia"/>
          <w:color w:val="000000" w:themeColor="text1"/>
          <w:sz w:val="24"/>
          <w:szCs w:val="24"/>
        </w:rPr>
        <w:t xml:space="preserve"> </w:t>
      </w:r>
      <w:r>
        <w:rPr>
          <w:color w:val="000000" w:themeColor="text1"/>
          <w:sz w:val="24"/>
          <w:szCs w:val="24"/>
        </w:rPr>
        <w:t xml:space="preserve">PET data were immediately obtained in 3D acquisition mode over the same anatomical coverage, with 6–8 bed positions (2 min per position), a 128 × 128 matrix, and a 30 cm </w:t>
      </w:r>
      <w:proofErr w:type="spellStart"/>
      <w:r>
        <w:rPr>
          <w:color w:val="000000" w:themeColor="text1"/>
          <w:sz w:val="24"/>
          <w:szCs w:val="24"/>
        </w:rPr>
        <w:t>transaxial</w:t>
      </w:r>
      <w:proofErr w:type="spellEnd"/>
      <w:r>
        <w:rPr>
          <w:color w:val="000000" w:themeColor="text1"/>
          <w:sz w:val="24"/>
          <w:szCs w:val="24"/>
        </w:rPr>
        <w:t xml:space="preserve"> field of view. PET images were reconstructed via the filtered back-projection (FBP) algorithm with corrections for decay, normalization, dead time, photon attenuation, scatter and random coincidences and then </w:t>
      </w:r>
      <w:proofErr w:type="spellStart"/>
      <w:r>
        <w:rPr>
          <w:color w:val="000000" w:themeColor="text1"/>
          <w:sz w:val="24"/>
          <w:szCs w:val="24"/>
        </w:rPr>
        <w:t>coregistered</w:t>
      </w:r>
      <w:proofErr w:type="spellEnd"/>
      <w:r>
        <w:rPr>
          <w:color w:val="000000" w:themeColor="text1"/>
          <w:sz w:val="24"/>
          <w:szCs w:val="24"/>
        </w:rPr>
        <w:t xml:space="preserve"> and displayed via dedicated software (</w:t>
      </w:r>
      <w:proofErr w:type="spellStart"/>
      <w:r>
        <w:rPr>
          <w:color w:val="000000" w:themeColor="text1"/>
          <w:sz w:val="24"/>
          <w:szCs w:val="24"/>
        </w:rPr>
        <w:t>TrueD</w:t>
      </w:r>
      <w:proofErr w:type="spellEnd"/>
      <w:r>
        <w:rPr>
          <w:color w:val="000000" w:themeColor="text1"/>
          <w:sz w:val="24"/>
          <w:szCs w:val="24"/>
        </w:rPr>
        <w:t xml:space="preserve"> software, Siemens).</w:t>
      </w:r>
    </w:p>
    <w:p w14:paraId="21318EA8" w14:textId="77777777" w:rsidR="003B61E9" w:rsidRDefault="00000000">
      <w:pPr>
        <w:spacing w:line="480" w:lineRule="auto"/>
        <w:ind w:firstLineChars="150" w:firstLine="360"/>
        <w:jc w:val="both"/>
        <w:rPr>
          <w:color w:val="000000" w:themeColor="text1"/>
          <w:sz w:val="24"/>
          <w:szCs w:val="24"/>
        </w:rPr>
      </w:pPr>
      <w:r>
        <w:rPr>
          <w:color w:val="000000" w:themeColor="text1"/>
          <w:sz w:val="24"/>
          <w:szCs w:val="24"/>
        </w:rPr>
        <w:t>The PET images were analyzed via SPM12 (http://www.fil.ion.ucl.ac.uk/spm). The images were first transformed into SUVs</w:t>
      </w:r>
      <w:r>
        <w:rPr>
          <w:rFonts w:hint="eastAsia"/>
          <w:color w:val="000000" w:themeColor="text1"/>
          <w:sz w:val="24"/>
          <w:szCs w:val="24"/>
        </w:rPr>
        <w:t>,</w:t>
      </w:r>
      <w:r>
        <w:rPr>
          <w:color w:val="000000" w:themeColor="text1"/>
          <w:sz w:val="24"/>
          <w:szCs w:val="24"/>
        </w:rPr>
        <w:t xml:space="preserve"> corrected </w:t>
      </w:r>
      <w:r>
        <w:rPr>
          <w:rFonts w:hint="eastAsia"/>
          <w:color w:val="000000" w:themeColor="text1"/>
          <w:sz w:val="24"/>
          <w:szCs w:val="24"/>
        </w:rPr>
        <w:t>for</w:t>
      </w:r>
      <w:r>
        <w:rPr>
          <w:color w:val="000000" w:themeColor="text1"/>
          <w:sz w:val="24"/>
          <w:szCs w:val="24"/>
        </w:rPr>
        <w:t xml:space="preserve"> body weight</w:t>
      </w:r>
      <w:r>
        <w:rPr>
          <w:rFonts w:hint="eastAsia"/>
          <w:color w:val="000000" w:themeColor="text1"/>
          <w:sz w:val="24"/>
          <w:szCs w:val="24"/>
        </w:rPr>
        <w:t>,</w:t>
      </w:r>
      <w:r>
        <w:rPr>
          <w:color w:val="000000" w:themeColor="text1"/>
          <w:sz w:val="24"/>
          <w:szCs w:val="24"/>
        </w:rPr>
        <w:t xml:space="preserve"> and then spatially normalized into Montreal Neurological Institute (MNI) stereotactic space. All images were normalized by cerebellar gray matter scaling (defined by the Hammers atlas</w:t>
      </w:r>
      <w:r>
        <w:rPr>
          <w:rFonts w:hint="eastAsia"/>
          <w:color w:val="000000" w:themeColor="text1"/>
          <w:sz w:val="24"/>
          <w:szCs w:val="24"/>
        </w:rPr>
        <w:t xml:space="preserve"> </w:t>
      </w:r>
      <w:r>
        <w:rPr>
          <w:color w:val="000000" w:themeColor="text1"/>
          <w:sz w:val="24"/>
          <w:szCs w:val="24"/>
        </w:rPr>
        <w:fldChar w:fldCharType="begin"/>
      </w:r>
      <w:r>
        <w:rPr>
          <w:rFonts w:hint="eastAsia"/>
          <w:color w:val="000000" w:themeColor="text1"/>
          <w:sz w:val="24"/>
          <w:szCs w:val="24"/>
        </w:rPr>
        <w:instrText xml:space="preserve"> ADDIN NE.Ref.{160A2416-2451-43A3-8B0A-E2BA67AE988F}</w:instrText>
      </w:r>
      <w:r>
        <w:rPr>
          <w:color w:val="000000" w:themeColor="text1"/>
          <w:sz w:val="24"/>
          <w:szCs w:val="24"/>
        </w:rPr>
        <w:fldChar w:fldCharType="separate"/>
      </w:r>
      <w:r>
        <w:rPr>
          <w:rFonts w:eastAsia="Times New Roman"/>
          <w:color w:val="080000"/>
          <w:szCs w:val="24"/>
          <w:vertAlign w:val="superscript"/>
        </w:rPr>
        <w:t>3</w:t>
      </w:r>
      <w:r>
        <w:rPr>
          <w:color w:val="000000" w:themeColor="text1"/>
          <w:sz w:val="24"/>
          <w:szCs w:val="24"/>
        </w:rPr>
        <w:fldChar w:fldCharType="end"/>
      </w:r>
      <w:r>
        <w:rPr>
          <w:color w:val="000000" w:themeColor="text1"/>
          <w:sz w:val="24"/>
          <w:szCs w:val="24"/>
        </w:rPr>
        <w:t xml:space="preserve">) prior to analysis, and an SUV analysis served for </w:t>
      </w:r>
      <w:proofErr w:type="spellStart"/>
      <w:r>
        <w:rPr>
          <w:color w:val="000000" w:themeColor="text1"/>
          <w:sz w:val="24"/>
          <w:szCs w:val="24"/>
        </w:rPr>
        <w:t>pseudoreference</w:t>
      </w:r>
      <w:proofErr w:type="spellEnd"/>
      <w:r>
        <w:rPr>
          <w:color w:val="000000" w:themeColor="text1"/>
          <w:sz w:val="24"/>
          <w:szCs w:val="24"/>
        </w:rPr>
        <w:t xml:space="preserve"> tissue independent validation. Aβ tracer uptake was </w:t>
      </w:r>
      <w:r>
        <w:rPr>
          <w:rFonts w:hint="eastAsia"/>
          <w:color w:val="000000" w:themeColor="text1"/>
          <w:sz w:val="24"/>
          <w:szCs w:val="24"/>
        </w:rPr>
        <w:t>detect</w:t>
      </w:r>
      <w:r>
        <w:rPr>
          <w:color w:val="000000" w:themeColor="text1"/>
          <w:sz w:val="24"/>
          <w:szCs w:val="24"/>
        </w:rPr>
        <w:t>ed in four cortical regions (frontal cortex, parietal cortex</w:t>
      </w:r>
      <w:r>
        <w:rPr>
          <w:rFonts w:hint="eastAsia"/>
          <w:color w:val="000000" w:themeColor="text1"/>
          <w:sz w:val="24"/>
          <w:szCs w:val="24"/>
        </w:rPr>
        <w:t>,</w:t>
      </w:r>
      <w:r>
        <w:rPr>
          <w:color w:val="000000" w:themeColor="text1"/>
          <w:sz w:val="24"/>
          <w:szCs w:val="24"/>
        </w:rPr>
        <w:t xml:space="preserve"> lateral temporal cortex, and posterior cingulate cortex/precuneus), and </w:t>
      </w:r>
      <w:r>
        <w:rPr>
          <w:rFonts w:hint="eastAsia"/>
          <w:color w:val="000000" w:themeColor="text1"/>
          <w:sz w:val="24"/>
          <w:szCs w:val="24"/>
        </w:rPr>
        <w:t xml:space="preserve">the </w:t>
      </w:r>
      <w:r>
        <w:rPr>
          <w:color w:val="000000" w:themeColor="text1"/>
          <w:sz w:val="24"/>
          <w:szCs w:val="24"/>
        </w:rPr>
        <w:t xml:space="preserve">global uptake in the brain was subsequently </w:t>
      </w:r>
      <w:r>
        <w:rPr>
          <w:rFonts w:hint="eastAsia"/>
          <w:color w:val="000000" w:themeColor="text1"/>
          <w:sz w:val="24"/>
          <w:szCs w:val="24"/>
        </w:rPr>
        <w:t>measured by</w:t>
      </w:r>
      <w:r>
        <w:rPr>
          <w:color w:val="000000" w:themeColor="text1"/>
          <w:sz w:val="24"/>
          <w:szCs w:val="24"/>
        </w:rPr>
        <w:t xml:space="preserve"> the brain amyloid plaque load (BAPL) system</w:t>
      </w:r>
      <w:r>
        <w:rPr>
          <w:rFonts w:hint="eastAsia"/>
          <w:color w:val="000000" w:themeColor="text1"/>
          <w:sz w:val="24"/>
          <w:szCs w:val="24"/>
        </w:rPr>
        <w:t xml:space="preserve"> </w:t>
      </w:r>
      <w:r>
        <w:rPr>
          <w:color w:val="000000" w:themeColor="text1"/>
          <w:sz w:val="24"/>
        </w:rPr>
        <w:fldChar w:fldCharType="begin"/>
      </w:r>
      <w:r>
        <w:rPr>
          <w:rFonts w:hint="eastAsia"/>
          <w:color w:val="000000" w:themeColor="text1"/>
          <w:sz w:val="24"/>
        </w:rPr>
        <w:instrText xml:space="preserve"> ADDIN NE.Ref.{7E08830D-CF87-4B83-ACC4-5ADC0C8E11FA}</w:instrText>
      </w:r>
      <w:r>
        <w:rPr>
          <w:color w:val="000000" w:themeColor="text1"/>
          <w:sz w:val="24"/>
        </w:rPr>
        <w:fldChar w:fldCharType="separate"/>
      </w:r>
      <w:r>
        <w:rPr>
          <w:rFonts w:eastAsia="Times New Roman"/>
          <w:color w:val="080000"/>
          <w:szCs w:val="24"/>
          <w:vertAlign w:val="superscript"/>
        </w:rPr>
        <w:t>4</w:t>
      </w:r>
      <w:r>
        <w:rPr>
          <w:color w:val="000000" w:themeColor="text1"/>
          <w:sz w:val="24"/>
        </w:rPr>
        <w:fldChar w:fldCharType="end"/>
      </w:r>
      <w:r>
        <w:rPr>
          <w:color w:val="000000" w:themeColor="text1"/>
          <w:sz w:val="24"/>
          <w:szCs w:val="24"/>
        </w:rPr>
        <w:t xml:space="preserve">. We defined amyloid-PET as negative when the visual assessment of Aβ tracer uptake was scored as 1 and positive when it was scored as 2--3. The </w:t>
      </w:r>
      <w:proofErr w:type="spellStart"/>
      <w:r>
        <w:rPr>
          <w:color w:val="000000" w:themeColor="text1"/>
          <w:sz w:val="24"/>
          <w:szCs w:val="24"/>
        </w:rPr>
        <w:t>SUVmax</w:t>
      </w:r>
      <w:proofErr w:type="spellEnd"/>
      <w:r>
        <w:rPr>
          <w:color w:val="000000" w:themeColor="text1"/>
          <w:sz w:val="24"/>
          <w:szCs w:val="24"/>
        </w:rPr>
        <w:t xml:space="preserve"> of Aβ was measured within manually defined regions of interest (ROIs) in the skull, lumbar spine, ilium and femur.</w:t>
      </w:r>
      <w:r>
        <w:rPr>
          <w:color w:val="000000" w:themeColor="text1"/>
          <w:shd w:val="clear" w:color="auto" w:fill="FFFFFF"/>
        </w:rPr>
        <w:t xml:space="preserve"> </w:t>
      </w:r>
      <w:r>
        <w:rPr>
          <w:color w:val="000000" w:themeColor="text1"/>
          <w:sz w:val="24"/>
          <w:szCs w:val="24"/>
        </w:rPr>
        <w:t xml:space="preserve">These values were converted to the </w:t>
      </w:r>
      <w:proofErr w:type="spellStart"/>
      <w:r>
        <w:rPr>
          <w:color w:val="000000" w:themeColor="text1"/>
          <w:sz w:val="24"/>
          <w:szCs w:val="24"/>
        </w:rPr>
        <w:t>SUVr</w:t>
      </w:r>
      <w:proofErr w:type="spellEnd"/>
      <w:r>
        <w:rPr>
          <w:color w:val="000000" w:themeColor="text1"/>
          <w:sz w:val="24"/>
          <w:szCs w:val="24"/>
        </w:rPr>
        <w:t xml:space="preserve"> using the cerebellar region as the reference region. Subsequently, region-specific </w:t>
      </w:r>
      <w:proofErr w:type="spellStart"/>
      <w:r>
        <w:rPr>
          <w:color w:val="000000" w:themeColor="text1"/>
          <w:sz w:val="24"/>
          <w:szCs w:val="24"/>
        </w:rPr>
        <w:t>SUVr</w:t>
      </w:r>
      <w:proofErr w:type="spellEnd"/>
      <w:r>
        <w:rPr>
          <w:color w:val="000000" w:themeColor="text1"/>
          <w:sz w:val="24"/>
          <w:szCs w:val="24"/>
        </w:rPr>
        <w:t xml:space="preserve"> values were normalized to those of age-matched non-AD dementia patients.</w:t>
      </w:r>
    </w:p>
    <w:p w14:paraId="053A73F7" w14:textId="77777777" w:rsidR="003B61E9" w:rsidRDefault="003B61E9">
      <w:pPr>
        <w:spacing w:line="480" w:lineRule="auto"/>
        <w:ind w:firstLineChars="150" w:firstLine="361"/>
        <w:jc w:val="both"/>
        <w:rPr>
          <w:b/>
          <w:bCs/>
          <w:color w:val="000000" w:themeColor="text1"/>
          <w:sz w:val="24"/>
          <w:szCs w:val="24"/>
        </w:rPr>
      </w:pPr>
    </w:p>
    <w:bookmarkEnd w:id="2"/>
    <w:p w14:paraId="2E7F6F4C" w14:textId="77777777" w:rsidR="003B61E9" w:rsidRDefault="00000000">
      <w:pPr>
        <w:spacing w:line="480" w:lineRule="auto"/>
        <w:jc w:val="both"/>
        <w:rPr>
          <w:b/>
          <w:bCs/>
          <w:color w:val="000000" w:themeColor="text1"/>
          <w:sz w:val="24"/>
          <w:szCs w:val="24"/>
        </w:rPr>
      </w:pPr>
      <w:r>
        <w:rPr>
          <w:b/>
          <w:bCs/>
          <w:color w:val="000000" w:themeColor="text1"/>
          <w:sz w:val="24"/>
          <w:szCs w:val="24"/>
        </w:rPr>
        <w:t>Single-cell RNA sequencing.</w:t>
      </w:r>
    </w:p>
    <w:p w14:paraId="69DD82A9" w14:textId="77777777" w:rsidR="003B61E9" w:rsidRDefault="00000000">
      <w:pPr>
        <w:spacing w:beforeLines="50" w:before="156" w:line="480" w:lineRule="auto"/>
        <w:rPr>
          <w:color w:val="000000" w:themeColor="text1"/>
          <w:sz w:val="24"/>
          <w:szCs w:val="24"/>
        </w:rPr>
      </w:pPr>
      <w:r>
        <w:rPr>
          <w:color w:val="000000" w:themeColor="text1"/>
          <w:sz w:val="24"/>
          <w:szCs w:val="24"/>
        </w:rPr>
        <w:t xml:space="preserve">For the intracerebroventricular injection of ABCs, </w:t>
      </w:r>
      <w:r>
        <w:rPr>
          <w:rFonts w:hint="eastAsia"/>
          <w:color w:val="000000" w:themeColor="text1"/>
          <w:sz w:val="24"/>
          <w:szCs w:val="24"/>
        </w:rPr>
        <w:t xml:space="preserve">the </w:t>
      </w:r>
      <w:r>
        <w:rPr>
          <w:color w:val="000000" w:themeColor="text1"/>
          <w:sz w:val="24"/>
          <w:szCs w:val="24"/>
        </w:rPr>
        <w:t>single-cell sequencing w</w:t>
      </w:r>
      <w:r>
        <w:rPr>
          <w:rFonts w:hint="eastAsia"/>
          <w:color w:val="000000" w:themeColor="text1"/>
          <w:sz w:val="24"/>
          <w:szCs w:val="24"/>
        </w:rPr>
        <w:t>as</w:t>
      </w:r>
      <w:r>
        <w:rPr>
          <w:color w:val="000000" w:themeColor="text1"/>
          <w:sz w:val="24"/>
          <w:szCs w:val="24"/>
        </w:rPr>
        <w:t xml:space="preserve"> performed </w:t>
      </w:r>
      <w:r>
        <w:rPr>
          <w:rFonts w:hint="eastAsia"/>
          <w:color w:val="000000" w:themeColor="text1"/>
          <w:sz w:val="24"/>
          <w:szCs w:val="24"/>
        </w:rPr>
        <w:t>for</w:t>
      </w:r>
      <w:r>
        <w:rPr>
          <w:color w:val="000000" w:themeColor="text1"/>
          <w:sz w:val="24"/>
          <w:szCs w:val="24"/>
        </w:rPr>
        <w:t xml:space="preserve"> CD11b</w:t>
      </w:r>
      <w:r>
        <w:rPr>
          <w:color w:val="000000" w:themeColor="text1"/>
          <w:sz w:val="24"/>
          <w:szCs w:val="24"/>
          <w:vertAlign w:val="superscript"/>
        </w:rPr>
        <w:t>+</w:t>
      </w:r>
      <w:r>
        <w:rPr>
          <w:color w:val="000000" w:themeColor="text1"/>
          <w:sz w:val="24"/>
          <w:szCs w:val="24"/>
        </w:rPr>
        <w:t xml:space="preserve"> cells from the forebrain and hippocampus of 5×FAD mice. Single-cell capture was </w:t>
      </w:r>
      <w:r>
        <w:rPr>
          <w:rFonts w:hint="eastAsia"/>
          <w:color w:val="000000" w:themeColor="text1"/>
          <w:sz w:val="24"/>
          <w:szCs w:val="24"/>
        </w:rPr>
        <w:t>achiev</w:t>
      </w:r>
      <w:r>
        <w:rPr>
          <w:color w:val="000000" w:themeColor="text1"/>
          <w:sz w:val="24"/>
          <w:szCs w:val="24"/>
        </w:rPr>
        <w:t xml:space="preserve">ed via a 10x Genomics single-cell 3’ system. Downstream gene expression matrices were acquired via the function of </w:t>
      </w:r>
      <w:r>
        <w:rPr>
          <w:color w:val="000000" w:themeColor="text1"/>
          <w:sz w:val="24"/>
          <w:szCs w:val="24"/>
        </w:rPr>
        <w:lastRenderedPageBreak/>
        <w:t>Cell Ranger with default parameters. Low-quality cells whose gene express</w:t>
      </w:r>
      <w:r>
        <w:rPr>
          <w:rFonts w:hint="eastAsia"/>
          <w:color w:val="000000" w:themeColor="text1"/>
          <w:sz w:val="24"/>
          <w:szCs w:val="24"/>
        </w:rPr>
        <w:t>ion was</w:t>
      </w:r>
      <w:r>
        <w:rPr>
          <w:color w:val="000000" w:themeColor="text1"/>
          <w:sz w:val="24"/>
          <w:szCs w:val="24"/>
        </w:rPr>
        <w:t xml:space="preserve"> fewer than 200 or more than 8,000 genes and whose number of mitochondrial genes was &gt; 6% and whose genes </w:t>
      </w:r>
      <w:r>
        <w:rPr>
          <w:rFonts w:hint="eastAsia"/>
          <w:color w:val="000000" w:themeColor="text1"/>
          <w:sz w:val="24"/>
          <w:szCs w:val="24"/>
        </w:rPr>
        <w:t xml:space="preserve">were </w:t>
      </w:r>
      <w:r>
        <w:rPr>
          <w:color w:val="000000" w:themeColor="text1"/>
          <w:sz w:val="24"/>
          <w:szCs w:val="24"/>
        </w:rPr>
        <w:t xml:space="preserve">expressed </w:t>
      </w:r>
      <w:r>
        <w:rPr>
          <w:rFonts w:hint="eastAsia"/>
          <w:color w:val="000000" w:themeColor="text1"/>
          <w:sz w:val="24"/>
          <w:szCs w:val="24"/>
        </w:rPr>
        <w:t xml:space="preserve">in </w:t>
      </w:r>
      <w:r>
        <w:rPr>
          <w:color w:val="000000" w:themeColor="text1"/>
          <w:sz w:val="24"/>
          <w:szCs w:val="24"/>
        </w:rPr>
        <w:t>fewer than 3 cells were excluded from further analysis. After filtering, the remaining 18685 MG cells from the control group and 18461 MG cells from the ABC group were analyzed in this study. The data were then normalized via the function ‘</w:t>
      </w:r>
      <w:proofErr w:type="spellStart"/>
      <w:r>
        <w:rPr>
          <w:color w:val="000000" w:themeColor="text1"/>
          <w:sz w:val="24"/>
          <w:szCs w:val="24"/>
        </w:rPr>
        <w:t>NormalizeData</w:t>
      </w:r>
      <w:proofErr w:type="spellEnd"/>
      <w:r>
        <w:rPr>
          <w:color w:val="000000" w:themeColor="text1"/>
          <w:sz w:val="24"/>
          <w:szCs w:val="24"/>
        </w:rPr>
        <w:t xml:space="preserve">’ of Seurat. The top 2000 highly variable genes were </w:t>
      </w:r>
      <w:r>
        <w:rPr>
          <w:rFonts w:hint="eastAsia"/>
          <w:color w:val="000000" w:themeColor="text1"/>
          <w:sz w:val="24"/>
          <w:szCs w:val="24"/>
        </w:rPr>
        <w:t>recrui</w:t>
      </w:r>
      <w:r>
        <w:rPr>
          <w:color w:val="000000" w:themeColor="text1"/>
          <w:sz w:val="24"/>
          <w:szCs w:val="24"/>
        </w:rPr>
        <w:t>ted via the function ‘</w:t>
      </w:r>
      <w:proofErr w:type="spellStart"/>
      <w:r>
        <w:rPr>
          <w:color w:val="000000" w:themeColor="text1"/>
          <w:sz w:val="24"/>
          <w:szCs w:val="24"/>
        </w:rPr>
        <w:t>FindVariableFeatures</w:t>
      </w:r>
      <w:proofErr w:type="spellEnd"/>
      <w:r>
        <w:rPr>
          <w:color w:val="000000" w:themeColor="text1"/>
          <w:sz w:val="24"/>
          <w:szCs w:val="24"/>
        </w:rPr>
        <w:t>’, and then ‘</w:t>
      </w:r>
      <w:proofErr w:type="spellStart"/>
      <w:r>
        <w:rPr>
          <w:color w:val="000000" w:themeColor="text1"/>
          <w:sz w:val="24"/>
          <w:szCs w:val="24"/>
        </w:rPr>
        <w:t>ScaleData</w:t>
      </w:r>
      <w:proofErr w:type="spellEnd"/>
      <w:r>
        <w:rPr>
          <w:color w:val="000000" w:themeColor="text1"/>
          <w:sz w:val="24"/>
          <w:szCs w:val="24"/>
        </w:rPr>
        <w:t xml:space="preserve">’ was </w:t>
      </w:r>
      <w:r>
        <w:rPr>
          <w:rFonts w:hint="eastAsia"/>
          <w:color w:val="000000" w:themeColor="text1"/>
          <w:sz w:val="24"/>
          <w:szCs w:val="24"/>
        </w:rPr>
        <w:t>adopt</w:t>
      </w:r>
      <w:r>
        <w:rPr>
          <w:color w:val="000000" w:themeColor="text1"/>
          <w:sz w:val="24"/>
          <w:szCs w:val="24"/>
        </w:rPr>
        <w:t>ed. Principal component (PC) analysis was performed via the ‘</w:t>
      </w:r>
      <w:proofErr w:type="spellStart"/>
      <w:r>
        <w:rPr>
          <w:color w:val="000000" w:themeColor="text1"/>
          <w:sz w:val="24"/>
          <w:szCs w:val="24"/>
        </w:rPr>
        <w:t>RunPCA</w:t>
      </w:r>
      <w:proofErr w:type="spellEnd"/>
      <w:r>
        <w:rPr>
          <w:color w:val="000000" w:themeColor="text1"/>
          <w:sz w:val="24"/>
          <w:szCs w:val="24"/>
        </w:rPr>
        <w:t>’ function of Seurat. The top 20 PCs were used for dimensionality reduction via the ‘</w:t>
      </w:r>
      <w:proofErr w:type="spellStart"/>
      <w:r>
        <w:rPr>
          <w:color w:val="000000" w:themeColor="text1"/>
          <w:sz w:val="24"/>
          <w:szCs w:val="24"/>
        </w:rPr>
        <w:t>RunUMAP</w:t>
      </w:r>
      <w:proofErr w:type="spellEnd"/>
      <w:r>
        <w:rPr>
          <w:color w:val="000000" w:themeColor="text1"/>
          <w:sz w:val="24"/>
          <w:szCs w:val="24"/>
        </w:rPr>
        <w:t xml:space="preserve">’ function. The cell types were </w:t>
      </w:r>
      <w:r>
        <w:rPr>
          <w:rFonts w:hint="eastAsia"/>
          <w:color w:val="000000" w:themeColor="text1"/>
          <w:sz w:val="24"/>
          <w:szCs w:val="24"/>
        </w:rPr>
        <w:t>categoriz</w:t>
      </w:r>
      <w:r>
        <w:rPr>
          <w:color w:val="000000" w:themeColor="text1"/>
          <w:sz w:val="24"/>
          <w:szCs w:val="24"/>
        </w:rPr>
        <w:t>ed according to the expression of canonical marker genes for each cluster: microglia (Tmem119, Cx3cr1, P2ry12), astrocytes (</w:t>
      </w:r>
      <w:proofErr w:type="spellStart"/>
      <w:r>
        <w:rPr>
          <w:color w:val="000000" w:themeColor="text1"/>
          <w:sz w:val="24"/>
          <w:szCs w:val="24"/>
        </w:rPr>
        <w:t>Gfap</w:t>
      </w:r>
      <w:proofErr w:type="spellEnd"/>
      <w:r>
        <w:rPr>
          <w:color w:val="000000" w:themeColor="text1"/>
          <w:sz w:val="24"/>
          <w:szCs w:val="24"/>
        </w:rPr>
        <w:t>, Slc1a2, S100b), BAMs (Mrc1, Ms4a7, Pf4), oligodendrocytes (</w:t>
      </w:r>
      <w:proofErr w:type="spellStart"/>
      <w:r>
        <w:rPr>
          <w:color w:val="000000" w:themeColor="text1"/>
          <w:sz w:val="24"/>
          <w:szCs w:val="24"/>
        </w:rPr>
        <w:t>Mbp</w:t>
      </w:r>
      <w:proofErr w:type="spellEnd"/>
      <w:r>
        <w:rPr>
          <w:color w:val="000000" w:themeColor="text1"/>
          <w:sz w:val="24"/>
          <w:szCs w:val="24"/>
        </w:rPr>
        <w:t xml:space="preserve">, Mog, Olig1), neutrophils (Lcn2, </w:t>
      </w:r>
      <w:proofErr w:type="spellStart"/>
      <w:r>
        <w:rPr>
          <w:color w:val="000000" w:themeColor="text1"/>
          <w:sz w:val="24"/>
          <w:szCs w:val="24"/>
        </w:rPr>
        <w:t>Retnlg</w:t>
      </w:r>
      <w:proofErr w:type="spellEnd"/>
      <w:r>
        <w:rPr>
          <w:color w:val="000000" w:themeColor="text1"/>
          <w:sz w:val="24"/>
          <w:szCs w:val="24"/>
        </w:rPr>
        <w:t xml:space="preserve">, Msrb1), ependymal cells (Foxj1, </w:t>
      </w:r>
      <w:proofErr w:type="spellStart"/>
      <w:r>
        <w:rPr>
          <w:color w:val="000000" w:themeColor="text1"/>
          <w:sz w:val="24"/>
          <w:szCs w:val="24"/>
        </w:rPr>
        <w:t>Ttr</w:t>
      </w:r>
      <w:proofErr w:type="spellEnd"/>
      <w:r>
        <w:rPr>
          <w:color w:val="000000" w:themeColor="text1"/>
          <w:sz w:val="24"/>
          <w:szCs w:val="24"/>
        </w:rPr>
        <w:t>, Ak7), endothelial cells (Prom1, Pecam1, Fn1), and T cells (Ccl5, Trbc2, Id2).</w:t>
      </w:r>
    </w:p>
    <w:p w14:paraId="71EA753E" w14:textId="77777777" w:rsidR="003B61E9" w:rsidRDefault="00000000">
      <w:pPr>
        <w:spacing w:beforeLines="50" w:before="156" w:line="480" w:lineRule="auto"/>
        <w:ind w:firstLineChars="100" w:firstLine="240"/>
        <w:rPr>
          <w:color w:val="000000" w:themeColor="text1"/>
          <w:sz w:val="24"/>
          <w:szCs w:val="24"/>
        </w:rPr>
      </w:pPr>
      <w:r>
        <w:rPr>
          <w:color w:val="000000" w:themeColor="text1"/>
          <w:sz w:val="24"/>
          <w:szCs w:val="24"/>
        </w:rPr>
        <w:t xml:space="preserve">After the identification of cell types, the microglial lineage was extracted and subclustered for further analysis. </w:t>
      </w:r>
      <w:proofErr w:type="spellStart"/>
      <w:r>
        <w:rPr>
          <w:color w:val="000000" w:themeColor="text1"/>
          <w:sz w:val="24"/>
          <w:szCs w:val="24"/>
        </w:rPr>
        <w:t>Subclustering</w:t>
      </w:r>
      <w:proofErr w:type="spellEnd"/>
      <w:r>
        <w:rPr>
          <w:color w:val="000000" w:themeColor="text1"/>
          <w:sz w:val="24"/>
          <w:szCs w:val="24"/>
        </w:rPr>
        <w:t xml:space="preserve"> was performed via Seurat with the top 11 principal components. </w:t>
      </w:r>
      <w:r>
        <w:rPr>
          <w:rFonts w:hint="eastAsia"/>
          <w:color w:val="000000" w:themeColor="text1"/>
          <w:sz w:val="24"/>
          <w:szCs w:val="24"/>
        </w:rPr>
        <w:t>The identification of m</w:t>
      </w:r>
      <w:r>
        <w:rPr>
          <w:color w:val="000000" w:themeColor="text1"/>
          <w:sz w:val="24"/>
          <w:szCs w:val="24"/>
        </w:rPr>
        <w:t xml:space="preserve">arker genes </w:t>
      </w:r>
      <w:r>
        <w:rPr>
          <w:rFonts w:hint="eastAsia"/>
          <w:color w:val="000000" w:themeColor="text1"/>
          <w:sz w:val="24"/>
          <w:szCs w:val="24"/>
        </w:rPr>
        <w:t>was accomplished</w:t>
      </w:r>
      <w:r>
        <w:rPr>
          <w:color w:val="000000" w:themeColor="text1"/>
          <w:sz w:val="24"/>
          <w:szCs w:val="24"/>
        </w:rPr>
        <w:t xml:space="preserve"> by comparing each cluster </w:t>
      </w:r>
      <w:r>
        <w:rPr>
          <w:rFonts w:hint="eastAsia"/>
          <w:color w:val="000000" w:themeColor="text1"/>
          <w:sz w:val="24"/>
          <w:szCs w:val="24"/>
        </w:rPr>
        <w:t>with</w:t>
      </w:r>
      <w:r>
        <w:rPr>
          <w:color w:val="000000" w:themeColor="text1"/>
          <w:sz w:val="24"/>
          <w:szCs w:val="24"/>
        </w:rPr>
        <w:t xml:space="preserve"> all other clusters via the </w:t>
      </w:r>
      <w:proofErr w:type="spellStart"/>
      <w:r>
        <w:rPr>
          <w:color w:val="000000" w:themeColor="text1"/>
          <w:sz w:val="24"/>
          <w:szCs w:val="24"/>
        </w:rPr>
        <w:t>FindAllMarkers</w:t>
      </w:r>
      <w:proofErr w:type="spellEnd"/>
      <w:r>
        <w:rPr>
          <w:color w:val="000000" w:themeColor="text1"/>
          <w:sz w:val="24"/>
          <w:szCs w:val="24"/>
        </w:rPr>
        <w:t xml:space="preserve"> function with default settings (log-fold change threshold of 0.25 and &gt;10% of cells expressing the gene). The cell clusters from each tissue were annotated on the basis of </w:t>
      </w:r>
      <w:r>
        <w:rPr>
          <w:rFonts w:hint="eastAsia"/>
          <w:color w:val="000000" w:themeColor="text1"/>
          <w:sz w:val="24"/>
          <w:szCs w:val="24"/>
        </w:rPr>
        <w:t xml:space="preserve">the </w:t>
      </w:r>
      <w:r>
        <w:rPr>
          <w:color w:val="000000" w:themeColor="text1"/>
          <w:sz w:val="24"/>
          <w:szCs w:val="24"/>
        </w:rPr>
        <w:t xml:space="preserve">expression </w:t>
      </w:r>
      <w:r>
        <w:rPr>
          <w:rFonts w:hint="eastAsia"/>
          <w:color w:val="000000" w:themeColor="text1"/>
          <w:sz w:val="24"/>
          <w:szCs w:val="24"/>
        </w:rPr>
        <w:t xml:space="preserve">of </w:t>
      </w:r>
      <w:r>
        <w:rPr>
          <w:color w:val="000000" w:themeColor="text1"/>
          <w:sz w:val="24"/>
          <w:szCs w:val="24"/>
        </w:rPr>
        <w:t>marker gene</w:t>
      </w:r>
      <w:r>
        <w:rPr>
          <w:rFonts w:hint="eastAsia"/>
          <w:color w:val="000000" w:themeColor="text1"/>
          <w:sz w:val="24"/>
          <w:szCs w:val="24"/>
        </w:rPr>
        <w:t>s</w:t>
      </w:r>
      <w:r>
        <w:rPr>
          <w:color w:val="000000" w:themeColor="text1"/>
          <w:sz w:val="24"/>
          <w:szCs w:val="24"/>
        </w:rPr>
        <w:t xml:space="preserve">. To further assess the activation of microglia, the Monocle package was used to analyze single-cell trajectories to discover developmental transitions. GO enrichment analysis of the differentially expressed gene sets was </w:t>
      </w:r>
      <w:r>
        <w:rPr>
          <w:rFonts w:hint="eastAsia"/>
          <w:color w:val="000000" w:themeColor="text1"/>
          <w:sz w:val="24"/>
          <w:szCs w:val="24"/>
        </w:rPr>
        <w:t>process</w:t>
      </w:r>
      <w:r>
        <w:rPr>
          <w:color w:val="000000" w:themeColor="text1"/>
          <w:sz w:val="24"/>
          <w:szCs w:val="24"/>
        </w:rPr>
        <w:t xml:space="preserve">ed via the </w:t>
      </w:r>
      <w:proofErr w:type="spellStart"/>
      <w:r>
        <w:rPr>
          <w:color w:val="000000" w:themeColor="text1"/>
          <w:sz w:val="24"/>
          <w:szCs w:val="24"/>
        </w:rPr>
        <w:t>clusterProfiler</w:t>
      </w:r>
      <w:proofErr w:type="spellEnd"/>
      <w:r>
        <w:rPr>
          <w:color w:val="000000" w:themeColor="text1"/>
          <w:sz w:val="24"/>
          <w:szCs w:val="24"/>
        </w:rPr>
        <w:t xml:space="preserve"> R package. GO terms with adjusted P values less than 0.05 were </w:t>
      </w:r>
      <w:r>
        <w:rPr>
          <w:rFonts w:hint="eastAsia"/>
          <w:color w:val="000000" w:themeColor="text1"/>
          <w:sz w:val="24"/>
          <w:szCs w:val="24"/>
        </w:rPr>
        <w:t>deem</w:t>
      </w:r>
      <w:r>
        <w:rPr>
          <w:color w:val="000000" w:themeColor="text1"/>
          <w:sz w:val="24"/>
          <w:szCs w:val="24"/>
        </w:rPr>
        <w:t>ed significantly enriched with DEGs.</w:t>
      </w:r>
    </w:p>
    <w:p w14:paraId="4AA0C249" w14:textId="77777777" w:rsidR="003B61E9" w:rsidRDefault="003B61E9">
      <w:pPr>
        <w:spacing w:beforeLines="50" w:before="156" w:line="480" w:lineRule="auto"/>
        <w:ind w:firstLineChars="100" w:firstLine="240"/>
        <w:rPr>
          <w:color w:val="000000" w:themeColor="text1"/>
          <w:sz w:val="24"/>
          <w:szCs w:val="24"/>
        </w:rPr>
      </w:pPr>
    </w:p>
    <w:p w14:paraId="144A409D" w14:textId="77777777" w:rsidR="003B61E9" w:rsidRDefault="00000000">
      <w:pPr>
        <w:spacing w:beforeLines="50" w:before="156" w:afterLines="50" w:after="156" w:line="480" w:lineRule="auto"/>
        <w:rPr>
          <w:b/>
          <w:bCs/>
          <w:color w:val="000000" w:themeColor="text1"/>
          <w:sz w:val="24"/>
          <w:szCs w:val="24"/>
        </w:rPr>
      </w:pPr>
      <w:r>
        <w:rPr>
          <w:b/>
          <w:bCs/>
          <w:color w:val="000000" w:themeColor="text1"/>
          <w:sz w:val="24"/>
          <w:szCs w:val="24"/>
        </w:rPr>
        <w:t>Bulk RNA sequencing.</w:t>
      </w:r>
    </w:p>
    <w:p w14:paraId="7F9D958E" w14:textId="77777777" w:rsidR="003B61E9" w:rsidRDefault="00000000">
      <w:pPr>
        <w:spacing w:line="480" w:lineRule="auto"/>
        <w:jc w:val="both"/>
        <w:rPr>
          <w:color w:val="000000" w:themeColor="text1"/>
          <w:sz w:val="24"/>
          <w:szCs w:val="24"/>
        </w:rPr>
      </w:pPr>
      <w:r>
        <w:rPr>
          <w:color w:val="000000" w:themeColor="text1"/>
          <w:sz w:val="24"/>
          <w:szCs w:val="24"/>
        </w:rPr>
        <w:lastRenderedPageBreak/>
        <w:t>CD19</w:t>
      </w:r>
      <w:r>
        <w:rPr>
          <w:color w:val="000000" w:themeColor="text1"/>
          <w:sz w:val="24"/>
          <w:szCs w:val="24"/>
          <w:vertAlign w:val="superscript"/>
        </w:rPr>
        <w:t>+</w:t>
      </w:r>
      <w:r>
        <w:rPr>
          <w:color w:val="000000" w:themeColor="text1"/>
          <w:sz w:val="24"/>
          <w:szCs w:val="24"/>
        </w:rPr>
        <w:t xml:space="preserve"> CD11C</w:t>
      </w:r>
      <w:r>
        <w:rPr>
          <w:color w:val="000000" w:themeColor="text1"/>
          <w:sz w:val="24"/>
          <w:szCs w:val="24"/>
          <w:vertAlign w:val="superscript"/>
        </w:rPr>
        <w:t>+</w:t>
      </w:r>
      <w:r>
        <w:rPr>
          <w:color w:val="000000" w:themeColor="text1"/>
          <w:sz w:val="24"/>
          <w:szCs w:val="24"/>
        </w:rPr>
        <w:t xml:space="preserve"> B cells from skull bone marrow of 5×FAD and WT mice (n = 3 for each group) were isolated using anti-mouse CD19 and CD11c magnetic particles to prepare for RNA sequencing. Total RNA was extracted via a </w:t>
      </w:r>
      <w:proofErr w:type="spellStart"/>
      <w:r>
        <w:rPr>
          <w:color w:val="000000" w:themeColor="text1"/>
          <w:sz w:val="24"/>
          <w:szCs w:val="24"/>
        </w:rPr>
        <w:t>TRIzol</w:t>
      </w:r>
      <w:proofErr w:type="spellEnd"/>
      <w:r>
        <w:rPr>
          <w:color w:val="000000" w:themeColor="text1"/>
          <w:sz w:val="24"/>
          <w:szCs w:val="24"/>
        </w:rPr>
        <w:t xml:space="preserve"> reagent kit (Invitrogen) according to the manufacturer’s </w:t>
      </w:r>
      <w:r>
        <w:rPr>
          <w:rFonts w:hint="eastAsia"/>
          <w:color w:val="000000" w:themeColor="text1"/>
          <w:sz w:val="24"/>
          <w:szCs w:val="24"/>
        </w:rPr>
        <w:t>instructions</w:t>
      </w:r>
      <w:r>
        <w:rPr>
          <w:color w:val="000000" w:themeColor="text1"/>
          <w:sz w:val="24"/>
          <w:szCs w:val="24"/>
        </w:rPr>
        <w:t xml:space="preserve">. The integrity of the RNA was evaluated </w:t>
      </w:r>
      <w:r>
        <w:rPr>
          <w:rFonts w:hint="eastAsia"/>
          <w:color w:val="000000" w:themeColor="text1"/>
          <w:sz w:val="24"/>
          <w:szCs w:val="24"/>
        </w:rPr>
        <w:t>with</w:t>
      </w:r>
      <w:r>
        <w:rPr>
          <w:color w:val="000000" w:themeColor="text1"/>
          <w:sz w:val="24"/>
          <w:szCs w:val="24"/>
        </w:rPr>
        <w:t xml:space="preserve"> an Agilent 2100 Bioanalyzer (Agilent Technologies, Palo Alto, CA, USA) and further verified </w:t>
      </w:r>
      <w:r>
        <w:rPr>
          <w:rFonts w:hint="eastAsia"/>
          <w:color w:val="000000" w:themeColor="text1"/>
          <w:sz w:val="24"/>
          <w:szCs w:val="24"/>
        </w:rPr>
        <w:t>by</w:t>
      </w:r>
      <w:r>
        <w:rPr>
          <w:color w:val="000000" w:themeColor="text1"/>
          <w:sz w:val="24"/>
          <w:szCs w:val="24"/>
        </w:rPr>
        <w:t xml:space="preserve"> RNase-free agarose gel electrophoresis. </w:t>
      </w:r>
      <w:r>
        <w:rPr>
          <w:rFonts w:hint="eastAsia"/>
          <w:color w:val="000000" w:themeColor="text1"/>
          <w:sz w:val="24"/>
          <w:szCs w:val="24"/>
        </w:rPr>
        <w:t>After</w:t>
      </w:r>
      <w:r>
        <w:rPr>
          <w:color w:val="000000" w:themeColor="text1"/>
          <w:sz w:val="24"/>
          <w:szCs w:val="24"/>
        </w:rPr>
        <w:t xml:space="preserve"> the enrichment of eukaryotic mRNA, reverse transcription was conducted to synthesize complementary DNA (cDNA). The resultant cDNA fragments underwent purification, were ligated to Illumina sequencing adapters, and were subsequently sequenced on the Illumina platform by </w:t>
      </w:r>
      <w:proofErr w:type="spellStart"/>
      <w:r>
        <w:rPr>
          <w:color w:val="000000" w:themeColor="text1"/>
          <w:sz w:val="24"/>
          <w:szCs w:val="24"/>
        </w:rPr>
        <w:t>Genedenovo</w:t>
      </w:r>
      <w:proofErr w:type="spellEnd"/>
      <w:r>
        <w:rPr>
          <w:color w:val="000000" w:themeColor="text1"/>
          <w:sz w:val="24"/>
          <w:szCs w:val="24"/>
        </w:rPr>
        <w:t xml:space="preserve"> Biotechnology Co., Ltd. (Guangzhou, China). T</w:t>
      </w:r>
      <w:r>
        <w:rPr>
          <w:rFonts w:hint="eastAsia"/>
          <w:color w:val="000000" w:themeColor="text1"/>
          <w:sz w:val="24"/>
          <w:szCs w:val="24"/>
        </w:rPr>
        <w:t xml:space="preserve">he </w:t>
      </w:r>
      <w:r>
        <w:rPr>
          <w:color w:val="000000" w:themeColor="text1"/>
          <w:sz w:val="24"/>
          <w:szCs w:val="24"/>
        </w:rPr>
        <w:t xml:space="preserve">analysis </w:t>
      </w:r>
      <w:r>
        <w:rPr>
          <w:rFonts w:hint="eastAsia"/>
          <w:color w:val="000000" w:themeColor="text1"/>
          <w:sz w:val="24"/>
          <w:szCs w:val="24"/>
        </w:rPr>
        <w:t>of d</w:t>
      </w:r>
      <w:r>
        <w:rPr>
          <w:color w:val="000000" w:themeColor="text1"/>
          <w:sz w:val="24"/>
          <w:szCs w:val="24"/>
        </w:rPr>
        <w:t xml:space="preserve">ifferential expression between the two experimental groups was executed </w:t>
      </w:r>
      <w:r>
        <w:rPr>
          <w:rFonts w:hint="eastAsia"/>
          <w:color w:val="000000" w:themeColor="text1"/>
          <w:sz w:val="24"/>
          <w:szCs w:val="24"/>
        </w:rPr>
        <w:t>with</w:t>
      </w:r>
      <w:r>
        <w:rPr>
          <w:color w:val="000000" w:themeColor="text1"/>
          <w:sz w:val="24"/>
          <w:szCs w:val="24"/>
        </w:rPr>
        <w:t xml:space="preserve"> DESeq2 software, with </w:t>
      </w:r>
      <w:r>
        <w:rPr>
          <w:rFonts w:hint="eastAsia"/>
          <w:color w:val="000000" w:themeColor="text1"/>
          <w:sz w:val="24"/>
          <w:szCs w:val="24"/>
        </w:rPr>
        <w:t xml:space="preserve">the </w:t>
      </w:r>
      <w:r>
        <w:rPr>
          <w:color w:val="000000" w:themeColor="text1"/>
          <w:sz w:val="24"/>
          <w:szCs w:val="24"/>
        </w:rPr>
        <w:t>statistical significan</w:t>
      </w:r>
      <w:r>
        <w:rPr>
          <w:rFonts w:hint="eastAsia"/>
          <w:color w:val="000000" w:themeColor="text1"/>
          <w:sz w:val="24"/>
          <w:szCs w:val="24"/>
        </w:rPr>
        <w:t>ce set at</w:t>
      </w:r>
      <w:r>
        <w:rPr>
          <w:color w:val="000000" w:themeColor="text1"/>
          <w:sz w:val="24"/>
          <w:szCs w:val="24"/>
        </w:rPr>
        <w:t xml:space="preserve"> a corrected p value of &lt;0.05. KEGG pathway enrichment of </w:t>
      </w:r>
      <w:r>
        <w:rPr>
          <w:rFonts w:hint="eastAsia"/>
          <w:color w:val="000000" w:themeColor="text1"/>
          <w:sz w:val="24"/>
          <w:szCs w:val="24"/>
        </w:rPr>
        <w:t>DEG</w:t>
      </w:r>
      <w:r>
        <w:rPr>
          <w:color w:val="000000" w:themeColor="text1"/>
          <w:sz w:val="24"/>
          <w:szCs w:val="24"/>
        </w:rPr>
        <w:t xml:space="preserve">s was </w:t>
      </w:r>
      <w:r>
        <w:rPr>
          <w:rFonts w:hint="eastAsia"/>
          <w:color w:val="000000" w:themeColor="text1"/>
          <w:sz w:val="24"/>
          <w:szCs w:val="24"/>
        </w:rPr>
        <w:t>analyzed by</w:t>
      </w:r>
      <w:r>
        <w:rPr>
          <w:color w:val="000000" w:themeColor="text1"/>
          <w:sz w:val="24"/>
          <w:szCs w:val="24"/>
        </w:rPr>
        <w:t xml:space="preserve"> a fold change &gt;1.5 and FDR</w:t>
      </w:r>
      <w:r>
        <w:rPr>
          <w:rFonts w:hint="eastAsia"/>
          <w:color w:val="000000" w:themeColor="text1"/>
          <w:sz w:val="24"/>
          <w:szCs w:val="24"/>
        </w:rPr>
        <w:t xml:space="preserve"> </w:t>
      </w:r>
      <w:r>
        <w:rPr>
          <w:color w:val="000000" w:themeColor="text1"/>
          <w:sz w:val="24"/>
          <w:szCs w:val="24"/>
        </w:rPr>
        <w:t>&lt; 0.05.</w:t>
      </w:r>
    </w:p>
    <w:p w14:paraId="5B7F7693" w14:textId="77777777" w:rsidR="003B61E9" w:rsidRDefault="003B61E9">
      <w:pPr>
        <w:spacing w:line="480" w:lineRule="auto"/>
        <w:jc w:val="both"/>
        <w:rPr>
          <w:color w:val="000000" w:themeColor="text1"/>
          <w:sz w:val="24"/>
          <w:szCs w:val="24"/>
        </w:rPr>
      </w:pPr>
    </w:p>
    <w:p w14:paraId="43F4C755" w14:textId="77777777" w:rsidR="003B61E9" w:rsidRDefault="00000000">
      <w:pPr>
        <w:spacing w:beforeLines="50" w:before="156" w:afterLines="50" w:after="156" w:line="480" w:lineRule="auto"/>
        <w:rPr>
          <w:b/>
          <w:bCs/>
          <w:color w:val="000000" w:themeColor="text1"/>
          <w:sz w:val="24"/>
          <w:szCs w:val="24"/>
        </w:rPr>
      </w:pPr>
      <w:r>
        <w:rPr>
          <w:b/>
          <w:bCs/>
          <w:color w:val="000000" w:themeColor="text1"/>
          <w:sz w:val="24"/>
          <w:szCs w:val="24"/>
        </w:rPr>
        <w:t>Flow cytometry</w:t>
      </w:r>
    </w:p>
    <w:p w14:paraId="208FF13B" w14:textId="77777777" w:rsidR="003B61E9" w:rsidRDefault="00000000">
      <w:pPr>
        <w:spacing w:line="480" w:lineRule="auto"/>
        <w:jc w:val="both"/>
        <w:rPr>
          <w:color w:val="000000" w:themeColor="text1"/>
          <w:sz w:val="24"/>
          <w:szCs w:val="24"/>
        </w:rPr>
      </w:pPr>
      <w:r>
        <w:rPr>
          <w:rFonts w:hint="eastAsia"/>
          <w:color w:val="000000" w:themeColor="text1"/>
          <w:sz w:val="24"/>
          <w:szCs w:val="24"/>
        </w:rPr>
        <w:t xml:space="preserve">After the anesthetization with isoflurane, </w:t>
      </w:r>
      <w:r>
        <w:rPr>
          <w:color w:val="000000" w:themeColor="text1"/>
          <w:sz w:val="24"/>
          <w:szCs w:val="24"/>
        </w:rPr>
        <w:t>the spleen, skull, and femur were then collected</w:t>
      </w:r>
      <w:r>
        <w:rPr>
          <w:rFonts w:hint="eastAsia"/>
          <w:color w:val="000000" w:themeColor="text1"/>
          <w:sz w:val="24"/>
          <w:szCs w:val="24"/>
        </w:rPr>
        <w:t xml:space="preserve"> from the mice</w:t>
      </w:r>
      <w:r>
        <w:rPr>
          <w:color w:val="000000" w:themeColor="text1"/>
          <w:sz w:val="24"/>
          <w:szCs w:val="24"/>
        </w:rPr>
        <w:t xml:space="preserve"> for further cell isolation. To isolate splenocytes, the tissue was ground through a 40 mm cell filter. After </w:t>
      </w:r>
      <w:r>
        <w:rPr>
          <w:rFonts w:hint="eastAsia"/>
          <w:color w:val="000000" w:themeColor="text1"/>
          <w:sz w:val="24"/>
          <w:szCs w:val="24"/>
        </w:rPr>
        <w:t xml:space="preserve">the </w:t>
      </w:r>
      <w:r>
        <w:rPr>
          <w:color w:val="000000" w:themeColor="text1"/>
          <w:sz w:val="24"/>
          <w:szCs w:val="24"/>
        </w:rPr>
        <w:t xml:space="preserve">PBS washing and lysing the erythrocytes in ACK lysis buffer, the single cells were resuspended in 1% BSA after PBS rinsing. </w:t>
      </w:r>
      <w:r>
        <w:rPr>
          <w:rFonts w:hint="eastAsia"/>
          <w:color w:val="000000" w:themeColor="text1"/>
          <w:sz w:val="24"/>
          <w:szCs w:val="24"/>
        </w:rPr>
        <w:t>BM</w:t>
      </w:r>
      <w:r>
        <w:rPr>
          <w:color w:val="000000" w:themeColor="text1"/>
          <w:sz w:val="24"/>
          <w:szCs w:val="24"/>
        </w:rPr>
        <w:t xml:space="preserve"> cells were obtained</w:t>
      </w:r>
      <w:r>
        <w:rPr>
          <w:rFonts w:hint="eastAsia"/>
          <w:color w:val="000000" w:themeColor="text1"/>
          <w:sz w:val="24"/>
          <w:szCs w:val="24"/>
        </w:rPr>
        <w:t xml:space="preserve"> and</w:t>
      </w:r>
      <w:r>
        <w:rPr>
          <w:color w:val="000000" w:themeColor="text1"/>
          <w:sz w:val="24"/>
          <w:szCs w:val="24"/>
        </w:rPr>
        <w:t xml:space="preserve"> the femur bone marrow cavity was rinsed with cold PBS</w:t>
      </w:r>
      <w:r>
        <w:rPr>
          <w:rFonts w:hint="eastAsia"/>
          <w:color w:val="000000" w:themeColor="text1"/>
          <w:sz w:val="24"/>
          <w:szCs w:val="24"/>
        </w:rPr>
        <w:t>.</w:t>
      </w:r>
      <w:r>
        <w:rPr>
          <w:color w:val="000000" w:themeColor="text1"/>
          <w:sz w:val="24"/>
          <w:szCs w:val="24"/>
        </w:rPr>
        <w:t xml:space="preserve"> </w:t>
      </w:r>
      <w:r>
        <w:rPr>
          <w:rFonts w:hint="eastAsia"/>
          <w:color w:val="000000" w:themeColor="text1"/>
          <w:sz w:val="24"/>
          <w:szCs w:val="24"/>
        </w:rPr>
        <w:t>Subsequently,</w:t>
      </w:r>
      <w:r>
        <w:rPr>
          <w:color w:val="000000" w:themeColor="text1"/>
          <w:sz w:val="24"/>
          <w:szCs w:val="24"/>
        </w:rPr>
        <w:t xml:space="preserve"> the skull was cut into small pieces and filtered </w:t>
      </w:r>
      <w:r>
        <w:rPr>
          <w:rFonts w:hint="eastAsia"/>
          <w:color w:val="000000" w:themeColor="text1"/>
          <w:sz w:val="24"/>
          <w:szCs w:val="24"/>
        </w:rPr>
        <w:t>with</w:t>
      </w:r>
      <w:r>
        <w:rPr>
          <w:color w:val="000000" w:themeColor="text1"/>
          <w:sz w:val="24"/>
          <w:szCs w:val="24"/>
        </w:rPr>
        <w:t xml:space="preserve"> a 70 mm cell strainer. Then, red blood cells were removed by adding ACK lysis buffer, the samples were washed in cold PBS, and single cells were resuspended in 1% BSA. After pericardial perfusion with cold PBS, the brain tissue was removed, minced, washed with PBS, and incubated in collagenase IV at 37°C for 30 min. Myeline was removed, and 30% </w:t>
      </w:r>
      <w:proofErr w:type="spellStart"/>
      <w:r>
        <w:rPr>
          <w:color w:val="000000" w:themeColor="text1"/>
          <w:sz w:val="24"/>
          <w:szCs w:val="24"/>
        </w:rPr>
        <w:t>Percoll</w:t>
      </w:r>
      <w:proofErr w:type="spellEnd"/>
      <w:r>
        <w:rPr>
          <w:color w:val="000000" w:themeColor="text1"/>
          <w:sz w:val="24"/>
          <w:szCs w:val="24"/>
        </w:rPr>
        <w:t xml:space="preserve"> (Sigma Aldrich) was added. Then, the single cells were resuspended in 1% BSA. Cell quantification was performed </w:t>
      </w:r>
      <w:r>
        <w:rPr>
          <w:rFonts w:hint="eastAsia"/>
          <w:color w:val="000000" w:themeColor="text1"/>
          <w:sz w:val="24"/>
          <w:szCs w:val="24"/>
        </w:rPr>
        <w:t>with</w:t>
      </w:r>
      <w:r>
        <w:rPr>
          <w:color w:val="000000" w:themeColor="text1"/>
          <w:sz w:val="24"/>
          <w:szCs w:val="24"/>
        </w:rPr>
        <w:t xml:space="preserve"> an automated cell counter. A fluorophore-conjugated antibody was then added to the cell suspension, which was subsequently incubated on ice for 30 min. For intracellular staining, after surface </w:t>
      </w:r>
      <w:r>
        <w:rPr>
          <w:color w:val="000000" w:themeColor="text1"/>
          <w:sz w:val="24"/>
          <w:szCs w:val="24"/>
        </w:rPr>
        <w:lastRenderedPageBreak/>
        <w:t xml:space="preserve">labeling, the cells were fixed in fixation buffer for 20 min and then washed twice in permeabilization buffer. The samples were </w:t>
      </w:r>
      <w:r>
        <w:rPr>
          <w:rFonts w:hint="eastAsia"/>
          <w:color w:val="000000" w:themeColor="text1"/>
          <w:sz w:val="24"/>
          <w:szCs w:val="24"/>
        </w:rPr>
        <w:t xml:space="preserve">further </w:t>
      </w:r>
      <w:r>
        <w:rPr>
          <w:color w:val="000000" w:themeColor="text1"/>
          <w:sz w:val="24"/>
          <w:szCs w:val="24"/>
        </w:rPr>
        <w:t>incubated with Ki-67-BV650 (</w:t>
      </w:r>
      <w:proofErr w:type="spellStart"/>
      <w:r>
        <w:rPr>
          <w:color w:val="000000" w:themeColor="text1"/>
          <w:sz w:val="24"/>
          <w:szCs w:val="24"/>
        </w:rPr>
        <w:t>BioLegend</w:t>
      </w:r>
      <w:proofErr w:type="spellEnd"/>
      <w:r>
        <w:rPr>
          <w:color w:val="000000" w:themeColor="text1"/>
          <w:sz w:val="24"/>
          <w:szCs w:val="24"/>
        </w:rPr>
        <w:t xml:space="preserve">) for 30 min. The cells were then rinsed and suspended in </w:t>
      </w:r>
      <w:r>
        <w:rPr>
          <w:rFonts w:hint="eastAsia"/>
          <w:color w:val="000000" w:themeColor="text1"/>
          <w:sz w:val="24"/>
          <w:szCs w:val="24"/>
        </w:rPr>
        <w:t xml:space="preserve">a </w:t>
      </w:r>
      <w:r>
        <w:rPr>
          <w:color w:val="000000" w:themeColor="text1"/>
          <w:sz w:val="24"/>
          <w:szCs w:val="24"/>
        </w:rPr>
        <w:t>flow cytometr</w:t>
      </w:r>
      <w:r>
        <w:rPr>
          <w:rFonts w:hint="eastAsia"/>
          <w:color w:val="000000" w:themeColor="text1"/>
          <w:sz w:val="24"/>
          <w:szCs w:val="24"/>
        </w:rPr>
        <w:t>ic</w:t>
      </w:r>
      <w:r>
        <w:rPr>
          <w:color w:val="000000" w:themeColor="text1"/>
          <w:sz w:val="24"/>
          <w:szCs w:val="24"/>
        </w:rPr>
        <w:t xml:space="preserve"> buffer </w:t>
      </w:r>
      <w:r>
        <w:rPr>
          <w:color w:val="000000" w:themeColor="text1"/>
          <w:sz w:val="24"/>
          <w:szCs w:val="24"/>
        </w:rPr>
        <w:fldChar w:fldCharType="begin"/>
      </w:r>
      <w:r>
        <w:rPr>
          <w:rFonts w:hint="eastAsia"/>
          <w:color w:val="000000" w:themeColor="text1"/>
          <w:sz w:val="24"/>
          <w:szCs w:val="24"/>
        </w:rPr>
        <w:instrText xml:space="preserve"> ADDIN NE.Ref.{B24271CC-0E93-4179-A0AE-7567A3EE009E}</w:instrText>
      </w:r>
      <w:r>
        <w:rPr>
          <w:color w:val="000000" w:themeColor="text1"/>
          <w:sz w:val="24"/>
          <w:szCs w:val="24"/>
        </w:rPr>
        <w:fldChar w:fldCharType="separate"/>
      </w:r>
      <w:r>
        <w:rPr>
          <w:rFonts w:eastAsia="Times New Roman"/>
          <w:color w:val="080000"/>
          <w:szCs w:val="24"/>
          <w:vertAlign w:val="superscript"/>
        </w:rPr>
        <w:t>5</w:t>
      </w:r>
      <w:r>
        <w:rPr>
          <w:color w:val="000000" w:themeColor="text1"/>
          <w:sz w:val="24"/>
          <w:szCs w:val="24"/>
        </w:rPr>
        <w:fldChar w:fldCharType="end"/>
      </w:r>
      <w:r>
        <w:rPr>
          <w:color w:val="000000" w:themeColor="text1"/>
          <w:sz w:val="24"/>
          <w:szCs w:val="24"/>
        </w:rPr>
        <w:t>.</w:t>
      </w:r>
    </w:p>
    <w:p w14:paraId="4D2626BF" w14:textId="77777777" w:rsidR="003B61E9" w:rsidRDefault="003B61E9">
      <w:pPr>
        <w:spacing w:line="480" w:lineRule="auto"/>
        <w:jc w:val="both"/>
        <w:rPr>
          <w:color w:val="000000" w:themeColor="text1"/>
          <w:sz w:val="24"/>
          <w:szCs w:val="24"/>
        </w:rPr>
      </w:pPr>
    </w:p>
    <w:p w14:paraId="4BA93DB6" w14:textId="77777777" w:rsidR="003B61E9" w:rsidRDefault="00000000">
      <w:pPr>
        <w:spacing w:line="480" w:lineRule="auto"/>
        <w:rPr>
          <w:color w:val="000000" w:themeColor="text1"/>
          <w:sz w:val="24"/>
          <w:szCs w:val="24"/>
        </w:rPr>
      </w:pPr>
      <w:r>
        <w:rPr>
          <w:b/>
          <w:bCs/>
          <w:color w:val="000000" w:themeColor="text1"/>
          <w:sz w:val="24"/>
          <w:szCs w:val="24"/>
        </w:rPr>
        <w:t>Bone marrow cell dye tracer</w:t>
      </w:r>
    </w:p>
    <w:p w14:paraId="36B13E2B" w14:textId="68DFBE49" w:rsidR="003B61E9" w:rsidRDefault="00000000">
      <w:pPr>
        <w:spacing w:line="480" w:lineRule="auto"/>
        <w:rPr>
          <w:color w:val="000000" w:themeColor="text1"/>
          <w:kern w:val="0"/>
          <w:sz w:val="24"/>
          <w:szCs w:val="24"/>
        </w:rPr>
      </w:pPr>
      <w:r>
        <w:rPr>
          <w:color w:val="000000" w:themeColor="text1"/>
          <w:sz w:val="24"/>
          <w:szCs w:val="24"/>
        </w:rPr>
        <w:t xml:space="preserve">The cell tracker was injected into the cranium and femur according to the literature with some modifications </w:t>
      </w:r>
      <w:r>
        <w:rPr>
          <w:color w:val="000000" w:themeColor="text1"/>
          <w:sz w:val="24"/>
          <w:szCs w:val="24"/>
        </w:rPr>
        <w:fldChar w:fldCharType="begin"/>
      </w:r>
      <w:r>
        <w:rPr>
          <w:rFonts w:hint="eastAsia"/>
          <w:color w:val="000000" w:themeColor="text1"/>
          <w:sz w:val="24"/>
          <w:szCs w:val="24"/>
        </w:rPr>
        <w:instrText xml:space="preserve"> ADDIN NE.Ref.{EF5B815D-6C68-4AB7-9E50-AC7DF2DCACFD}</w:instrText>
      </w:r>
      <w:r>
        <w:rPr>
          <w:color w:val="000000" w:themeColor="text1"/>
          <w:sz w:val="24"/>
          <w:szCs w:val="24"/>
        </w:rPr>
        <w:fldChar w:fldCharType="separate"/>
      </w:r>
      <w:r>
        <w:rPr>
          <w:rFonts w:eastAsia="Times New Roman"/>
          <w:color w:val="080000"/>
          <w:szCs w:val="24"/>
          <w:vertAlign w:val="superscript"/>
        </w:rPr>
        <w:t>6</w:t>
      </w:r>
      <w:r>
        <w:rPr>
          <w:color w:val="000000" w:themeColor="text1"/>
          <w:sz w:val="24"/>
          <w:szCs w:val="24"/>
        </w:rPr>
        <w:fldChar w:fldCharType="end"/>
      </w:r>
      <w:r>
        <w:rPr>
          <w:color w:val="000000" w:themeColor="text1"/>
          <w:sz w:val="24"/>
          <w:szCs w:val="24"/>
        </w:rPr>
        <w:t>, the bone marrow cell tracer for leg bones was the FITC channel (</w:t>
      </w:r>
      <w:proofErr w:type="spellStart"/>
      <w:r>
        <w:rPr>
          <w:color w:val="000000" w:themeColor="text1"/>
          <w:sz w:val="24"/>
          <w:szCs w:val="24"/>
        </w:rPr>
        <w:t>CellTracker</w:t>
      </w:r>
      <w:proofErr w:type="spellEnd"/>
      <w:r>
        <w:rPr>
          <w:color w:val="000000" w:themeColor="text1"/>
          <w:sz w:val="24"/>
          <w:szCs w:val="24"/>
        </w:rPr>
        <w:t>™ Green CMFDA dye), and the bone marrow cell tracer for cranial bones was the APC channel (</w:t>
      </w:r>
      <w:proofErr w:type="spellStart"/>
      <w:r>
        <w:rPr>
          <w:color w:val="000000" w:themeColor="text1"/>
          <w:sz w:val="24"/>
          <w:szCs w:val="24"/>
        </w:rPr>
        <w:t>CellTracker</w:t>
      </w:r>
      <w:proofErr w:type="spellEnd"/>
      <w:r>
        <w:rPr>
          <w:color w:val="000000" w:themeColor="text1"/>
          <w:sz w:val="24"/>
          <w:szCs w:val="24"/>
        </w:rPr>
        <w:t xml:space="preserve">™ dark red dye). Flow cytometric assays were performed on the tracer cells 24 hours or 96 hours after dye injection. In summary, the procedure for microinjection into the tibial and skull marrow was carried out sequentially under anesthesia with 1.5% isoflurane, utilizing a 5 µl syringe (#65 Hamilton Co., USA) fitted with a custom 34G blunt needle. A midline incision was </w:t>
      </w:r>
      <w:r>
        <w:rPr>
          <w:rFonts w:hint="eastAsia"/>
          <w:color w:val="000000" w:themeColor="text1"/>
          <w:sz w:val="24"/>
          <w:szCs w:val="24"/>
        </w:rPr>
        <w:t>created</w:t>
      </w:r>
      <w:r>
        <w:rPr>
          <w:color w:val="000000" w:themeColor="text1"/>
          <w:sz w:val="24"/>
          <w:szCs w:val="24"/>
        </w:rPr>
        <w:t xml:space="preserve"> in the skin above the skull to reveal both the anterior (near the bregma) and posterior (including the cerebellum) marrow sites. One or two microinjections were administered at each marrow location (specifically the left frontal,</w:t>
      </w:r>
      <w:r>
        <w:rPr>
          <w:rFonts w:hint="eastAsia"/>
          <w:color w:val="000000" w:themeColor="text1"/>
          <w:sz w:val="24"/>
          <w:szCs w:val="24"/>
        </w:rPr>
        <w:t xml:space="preserve"> </w:t>
      </w:r>
      <w:r>
        <w:rPr>
          <w:color w:val="000000" w:themeColor="text1"/>
          <w:sz w:val="24"/>
          <w:szCs w:val="24"/>
        </w:rPr>
        <w:t>right frontal, and occipital sites). Initially, a 33G needle was employed for a careful "predrilling" procedure to avoid damaging the inner skull wall. I</w:t>
      </w:r>
      <w:r>
        <w:rPr>
          <w:rFonts w:hint="eastAsia"/>
          <w:color w:val="000000" w:themeColor="text1"/>
          <w:sz w:val="24"/>
          <w:szCs w:val="24"/>
        </w:rPr>
        <w:t xml:space="preserve">f the procedures failed </w:t>
      </w:r>
      <w:r>
        <w:rPr>
          <w:color w:val="000000" w:themeColor="text1"/>
          <w:sz w:val="24"/>
          <w:szCs w:val="24"/>
        </w:rPr>
        <w:t>at this phase</w:t>
      </w:r>
      <w:r>
        <w:rPr>
          <w:rFonts w:hint="eastAsia"/>
          <w:color w:val="000000" w:themeColor="text1"/>
          <w:sz w:val="24"/>
          <w:szCs w:val="24"/>
        </w:rPr>
        <w:t>, the</w:t>
      </w:r>
      <w:r>
        <w:rPr>
          <w:color w:val="000000" w:themeColor="text1"/>
          <w:sz w:val="24"/>
          <w:szCs w:val="24"/>
        </w:rPr>
        <w:t xml:space="preserve"> animals </w:t>
      </w:r>
      <w:r>
        <w:rPr>
          <w:rFonts w:hint="eastAsia"/>
          <w:color w:val="000000" w:themeColor="text1"/>
          <w:sz w:val="24"/>
          <w:szCs w:val="24"/>
        </w:rPr>
        <w:t xml:space="preserve">involved </w:t>
      </w:r>
      <w:r>
        <w:rPr>
          <w:color w:val="000000" w:themeColor="text1"/>
          <w:sz w:val="24"/>
          <w:szCs w:val="24"/>
        </w:rPr>
        <w:t>were excluded from the study. Approximately 2–3 µl of a red fluorescent tracker was meticulously injected at each site through the previously drilled openings, taking 20–30 seconds per injection, culminating in a total of 10 µl of the red tracker injected across the skull (spanning four injection sites). The injection process was closely observed under a microscope. Subsequently, the skin was sutured using 6–0 silk thread. For the tibial marrow injection, the skin was disinfected and incised just below the knee, where the muscle insertion site was gently scraped off the bone at the designated injection point. A 30G needle was utilized to perforate the bone wall, after which the needle from the Hamilton syringe was inserted into the marrow cavity to deliver 3 µl of a green cell tracker over a span of 30 seconds. Finally, the skin was sutured using 6–0 thread.</w:t>
      </w:r>
    </w:p>
    <w:p w14:paraId="48AAC34C" w14:textId="77777777" w:rsidR="003B61E9" w:rsidRDefault="00000000">
      <w:pPr>
        <w:spacing w:beforeLines="50" w:before="156" w:afterLines="50" w:after="156" w:line="480" w:lineRule="auto"/>
        <w:rPr>
          <w:b/>
          <w:bCs/>
          <w:color w:val="000000" w:themeColor="text1"/>
          <w:sz w:val="24"/>
          <w:szCs w:val="24"/>
        </w:rPr>
      </w:pPr>
      <w:r>
        <w:rPr>
          <w:b/>
          <w:bCs/>
          <w:color w:val="000000" w:themeColor="text1"/>
          <w:sz w:val="24"/>
          <w:szCs w:val="24"/>
        </w:rPr>
        <w:lastRenderedPageBreak/>
        <w:t>Bone marrow cavity injection of Aβ or IL-6</w:t>
      </w:r>
    </w:p>
    <w:p w14:paraId="5A1325FB" w14:textId="77777777" w:rsidR="003B61E9" w:rsidRDefault="00000000">
      <w:pPr>
        <w:spacing w:beforeLines="50" w:before="156" w:line="480" w:lineRule="auto"/>
        <w:rPr>
          <w:color w:val="000000" w:themeColor="text1"/>
          <w:sz w:val="24"/>
          <w:szCs w:val="24"/>
        </w:rPr>
      </w:pPr>
      <w:r>
        <w:rPr>
          <w:color w:val="000000" w:themeColor="text1"/>
          <w:sz w:val="24"/>
          <w:szCs w:val="24"/>
        </w:rPr>
        <w:t>Preparation of oligomeric Aβ</w:t>
      </w:r>
      <w:r>
        <w:rPr>
          <w:color w:val="000000" w:themeColor="text1"/>
          <w:sz w:val="24"/>
          <w:szCs w:val="24"/>
          <w:vertAlign w:val="subscript"/>
        </w:rPr>
        <w:t>42</w:t>
      </w:r>
      <w:r>
        <w:rPr>
          <w:color w:val="000000" w:themeColor="text1"/>
          <w:sz w:val="24"/>
          <w:szCs w:val="24"/>
        </w:rPr>
        <w:t>: Human Aβ</w:t>
      </w:r>
      <w:r>
        <w:rPr>
          <w:color w:val="000000" w:themeColor="text1"/>
          <w:sz w:val="24"/>
          <w:szCs w:val="24"/>
          <w:vertAlign w:val="subscript"/>
        </w:rPr>
        <w:t>42</w:t>
      </w:r>
      <w:r>
        <w:rPr>
          <w:color w:val="000000" w:themeColor="text1"/>
          <w:sz w:val="24"/>
          <w:szCs w:val="24"/>
        </w:rPr>
        <w:t xml:space="preserve"> peptide (AS-20276, </w:t>
      </w:r>
      <w:proofErr w:type="spellStart"/>
      <w:r>
        <w:rPr>
          <w:color w:val="000000" w:themeColor="text1"/>
          <w:sz w:val="24"/>
          <w:szCs w:val="24"/>
        </w:rPr>
        <w:t>AnaSpec</w:t>
      </w:r>
      <w:proofErr w:type="spellEnd"/>
      <w:r>
        <w:rPr>
          <w:color w:val="000000" w:themeColor="text1"/>
          <w:sz w:val="24"/>
          <w:szCs w:val="24"/>
        </w:rPr>
        <w:t>) w</w:t>
      </w:r>
      <w:r>
        <w:rPr>
          <w:rFonts w:hint="eastAsia"/>
          <w:color w:val="000000" w:themeColor="text1"/>
          <w:sz w:val="24"/>
          <w:szCs w:val="24"/>
        </w:rPr>
        <w:t>as</w:t>
      </w:r>
      <w:r>
        <w:rPr>
          <w:color w:val="000000" w:themeColor="text1"/>
          <w:sz w:val="24"/>
          <w:szCs w:val="24"/>
        </w:rPr>
        <w:t xml:space="preserve"> first dissolved in 1,1,1,3,3,3-hexafluoro-2-propanol (HFIP), evaporated in a hood overnight, and then vacuum freeze-dried at 4°C for 1 hour before the dried film was stored at -80°C. </w:t>
      </w:r>
      <w:r>
        <w:rPr>
          <w:rFonts w:hint="eastAsia"/>
          <w:color w:val="000000" w:themeColor="text1"/>
          <w:sz w:val="24"/>
          <w:szCs w:val="24"/>
        </w:rPr>
        <w:t>After the preparation of</w:t>
      </w:r>
      <w:r>
        <w:rPr>
          <w:color w:val="000000" w:themeColor="text1"/>
          <w:sz w:val="24"/>
          <w:szCs w:val="24"/>
        </w:rPr>
        <w:t xml:space="preserve"> oligomeric Aβ</w:t>
      </w:r>
      <w:r>
        <w:rPr>
          <w:color w:val="000000" w:themeColor="text1"/>
          <w:sz w:val="24"/>
          <w:szCs w:val="24"/>
          <w:vertAlign w:val="subscript"/>
        </w:rPr>
        <w:t>42</w:t>
      </w:r>
      <w:r>
        <w:rPr>
          <w:color w:val="000000" w:themeColor="text1"/>
          <w:sz w:val="24"/>
          <w:szCs w:val="24"/>
        </w:rPr>
        <w:t>, the dried peptide</w:t>
      </w:r>
      <w:r>
        <w:rPr>
          <w:rFonts w:hint="eastAsia"/>
          <w:color w:val="000000" w:themeColor="text1"/>
          <w:sz w:val="24"/>
          <w:szCs w:val="24"/>
        </w:rPr>
        <w:t xml:space="preserve"> wa</w:t>
      </w:r>
      <w:r>
        <w:rPr>
          <w:color w:val="000000" w:themeColor="text1"/>
          <w:sz w:val="24"/>
          <w:szCs w:val="24"/>
        </w:rPr>
        <w:t xml:space="preserve">s dissolved in dimethyl sulfoxide (DMSO) to a final concentration of 5 </w:t>
      </w:r>
      <w:proofErr w:type="spellStart"/>
      <w:r>
        <w:rPr>
          <w:color w:val="000000" w:themeColor="text1"/>
          <w:sz w:val="24"/>
          <w:szCs w:val="24"/>
        </w:rPr>
        <w:t>mM.</w:t>
      </w:r>
      <w:proofErr w:type="spellEnd"/>
      <w:r>
        <w:rPr>
          <w:color w:val="000000" w:themeColor="text1"/>
          <w:sz w:val="24"/>
          <w:szCs w:val="24"/>
        </w:rPr>
        <w:t xml:space="preserve"> After brief sonication for 1 min in the bath </w:t>
      </w:r>
      <w:proofErr w:type="spellStart"/>
      <w:r>
        <w:rPr>
          <w:color w:val="000000" w:themeColor="text1"/>
          <w:sz w:val="24"/>
          <w:szCs w:val="24"/>
        </w:rPr>
        <w:t>sonicator</w:t>
      </w:r>
      <w:proofErr w:type="spellEnd"/>
      <w:r>
        <w:rPr>
          <w:color w:val="000000" w:themeColor="text1"/>
          <w:sz w:val="24"/>
          <w:szCs w:val="24"/>
        </w:rPr>
        <w:t xml:space="preserve">, </w:t>
      </w:r>
      <w:r>
        <w:rPr>
          <w:rFonts w:hint="eastAsia"/>
          <w:color w:val="000000" w:themeColor="text1"/>
          <w:sz w:val="24"/>
          <w:szCs w:val="24"/>
        </w:rPr>
        <w:t xml:space="preserve">a </w:t>
      </w:r>
      <w:r>
        <w:rPr>
          <w:color w:val="000000" w:themeColor="text1"/>
          <w:sz w:val="24"/>
          <w:szCs w:val="24"/>
        </w:rPr>
        <w:t>cold phenol-free F-12 cell culture medi</w:t>
      </w:r>
      <w:r>
        <w:rPr>
          <w:rFonts w:hint="eastAsia"/>
          <w:color w:val="000000" w:themeColor="text1"/>
          <w:sz w:val="24"/>
          <w:szCs w:val="24"/>
        </w:rPr>
        <w:t>um</w:t>
      </w:r>
      <w:r>
        <w:rPr>
          <w:color w:val="000000" w:themeColor="text1"/>
          <w:sz w:val="24"/>
          <w:szCs w:val="24"/>
        </w:rPr>
        <w:t xml:space="preserve"> was added to a final concentration of 100 </w:t>
      </w:r>
      <w:proofErr w:type="spellStart"/>
      <w:r>
        <w:rPr>
          <w:color w:val="000000" w:themeColor="text1"/>
          <w:sz w:val="24"/>
          <w:szCs w:val="24"/>
        </w:rPr>
        <w:t>μM</w:t>
      </w:r>
      <w:proofErr w:type="spellEnd"/>
      <w:r>
        <w:rPr>
          <w:color w:val="000000" w:themeColor="text1"/>
          <w:sz w:val="24"/>
          <w:szCs w:val="24"/>
        </w:rPr>
        <w:t xml:space="preserve"> Aβ</w:t>
      </w:r>
      <w:r>
        <w:rPr>
          <w:color w:val="000000" w:themeColor="text1"/>
          <w:sz w:val="24"/>
          <w:szCs w:val="24"/>
          <w:vertAlign w:val="subscript"/>
        </w:rPr>
        <w:t>42</w:t>
      </w:r>
      <w:r>
        <w:rPr>
          <w:color w:val="000000" w:themeColor="text1"/>
          <w:sz w:val="24"/>
          <w:szCs w:val="24"/>
        </w:rPr>
        <w:t>. Finally, this mixture was transferred to 4°C and incubated for 24 h to generate oligomeric Aβ</w:t>
      </w:r>
      <w:r>
        <w:rPr>
          <w:color w:val="000000" w:themeColor="text1"/>
          <w:sz w:val="24"/>
          <w:szCs w:val="24"/>
          <w:vertAlign w:val="subscript"/>
        </w:rPr>
        <w:t>42</w:t>
      </w:r>
      <w:r>
        <w:rPr>
          <w:color w:val="000000" w:themeColor="text1"/>
          <w:sz w:val="24"/>
          <w:szCs w:val="24"/>
        </w:rPr>
        <w:t>.</w:t>
      </w:r>
    </w:p>
    <w:p w14:paraId="2BA4F330" w14:textId="77777777" w:rsidR="003B61E9" w:rsidRDefault="00000000">
      <w:pPr>
        <w:spacing w:beforeLines="50" w:before="156" w:line="480" w:lineRule="auto"/>
        <w:ind w:firstLineChars="100" w:firstLine="240"/>
        <w:rPr>
          <w:color w:val="000000" w:themeColor="text1"/>
          <w:sz w:val="24"/>
          <w:szCs w:val="24"/>
        </w:rPr>
      </w:pPr>
      <w:r>
        <w:rPr>
          <w:color w:val="000000" w:themeColor="text1"/>
          <w:sz w:val="24"/>
          <w:szCs w:val="24"/>
        </w:rPr>
        <w:t>The cranial injection method involves the use of a 33G needle to first lightly drill the hole, which does not penetrate the skull; then, the injection site at the location of the parietal bone near the sagittal fossa is selected, the 34G needle is slowly inserted into the lumen, and the microliter syringe (Hamilton) is slowly pushed to reduce fluid leakage. Two sites were injected into the skull, and 3 µl of 0.6 µg oligomeric Aβ was injected into each site. Scrambled Aβ</w:t>
      </w:r>
      <w:r>
        <w:rPr>
          <w:color w:val="000000" w:themeColor="text1"/>
          <w:sz w:val="24"/>
          <w:szCs w:val="24"/>
          <w:vertAlign w:val="subscript"/>
        </w:rPr>
        <w:t xml:space="preserve">42 </w:t>
      </w:r>
      <w:r>
        <w:rPr>
          <w:color w:val="000000" w:themeColor="text1"/>
          <w:sz w:val="24"/>
          <w:szCs w:val="24"/>
        </w:rPr>
        <w:t>was used as a control.</w:t>
      </w:r>
    </w:p>
    <w:p w14:paraId="72124C94" w14:textId="77777777" w:rsidR="003B61E9" w:rsidRDefault="00000000">
      <w:pPr>
        <w:spacing w:beforeLines="50" w:before="156" w:line="480" w:lineRule="auto"/>
        <w:ind w:firstLineChars="100" w:firstLine="240"/>
        <w:rPr>
          <w:color w:val="000000" w:themeColor="text1"/>
          <w:sz w:val="24"/>
          <w:szCs w:val="24"/>
        </w:rPr>
      </w:pPr>
      <w:r>
        <w:rPr>
          <w:color w:val="000000" w:themeColor="text1"/>
          <w:sz w:val="24"/>
          <w:szCs w:val="24"/>
        </w:rPr>
        <w:t>IL-6 femur marrow injection method:</w:t>
      </w:r>
      <w:r>
        <w:rPr>
          <w:color w:val="000000" w:themeColor="text1"/>
        </w:rPr>
        <w:t xml:space="preserve"> </w:t>
      </w:r>
      <w:r>
        <w:rPr>
          <w:color w:val="000000" w:themeColor="text1"/>
          <w:sz w:val="24"/>
          <w:szCs w:val="24"/>
        </w:rPr>
        <w:t xml:space="preserve">The disinfected skin was </w:t>
      </w:r>
      <w:r>
        <w:rPr>
          <w:rFonts w:hint="eastAsia"/>
          <w:color w:val="000000" w:themeColor="text1"/>
          <w:sz w:val="24"/>
          <w:szCs w:val="24"/>
        </w:rPr>
        <w:t xml:space="preserve">incised </w:t>
      </w:r>
      <w:r>
        <w:rPr>
          <w:color w:val="000000" w:themeColor="text1"/>
          <w:sz w:val="24"/>
          <w:szCs w:val="24"/>
        </w:rPr>
        <w:t xml:space="preserve">open up to the knee, and the muscle insertion site was locally scraped off the bone at the chosen site. </w:t>
      </w:r>
      <w:r>
        <w:rPr>
          <w:rFonts w:hint="eastAsia"/>
          <w:color w:val="000000" w:themeColor="text1"/>
          <w:sz w:val="24"/>
          <w:szCs w:val="24"/>
        </w:rPr>
        <w:t>A pore was created on t</w:t>
      </w:r>
      <w:r>
        <w:rPr>
          <w:color w:val="000000" w:themeColor="text1"/>
          <w:sz w:val="24"/>
          <w:szCs w:val="24"/>
        </w:rPr>
        <w:t>he bone wall with a 30G needle. The needle of the Hamilton syringe was in</w:t>
      </w:r>
      <w:r>
        <w:rPr>
          <w:rFonts w:hint="eastAsia"/>
          <w:color w:val="000000" w:themeColor="text1"/>
          <w:sz w:val="24"/>
          <w:szCs w:val="24"/>
        </w:rPr>
        <w:t>serted</w:t>
      </w:r>
      <w:r>
        <w:rPr>
          <w:color w:val="000000" w:themeColor="text1"/>
          <w:sz w:val="24"/>
          <w:szCs w:val="24"/>
        </w:rPr>
        <w:t xml:space="preserve"> into the marrow cavity to inject 2 µl of 100 ng of IL-6 protein (50 ng/µl) into each femur over 30 seconds. The skin was sutured with 6–0 thread.</w:t>
      </w:r>
    </w:p>
    <w:p w14:paraId="4310C94B" w14:textId="77777777" w:rsidR="003B61E9" w:rsidRDefault="003B61E9">
      <w:pPr>
        <w:spacing w:beforeLines="50" w:before="156" w:line="480" w:lineRule="auto"/>
        <w:ind w:firstLineChars="100" w:firstLine="240"/>
        <w:rPr>
          <w:color w:val="000000" w:themeColor="text1"/>
          <w:sz w:val="24"/>
          <w:szCs w:val="24"/>
        </w:rPr>
      </w:pPr>
    </w:p>
    <w:p w14:paraId="76072214" w14:textId="77777777" w:rsidR="003B61E9" w:rsidRDefault="00000000">
      <w:pPr>
        <w:spacing w:beforeLines="50" w:before="156" w:afterLines="50" w:after="156" w:line="480" w:lineRule="auto"/>
        <w:rPr>
          <w:b/>
          <w:bCs/>
          <w:color w:val="000000" w:themeColor="text1"/>
          <w:sz w:val="24"/>
          <w:szCs w:val="24"/>
        </w:rPr>
      </w:pPr>
      <w:r>
        <w:rPr>
          <w:b/>
          <w:bCs/>
          <w:color w:val="000000" w:themeColor="text1"/>
          <w:sz w:val="24"/>
          <w:szCs w:val="24"/>
        </w:rPr>
        <w:t>Intracerebroventricular (ICV) injection for ABCs</w:t>
      </w:r>
    </w:p>
    <w:p w14:paraId="0AB33F52" w14:textId="77777777" w:rsidR="003B61E9" w:rsidRDefault="00000000">
      <w:pPr>
        <w:spacing w:beforeLines="50" w:before="156" w:line="480" w:lineRule="auto"/>
        <w:rPr>
          <w:color w:val="000000" w:themeColor="text1"/>
          <w:sz w:val="24"/>
          <w:szCs w:val="24"/>
        </w:rPr>
      </w:pPr>
      <w:r>
        <w:rPr>
          <w:color w:val="000000" w:themeColor="text1"/>
          <w:sz w:val="24"/>
          <w:szCs w:val="24"/>
        </w:rPr>
        <w:t>5×FAD mice aged 2.5 months and APP/PS1 mice aged 10 months were randomly separated into two groups and subjected to ICV injection of ABCs. Briefly, the mice were deeply anesthetized with isoflurane and immobilized via a stereotactic device. A 0.5 mm burr hole was drilled in the skull, and a guide </w:t>
      </w:r>
      <w:hyperlink r:id="rId10" w:tooltip="Learn more about cannula from ScienceDirect's AI-generated Topic Pages" w:history="1">
        <w:r w:rsidR="003B61E9">
          <w:rPr>
            <w:rStyle w:val="af1"/>
            <w:color w:val="000000" w:themeColor="text1"/>
            <w:sz w:val="24"/>
            <w:szCs w:val="24"/>
          </w:rPr>
          <w:t>cannula</w:t>
        </w:r>
      </w:hyperlink>
      <w:r>
        <w:rPr>
          <w:color w:val="000000" w:themeColor="text1"/>
          <w:sz w:val="24"/>
          <w:szCs w:val="24"/>
        </w:rPr>
        <w:t xml:space="preserve"> (62070, RWD) was implanted into the lateral ventricle (AP, +0.4 mm; ML, -/+0.9 mm; DV, - 2.1 mm) of </w:t>
      </w:r>
      <w:r>
        <w:rPr>
          <w:color w:val="000000" w:themeColor="text1"/>
          <w:sz w:val="24"/>
          <w:szCs w:val="24"/>
        </w:rPr>
        <w:lastRenderedPageBreak/>
        <w:t xml:space="preserve">each mouse. Melted agarose was applied around the catheter to seal the gap between the skull and the catheter. The first layer of dental cement is applied to all sides of the exposed skull and catheter. The second layer of dental acrylic cement was then added, and the mixture was left for 10 minutes to allow the dental cement to cure. A stainless-steel cap (62170, RWD) was </w:t>
      </w:r>
      <w:r>
        <w:rPr>
          <w:rFonts w:hint="eastAsia"/>
          <w:color w:val="000000" w:themeColor="text1"/>
          <w:sz w:val="24"/>
          <w:szCs w:val="24"/>
        </w:rPr>
        <w:t>appli</w:t>
      </w:r>
      <w:r>
        <w:rPr>
          <w:color w:val="000000" w:themeColor="text1"/>
          <w:sz w:val="24"/>
          <w:szCs w:val="24"/>
        </w:rPr>
        <w:t>ed to maintain the cannula </w:t>
      </w:r>
      <w:hyperlink r:id="rId11" w:tooltip="Learn more about patency from ScienceDirect's AI-generated Topic Pages" w:history="1">
        <w:r w:rsidR="003B61E9">
          <w:rPr>
            <w:rStyle w:val="af1"/>
            <w:color w:val="000000" w:themeColor="text1"/>
            <w:sz w:val="24"/>
            <w:szCs w:val="24"/>
          </w:rPr>
          <w:t>patency</w:t>
        </w:r>
      </w:hyperlink>
      <w:r>
        <w:rPr>
          <w:color w:val="000000" w:themeColor="text1"/>
          <w:sz w:val="24"/>
          <w:szCs w:val="24"/>
        </w:rPr>
        <w:t xml:space="preserve">. The </w:t>
      </w:r>
      <w:r>
        <w:rPr>
          <w:rFonts w:hint="eastAsia"/>
          <w:color w:val="000000" w:themeColor="text1"/>
          <w:sz w:val="24"/>
          <w:szCs w:val="24"/>
        </w:rPr>
        <w:t>animals</w:t>
      </w:r>
      <w:r>
        <w:rPr>
          <w:color w:val="000000" w:themeColor="text1"/>
          <w:sz w:val="24"/>
          <w:szCs w:val="24"/>
        </w:rPr>
        <w:t xml:space="preserve"> were removed from the stereotaxic apparatus and monitored at 37°C until </w:t>
      </w:r>
      <w:r>
        <w:rPr>
          <w:rFonts w:hint="eastAsia"/>
          <w:color w:val="000000" w:themeColor="text1"/>
          <w:sz w:val="24"/>
          <w:szCs w:val="24"/>
        </w:rPr>
        <w:t>waking</w:t>
      </w:r>
      <w:r>
        <w:rPr>
          <w:color w:val="000000" w:themeColor="text1"/>
          <w:sz w:val="24"/>
          <w:szCs w:val="24"/>
        </w:rPr>
        <w:t>. After the animals have recovered for 2 weeks, the ABCs can be injected into the lateral ventricles via a catheter.</w:t>
      </w:r>
    </w:p>
    <w:p w14:paraId="1990EF8E" w14:textId="77777777" w:rsidR="003B61E9" w:rsidRDefault="00000000">
      <w:pPr>
        <w:spacing w:beforeLines="50" w:before="156" w:line="480" w:lineRule="auto"/>
        <w:ind w:firstLineChars="100" w:firstLine="240"/>
        <w:rPr>
          <w:color w:val="000000" w:themeColor="text1"/>
          <w:sz w:val="24"/>
          <w:szCs w:val="24"/>
        </w:rPr>
      </w:pPr>
      <w:r>
        <w:rPr>
          <w:color w:val="000000" w:themeColor="text1"/>
          <w:sz w:val="24"/>
          <w:szCs w:val="24"/>
        </w:rPr>
        <w:t>ABCs from the bone marrow of 10-month-old 5×FAD mice, 18-month-old APP/PS1 mice</w:t>
      </w:r>
      <w:r>
        <w:rPr>
          <w:rFonts w:hint="eastAsia"/>
          <w:color w:val="000000" w:themeColor="text1"/>
          <w:sz w:val="24"/>
          <w:szCs w:val="24"/>
        </w:rPr>
        <w:t>,</w:t>
      </w:r>
      <w:r>
        <w:rPr>
          <w:color w:val="000000" w:themeColor="text1"/>
          <w:sz w:val="24"/>
          <w:szCs w:val="24"/>
        </w:rPr>
        <w:t xml:space="preserve"> or WT </w:t>
      </w:r>
      <w:r>
        <w:rPr>
          <w:rFonts w:hint="eastAsia"/>
          <w:color w:val="000000" w:themeColor="text1"/>
          <w:sz w:val="24"/>
          <w:szCs w:val="24"/>
        </w:rPr>
        <w:t>counterparts</w:t>
      </w:r>
      <w:r>
        <w:rPr>
          <w:color w:val="000000" w:themeColor="text1"/>
          <w:sz w:val="24"/>
          <w:szCs w:val="24"/>
        </w:rPr>
        <w:t xml:space="preserve"> were obtained via magnetic bead sorting, and fresh ABCs (cell concentration of 1*10^5/</w:t>
      </w:r>
      <w:proofErr w:type="spellStart"/>
      <w:r>
        <w:rPr>
          <w:color w:val="000000" w:themeColor="text1"/>
          <w:sz w:val="24"/>
          <w:szCs w:val="24"/>
        </w:rPr>
        <w:t>μl</w:t>
      </w:r>
      <w:proofErr w:type="spellEnd"/>
      <w:r>
        <w:rPr>
          <w:color w:val="000000" w:themeColor="text1"/>
          <w:sz w:val="24"/>
          <w:szCs w:val="24"/>
        </w:rPr>
        <w:t xml:space="preserve">, 2 </w:t>
      </w:r>
      <w:proofErr w:type="spellStart"/>
      <w:r>
        <w:rPr>
          <w:color w:val="000000" w:themeColor="text1"/>
          <w:sz w:val="24"/>
          <w:szCs w:val="24"/>
        </w:rPr>
        <w:t>μl</w:t>
      </w:r>
      <w:proofErr w:type="spellEnd"/>
      <w:r>
        <w:rPr>
          <w:color w:val="000000" w:themeColor="text1"/>
          <w:sz w:val="24"/>
          <w:szCs w:val="24"/>
        </w:rPr>
        <w:t xml:space="preserve"> per lateral catheter injection) were injected </w:t>
      </w:r>
      <w:r>
        <w:rPr>
          <w:rFonts w:hint="eastAsia"/>
          <w:color w:val="000000" w:themeColor="text1"/>
          <w:sz w:val="24"/>
          <w:szCs w:val="24"/>
        </w:rPr>
        <w:t xml:space="preserve">by </w:t>
      </w:r>
      <w:r>
        <w:rPr>
          <w:color w:val="000000" w:themeColor="text1"/>
          <w:sz w:val="24"/>
          <w:szCs w:val="24"/>
        </w:rPr>
        <w:t xml:space="preserve">ICV at a rate of 0.2 </w:t>
      </w:r>
      <w:proofErr w:type="spellStart"/>
      <w:r>
        <w:rPr>
          <w:color w:val="000000" w:themeColor="text1"/>
          <w:sz w:val="24"/>
          <w:szCs w:val="24"/>
        </w:rPr>
        <w:t>μl</w:t>
      </w:r>
      <w:proofErr w:type="spellEnd"/>
      <w:r>
        <w:rPr>
          <w:color w:val="000000" w:themeColor="text1"/>
          <w:sz w:val="24"/>
          <w:szCs w:val="24"/>
        </w:rPr>
        <w:t xml:space="preserve">/min via a microliter syringe (Hamilton); the needle was left </w:t>
      </w:r>
      <w:r>
        <w:rPr>
          <w:rFonts w:hint="eastAsia"/>
          <w:color w:val="000000" w:themeColor="text1"/>
          <w:sz w:val="24"/>
          <w:szCs w:val="24"/>
        </w:rPr>
        <w:t xml:space="preserve">in place </w:t>
      </w:r>
      <w:r>
        <w:rPr>
          <w:color w:val="000000" w:themeColor="text1"/>
          <w:sz w:val="24"/>
          <w:szCs w:val="24"/>
        </w:rPr>
        <w:t xml:space="preserve">for 5 min for cell infusion. ICV injections were performed once a month for 2 months. One month after the last ABC injection, the cognitive </w:t>
      </w:r>
      <w:r>
        <w:rPr>
          <w:rFonts w:hint="eastAsia"/>
          <w:color w:val="000000" w:themeColor="text1"/>
          <w:sz w:val="24"/>
          <w:szCs w:val="24"/>
        </w:rPr>
        <w:t>performance</w:t>
      </w:r>
      <w:r>
        <w:rPr>
          <w:color w:val="000000" w:themeColor="text1"/>
          <w:sz w:val="24"/>
          <w:szCs w:val="24"/>
        </w:rPr>
        <w:t xml:space="preserve"> of the mice was </w:t>
      </w:r>
      <w:r>
        <w:rPr>
          <w:rFonts w:hint="eastAsia"/>
          <w:color w:val="000000" w:themeColor="text1"/>
          <w:sz w:val="24"/>
          <w:szCs w:val="24"/>
        </w:rPr>
        <w:t>measured</w:t>
      </w:r>
      <w:r>
        <w:rPr>
          <w:color w:val="000000" w:themeColor="text1"/>
          <w:sz w:val="24"/>
          <w:szCs w:val="24"/>
        </w:rPr>
        <w:t xml:space="preserve"> via the MWM and Y maze</w:t>
      </w:r>
      <w:r>
        <w:rPr>
          <w:rFonts w:hint="eastAsia"/>
          <w:color w:val="000000" w:themeColor="text1"/>
          <w:sz w:val="24"/>
          <w:szCs w:val="24"/>
        </w:rPr>
        <w:t xml:space="preserve"> trials</w:t>
      </w:r>
      <w:r>
        <w:rPr>
          <w:color w:val="000000" w:themeColor="text1"/>
          <w:sz w:val="24"/>
          <w:szCs w:val="24"/>
        </w:rPr>
        <w:t>.</w:t>
      </w:r>
    </w:p>
    <w:p w14:paraId="6842C7FE" w14:textId="77777777" w:rsidR="003B61E9" w:rsidRDefault="003B61E9">
      <w:pPr>
        <w:spacing w:beforeLines="50" w:before="156" w:line="480" w:lineRule="auto"/>
        <w:ind w:firstLineChars="100" w:firstLine="240"/>
        <w:rPr>
          <w:color w:val="000000" w:themeColor="text1"/>
          <w:sz w:val="24"/>
          <w:szCs w:val="24"/>
        </w:rPr>
      </w:pPr>
    </w:p>
    <w:p w14:paraId="64FF37F5" w14:textId="77777777" w:rsidR="003B61E9" w:rsidRDefault="00000000">
      <w:pPr>
        <w:spacing w:line="480" w:lineRule="auto"/>
        <w:rPr>
          <w:b/>
          <w:bCs/>
          <w:color w:val="000000" w:themeColor="text1"/>
          <w:sz w:val="24"/>
          <w:szCs w:val="24"/>
        </w:rPr>
      </w:pPr>
      <w:r>
        <w:rPr>
          <w:b/>
          <w:bCs/>
          <w:color w:val="000000" w:themeColor="text1"/>
          <w:sz w:val="24"/>
          <w:szCs w:val="24"/>
        </w:rPr>
        <w:t>Magnetic bead sorting</w:t>
      </w:r>
    </w:p>
    <w:p w14:paraId="2E12A64B" w14:textId="77777777" w:rsidR="003B61E9" w:rsidRDefault="00000000">
      <w:pPr>
        <w:spacing w:beforeLines="50" w:before="156" w:line="480" w:lineRule="auto"/>
        <w:rPr>
          <w:color w:val="000000" w:themeColor="text1"/>
          <w:sz w:val="24"/>
          <w:szCs w:val="24"/>
        </w:rPr>
      </w:pPr>
      <w:r>
        <w:rPr>
          <w:color w:val="000000" w:themeColor="text1"/>
          <w:sz w:val="24"/>
          <w:szCs w:val="24"/>
        </w:rPr>
        <w:t xml:space="preserve">For the </w:t>
      </w:r>
      <w:bookmarkStart w:id="3" w:name="OLE_LINK4"/>
      <w:r>
        <w:rPr>
          <w:color w:val="000000" w:themeColor="text1"/>
          <w:sz w:val="24"/>
          <w:szCs w:val="24"/>
        </w:rPr>
        <w:t xml:space="preserve">ABCs ICV injection experiment, we prepared single-cell suspensions as follows: the skull bone marrow cavity was rinsed with cold PBS and filtered </w:t>
      </w:r>
      <w:r>
        <w:rPr>
          <w:rFonts w:hint="eastAsia"/>
          <w:color w:val="000000" w:themeColor="text1"/>
          <w:sz w:val="24"/>
          <w:szCs w:val="24"/>
        </w:rPr>
        <w:t>with</w:t>
      </w:r>
      <w:r>
        <w:rPr>
          <w:color w:val="000000" w:themeColor="text1"/>
          <w:sz w:val="24"/>
          <w:szCs w:val="24"/>
        </w:rPr>
        <w:t xml:space="preserve"> a 70 µm cell strainer. Then, red blood cells were removed by adding red cell lysate</w:t>
      </w:r>
      <w:r>
        <w:rPr>
          <w:rFonts w:hint="eastAsia"/>
          <w:color w:val="000000" w:themeColor="text1"/>
          <w:sz w:val="24"/>
          <w:szCs w:val="24"/>
        </w:rPr>
        <w:t xml:space="preserve"> and</w:t>
      </w:r>
      <w:r>
        <w:rPr>
          <w:color w:val="000000" w:themeColor="text1"/>
          <w:sz w:val="24"/>
          <w:szCs w:val="24"/>
        </w:rPr>
        <w:t xml:space="preserve"> washed in cold PBS</w:t>
      </w:r>
      <w:bookmarkEnd w:id="3"/>
      <w:r>
        <w:rPr>
          <w:rFonts w:hint="eastAsia"/>
          <w:color w:val="000000" w:themeColor="text1"/>
          <w:sz w:val="24"/>
          <w:szCs w:val="24"/>
        </w:rPr>
        <w:t>.</w:t>
      </w:r>
      <w:r>
        <w:rPr>
          <w:color w:val="000000" w:themeColor="text1"/>
          <w:sz w:val="24"/>
          <w:szCs w:val="24"/>
        </w:rPr>
        <w:t xml:space="preserve"> </w:t>
      </w:r>
      <w:r>
        <w:rPr>
          <w:rFonts w:hint="eastAsia"/>
          <w:color w:val="000000" w:themeColor="text1"/>
          <w:sz w:val="24"/>
          <w:szCs w:val="24"/>
        </w:rPr>
        <w:t xml:space="preserve">The </w:t>
      </w:r>
      <w:r>
        <w:rPr>
          <w:color w:val="000000" w:themeColor="text1"/>
          <w:sz w:val="24"/>
          <w:szCs w:val="24"/>
        </w:rPr>
        <w:t>single cells were resuspended in 1% BSA</w:t>
      </w:r>
      <w:r>
        <w:rPr>
          <w:rFonts w:hint="eastAsia"/>
          <w:color w:val="000000" w:themeColor="text1"/>
          <w:sz w:val="24"/>
          <w:szCs w:val="24"/>
        </w:rPr>
        <w:t xml:space="preserve"> and</w:t>
      </w:r>
      <w:r>
        <w:rPr>
          <w:color w:val="000000" w:themeColor="text1"/>
          <w:sz w:val="24"/>
          <w:szCs w:val="24"/>
        </w:rPr>
        <w:t xml:space="preserve"> incubated with a PE-conjugated anti-CD19 antibody (</w:t>
      </w:r>
      <w:proofErr w:type="spellStart"/>
      <w:r>
        <w:rPr>
          <w:color w:val="000000" w:themeColor="text1"/>
          <w:sz w:val="24"/>
          <w:szCs w:val="24"/>
        </w:rPr>
        <w:t>BioLegend</w:t>
      </w:r>
      <w:proofErr w:type="spellEnd"/>
      <w:r>
        <w:rPr>
          <w:color w:val="000000" w:themeColor="text1"/>
          <w:sz w:val="24"/>
          <w:szCs w:val="24"/>
        </w:rPr>
        <w:t xml:space="preserve">), followed by staining with an anti-PE </w:t>
      </w:r>
      <w:proofErr w:type="spellStart"/>
      <w:r>
        <w:rPr>
          <w:color w:val="000000" w:themeColor="text1"/>
          <w:sz w:val="24"/>
          <w:szCs w:val="24"/>
        </w:rPr>
        <w:t>multisort</w:t>
      </w:r>
      <w:proofErr w:type="spellEnd"/>
      <w:r>
        <w:rPr>
          <w:color w:val="000000" w:themeColor="text1"/>
          <w:sz w:val="24"/>
          <w:szCs w:val="24"/>
        </w:rPr>
        <w:t xml:space="preserve"> kit (130--090--757, </w:t>
      </w:r>
      <w:proofErr w:type="spellStart"/>
      <w:r>
        <w:rPr>
          <w:color w:val="000000" w:themeColor="text1"/>
          <w:sz w:val="24"/>
          <w:szCs w:val="24"/>
        </w:rPr>
        <w:t>Miltenyi</w:t>
      </w:r>
      <w:proofErr w:type="spellEnd"/>
      <w:r>
        <w:rPr>
          <w:color w:val="000000" w:themeColor="text1"/>
          <w:sz w:val="24"/>
          <w:szCs w:val="24"/>
        </w:rPr>
        <w:t xml:space="preserve"> Biotec). After the isolation of CD19</w:t>
      </w:r>
      <w:r>
        <w:rPr>
          <w:color w:val="000000" w:themeColor="text1"/>
          <w:sz w:val="24"/>
          <w:szCs w:val="24"/>
          <w:vertAlign w:val="superscript"/>
        </w:rPr>
        <w:t>+</w:t>
      </w:r>
      <w:r>
        <w:rPr>
          <w:color w:val="000000" w:themeColor="text1"/>
          <w:sz w:val="24"/>
          <w:szCs w:val="24"/>
        </w:rPr>
        <w:t xml:space="preserve"> cells, multiple microbeads were removed via the </w:t>
      </w:r>
      <w:proofErr w:type="spellStart"/>
      <w:r>
        <w:rPr>
          <w:color w:val="000000" w:themeColor="text1"/>
          <w:sz w:val="24"/>
          <w:szCs w:val="24"/>
        </w:rPr>
        <w:t>multisort</w:t>
      </w:r>
      <w:proofErr w:type="spellEnd"/>
      <w:r>
        <w:rPr>
          <w:color w:val="000000" w:themeColor="text1"/>
          <w:sz w:val="24"/>
          <w:szCs w:val="24"/>
        </w:rPr>
        <w:t xml:space="preserve"> release reagent. The CD19</w:t>
      </w:r>
      <w:r>
        <w:rPr>
          <w:color w:val="000000" w:themeColor="text1"/>
          <w:sz w:val="24"/>
          <w:szCs w:val="24"/>
          <w:vertAlign w:val="superscript"/>
        </w:rPr>
        <w:t>+</w:t>
      </w:r>
      <w:r>
        <w:rPr>
          <w:color w:val="000000" w:themeColor="text1"/>
          <w:sz w:val="24"/>
          <w:szCs w:val="24"/>
        </w:rPr>
        <w:t xml:space="preserve"> cells were further sorted with CD11c magnetic beads (130-125-835, </w:t>
      </w:r>
      <w:proofErr w:type="spellStart"/>
      <w:r>
        <w:rPr>
          <w:color w:val="000000" w:themeColor="text1"/>
          <w:sz w:val="24"/>
          <w:szCs w:val="24"/>
        </w:rPr>
        <w:t>Miltenyi</w:t>
      </w:r>
      <w:proofErr w:type="spellEnd"/>
      <w:r>
        <w:rPr>
          <w:color w:val="000000" w:themeColor="text1"/>
          <w:sz w:val="24"/>
          <w:szCs w:val="24"/>
        </w:rPr>
        <w:t xml:space="preserve"> Biotec) to obtain CD19</w:t>
      </w:r>
      <w:r>
        <w:rPr>
          <w:color w:val="000000" w:themeColor="text1"/>
          <w:sz w:val="24"/>
          <w:szCs w:val="24"/>
          <w:vertAlign w:val="superscript"/>
        </w:rPr>
        <w:t>+</w:t>
      </w:r>
      <w:r>
        <w:rPr>
          <w:color w:val="000000" w:themeColor="text1"/>
          <w:sz w:val="24"/>
          <w:szCs w:val="24"/>
        </w:rPr>
        <w:t>CD11c</w:t>
      </w:r>
      <w:r>
        <w:rPr>
          <w:color w:val="000000" w:themeColor="text1"/>
          <w:sz w:val="24"/>
          <w:szCs w:val="24"/>
          <w:vertAlign w:val="superscript"/>
        </w:rPr>
        <w:t>+</w:t>
      </w:r>
      <w:r>
        <w:rPr>
          <w:color w:val="000000" w:themeColor="text1"/>
          <w:sz w:val="24"/>
          <w:szCs w:val="24"/>
        </w:rPr>
        <w:t xml:space="preserve"> cells. The cells were counted under a microscope, and ICV injection was performed as soon as possible.</w:t>
      </w:r>
    </w:p>
    <w:p w14:paraId="1C82617E" w14:textId="77777777" w:rsidR="003B61E9" w:rsidRDefault="00000000">
      <w:pPr>
        <w:spacing w:beforeLines="50" w:before="156" w:line="480" w:lineRule="auto"/>
        <w:ind w:firstLineChars="100" w:firstLine="240"/>
        <w:rPr>
          <w:color w:val="000000" w:themeColor="text1"/>
          <w:sz w:val="24"/>
          <w:szCs w:val="24"/>
        </w:rPr>
      </w:pPr>
      <w:r>
        <w:rPr>
          <w:color w:val="000000" w:themeColor="text1"/>
          <w:sz w:val="24"/>
          <w:szCs w:val="24"/>
        </w:rPr>
        <w:lastRenderedPageBreak/>
        <w:t xml:space="preserve">One month after ABC ICV injection, the forebrain and hippocampus were dissociated into single-cell suspensions according to the instructions of the Adult Brain Dissociation Kit (130--107--677, </w:t>
      </w:r>
      <w:proofErr w:type="spellStart"/>
      <w:r>
        <w:rPr>
          <w:color w:val="000000" w:themeColor="text1"/>
          <w:sz w:val="24"/>
          <w:szCs w:val="24"/>
        </w:rPr>
        <w:t>Miltenyi</w:t>
      </w:r>
      <w:proofErr w:type="spellEnd"/>
      <w:r>
        <w:rPr>
          <w:color w:val="000000" w:themeColor="text1"/>
          <w:sz w:val="24"/>
          <w:szCs w:val="24"/>
        </w:rPr>
        <w:t xml:space="preserve"> Biotec); cell debris, myelin, and erythrocytes were subsequently removed; and the cells were immunolabeled with CD11b microbeads (catalog no. 130--093--634). The cell suspension was pass</w:t>
      </w:r>
      <w:r>
        <w:rPr>
          <w:rFonts w:hint="eastAsia"/>
          <w:color w:val="000000" w:themeColor="text1"/>
          <w:sz w:val="24"/>
          <w:szCs w:val="24"/>
        </w:rPr>
        <w:t>ed</w:t>
      </w:r>
      <w:r>
        <w:rPr>
          <w:color w:val="000000" w:themeColor="text1"/>
          <w:sz w:val="24"/>
          <w:szCs w:val="24"/>
        </w:rPr>
        <w:t xml:space="preserve"> through the magnetic column </w:t>
      </w:r>
      <w:r>
        <w:rPr>
          <w:rFonts w:hint="eastAsia"/>
          <w:color w:val="000000" w:themeColor="text1"/>
          <w:sz w:val="24"/>
          <w:szCs w:val="24"/>
        </w:rPr>
        <w:t>to</w:t>
      </w:r>
      <w:r>
        <w:rPr>
          <w:color w:val="000000" w:themeColor="text1"/>
          <w:sz w:val="24"/>
          <w:szCs w:val="24"/>
        </w:rPr>
        <w:t xml:space="preserve"> retain CD11b-positive cells</w:t>
      </w:r>
      <w:r>
        <w:rPr>
          <w:rFonts w:hint="eastAsia"/>
          <w:color w:val="000000" w:themeColor="text1"/>
          <w:sz w:val="24"/>
          <w:szCs w:val="24"/>
        </w:rPr>
        <w:t xml:space="preserve">. </w:t>
      </w:r>
      <w:r>
        <w:rPr>
          <w:color w:val="000000" w:themeColor="text1"/>
          <w:sz w:val="24"/>
          <w:szCs w:val="24"/>
        </w:rPr>
        <w:t>T</w:t>
      </w:r>
      <w:r>
        <w:rPr>
          <w:rFonts w:hint="eastAsia"/>
          <w:color w:val="000000" w:themeColor="text1"/>
          <w:sz w:val="24"/>
          <w:szCs w:val="24"/>
        </w:rPr>
        <w:t>he latter</w:t>
      </w:r>
      <w:r>
        <w:rPr>
          <w:color w:val="000000" w:themeColor="text1"/>
          <w:sz w:val="24"/>
          <w:szCs w:val="24"/>
        </w:rPr>
        <w:t xml:space="preserve"> were flushed out and </w:t>
      </w:r>
      <w:r>
        <w:rPr>
          <w:rFonts w:hint="eastAsia"/>
          <w:color w:val="000000" w:themeColor="text1"/>
          <w:sz w:val="24"/>
          <w:szCs w:val="24"/>
        </w:rPr>
        <w:t>kept</w:t>
      </w:r>
      <w:r>
        <w:rPr>
          <w:color w:val="000000" w:themeColor="text1"/>
          <w:sz w:val="24"/>
          <w:szCs w:val="24"/>
        </w:rPr>
        <w:t xml:space="preserve"> for single-cell sequencing.</w:t>
      </w:r>
    </w:p>
    <w:p w14:paraId="50E2D4DF" w14:textId="77777777" w:rsidR="003B61E9" w:rsidRDefault="003B61E9">
      <w:pPr>
        <w:spacing w:beforeLines="50" w:before="156" w:line="480" w:lineRule="auto"/>
        <w:ind w:firstLineChars="100" w:firstLine="240"/>
        <w:rPr>
          <w:color w:val="000000" w:themeColor="text1"/>
          <w:sz w:val="24"/>
          <w:szCs w:val="24"/>
        </w:rPr>
      </w:pPr>
    </w:p>
    <w:p w14:paraId="290D4E66" w14:textId="77777777" w:rsidR="003B61E9" w:rsidRDefault="00000000">
      <w:pPr>
        <w:spacing w:line="480" w:lineRule="auto"/>
        <w:rPr>
          <w:b/>
          <w:bCs/>
          <w:color w:val="000000" w:themeColor="text1"/>
          <w:sz w:val="24"/>
          <w:szCs w:val="24"/>
        </w:rPr>
      </w:pPr>
      <w:r>
        <w:rPr>
          <w:b/>
          <w:bCs/>
          <w:color w:val="000000" w:themeColor="text1"/>
          <w:sz w:val="24"/>
          <w:szCs w:val="24"/>
        </w:rPr>
        <w:t>Tocilizumab administration</w:t>
      </w:r>
    </w:p>
    <w:p w14:paraId="7E855B4B" w14:textId="77777777" w:rsidR="003B61E9" w:rsidRDefault="00000000">
      <w:pPr>
        <w:spacing w:line="480" w:lineRule="auto"/>
        <w:rPr>
          <w:color w:val="000000" w:themeColor="text1"/>
          <w:sz w:val="24"/>
          <w:szCs w:val="24"/>
        </w:rPr>
      </w:pPr>
      <w:r>
        <w:rPr>
          <w:color w:val="000000" w:themeColor="text1"/>
          <w:sz w:val="24"/>
          <w:szCs w:val="24"/>
        </w:rPr>
        <w:t xml:space="preserve">Tocilizumab (Roche, Schweiz) was diluted in saline. Briefly, for short-term intervention, we administered tocilizumab (18 mg/kg) or control IgG intraperitoneally to three-month-old mice once every other day for 1 month. For long-term intervention, we administered tocilizumab (8 mg/kg) or control IgG intraperitoneally to five-month-old mice once every 2 weeks for 3 months. The corresponding behavioral experiments were </w:t>
      </w:r>
      <w:r>
        <w:rPr>
          <w:rFonts w:hint="eastAsia"/>
          <w:color w:val="000000" w:themeColor="text1"/>
          <w:sz w:val="24"/>
          <w:szCs w:val="24"/>
        </w:rPr>
        <w:t>proceed</w:t>
      </w:r>
      <w:r>
        <w:rPr>
          <w:color w:val="000000" w:themeColor="text1"/>
          <w:sz w:val="24"/>
          <w:szCs w:val="24"/>
        </w:rPr>
        <w:t>ed at the end of the treatment. The animals were divided into IgG-treated and tocilizumab-supplemented groups according to a random number table.</w:t>
      </w:r>
    </w:p>
    <w:p w14:paraId="5D0C4DF2" w14:textId="77777777" w:rsidR="003B61E9" w:rsidRDefault="003B61E9">
      <w:pPr>
        <w:spacing w:line="480" w:lineRule="auto"/>
        <w:rPr>
          <w:color w:val="000000" w:themeColor="text1"/>
          <w:sz w:val="24"/>
          <w:szCs w:val="24"/>
        </w:rPr>
      </w:pPr>
    </w:p>
    <w:p w14:paraId="3C1726F0" w14:textId="77777777" w:rsidR="003B61E9" w:rsidRDefault="00000000">
      <w:pPr>
        <w:spacing w:line="480" w:lineRule="auto"/>
        <w:rPr>
          <w:b/>
          <w:bCs/>
          <w:color w:val="000000" w:themeColor="text1"/>
          <w:sz w:val="24"/>
          <w:szCs w:val="24"/>
        </w:rPr>
      </w:pPr>
      <w:r>
        <w:rPr>
          <w:b/>
          <w:bCs/>
          <w:color w:val="000000" w:themeColor="text1"/>
          <w:sz w:val="24"/>
          <w:szCs w:val="24"/>
        </w:rPr>
        <w:t>Behavioral tests</w:t>
      </w:r>
    </w:p>
    <w:p w14:paraId="5F3D9FD9" w14:textId="77777777" w:rsidR="003B61E9" w:rsidRDefault="00000000">
      <w:pPr>
        <w:spacing w:beforeLines="50" w:before="156" w:line="480" w:lineRule="auto"/>
        <w:rPr>
          <w:color w:val="000000" w:themeColor="text1"/>
          <w:sz w:val="24"/>
          <w:szCs w:val="24"/>
        </w:rPr>
      </w:pPr>
      <w:r>
        <w:rPr>
          <w:color w:val="000000" w:themeColor="text1"/>
          <w:sz w:val="24"/>
          <w:szCs w:val="24"/>
        </w:rPr>
        <w:t xml:space="preserve">Before the test, the mice were handled for 10 minutes every day for one week. On the </w:t>
      </w:r>
      <w:r>
        <w:rPr>
          <w:rFonts w:hint="eastAsia"/>
          <w:color w:val="000000" w:themeColor="text1"/>
          <w:sz w:val="24"/>
          <w:szCs w:val="24"/>
        </w:rPr>
        <w:t>testing</w:t>
      </w:r>
      <w:r>
        <w:rPr>
          <w:color w:val="000000" w:themeColor="text1"/>
          <w:sz w:val="24"/>
          <w:szCs w:val="24"/>
        </w:rPr>
        <w:t xml:space="preserve"> day, the</w:t>
      </w:r>
      <w:r>
        <w:rPr>
          <w:rFonts w:hint="eastAsia"/>
          <w:color w:val="000000" w:themeColor="text1"/>
          <w:sz w:val="24"/>
          <w:szCs w:val="24"/>
        </w:rPr>
        <w:t>y</w:t>
      </w:r>
      <w:r>
        <w:rPr>
          <w:color w:val="000000" w:themeColor="text1"/>
          <w:sz w:val="24"/>
          <w:szCs w:val="24"/>
        </w:rPr>
        <w:t xml:space="preserve"> were </w:t>
      </w:r>
      <w:r>
        <w:rPr>
          <w:rFonts w:hint="eastAsia"/>
          <w:color w:val="000000" w:themeColor="text1"/>
          <w:sz w:val="24"/>
          <w:szCs w:val="24"/>
        </w:rPr>
        <w:t xml:space="preserve">allowed </w:t>
      </w:r>
      <w:r>
        <w:rPr>
          <w:color w:val="000000" w:themeColor="text1"/>
          <w:sz w:val="24"/>
          <w:szCs w:val="24"/>
        </w:rPr>
        <w:t xml:space="preserve">30 min to </w:t>
      </w:r>
      <w:r>
        <w:rPr>
          <w:rFonts w:hint="eastAsia"/>
          <w:color w:val="000000" w:themeColor="text1"/>
          <w:sz w:val="24"/>
          <w:szCs w:val="24"/>
        </w:rPr>
        <w:t xml:space="preserve">acclimate </w:t>
      </w:r>
      <w:r>
        <w:rPr>
          <w:color w:val="000000" w:themeColor="text1"/>
          <w:sz w:val="24"/>
          <w:szCs w:val="24"/>
        </w:rPr>
        <w:t>the environment. All behavioral experiments were conducted between 8:00 and 17:00 in a dimly lit</w:t>
      </w:r>
      <w:r>
        <w:rPr>
          <w:color w:val="000000" w:themeColor="text1"/>
        </w:rPr>
        <w:t xml:space="preserve"> </w:t>
      </w:r>
      <w:r>
        <w:rPr>
          <w:color w:val="000000" w:themeColor="text1"/>
          <w:sz w:val="24"/>
          <w:szCs w:val="24"/>
        </w:rPr>
        <w:t>environment (±20 lux) without food or water deprivation.</w:t>
      </w:r>
    </w:p>
    <w:p w14:paraId="5A2A3FCA" w14:textId="0D93F99F" w:rsidR="003B61E9" w:rsidRDefault="00000000">
      <w:pPr>
        <w:spacing w:beforeLines="50" w:before="156" w:line="480" w:lineRule="auto"/>
        <w:ind w:firstLineChars="100" w:firstLine="240"/>
        <w:rPr>
          <w:color w:val="000000" w:themeColor="text1"/>
          <w:sz w:val="24"/>
          <w:szCs w:val="24"/>
        </w:rPr>
      </w:pPr>
      <w:r>
        <w:rPr>
          <w:color w:val="000000" w:themeColor="text1"/>
          <w:sz w:val="24"/>
          <w:szCs w:val="24"/>
        </w:rPr>
        <w:t>The assessment of working memory was implemented using the Y maze</w:t>
      </w:r>
      <w:r>
        <w:rPr>
          <w:color w:val="000000" w:themeColor="text1"/>
        </w:rPr>
        <w:t xml:space="preserve"> </w:t>
      </w:r>
      <w:r>
        <w:rPr>
          <w:color w:val="000000" w:themeColor="text1"/>
          <w:sz w:val="24"/>
          <w:szCs w:val="24"/>
        </w:rPr>
        <w:t xml:space="preserve">following established protocols with slight modifications </w:t>
      </w:r>
      <w:r>
        <w:rPr>
          <w:color w:val="000000" w:themeColor="text1"/>
          <w:sz w:val="24"/>
          <w:szCs w:val="24"/>
        </w:rPr>
        <w:fldChar w:fldCharType="begin"/>
      </w:r>
      <w:r>
        <w:rPr>
          <w:rFonts w:hint="eastAsia"/>
          <w:color w:val="000000" w:themeColor="text1"/>
          <w:sz w:val="24"/>
          <w:szCs w:val="24"/>
        </w:rPr>
        <w:instrText xml:space="preserve"> ADDIN NE.Ref.{A0A5BBF5-583E-4EB5-908D-A0E0112E35C2}</w:instrText>
      </w:r>
      <w:r>
        <w:rPr>
          <w:color w:val="000000" w:themeColor="text1"/>
          <w:sz w:val="24"/>
          <w:szCs w:val="24"/>
        </w:rPr>
        <w:fldChar w:fldCharType="separate"/>
      </w:r>
      <w:r>
        <w:rPr>
          <w:rFonts w:eastAsia="Times New Roman"/>
          <w:color w:val="080000"/>
          <w:szCs w:val="24"/>
          <w:vertAlign w:val="superscript"/>
        </w:rPr>
        <w:t>7</w:t>
      </w:r>
      <w:r>
        <w:rPr>
          <w:color w:val="000000" w:themeColor="text1"/>
          <w:sz w:val="24"/>
          <w:szCs w:val="24"/>
        </w:rPr>
        <w:fldChar w:fldCharType="end"/>
      </w:r>
      <w:r>
        <w:rPr>
          <w:color w:val="000000" w:themeColor="text1"/>
          <w:sz w:val="24"/>
          <w:szCs w:val="24"/>
        </w:rPr>
        <w:t xml:space="preserve">. The Y maze consisted of three identical arms designated as A, B, and C. The </w:t>
      </w:r>
      <w:r>
        <w:rPr>
          <w:rFonts w:hint="eastAsia"/>
          <w:color w:val="000000" w:themeColor="text1"/>
          <w:sz w:val="24"/>
          <w:szCs w:val="24"/>
        </w:rPr>
        <w:t>animals</w:t>
      </w:r>
      <w:r>
        <w:rPr>
          <w:color w:val="000000" w:themeColor="text1"/>
          <w:sz w:val="24"/>
          <w:szCs w:val="24"/>
        </w:rPr>
        <w:t xml:space="preserve"> were initially positioned in the start arm (A) and </w:t>
      </w:r>
      <w:r>
        <w:rPr>
          <w:rFonts w:hint="eastAsia"/>
          <w:color w:val="000000" w:themeColor="text1"/>
          <w:sz w:val="24"/>
          <w:szCs w:val="24"/>
        </w:rPr>
        <w:t xml:space="preserve">allowed a free exploration </w:t>
      </w:r>
      <w:r>
        <w:rPr>
          <w:color w:val="000000" w:themeColor="text1"/>
          <w:sz w:val="24"/>
          <w:szCs w:val="24"/>
        </w:rPr>
        <w:t xml:space="preserve">for 5 min, during which the sequence of arms explored (for example, ABCBA) was documented. A video recording system was </w:t>
      </w:r>
      <w:r>
        <w:rPr>
          <w:color w:val="000000" w:themeColor="text1"/>
          <w:sz w:val="24"/>
          <w:szCs w:val="24"/>
        </w:rPr>
        <w:lastRenderedPageBreak/>
        <w:t>employed to capture the total number of arm entries and instances of behavior</w:t>
      </w:r>
      <w:r>
        <w:rPr>
          <w:rFonts w:hint="eastAsia"/>
          <w:color w:val="000000" w:themeColor="text1"/>
          <w:sz w:val="24"/>
          <w:szCs w:val="24"/>
        </w:rPr>
        <w:t>al</w:t>
      </w:r>
      <w:r>
        <w:rPr>
          <w:color w:val="000000" w:themeColor="text1"/>
          <w:sz w:val="24"/>
          <w:szCs w:val="24"/>
        </w:rPr>
        <w:t xml:space="preserve"> alternation. The </w:t>
      </w:r>
      <w:r>
        <w:rPr>
          <w:rFonts w:hint="eastAsia"/>
          <w:color w:val="000000" w:themeColor="text1"/>
          <w:sz w:val="24"/>
          <w:szCs w:val="24"/>
        </w:rPr>
        <w:t>proportion</w:t>
      </w:r>
      <w:r>
        <w:rPr>
          <w:color w:val="000000" w:themeColor="text1"/>
          <w:sz w:val="24"/>
          <w:szCs w:val="24"/>
        </w:rPr>
        <w:t xml:space="preserve"> of spontaneous alternation was computed automatically through the Noldus behavioral tracking software.</w:t>
      </w:r>
    </w:p>
    <w:p w14:paraId="21DE212B" w14:textId="77777777" w:rsidR="003B61E9" w:rsidRDefault="00000000">
      <w:pPr>
        <w:spacing w:beforeLines="50" w:before="156" w:line="480" w:lineRule="auto"/>
        <w:ind w:firstLineChars="100" w:firstLine="240"/>
        <w:rPr>
          <w:color w:val="000000" w:themeColor="text1"/>
          <w:sz w:val="24"/>
          <w:szCs w:val="24"/>
        </w:rPr>
      </w:pPr>
      <w:r>
        <w:rPr>
          <w:color w:val="000000" w:themeColor="text1"/>
          <w:sz w:val="24"/>
          <w:szCs w:val="24"/>
        </w:rPr>
        <w:t xml:space="preserve">The Morris water maze </w:t>
      </w:r>
      <w:r>
        <w:rPr>
          <w:rFonts w:hint="eastAsia"/>
          <w:color w:val="000000" w:themeColor="text1"/>
          <w:sz w:val="24"/>
          <w:szCs w:val="24"/>
        </w:rPr>
        <w:t>test</w:t>
      </w:r>
      <w:r>
        <w:rPr>
          <w:color w:val="000000" w:themeColor="text1"/>
          <w:sz w:val="24"/>
          <w:szCs w:val="24"/>
        </w:rPr>
        <w:t xml:space="preserve"> </w:t>
      </w:r>
      <w:r>
        <w:rPr>
          <w:rFonts w:hint="eastAsia"/>
          <w:color w:val="000000" w:themeColor="text1"/>
          <w:sz w:val="24"/>
          <w:szCs w:val="24"/>
        </w:rPr>
        <w:t xml:space="preserve">was proceeded to assess the </w:t>
      </w:r>
      <w:r>
        <w:rPr>
          <w:color w:val="000000" w:themeColor="text1"/>
          <w:sz w:val="24"/>
          <w:szCs w:val="24"/>
        </w:rPr>
        <w:t xml:space="preserve">spatial learning and memory capabilities of the mice, </w:t>
      </w:r>
      <w:r>
        <w:rPr>
          <w:rFonts w:hint="eastAsia"/>
          <w:color w:val="000000" w:themeColor="text1"/>
          <w:sz w:val="24"/>
          <w:szCs w:val="24"/>
        </w:rPr>
        <w:t>as</w:t>
      </w:r>
      <w:r>
        <w:rPr>
          <w:color w:val="000000" w:themeColor="text1"/>
          <w:sz w:val="24"/>
          <w:szCs w:val="24"/>
        </w:rPr>
        <w:t xml:space="preserve"> previously established with minor adjustments.</w:t>
      </w:r>
      <w:r>
        <w:rPr>
          <w:color w:val="000000" w:themeColor="text1"/>
          <w:sz w:val="24"/>
          <w:szCs w:val="24"/>
        </w:rPr>
        <w:fldChar w:fldCharType="begin"/>
      </w:r>
      <w:r>
        <w:rPr>
          <w:rFonts w:hint="eastAsia"/>
          <w:color w:val="000000" w:themeColor="text1"/>
          <w:sz w:val="24"/>
          <w:szCs w:val="24"/>
        </w:rPr>
        <w:instrText xml:space="preserve"> ADDIN NE.Ref.{35E32D40-C7E4-4FF3-A72F-A252E02C5D40}</w:instrText>
      </w:r>
      <w:r>
        <w:rPr>
          <w:color w:val="000000" w:themeColor="text1"/>
          <w:sz w:val="24"/>
          <w:szCs w:val="24"/>
        </w:rPr>
        <w:fldChar w:fldCharType="separate"/>
      </w:r>
      <w:r>
        <w:rPr>
          <w:rFonts w:eastAsia="Times New Roman"/>
          <w:color w:val="080000"/>
          <w:szCs w:val="24"/>
          <w:vertAlign w:val="superscript"/>
        </w:rPr>
        <w:t>8</w:t>
      </w:r>
      <w:r>
        <w:rPr>
          <w:color w:val="000000" w:themeColor="text1"/>
          <w:sz w:val="24"/>
          <w:szCs w:val="24"/>
        </w:rPr>
        <w:fldChar w:fldCharType="end"/>
      </w:r>
      <w:r>
        <w:rPr>
          <w:color w:val="000000" w:themeColor="text1"/>
          <w:sz w:val="24"/>
          <w:szCs w:val="24"/>
        </w:rPr>
        <w:t xml:space="preserve">. Briefly, </w:t>
      </w:r>
      <w:r>
        <w:rPr>
          <w:rFonts w:hint="eastAsia"/>
          <w:color w:val="000000" w:themeColor="text1"/>
          <w:sz w:val="24"/>
          <w:szCs w:val="24"/>
        </w:rPr>
        <w:t>each mouse underwent acquisition experiments for 6 days and 4 trials per day</w:t>
      </w:r>
      <w:r>
        <w:rPr>
          <w:color w:val="000000" w:themeColor="text1"/>
          <w:sz w:val="24"/>
          <w:szCs w:val="24"/>
        </w:rPr>
        <w:t xml:space="preserve">. </w:t>
      </w:r>
      <w:r>
        <w:rPr>
          <w:rFonts w:hint="eastAsia"/>
          <w:color w:val="000000" w:themeColor="text1"/>
          <w:sz w:val="24"/>
          <w:szCs w:val="24"/>
        </w:rPr>
        <w:t>They were</w:t>
      </w:r>
      <w:r>
        <w:rPr>
          <w:color w:val="000000" w:themeColor="text1"/>
          <w:sz w:val="24"/>
          <w:szCs w:val="24"/>
        </w:rPr>
        <w:t xml:space="preserve"> </w:t>
      </w:r>
      <w:r>
        <w:rPr>
          <w:rFonts w:hint="eastAsia"/>
          <w:color w:val="000000" w:themeColor="text1"/>
          <w:sz w:val="24"/>
          <w:szCs w:val="24"/>
        </w:rPr>
        <w:t>placed</w:t>
      </w:r>
      <w:r>
        <w:rPr>
          <w:color w:val="000000" w:themeColor="text1"/>
          <w:sz w:val="24"/>
          <w:szCs w:val="24"/>
        </w:rPr>
        <w:t xml:space="preserve"> into the water from a predetermined start</w:t>
      </w:r>
      <w:r>
        <w:rPr>
          <w:rFonts w:hint="eastAsia"/>
          <w:color w:val="000000" w:themeColor="text1"/>
          <w:sz w:val="24"/>
          <w:szCs w:val="24"/>
        </w:rPr>
        <w:t>ing</w:t>
      </w:r>
      <w:r>
        <w:rPr>
          <w:color w:val="000000" w:themeColor="text1"/>
          <w:sz w:val="24"/>
          <w:szCs w:val="24"/>
        </w:rPr>
        <w:t xml:space="preserve"> position,</w:t>
      </w:r>
      <w:r>
        <w:rPr>
          <w:color w:val="000000" w:themeColor="text1"/>
        </w:rPr>
        <w:t xml:space="preserve"> </w:t>
      </w:r>
      <w:r>
        <w:rPr>
          <w:color w:val="000000" w:themeColor="text1"/>
          <w:sz w:val="24"/>
          <w:szCs w:val="24"/>
        </w:rPr>
        <w:t xml:space="preserve">and the time taken to locate the platform was recorded. On the 7th day, </w:t>
      </w:r>
      <w:r>
        <w:rPr>
          <w:rFonts w:hint="eastAsia"/>
          <w:color w:val="000000" w:themeColor="text1"/>
          <w:sz w:val="24"/>
          <w:szCs w:val="24"/>
        </w:rPr>
        <w:t xml:space="preserve">after </w:t>
      </w:r>
      <w:r>
        <w:rPr>
          <w:color w:val="000000" w:themeColor="text1"/>
          <w:sz w:val="24"/>
          <w:szCs w:val="24"/>
        </w:rPr>
        <w:t xml:space="preserve">the platform </w:t>
      </w:r>
      <w:r>
        <w:rPr>
          <w:rFonts w:hint="eastAsia"/>
          <w:color w:val="000000" w:themeColor="text1"/>
          <w:sz w:val="24"/>
          <w:szCs w:val="24"/>
        </w:rPr>
        <w:t xml:space="preserve">removal, </w:t>
      </w:r>
      <w:r>
        <w:rPr>
          <w:color w:val="000000" w:themeColor="text1"/>
          <w:sz w:val="24"/>
          <w:szCs w:val="24"/>
        </w:rPr>
        <w:t xml:space="preserve">the mice underwent a probe trial to assess memory retention. The swimming </w:t>
      </w:r>
      <w:r>
        <w:rPr>
          <w:rFonts w:hint="eastAsia"/>
          <w:color w:val="000000" w:themeColor="text1"/>
          <w:sz w:val="24"/>
          <w:szCs w:val="24"/>
        </w:rPr>
        <w:t>pattern</w:t>
      </w:r>
      <w:r>
        <w:rPr>
          <w:color w:val="000000" w:themeColor="text1"/>
          <w:sz w:val="24"/>
          <w:szCs w:val="24"/>
        </w:rPr>
        <w:t xml:space="preserve"> of each </w:t>
      </w:r>
      <w:r>
        <w:rPr>
          <w:rFonts w:hint="eastAsia"/>
          <w:color w:val="000000" w:themeColor="text1"/>
          <w:sz w:val="24"/>
          <w:szCs w:val="24"/>
        </w:rPr>
        <w:t>animal</w:t>
      </w:r>
      <w:r>
        <w:rPr>
          <w:color w:val="000000" w:themeColor="text1"/>
          <w:sz w:val="24"/>
          <w:szCs w:val="24"/>
        </w:rPr>
        <w:t xml:space="preserve"> was continuously monitored via a video camera, with data automatically logged by the tracking software</w:t>
      </w:r>
      <w:r>
        <w:rPr>
          <w:rFonts w:hint="eastAsia"/>
          <w:color w:val="000000" w:themeColor="text1"/>
          <w:sz w:val="24"/>
          <w:szCs w:val="24"/>
        </w:rPr>
        <w:t xml:space="preserve"> (Noldus)</w:t>
      </w:r>
      <w:r>
        <w:rPr>
          <w:color w:val="000000" w:themeColor="text1"/>
          <w:sz w:val="24"/>
          <w:szCs w:val="24"/>
        </w:rPr>
        <w:t>.</w:t>
      </w:r>
    </w:p>
    <w:p w14:paraId="61AB40F7" w14:textId="77777777" w:rsidR="003B61E9" w:rsidRDefault="003B61E9">
      <w:pPr>
        <w:spacing w:beforeLines="50" w:before="156" w:line="480" w:lineRule="auto"/>
        <w:ind w:firstLineChars="100" w:firstLine="240"/>
        <w:rPr>
          <w:color w:val="000000" w:themeColor="text1"/>
          <w:sz w:val="24"/>
          <w:szCs w:val="24"/>
        </w:rPr>
      </w:pPr>
    </w:p>
    <w:p w14:paraId="01E8357A" w14:textId="77777777" w:rsidR="003B61E9" w:rsidRDefault="00000000">
      <w:pPr>
        <w:spacing w:line="480" w:lineRule="auto"/>
        <w:rPr>
          <w:b/>
          <w:bCs/>
          <w:color w:val="000000" w:themeColor="text1"/>
          <w:sz w:val="24"/>
          <w:szCs w:val="24"/>
        </w:rPr>
      </w:pPr>
      <w:r>
        <w:rPr>
          <w:b/>
          <w:bCs/>
          <w:color w:val="000000" w:themeColor="text1"/>
          <w:sz w:val="24"/>
          <w:szCs w:val="24"/>
        </w:rPr>
        <w:t>ELISA.</w:t>
      </w:r>
    </w:p>
    <w:p w14:paraId="44583275" w14:textId="77777777" w:rsidR="003B61E9" w:rsidRDefault="00000000">
      <w:pPr>
        <w:spacing w:line="480" w:lineRule="auto"/>
        <w:rPr>
          <w:color w:val="000000" w:themeColor="text1"/>
          <w:sz w:val="24"/>
          <w:szCs w:val="24"/>
        </w:rPr>
      </w:pPr>
      <w:r>
        <w:rPr>
          <w:color w:val="000000" w:themeColor="text1"/>
          <w:sz w:val="24"/>
          <w:szCs w:val="24"/>
        </w:rPr>
        <w:t>A Human Aβ</w:t>
      </w:r>
      <w:r>
        <w:rPr>
          <w:color w:val="000000" w:themeColor="text1"/>
          <w:sz w:val="24"/>
          <w:szCs w:val="24"/>
          <w:vertAlign w:val="subscript"/>
        </w:rPr>
        <w:t>42</w:t>
      </w:r>
      <w:r>
        <w:rPr>
          <w:color w:val="000000" w:themeColor="text1"/>
          <w:sz w:val="24"/>
          <w:szCs w:val="24"/>
        </w:rPr>
        <w:t xml:space="preserve"> ELISA Kit (Invitrogen, KHB3441) and a Human Aβ</w:t>
      </w:r>
      <w:r>
        <w:rPr>
          <w:color w:val="000000" w:themeColor="text1"/>
          <w:sz w:val="24"/>
          <w:szCs w:val="24"/>
          <w:vertAlign w:val="subscript"/>
        </w:rPr>
        <w:t>42</w:t>
      </w:r>
      <w:r>
        <w:rPr>
          <w:color w:val="000000" w:themeColor="text1"/>
          <w:sz w:val="24"/>
          <w:szCs w:val="24"/>
        </w:rPr>
        <w:t xml:space="preserve"> ELISA ultrasensitive Kit (Invitrogen, KHB 3544) were used to quantify the levels of Aβ</w:t>
      </w:r>
      <w:r>
        <w:rPr>
          <w:color w:val="000000" w:themeColor="text1"/>
          <w:sz w:val="24"/>
          <w:szCs w:val="24"/>
          <w:vertAlign w:val="subscript"/>
        </w:rPr>
        <w:t>42</w:t>
      </w:r>
      <w:r>
        <w:rPr>
          <w:color w:val="000000" w:themeColor="text1"/>
          <w:sz w:val="24"/>
          <w:szCs w:val="24"/>
        </w:rPr>
        <w:t xml:space="preserve"> in the hippocampus and bone marrow, respectively. The detailed experimental procedures are described in our previous article </w:t>
      </w:r>
      <w:r>
        <w:rPr>
          <w:color w:val="000000" w:themeColor="text1"/>
          <w:sz w:val="24"/>
          <w:szCs w:val="24"/>
        </w:rPr>
        <w:fldChar w:fldCharType="begin"/>
      </w:r>
      <w:r>
        <w:rPr>
          <w:rFonts w:hint="eastAsia"/>
          <w:color w:val="000000" w:themeColor="text1"/>
          <w:sz w:val="24"/>
          <w:szCs w:val="24"/>
        </w:rPr>
        <w:instrText xml:space="preserve"> ADDIN NE.Ref.{BD08AEFC-B918-49EF-93D6-E92E6E5C517C}</w:instrText>
      </w:r>
      <w:r>
        <w:rPr>
          <w:color w:val="000000" w:themeColor="text1"/>
          <w:sz w:val="24"/>
          <w:szCs w:val="24"/>
        </w:rPr>
        <w:fldChar w:fldCharType="separate"/>
      </w:r>
      <w:r>
        <w:rPr>
          <w:rFonts w:eastAsia="Times New Roman"/>
          <w:color w:val="080000"/>
          <w:szCs w:val="24"/>
          <w:vertAlign w:val="superscript"/>
        </w:rPr>
        <w:t>2</w:t>
      </w:r>
      <w:r>
        <w:rPr>
          <w:color w:val="000000" w:themeColor="text1"/>
          <w:sz w:val="24"/>
          <w:szCs w:val="24"/>
        </w:rPr>
        <w:fldChar w:fldCharType="end"/>
      </w:r>
      <w:r>
        <w:rPr>
          <w:color w:val="000000" w:themeColor="text1"/>
          <w:sz w:val="24"/>
          <w:szCs w:val="24"/>
        </w:rPr>
        <w:t>. The bone marrow proinflammatory cytokine IL-6 was measured via ELISA kits (</w:t>
      </w:r>
      <w:proofErr w:type="spellStart"/>
      <w:r>
        <w:rPr>
          <w:color w:val="000000" w:themeColor="text1"/>
          <w:sz w:val="24"/>
          <w:szCs w:val="24"/>
        </w:rPr>
        <w:t>Ruixinbio</w:t>
      </w:r>
      <w:proofErr w:type="spellEnd"/>
      <w:r>
        <w:rPr>
          <w:color w:val="000000" w:themeColor="text1"/>
          <w:sz w:val="24"/>
          <w:szCs w:val="24"/>
        </w:rPr>
        <w:t>, Quanzhou, China; RX203049M).</w:t>
      </w:r>
    </w:p>
    <w:p w14:paraId="069481A2" w14:textId="77777777" w:rsidR="003B61E9" w:rsidRDefault="003B61E9">
      <w:pPr>
        <w:spacing w:line="480" w:lineRule="auto"/>
        <w:rPr>
          <w:color w:val="000000" w:themeColor="text1"/>
          <w:sz w:val="24"/>
          <w:szCs w:val="24"/>
        </w:rPr>
      </w:pPr>
    </w:p>
    <w:p w14:paraId="0A3DE724" w14:textId="77777777" w:rsidR="003B61E9" w:rsidRDefault="00000000">
      <w:pPr>
        <w:spacing w:line="480" w:lineRule="auto"/>
        <w:rPr>
          <w:b/>
          <w:bCs/>
          <w:color w:val="000000" w:themeColor="text1"/>
          <w:sz w:val="24"/>
          <w:szCs w:val="24"/>
        </w:rPr>
      </w:pPr>
      <w:r>
        <w:rPr>
          <w:b/>
          <w:bCs/>
          <w:color w:val="000000" w:themeColor="text1"/>
          <w:sz w:val="24"/>
          <w:szCs w:val="24"/>
        </w:rPr>
        <w:t>Cytokine array analysis.</w:t>
      </w:r>
    </w:p>
    <w:p w14:paraId="03D907E7" w14:textId="77777777" w:rsidR="003B61E9" w:rsidRDefault="00000000">
      <w:pPr>
        <w:spacing w:line="480" w:lineRule="auto"/>
        <w:rPr>
          <w:color w:val="000000" w:themeColor="text1"/>
          <w:sz w:val="24"/>
          <w:szCs w:val="24"/>
        </w:rPr>
      </w:pPr>
      <w:r>
        <w:rPr>
          <w:color w:val="000000" w:themeColor="text1"/>
          <w:sz w:val="24"/>
          <w:szCs w:val="24"/>
        </w:rPr>
        <w:t>The supernatant of the skull marrow was collected for further analysis. The expression of IL-2, IFN-γ, TNF-α,</w:t>
      </w:r>
      <w:r>
        <w:rPr>
          <w:rFonts w:hint="eastAsia"/>
          <w:color w:val="000000" w:themeColor="text1"/>
          <w:sz w:val="24"/>
          <w:szCs w:val="24"/>
        </w:rPr>
        <w:t xml:space="preserve"> </w:t>
      </w:r>
      <w:r>
        <w:rPr>
          <w:color w:val="000000" w:themeColor="text1"/>
          <w:sz w:val="24"/>
          <w:szCs w:val="24"/>
        </w:rPr>
        <w:t>IL-4, IL-5, IL-6, and IL-10 was detected via Luminex. After incubation and washing with antibodies, the levels of these cytokines were measured with a Luminex X-200 system. Luminex200 IS V2.1 software was used for analysis.</w:t>
      </w:r>
    </w:p>
    <w:p w14:paraId="3810E8C2" w14:textId="77777777" w:rsidR="003B61E9" w:rsidRDefault="003B61E9">
      <w:pPr>
        <w:spacing w:line="480" w:lineRule="auto"/>
        <w:rPr>
          <w:color w:val="000000" w:themeColor="text1"/>
          <w:sz w:val="24"/>
          <w:szCs w:val="24"/>
        </w:rPr>
      </w:pPr>
    </w:p>
    <w:p w14:paraId="7BBE2B05" w14:textId="77777777" w:rsidR="003B61E9" w:rsidRDefault="00000000">
      <w:pPr>
        <w:spacing w:line="480" w:lineRule="auto"/>
        <w:rPr>
          <w:b/>
          <w:bCs/>
          <w:color w:val="000000" w:themeColor="text1"/>
          <w:sz w:val="24"/>
          <w:szCs w:val="24"/>
        </w:rPr>
      </w:pPr>
      <w:r>
        <w:rPr>
          <w:b/>
          <w:bCs/>
          <w:color w:val="000000" w:themeColor="text1"/>
          <w:sz w:val="24"/>
          <w:szCs w:val="24"/>
        </w:rPr>
        <w:t>Cell culture</w:t>
      </w:r>
    </w:p>
    <w:p w14:paraId="49856922" w14:textId="77777777" w:rsidR="003B61E9" w:rsidRDefault="00000000">
      <w:pPr>
        <w:spacing w:beforeLines="50" w:before="156" w:line="480" w:lineRule="auto"/>
        <w:jc w:val="both"/>
        <w:rPr>
          <w:color w:val="000000" w:themeColor="text1"/>
          <w:sz w:val="24"/>
          <w:szCs w:val="24"/>
        </w:rPr>
      </w:pPr>
      <w:r>
        <w:rPr>
          <w:color w:val="000000" w:themeColor="text1"/>
          <w:sz w:val="24"/>
          <w:szCs w:val="24"/>
        </w:rPr>
        <w:lastRenderedPageBreak/>
        <w:t xml:space="preserve">ABCs were sorted with magnetic beads as previously described and then freshly </w:t>
      </w:r>
      <w:r>
        <w:rPr>
          <w:rFonts w:hint="eastAsia"/>
          <w:color w:val="000000" w:themeColor="text1"/>
          <w:sz w:val="24"/>
          <w:szCs w:val="24"/>
        </w:rPr>
        <w:t>seed</w:t>
      </w:r>
      <w:r>
        <w:rPr>
          <w:color w:val="000000" w:themeColor="text1"/>
          <w:sz w:val="24"/>
          <w:szCs w:val="24"/>
        </w:rPr>
        <w:t xml:space="preserve">ed in U-bottom 96-well plates </w:t>
      </w:r>
      <w:r>
        <w:rPr>
          <w:rFonts w:hint="eastAsia"/>
          <w:color w:val="000000" w:themeColor="text1"/>
          <w:sz w:val="24"/>
          <w:szCs w:val="24"/>
        </w:rPr>
        <w:t>(</w:t>
      </w:r>
      <w:r>
        <w:rPr>
          <w:color w:val="000000" w:themeColor="text1"/>
          <w:sz w:val="24"/>
          <w:szCs w:val="24"/>
        </w:rPr>
        <w:t>2×10</w:t>
      </w:r>
      <w:r>
        <w:rPr>
          <w:color w:val="000000" w:themeColor="text1"/>
          <w:sz w:val="24"/>
          <w:szCs w:val="24"/>
          <w:vertAlign w:val="superscript"/>
        </w:rPr>
        <w:t>5</w:t>
      </w:r>
      <w:r>
        <w:rPr>
          <w:color w:val="000000" w:themeColor="text1"/>
          <w:sz w:val="24"/>
          <w:szCs w:val="24"/>
        </w:rPr>
        <w:t xml:space="preserve"> cells/well</w:t>
      </w:r>
      <w:r>
        <w:rPr>
          <w:rFonts w:hint="eastAsia"/>
          <w:color w:val="000000" w:themeColor="text1"/>
          <w:sz w:val="24"/>
          <w:szCs w:val="24"/>
        </w:rPr>
        <w:t>)</w:t>
      </w:r>
      <w:r>
        <w:rPr>
          <w:color w:val="000000" w:themeColor="text1"/>
          <w:sz w:val="24"/>
          <w:szCs w:val="24"/>
        </w:rPr>
        <w:t xml:space="preserve"> in a total volume of 200 </w:t>
      </w:r>
      <w:proofErr w:type="spellStart"/>
      <w:r>
        <w:rPr>
          <w:color w:val="000000" w:themeColor="text1"/>
          <w:sz w:val="24"/>
          <w:szCs w:val="24"/>
        </w:rPr>
        <w:t>μL</w:t>
      </w:r>
      <w:proofErr w:type="spellEnd"/>
      <w:r>
        <w:rPr>
          <w:color w:val="000000" w:themeColor="text1"/>
          <w:sz w:val="24"/>
          <w:szCs w:val="24"/>
        </w:rPr>
        <w:t xml:space="preserve"> of serum-free medium (SFM). B cells </w:t>
      </w:r>
      <w:r>
        <w:rPr>
          <w:rFonts w:hint="eastAsia"/>
          <w:color w:val="000000" w:themeColor="text1"/>
          <w:sz w:val="24"/>
          <w:szCs w:val="24"/>
        </w:rPr>
        <w:t>wer</w:t>
      </w:r>
      <w:r>
        <w:rPr>
          <w:color w:val="000000" w:themeColor="text1"/>
          <w:sz w:val="24"/>
          <w:szCs w:val="24"/>
        </w:rPr>
        <w:t xml:space="preserve">e activated with a combination of CD40L (0.5 </w:t>
      </w:r>
      <w:proofErr w:type="spellStart"/>
      <w:r>
        <w:rPr>
          <w:color w:val="000000" w:themeColor="text1"/>
          <w:sz w:val="24"/>
          <w:szCs w:val="24"/>
        </w:rPr>
        <w:t>μg</w:t>
      </w:r>
      <w:proofErr w:type="spellEnd"/>
      <w:r>
        <w:rPr>
          <w:color w:val="000000" w:themeColor="text1"/>
          <w:sz w:val="24"/>
          <w:szCs w:val="24"/>
        </w:rPr>
        <w:t xml:space="preserve">/mL, Enzo Life Sciences) and an IgM BCR cross-linking antibody (10 </w:t>
      </w:r>
      <w:proofErr w:type="spellStart"/>
      <w:r>
        <w:rPr>
          <w:color w:val="000000" w:themeColor="text1"/>
          <w:sz w:val="24"/>
          <w:szCs w:val="24"/>
        </w:rPr>
        <w:t>μg</w:t>
      </w:r>
      <w:proofErr w:type="spellEnd"/>
      <w:r>
        <w:rPr>
          <w:color w:val="000000" w:themeColor="text1"/>
          <w:sz w:val="24"/>
          <w:szCs w:val="24"/>
        </w:rPr>
        <w:t xml:space="preserve">/mL, Jackson </w:t>
      </w:r>
      <w:proofErr w:type="spellStart"/>
      <w:r>
        <w:rPr>
          <w:color w:val="000000" w:themeColor="text1"/>
          <w:sz w:val="24"/>
          <w:szCs w:val="24"/>
        </w:rPr>
        <w:t>ImmunoResearch</w:t>
      </w:r>
      <w:proofErr w:type="spellEnd"/>
      <w:r>
        <w:rPr>
          <w:color w:val="000000" w:themeColor="text1"/>
          <w:sz w:val="24"/>
          <w:szCs w:val="24"/>
        </w:rPr>
        <w:t>)</w:t>
      </w:r>
      <w:r>
        <w:rPr>
          <w:rFonts w:hint="eastAsia"/>
          <w:color w:val="000000" w:themeColor="text1"/>
          <w:sz w:val="24"/>
          <w:szCs w:val="24"/>
        </w:rPr>
        <w:t xml:space="preserve"> and</w:t>
      </w:r>
      <w:r>
        <w:rPr>
          <w:color w:val="000000" w:themeColor="text1"/>
          <w:sz w:val="24"/>
          <w:szCs w:val="24"/>
        </w:rPr>
        <w:t xml:space="preserve"> washed after 12 h of culture, and the serum-free media was replaced. After </w:t>
      </w:r>
      <w:r>
        <w:rPr>
          <w:rFonts w:hint="eastAsia"/>
          <w:color w:val="000000" w:themeColor="text1"/>
          <w:sz w:val="24"/>
          <w:szCs w:val="24"/>
        </w:rPr>
        <w:t xml:space="preserve">a </w:t>
      </w:r>
      <w:r>
        <w:rPr>
          <w:color w:val="000000" w:themeColor="text1"/>
          <w:sz w:val="24"/>
          <w:szCs w:val="24"/>
        </w:rPr>
        <w:t>2</w:t>
      </w:r>
      <w:r>
        <w:rPr>
          <w:rFonts w:hint="eastAsia"/>
          <w:color w:val="000000" w:themeColor="text1"/>
          <w:sz w:val="24"/>
          <w:szCs w:val="24"/>
        </w:rPr>
        <w:t>-</w:t>
      </w:r>
      <w:r>
        <w:rPr>
          <w:color w:val="000000" w:themeColor="text1"/>
          <w:sz w:val="24"/>
          <w:szCs w:val="24"/>
        </w:rPr>
        <w:t xml:space="preserve">day culture, the ABC supernatant was collected and added to primary microglia </w:t>
      </w:r>
      <w:r>
        <w:rPr>
          <w:rFonts w:hint="eastAsia"/>
          <w:color w:val="000000" w:themeColor="text1"/>
          <w:sz w:val="24"/>
          <w:szCs w:val="24"/>
        </w:rPr>
        <w:t>(</w:t>
      </w:r>
      <w:r>
        <w:rPr>
          <w:color w:val="000000" w:themeColor="text1"/>
          <w:sz w:val="24"/>
          <w:szCs w:val="24"/>
        </w:rPr>
        <w:t>1:1</w:t>
      </w:r>
      <w:r>
        <w:rPr>
          <w:rFonts w:hint="eastAsia"/>
          <w:color w:val="000000" w:themeColor="text1"/>
          <w:sz w:val="24"/>
          <w:szCs w:val="24"/>
        </w:rPr>
        <w:t>)</w:t>
      </w:r>
      <w:r>
        <w:rPr>
          <w:color w:val="000000" w:themeColor="text1"/>
          <w:sz w:val="24"/>
          <w:szCs w:val="24"/>
        </w:rPr>
        <w:t>, as de</w:t>
      </w:r>
      <w:r>
        <w:rPr>
          <w:rFonts w:hint="eastAsia"/>
          <w:color w:val="000000" w:themeColor="text1"/>
          <w:sz w:val="24"/>
          <w:szCs w:val="24"/>
        </w:rPr>
        <w:t>tail</w:t>
      </w:r>
      <w:r>
        <w:rPr>
          <w:color w:val="000000" w:themeColor="text1"/>
          <w:sz w:val="24"/>
          <w:szCs w:val="24"/>
        </w:rPr>
        <w:t>ed below.</w:t>
      </w:r>
    </w:p>
    <w:p w14:paraId="1E1F232E" w14:textId="77777777" w:rsidR="003B61E9" w:rsidRDefault="00000000">
      <w:pPr>
        <w:spacing w:line="480" w:lineRule="auto"/>
        <w:jc w:val="both"/>
        <w:rPr>
          <w:color w:val="000000" w:themeColor="text1"/>
          <w:sz w:val="24"/>
          <w:szCs w:val="24"/>
        </w:rPr>
      </w:pPr>
      <w:r>
        <w:rPr>
          <w:color w:val="000000" w:themeColor="text1"/>
          <w:sz w:val="24"/>
          <w:szCs w:val="24"/>
        </w:rPr>
        <w:t xml:space="preserve">  </w:t>
      </w:r>
      <w:r>
        <w:rPr>
          <w:rFonts w:hint="eastAsia"/>
          <w:color w:val="000000" w:themeColor="text1"/>
          <w:sz w:val="24"/>
          <w:szCs w:val="24"/>
        </w:rPr>
        <w:t>A</w:t>
      </w:r>
      <w:r>
        <w:rPr>
          <w:color w:val="000000" w:themeColor="text1"/>
          <w:sz w:val="24"/>
          <w:szCs w:val="24"/>
        </w:rPr>
        <w:t xml:space="preserve">s described previously </w:t>
      </w:r>
      <w:r>
        <w:rPr>
          <w:color w:val="000000" w:themeColor="text1"/>
          <w:sz w:val="24"/>
          <w:szCs w:val="24"/>
        </w:rPr>
        <w:fldChar w:fldCharType="begin"/>
      </w:r>
      <w:r>
        <w:rPr>
          <w:rFonts w:hint="eastAsia"/>
          <w:color w:val="000000" w:themeColor="text1"/>
          <w:sz w:val="24"/>
          <w:szCs w:val="24"/>
        </w:rPr>
        <w:instrText xml:space="preserve"> ADDIN NE.Ref.{FAE31F7E-6D27-40D6-B9DC-D1C2E7D816D3}</w:instrText>
      </w:r>
      <w:r>
        <w:rPr>
          <w:color w:val="000000" w:themeColor="text1"/>
          <w:sz w:val="24"/>
          <w:szCs w:val="24"/>
        </w:rPr>
        <w:fldChar w:fldCharType="separate"/>
      </w:r>
      <w:r>
        <w:rPr>
          <w:rFonts w:eastAsia="Times New Roman"/>
          <w:color w:val="080000"/>
          <w:szCs w:val="24"/>
          <w:vertAlign w:val="superscript"/>
        </w:rPr>
        <w:t>9</w:t>
      </w:r>
      <w:r>
        <w:rPr>
          <w:color w:val="000000" w:themeColor="text1"/>
          <w:sz w:val="24"/>
          <w:szCs w:val="24"/>
        </w:rPr>
        <w:fldChar w:fldCharType="end"/>
      </w:r>
      <w:r>
        <w:rPr>
          <w:rFonts w:hint="eastAsia"/>
          <w:color w:val="000000" w:themeColor="text1"/>
          <w:sz w:val="24"/>
          <w:szCs w:val="24"/>
        </w:rPr>
        <w:t>, p</w:t>
      </w:r>
      <w:r>
        <w:rPr>
          <w:color w:val="000000" w:themeColor="text1"/>
          <w:sz w:val="24"/>
          <w:szCs w:val="24"/>
        </w:rPr>
        <w:t xml:space="preserve">rimary microglial cultures were prepared. Briefly, mixed glial cultures were </w:t>
      </w:r>
      <w:r>
        <w:rPr>
          <w:rFonts w:hint="eastAsia"/>
          <w:color w:val="000000" w:themeColor="text1"/>
          <w:sz w:val="24"/>
          <w:szCs w:val="24"/>
        </w:rPr>
        <w:t>deriv</w:t>
      </w:r>
      <w:r>
        <w:rPr>
          <w:color w:val="000000" w:themeColor="text1"/>
          <w:sz w:val="24"/>
          <w:szCs w:val="24"/>
        </w:rPr>
        <w:t xml:space="preserve">ed from WT mice </w:t>
      </w:r>
      <w:r>
        <w:rPr>
          <w:rFonts w:hint="eastAsia"/>
          <w:color w:val="000000" w:themeColor="text1"/>
          <w:sz w:val="24"/>
          <w:szCs w:val="24"/>
        </w:rPr>
        <w:t>at</w:t>
      </w:r>
      <w:r>
        <w:rPr>
          <w:color w:val="000000" w:themeColor="text1"/>
          <w:sz w:val="24"/>
          <w:szCs w:val="24"/>
        </w:rPr>
        <w:t xml:space="preserve"> postnatal days 1 to 2, </w:t>
      </w:r>
      <w:r>
        <w:rPr>
          <w:rFonts w:hint="eastAsia"/>
          <w:color w:val="000000" w:themeColor="text1"/>
          <w:sz w:val="24"/>
          <w:szCs w:val="24"/>
        </w:rPr>
        <w:t>seed</w:t>
      </w:r>
      <w:r>
        <w:rPr>
          <w:color w:val="000000" w:themeColor="text1"/>
          <w:sz w:val="24"/>
          <w:szCs w:val="24"/>
        </w:rPr>
        <w:t xml:space="preserve">ed in flasks coated with poly-l-lysine, and </w:t>
      </w:r>
      <w:r>
        <w:rPr>
          <w:rFonts w:hint="eastAsia"/>
          <w:color w:val="000000" w:themeColor="text1"/>
          <w:sz w:val="24"/>
          <w:szCs w:val="24"/>
        </w:rPr>
        <w:t>cultured</w:t>
      </w:r>
      <w:r>
        <w:rPr>
          <w:color w:val="000000" w:themeColor="text1"/>
          <w:sz w:val="24"/>
          <w:szCs w:val="24"/>
        </w:rPr>
        <w:t xml:space="preserve"> in Dulbecco’s modified Eagle’s medium (DMEM) supplemented with 10% fetal bovine serum (FBS). </w:t>
      </w:r>
      <w:r>
        <w:rPr>
          <w:rFonts w:hint="eastAsia"/>
          <w:color w:val="000000" w:themeColor="text1"/>
          <w:sz w:val="24"/>
          <w:szCs w:val="24"/>
        </w:rPr>
        <w:t>Ten</w:t>
      </w:r>
      <w:r>
        <w:rPr>
          <w:color w:val="000000" w:themeColor="text1"/>
          <w:sz w:val="24"/>
          <w:szCs w:val="24"/>
        </w:rPr>
        <w:t xml:space="preserve"> to 12 days after plating</w:t>
      </w:r>
      <w:r>
        <w:rPr>
          <w:rFonts w:hint="eastAsia"/>
          <w:color w:val="000000" w:themeColor="text1"/>
          <w:sz w:val="24"/>
          <w:szCs w:val="24"/>
        </w:rPr>
        <w:t>,</w:t>
      </w:r>
      <w:r>
        <w:rPr>
          <w:color w:val="000000" w:themeColor="text1"/>
          <w:sz w:val="24"/>
          <w:szCs w:val="24"/>
        </w:rPr>
        <w:t xml:space="preserve"> </w:t>
      </w:r>
      <w:r>
        <w:rPr>
          <w:rFonts w:hint="eastAsia"/>
          <w:color w:val="000000" w:themeColor="text1"/>
          <w:sz w:val="24"/>
          <w:szCs w:val="24"/>
        </w:rPr>
        <w:t>p</w:t>
      </w:r>
      <w:r>
        <w:rPr>
          <w:color w:val="000000" w:themeColor="text1"/>
          <w:sz w:val="24"/>
          <w:szCs w:val="24"/>
        </w:rPr>
        <w:t xml:space="preserve">rimary microglia were harvested by shaking (200 rpm, 30 min) and once every 3 days thereafter (up to four harvests). Subsequently, the microglia were plated </w:t>
      </w:r>
      <w:r>
        <w:rPr>
          <w:rFonts w:hint="eastAsia"/>
          <w:color w:val="000000" w:themeColor="text1"/>
          <w:sz w:val="24"/>
          <w:szCs w:val="24"/>
        </w:rPr>
        <w:t>(</w:t>
      </w:r>
      <w:r>
        <w:rPr>
          <w:color w:val="000000" w:themeColor="text1"/>
          <w:sz w:val="24"/>
          <w:szCs w:val="24"/>
        </w:rPr>
        <w:t>2×10</w:t>
      </w:r>
      <w:r>
        <w:rPr>
          <w:color w:val="000000" w:themeColor="text1"/>
          <w:sz w:val="24"/>
          <w:szCs w:val="24"/>
          <w:vertAlign w:val="superscript"/>
        </w:rPr>
        <w:t>5</w:t>
      </w:r>
      <w:r>
        <w:rPr>
          <w:color w:val="000000" w:themeColor="text1"/>
          <w:sz w:val="24"/>
          <w:szCs w:val="24"/>
        </w:rPr>
        <w:t xml:space="preserve"> cells per well</w:t>
      </w:r>
      <w:r>
        <w:rPr>
          <w:rFonts w:hint="eastAsia"/>
          <w:color w:val="000000" w:themeColor="text1"/>
          <w:sz w:val="24"/>
          <w:szCs w:val="24"/>
        </w:rPr>
        <w:t>)</w:t>
      </w:r>
      <w:r>
        <w:rPr>
          <w:color w:val="000000" w:themeColor="text1"/>
          <w:sz w:val="24"/>
          <w:szCs w:val="24"/>
        </w:rPr>
        <w:t xml:space="preserve"> and cocultured with the ABC supernatant for a duration of 48 h before RNA isolation or exposure to 10 </w:t>
      </w:r>
      <w:r>
        <w:rPr>
          <w:color w:val="000000" w:themeColor="text1"/>
          <w:sz w:val="24"/>
          <w:szCs w:val="24"/>
        </w:rPr>
        <w:sym w:font="Symbol" w:char="F06D"/>
      </w:r>
      <w:r>
        <w:rPr>
          <w:color w:val="000000" w:themeColor="text1"/>
          <w:sz w:val="24"/>
          <w:szCs w:val="24"/>
        </w:rPr>
        <w:t>M A</w:t>
      </w:r>
      <w:r>
        <w:rPr>
          <w:color w:val="000000" w:themeColor="text1"/>
          <w:sz w:val="24"/>
          <w:szCs w:val="24"/>
        </w:rPr>
        <w:sym w:font="Symbol" w:char="F062"/>
      </w:r>
      <w:r>
        <w:rPr>
          <w:color w:val="000000" w:themeColor="text1"/>
          <w:sz w:val="24"/>
          <w:szCs w:val="24"/>
          <w:vertAlign w:val="subscript"/>
        </w:rPr>
        <w:t>42</w:t>
      </w:r>
      <w:r>
        <w:rPr>
          <w:color w:val="000000" w:themeColor="text1"/>
          <w:sz w:val="24"/>
          <w:szCs w:val="24"/>
        </w:rPr>
        <w:t>-555 (</w:t>
      </w:r>
      <w:proofErr w:type="spellStart"/>
      <w:r>
        <w:rPr>
          <w:color w:val="000000" w:themeColor="text1"/>
          <w:sz w:val="24"/>
          <w:szCs w:val="24"/>
        </w:rPr>
        <w:t>AnaSpec</w:t>
      </w:r>
      <w:proofErr w:type="spellEnd"/>
      <w:r>
        <w:rPr>
          <w:color w:val="000000" w:themeColor="text1"/>
          <w:sz w:val="24"/>
          <w:szCs w:val="24"/>
        </w:rPr>
        <w:t xml:space="preserve">). </w:t>
      </w:r>
      <w:r>
        <w:rPr>
          <w:rFonts w:hint="eastAsia"/>
          <w:color w:val="000000" w:themeColor="text1"/>
          <w:sz w:val="24"/>
          <w:szCs w:val="24"/>
        </w:rPr>
        <w:t>After</w:t>
      </w:r>
      <w:r>
        <w:rPr>
          <w:color w:val="000000" w:themeColor="text1"/>
          <w:sz w:val="24"/>
          <w:szCs w:val="24"/>
        </w:rPr>
        <w:t xml:space="preserve"> a 12-hour incubation period, the microglia underwent immunofluorescence analysis.</w:t>
      </w:r>
    </w:p>
    <w:p w14:paraId="2B956FC8" w14:textId="77777777" w:rsidR="003B61E9" w:rsidRDefault="003B61E9">
      <w:pPr>
        <w:spacing w:line="480" w:lineRule="auto"/>
        <w:jc w:val="both"/>
        <w:rPr>
          <w:color w:val="000000" w:themeColor="text1"/>
          <w:sz w:val="24"/>
          <w:szCs w:val="24"/>
        </w:rPr>
      </w:pPr>
    </w:p>
    <w:p w14:paraId="1EEE1DDB" w14:textId="77777777" w:rsidR="003B61E9" w:rsidRDefault="00000000">
      <w:pPr>
        <w:spacing w:line="480" w:lineRule="auto"/>
        <w:rPr>
          <w:b/>
          <w:bCs/>
          <w:color w:val="000000" w:themeColor="text1"/>
          <w:sz w:val="24"/>
          <w:szCs w:val="24"/>
        </w:rPr>
      </w:pPr>
      <w:r>
        <w:rPr>
          <w:b/>
          <w:bCs/>
          <w:color w:val="000000" w:themeColor="text1"/>
          <w:sz w:val="24"/>
          <w:szCs w:val="24"/>
        </w:rPr>
        <w:t>RNA isolation and quantitative reverse transcription PCR</w:t>
      </w:r>
    </w:p>
    <w:p w14:paraId="2FFC1800" w14:textId="77777777" w:rsidR="003B61E9" w:rsidRDefault="00000000">
      <w:pPr>
        <w:spacing w:line="480" w:lineRule="auto"/>
        <w:rPr>
          <w:color w:val="000000" w:themeColor="text1"/>
          <w:sz w:val="24"/>
          <w:szCs w:val="24"/>
        </w:rPr>
      </w:pPr>
      <w:r>
        <w:rPr>
          <w:color w:val="000000" w:themeColor="text1"/>
          <w:sz w:val="24"/>
          <w:szCs w:val="24"/>
        </w:rPr>
        <w:t xml:space="preserve">For RNA isolation, total RNA was extracted utilizing </w:t>
      </w:r>
      <w:proofErr w:type="spellStart"/>
      <w:r>
        <w:rPr>
          <w:color w:val="000000" w:themeColor="text1"/>
          <w:sz w:val="24"/>
          <w:szCs w:val="24"/>
        </w:rPr>
        <w:t>TRIzol</w:t>
      </w:r>
      <w:proofErr w:type="spellEnd"/>
      <w:r>
        <w:rPr>
          <w:color w:val="000000" w:themeColor="text1"/>
          <w:sz w:val="24"/>
          <w:szCs w:val="24"/>
        </w:rPr>
        <w:t xml:space="preserve"> reagent (</w:t>
      </w:r>
      <w:proofErr w:type="spellStart"/>
      <w:r>
        <w:rPr>
          <w:color w:val="000000" w:themeColor="text1"/>
          <w:sz w:val="24"/>
          <w:szCs w:val="24"/>
        </w:rPr>
        <w:t>Thermo</w:t>
      </w:r>
      <w:proofErr w:type="spellEnd"/>
      <w:r>
        <w:rPr>
          <w:color w:val="000000" w:themeColor="text1"/>
          <w:sz w:val="24"/>
          <w:szCs w:val="24"/>
        </w:rPr>
        <w:t xml:space="preserve"> Fisher Scientific, 15596026) and 1 </w:t>
      </w:r>
      <w:proofErr w:type="spellStart"/>
      <w:r>
        <w:rPr>
          <w:color w:val="000000" w:themeColor="text1"/>
          <w:sz w:val="24"/>
          <w:szCs w:val="24"/>
        </w:rPr>
        <w:t>μg</w:t>
      </w:r>
      <w:proofErr w:type="spellEnd"/>
      <w:r>
        <w:rPr>
          <w:color w:val="000000" w:themeColor="text1"/>
          <w:sz w:val="24"/>
          <w:szCs w:val="24"/>
        </w:rPr>
        <w:t xml:space="preserve"> of this total RNA was reverse</w:t>
      </w:r>
      <w:r>
        <w:rPr>
          <w:rFonts w:hint="eastAsia"/>
          <w:color w:val="000000" w:themeColor="text1"/>
          <w:sz w:val="24"/>
          <w:szCs w:val="24"/>
        </w:rPr>
        <w:t xml:space="preserve">ly </w:t>
      </w:r>
      <w:r>
        <w:rPr>
          <w:color w:val="000000" w:themeColor="text1"/>
          <w:sz w:val="24"/>
          <w:szCs w:val="24"/>
        </w:rPr>
        <w:t xml:space="preserve">transcribed into complementary DNA (cDNA) </w:t>
      </w:r>
      <w:r>
        <w:rPr>
          <w:rFonts w:hint="eastAsia"/>
          <w:color w:val="000000" w:themeColor="text1"/>
          <w:sz w:val="24"/>
          <w:szCs w:val="24"/>
        </w:rPr>
        <w:t>with</w:t>
      </w:r>
      <w:r>
        <w:rPr>
          <w:color w:val="000000" w:themeColor="text1"/>
          <w:sz w:val="24"/>
          <w:szCs w:val="24"/>
        </w:rPr>
        <w:t xml:space="preserve"> the </w:t>
      </w:r>
      <w:proofErr w:type="spellStart"/>
      <w:r>
        <w:rPr>
          <w:color w:val="000000" w:themeColor="text1"/>
          <w:sz w:val="24"/>
          <w:szCs w:val="24"/>
        </w:rPr>
        <w:t>ReverTra</w:t>
      </w:r>
      <w:proofErr w:type="spellEnd"/>
      <w:r>
        <w:rPr>
          <w:color w:val="000000" w:themeColor="text1"/>
          <w:sz w:val="24"/>
          <w:szCs w:val="24"/>
        </w:rPr>
        <w:t xml:space="preserve"> Ace qPCR RT Master Mix (TOYOBO, Osaka, Japan; FSQ-201). The real-time PCR was conducted using a </w:t>
      </w:r>
      <w:proofErr w:type="spellStart"/>
      <w:r>
        <w:rPr>
          <w:color w:val="000000" w:themeColor="text1"/>
          <w:sz w:val="24"/>
          <w:szCs w:val="24"/>
        </w:rPr>
        <w:t>LightCycler</w:t>
      </w:r>
      <w:proofErr w:type="spellEnd"/>
      <w:r>
        <w:rPr>
          <w:color w:val="000000" w:themeColor="text1"/>
          <w:sz w:val="24"/>
          <w:szCs w:val="24"/>
        </w:rPr>
        <w:t xml:space="preserve"> 480 System (Roche, Mannheim, Germany) along with the FastStart Universal SYBR Green Master Mix (Roche, 04913850001). The corresponding primer sequences are provided in </w:t>
      </w:r>
      <w:r>
        <w:rPr>
          <w:b/>
          <w:bCs/>
          <w:color w:val="000000" w:themeColor="text1"/>
          <w:sz w:val="24"/>
          <w:szCs w:val="24"/>
        </w:rPr>
        <w:t>supplementary Table 2</w:t>
      </w:r>
      <w:r>
        <w:rPr>
          <w:color w:val="000000" w:themeColor="text1"/>
          <w:sz w:val="24"/>
          <w:szCs w:val="24"/>
        </w:rPr>
        <w:t xml:space="preserve">. The relative gene expression was </w:t>
      </w:r>
      <w:r>
        <w:rPr>
          <w:rFonts w:hint="eastAsia"/>
          <w:color w:val="000000" w:themeColor="text1"/>
          <w:sz w:val="24"/>
          <w:szCs w:val="24"/>
        </w:rPr>
        <w:t>calculat</w:t>
      </w:r>
      <w:r>
        <w:rPr>
          <w:color w:val="000000" w:themeColor="text1"/>
          <w:sz w:val="24"/>
          <w:szCs w:val="24"/>
        </w:rPr>
        <w:t xml:space="preserve">ed </w:t>
      </w:r>
      <w:r>
        <w:rPr>
          <w:rFonts w:hint="eastAsia"/>
          <w:color w:val="000000" w:themeColor="text1"/>
          <w:sz w:val="24"/>
          <w:szCs w:val="24"/>
        </w:rPr>
        <w:t>by</w:t>
      </w:r>
      <w:r>
        <w:rPr>
          <w:color w:val="000000" w:themeColor="text1"/>
          <w:sz w:val="24"/>
          <w:szCs w:val="24"/>
        </w:rPr>
        <w:t xml:space="preserve"> the 2</w:t>
      </w:r>
      <w:r>
        <w:rPr>
          <w:color w:val="000000" w:themeColor="text1"/>
          <w:sz w:val="24"/>
          <w:szCs w:val="24"/>
          <w:vertAlign w:val="superscript"/>
        </w:rPr>
        <w:t>–</w:t>
      </w:r>
      <w:proofErr w:type="spellStart"/>
      <w:r>
        <w:rPr>
          <w:color w:val="000000" w:themeColor="text1"/>
          <w:sz w:val="24"/>
          <w:szCs w:val="24"/>
          <w:vertAlign w:val="superscript"/>
        </w:rPr>
        <w:t>ΔΔCt</w:t>
      </w:r>
      <w:proofErr w:type="spellEnd"/>
      <w:r>
        <w:rPr>
          <w:color w:val="000000" w:themeColor="text1"/>
          <w:sz w:val="24"/>
          <w:szCs w:val="24"/>
        </w:rPr>
        <w:t xml:space="preserve"> method</w:t>
      </w:r>
      <w:r>
        <w:rPr>
          <w:rFonts w:hint="eastAsia"/>
          <w:color w:val="000000" w:themeColor="text1"/>
          <w:sz w:val="24"/>
          <w:szCs w:val="24"/>
        </w:rPr>
        <w:t xml:space="preserve"> and</w:t>
      </w:r>
      <w:r>
        <w:rPr>
          <w:color w:val="000000" w:themeColor="text1"/>
          <w:sz w:val="24"/>
          <w:szCs w:val="24"/>
        </w:rPr>
        <w:t xml:space="preserve"> normalized against the Act</w:t>
      </w:r>
      <w:r>
        <w:rPr>
          <w:rFonts w:hint="eastAsia"/>
          <w:color w:val="000000" w:themeColor="text1"/>
          <w:sz w:val="24"/>
          <w:szCs w:val="24"/>
        </w:rPr>
        <w:t>in</w:t>
      </w:r>
      <w:r>
        <w:rPr>
          <w:color w:val="000000" w:themeColor="text1"/>
          <w:sz w:val="24"/>
          <w:szCs w:val="24"/>
        </w:rPr>
        <w:t xml:space="preserve"> internal control.</w:t>
      </w:r>
    </w:p>
    <w:p w14:paraId="75318FBD" w14:textId="77777777" w:rsidR="003B61E9" w:rsidRDefault="003B61E9">
      <w:pPr>
        <w:spacing w:line="480" w:lineRule="auto"/>
        <w:rPr>
          <w:color w:val="000000" w:themeColor="text1"/>
          <w:sz w:val="24"/>
          <w:szCs w:val="24"/>
        </w:rPr>
      </w:pPr>
    </w:p>
    <w:p w14:paraId="09643A67" w14:textId="77777777" w:rsidR="003B61E9" w:rsidRDefault="00000000">
      <w:pPr>
        <w:spacing w:line="480" w:lineRule="auto"/>
        <w:rPr>
          <w:b/>
          <w:bCs/>
          <w:color w:val="000000" w:themeColor="text1"/>
          <w:sz w:val="24"/>
          <w:szCs w:val="24"/>
        </w:rPr>
      </w:pPr>
      <w:r>
        <w:rPr>
          <w:b/>
          <w:bCs/>
          <w:color w:val="000000" w:themeColor="text1"/>
          <w:sz w:val="24"/>
          <w:szCs w:val="24"/>
        </w:rPr>
        <w:t>Immunofluorescence and immunohistochemical staining</w:t>
      </w:r>
    </w:p>
    <w:p w14:paraId="652134E4" w14:textId="77777777" w:rsidR="003B61E9" w:rsidRDefault="00000000">
      <w:pPr>
        <w:spacing w:line="480" w:lineRule="auto"/>
        <w:rPr>
          <w:color w:val="000000" w:themeColor="text1"/>
          <w:sz w:val="24"/>
          <w:szCs w:val="24"/>
        </w:rPr>
      </w:pPr>
      <w:r>
        <w:rPr>
          <w:rFonts w:hint="eastAsia"/>
          <w:color w:val="000000" w:themeColor="text1"/>
          <w:sz w:val="24"/>
          <w:szCs w:val="24"/>
        </w:rPr>
        <w:lastRenderedPageBreak/>
        <w:t>A</w:t>
      </w:r>
      <w:r>
        <w:rPr>
          <w:color w:val="000000" w:themeColor="text1"/>
          <w:sz w:val="24"/>
          <w:szCs w:val="24"/>
        </w:rPr>
        <w:t xml:space="preserve">fter </w:t>
      </w:r>
      <w:r>
        <w:rPr>
          <w:rFonts w:hint="eastAsia"/>
          <w:color w:val="000000" w:themeColor="text1"/>
          <w:sz w:val="24"/>
          <w:szCs w:val="24"/>
        </w:rPr>
        <w:t xml:space="preserve">a </w:t>
      </w:r>
      <w:r>
        <w:rPr>
          <w:color w:val="000000" w:themeColor="text1"/>
          <w:sz w:val="24"/>
          <w:szCs w:val="24"/>
        </w:rPr>
        <w:t>deep anesthe</w:t>
      </w:r>
      <w:r>
        <w:rPr>
          <w:rFonts w:hint="eastAsia"/>
          <w:color w:val="000000" w:themeColor="text1"/>
          <w:sz w:val="24"/>
          <w:szCs w:val="24"/>
        </w:rPr>
        <w:t>tization</w:t>
      </w:r>
      <w:r>
        <w:rPr>
          <w:color w:val="000000" w:themeColor="text1"/>
          <w:sz w:val="24"/>
          <w:szCs w:val="24"/>
        </w:rPr>
        <w:t xml:space="preserve"> with isoflurane</w:t>
      </w:r>
      <w:r>
        <w:rPr>
          <w:rFonts w:hint="eastAsia"/>
          <w:color w:val="000000" w:themeColor="text1"/>
          <w:sz w:val="24"/>
          <w:szCs w:val="24"/>
        </w:rPr>
        <w:t>,</w:t>
      </w:r>
      <w:r>
        <w:rPr>
          <w:color w:val="000000" w:themeColor="text1"/>
          <w:sz w:val="24"/>
          <w:szCs w:val="24"/>
        </w:rPr>
        <w:t xml:space="preserve"> </w:t>
      </w:r>
      <w:r>
        <w:rPr>
          <w:rFonts w:hint="eastAsia"/>
          <w:color w:val="000000" w:themeColor="text1"/>
          <w:sz w:val="24"/>
          <w:szCs w:val="24"/>
        </w:rPr>
        <w:t>t</w:t>
      </w:r>
      <w:r>
        <w:rPr>
          <w:color w:val="000000" w:themeColor="text1"/>
          <w:sz w:val="24"/>
          <w:szCs w:val="24"/>
        </w:rPr>
        <w:t xml:space="preserve">he </w:t>
      </w:r>
      <w:r>
        <w:rPr>
          <w:rFonts w:hint="eastAsia"/>
          <w:color w:val="000000" w:themeColor="text1"/>
          <w:sz w:val="24"/>
          <w:szCs w:val="24"/>
        </w:rPr>
        <w:t>animals</w:t>
      </w:r>
      <w:r>
        <w:rPr>
          <w:color w:val="000000" w:themeColor="text1"/>
          <w:sz w:val="24"/>
          <w:szCs w:val="24"/>
        </w:rPr>
        <w:t xml:space="preserve"> were </w:t>
      </w:r>
      <w:proofErr w:type="spellStart"/>
      <w:r>
        <w:rPr>
          <w:color w:val="000000" w:themeColor="text1"/>
          <w:sz w:val="24"/>
          <w:szCs w:val="24"/>
        </w:rPr>
        <w:t>transcardially</w:t>
      </w:r>
      <w:proofErr w:type="spellEnd"/>
      <w:r>
        <w:rPr>
          <w:color w:val="000000" w:themeColor="text1"/>
          <w:sz w:val="24"/>
          <w:szCs w:val="24"/>
        </w:rPr>
        <w:t xml:space="preserve"> perfused with 0.9% NaCl. The brain tissue was removed, soaked in 4% paraformaldehyde solution for 1 day and dehydrated in 30% sucrose solution for 1 week. Coronal sections (40 µm) of mouse brains were </w:t>
      </w:r>
      <w:r>
        <w:rPr>
          <w:rFonts w:hint="eastAsia"/>
          <w:color w:val="000000" w:themeColor="text1"/>
          <w:sz w:val="24"/>
          <w:szCs w:val="24"/>
        </w:rPr>
        <w:t xml:space="preserve">placed </w:t>
      </w:r>
      <w:r>
        <w:rPr>
          <w:color w:val="000000" w:themeColor="text1"/>
          <w:sz w:val="24"/>
          <w:szCs w:val="24"/>
        </w:rPr>
        <w:t xml:space="preserve">in cryoprotective storage solution (30% glycerol, 40% 0.1 M PBS, and 30% ethylene glycol) </w:t>
      </w:r>
      <w:r>
        <w:rPr>
          <w:rFonts w:hint="eastAsia"/>
          <w:color w:val="000000" w:themeColor="text1"/>
          <w:sz w:val="24"/>
          <w:szCs w:val="24"/>
        </w:rPr>
        <w:t xml:space="preserve">and </w:t>
      </w:r>
      <w:r>
        <w:rPr>
          <w:color w:val="000000" w:themeColor="text1"/>
          <w:sz w:val="24"/>
          <w:szCs w:val="24"/>
        </w:rPr>
        <w:t xml:space="preserve">stored at -20°C </w:t>
      </w:r>
      <w:r>
        <w:rPr>
          <w:rFonts w:hint="eastAsia"/>
          <w:color w:val="000000" w:themeColor="text1"/>
          <w:sz w:val="24"/>
          <w:szCs w:val="24"/>
        </w:rPr>
        <w:t>before</w:t>
      </w:r>
      <w:r>
        <w:rPr>
          <w:color w:val="000000" w:themeColor="text1"/>
          <w:sz w:val="24"/>
          <w:szCs w:val="24"/>
        </w:rPr>
        <w:t xml:space="preserve"> use. Upon use, the sections </w:t>
      </w:r>
      <w:r>
        <w:rPr>
          <w:rFonts w:hint="eastAsia"/>
          <w:color w:val="000000" w:themeColor="text1"/>
          <w:sz w:val="24"/>
          <w:szCs w:val="24"/>
        </w:rPr>
        <w:t>underwent six TBS washes,</w:t>
      </w:r>
      <w:r>
        <w:rPr>
          <w:color w:val="000000" w:themeColor="text1"/>
          <w:sz w:val="24"/>
          <w:szCs w:val="24"/>
        </w:rPr>
        <w:t xml:space="preserve"> </w:t>
      </w:r>
      <w:r>
        <w:rPr>
          <w:rFonts w:hint="eastAsia"/>
          <w:color w:val="000000" w:themeColor="text1"/>
          <w:sz w:val="24"/>
          <w:szCs w:val="24"/>
        </w:rPr>
        <w:t xml:space="preserve">an </w:t>
      </w:r>
      <w:r>
        <w:rPr>
          <w:color w:val="000000" w:themeColor="text1"/>
          <w:sz w:val="24"/>
          <w:szCs w:val="24"/>
        </w:rPr>
        <w:t>incubat</w:t>
      </w:r>
      <w:r>
        <w:rPr>
          <w:rFonts w:hint="eastAsia"/>
          <w:color w:val="000000" w:themeColor="text1"/>
          <w:sz w:val="24"/>
          <w:szCs w:val="24"/>
        </w:rPr>
        <w:t>ion</w:t>
      </w:r>
      <w:r>
        <w:rPr>
          <w:color w:val="000000" w:themeColor="text1"/>
          <w:sz w:val="24"/>
          <w:szCs w:val="24"/>
        </w:rPr>
        <w:t xml:space="preserve"> with blocking buffer (0.3% Triton X-100, 0.1% BSA, and 10% donkey serum dissolved in TBS) for 1 h at room temperature, and </w:t>
      </w:r>
      <w:r>
        <w:rPr>
          <w:rFonts w:hint="eastAsia"/>
          <w:color w:val="000000" w:themeColor="text1"/>
          <w:sz w:val="24"/>
          <w:szCs w:val="24"/>
        </w:rPr>
        <w:t xml:space="preserve">a further </w:t>
      </w:r>
      <w:r>
        <w:rPr>
          <w:color w:val="000000" w:themeColor="text1"/>
          <w:sz w:val="24"/>
          <w:szCs w:val="24"/>
        </w:rPr>
        <w:t xml:space="preserve">overnight incubation at 4°C with </w:t>
      </w:r>
      <w:r>
        <w:rPr>
          <w:rFonts w:hint="eastAsia"/>
          <w:color w:val="000000" w:themeColor="text1"/>
          <w:sz w:val="24"/>
          <w:szCs w:val="24"/>
        </w:rPr>
        <w:t xml:space="preserve">following </w:t>
      </w:r>
      <w:r>
        <w:rPr>
          <w:color w:val="000000" w:themeColor="text1"/>
          <w:sz w:val="24"/>
          <w:szCs w:val="24"/>
        </w:rPr>
        <w:t>primary antibodies</w:t>
      </w:r>
      <w:r>
        <w:rPr>
          <w:rFonts w:hint="eastAsia"/>
          <w:color w:val="000000" w:themeColor="text1"/>
          <w:sz w:val="24"/>
          <w:szCs w:val="24"/>
        </w:rPr>
        <w:t>:</w:t>
      </w:r>
      <w:r>
        <w:rPr>
          <w:color w:val="000000" w:themeColor="text1"/>
          <w:sz w:val="24"/>
          <w:szCs w:val="24"/>
        </w:rPr>
        <w:t xml:space="preserve"> Iba-1 (1:500, Wako), 6E10 (1:500, </w:t>
      </w:r>
      <w:proofErr w:type="spellStart"/>
      <w:r>
        <w:rPr>
          <w:color w:val="000000" w:themeColor="text1"/>
          <w:sz w:val="24"/>
          <w:szCs w:val="24"/>
        </w:rPr>
        <w:t>Biolegend</w:t>
      </w:r>
      <w:proofErr w:type="spellEnd"/>
      <w:r>
        <w:rPr>
          <w:color w:val="000000" w:themeColor="text1"/>
          <w:sz w:val="24"/>
          <w:szCs w:val="24"/>
        </w:rPr>
        <w:t xml:space="preserve">), P2ry12 (1:50, </w:t>
      </w:r>
      <w:proofErr w:type="spellStart"/>
      <w:r>
        <w:rPr>
          <w:color w:val="000000" w:themeColor="text1"/>
          <w:sz w:val="24"/>
          <w:szCs w:val="24"/>
        </w:rPr>
        <w:t>Biolegend</w:t>
      </w:r>
      <w:proofErr w:type="spellEnd"/>
      <w:r>
        <w:rPr>
          <w:color w:val="000000" w:themeColor="text1"/>
          <w:sz w:val="24"/>
          <w:szCs w:val="24"/>
        </w:rPr>
        <w:t xml:space="preserve">), Cd11c (1:200, Cell Signaling Technology), and CD19 (1:50, Invitrogen). The secondary antibodies employed in this study consisted of Alexa Fluor 488-conjugated donkey anti-rat IgG, Alexa Fluor 594-conjugated donkey anti-mouse IgG, and Alexa Fluor 488-conjugated donkey anti-rabbit IgG, all diluted at a ratio of 1:2000. Subsequently, the prepared brain slices were affixed to slides coated with </w:t>
      </w:r>
      <w:proofErr w:type="spellStart"/>
      <w:r>
        <w:rPr>
          <w:color w:val="000000" w:themeColor="text1"/>
          <w:sz w:val="24"/>
          <w:szCs w:val="24"/>
        </w:rPr>
        <w:t>polylysine</w:t>
      </w:r>
      <w:proofErr w:type="spellEnd"/>
      <w:r>
        <w:rPr>
          <w:color w:val="000000" w:themeColor="text1"/>
          <w:sz w:val="24"/>
          <w:szCs w:val="24"/>
        </w:rPr>
        <w:t xml:space="preserve"> and preserved using a reagent to prevent fluorescence quenching (</w:t>
      </w:r>
      <w:proofErr w:type="spellStart"/>
      <w:r>
        <w:rPr>
          <w:color w:val="000000" w:themeColor="text1"/>
          <w:sz w:val="24"/>
          <w:szCs w:val="24"/>
        </w:rPr>
        <w:t>ProLong</w:t>
      </w:r>
      <w:proofErr w:type="spellEnd"/>
      <w:r>
        <w:rPr>
          <w:color w:val="000000" w:themeColor="text1"/>
          <w:sz w:val="24"/>
          <w:szCs w:val="24"/>
        </w:rPr>
        <w:t xml:space="preserve"> Gold Antifade Reagent).</w:t>
      </w:r>
    </w:p>
    <w:p w14:paraId="45F706DD" w14:textId="77777777" w:rsidR="003B61E9" w:rsidRDefault="00000000">
      <w:pPr>
        <w:spacing w:line="480" w:lineRule="auto"/>
        <w:ind w:firstLineChars="100" w:firstLine="240"/>
        <w:rPr>
          <w:color w:val="000000" w:themeColor="text1"/>
          <w:sz w:val="24"/>
          <w:szCs w:val="24"/>
        </w:rPr>
      </w:pPr>
      <w:r>
        <w:rPr>
          <w:color w:val="000000" w:themeColor="text1"/>
          <w:sz w:val="24"/>
          <w:szCs w:val="24"/>
        </w:rPr>
        <w:t xml:space="preserve">Immunohistochemical staining of the skull </w:t>
      </w:r>
      <w:r>
        <w:rPr>
          <w:rFonts w:hint="eastAsia"/>
          <w:color w:val="000000" w:themeColor="text1"/>
          <w:sz w:val="24"/>
          <w:szCs w:val="24"/>
        </w:rPr>
        <w:t>BM</w:t>
      </w:r>
      <w:r>
        <w:rPr>
          <w:color w:val="000000" w:themeColor="text1"/>
          <w:sz w:val="24"/>
          <w:szCs w:val="24"/>
        </w:rPr>
        <w:t xml:space="preserve"> of the mice was conducted as previously </w:t>
      </w:r>
      <w:r>
        <w:rPr>
          <w:rFonts w:hint="eastAsia"/>
          <w:color w:val="000000" w:themeColor="text1"/>
          <w:sz w:val="24"/>
          <w:szCs w:val="24"/>
        </w:rPr>
        <w:t>establish</w:t>
      </w:r>
      <w:r>
        <w:rPr>
          <w:color w:val="000000" w:themeColor="text1"/>
          <w:sz w:val="24"/>
          <w:szCs w:val="24"/>
        </w:rPr>
        <w:t xml:space="preserve">ed </w:t>
      </w:r>
      <w:r>
        <w:rPr>
          <w:color w:val="000000" w:themeColor="text1"/>
          <w:sz w:val="24"/>
          <w:szCs w:val="24"/>
        </w:rPr>
        <w:fldChar w:fldCharType="begin"/>
      </w:r>
      <w:r>
        <w:rPr>
          <w:rFonts w:hint="eastAsia"/>
          <w:color w:val="000000" w:themeColor="text1"/>
          <w:sz w:val="24"/>
          <w:szCs w:val="24"/>
        </w:rPr>
        <w:instrText xml:space="preserve"> ADDIN NE.Ref.{658F037E-1F27-435A-A13E-6739D9C28A6D}</w:instrText>
      </w:r>
      <w:r>
        <w:rPr>
          <w:color w:val="000000" w:themeColor="text1"/>
          <w:sz w:val="24"/>
          <w:szCs w:val="24"/>
        </w:rPr>
        <w:fldChar w:fldCharType="separate"/>
      </w:r>
      <w:r>
        <w:rPr>
          <w:rFonts w:eastAsia="Times New Roman"/>
          <w:color w:val="080000"/>
          <w:szCs w:val="24"/>
          <w:vertAlign w:val="superscript"/>
        </w:rPr>
        <w:t>10</w:t>
      </w:r>
      <w:r>
        <w:rPr>
          <w:color w:val="000000" w:themeColor="text1"/>
          <w:sz w:val="24"/>
          <w:szCs w:val="24"/>
        </w:rPr>
        <w:fldChar w:fldCharType="end"/>
      </w:r>
      <w:r>
        <w:rPr>
          <w:color w:val="000000" w:themeColor="text1"/>
          <w:sz w:val="24"/>
          <w:szCs w:val="24"/>
        </w:rPr>
        <w:t xml:space="preserve"> with an </w:t>
      </w:r>
      <w:proofErr w:type="spellStart"/>
      <w:r>
        <w:rPr>
          <w:color w:val="000000" w:themeColor="text1"/>
          <w:sz w:val="24"/>
          <w:szCs w:val="24"/>
        </w:rPr>
        <w:t>UltraSensitive</w:t>
      </w:r>
      <w:proofErr w:type="spellEnd"/>
      <w:r>
        <w:rPr>
          <w:color w:val="000000" w:themeColor="text1"/>
          <w:sz w:val="24"/>
          <w:szCs w:val="24"/>
        </w:rPr>
        <w:t>™ SP IHC Kit (KIT- 9720; MXB biotechnologies, China). Floating tissue sections underwent three washing cycles in TBS. Following this, reagents A and B from the kit were administered prior to an overnight incubation with primary antibodies at 4°C. Subsequently, reagents C and D were introduced before the application of a DAB kit (MAX-002; MXB Biotechnologies, China) for staining. The antibodies utilized for immunochemical analysis included 6E10 at a dilution of 1:3000 (</w:t>
      </w:r>
      <w:proofErr w:type="spellStart"/>
      <w:r>
        <w:rPr>
          <w:color w:val="000000" w:themeColor="text1"/>
          <w:sz w:val="24"/>
          <w:szCs w:val="24"/>
        </w:rPr>
        <w:t>Biolegend</w:t>
      </w:r>
      <w:proofErr w:type="spellEnd"/>
      <w:r>
        <w:rPr>
          <w:color w:val="000000" w:themeColor="text1"/>
          <w:sz w:val="24"/>
          <w:szCs w:val="24"/>
        </w:rPr>
        <w:t>). Imaging was conducted using an LSM780 confocal microscope (Carl Zeiss, Germany), and statistical evaluations were performed using ImageJ software.</w:t>
      </w:r>
    </w:p>
    <w:p w14:paraId="30CF25AD" w14:textId="77777777" w:rsidR="003B61E9" w:rsidRDefault="003B61E9">
      <w:pPr>
        <w:spacing w:line="480" w:lineRule="auto"/>
        <w:ind w:firstLineChars="100" w:firstLine="240"/>
        <w:rPr>
          <w:color w:val="000000" w:themeColor="text1"/>
          <w:sz w:val="24"/>
          <w:szCs w:val="24"/>
        </w:rPr>
      </w:pPr>
    </w:p>
    <w:p w14:paraId="15E52C13" w14:textId="77777777" w:rsidR="003B61E9" w:rsidRDefault="00000000">
      <w:pPr>
        <w:spacing w:line="480" w:lineRule="auto"/>
        <w:rPr>
          <w:b/>
          <w:bCs/>
          <w:color w:val="000000" w:themeColor="text1"/>
          <w:sz w:val="24"/>
          <w:szCs w:val="24"/>
        </w:rPr>
      </w:pPr>
      <w:r>
        <w:rPr>
          <w:b/>
          <w:bCs/>
          <w:color w:val="000000" w:themeColor="text1"/>
          <w:sz w:val="24"/>
          <w:szCs w:val="24"/>
        </w:rPr>
        <w:t>Thioflavin S (TS) staining</w:t>
      </w:r>
    </w:p>
    <w:p w14:paraId="13D8A0A8" w14:textId="77777777" w:rsidR="003B61E9" w:rsidRDefault="00000000">
      <w:pPr>
        <w:spacing w:line="480" w:lineRule="auto"/>
        <w:rPr>
          <w:color w:val="000000" w:themeColor="text1"/>
          <w:sz w:val="24"/>
          <w:szCs w:val="24"/>
        </w:rPr>
      </w:pPr>
      <w:r>
        <w:rPr>
          <w:color w:val="000000" w:themeColor="text1"/>
          <w:sz w:val="24"/>
          <w:szCs w:val="24"/>
        </w:rPr>
        <w:t xml:space="preserve">TS staining was employed </w:t>
      </w:r>
      <w:r>
        <w:rPr>
          <w:rFonts w:hint="eastAsia"/>
          <w:color w:val="000000" w:themeColor="text1"/>
          <w:sz w:val="24"/>
          <w:szCs w:val="24"/>
        </w:rPr>
        <w:t>to</w:t>
      </w:r>
      <w:r>
        <w:rPr>
          <w:color w:val="000000" w:themeColor="text1"/>
          <w:sz w:val="24"/>
          <w:szCs w:val="24"/>
        </w:rPr>
        <w:t xml:space="preserve"> identif</w:t>
      </w:r>
      <w:r>
        <w:rPr>
          <w:rFonts w:hint="eastAsia"/>
          <w:color w:val="000000" w:themeColor="text1"/>
          <w:sz w:val="24"/>
          <w:szCs w:val="24"/>
        </w:rPr>
        <w:t>y</w:t>
      </w:r>
      <w:r>
        <w:rPr>
          <w:color w:val="000000" w:themeColor="text1"/>
          <w:sz w:val="24"/>
          <w:szCs w:val="24"/>
        </w:rPr>
        <w:t xml:space="preserve"> Aβ plaques. Specifically, brain sections were subjected to staining with a solution of 0.002% TS (T1892-25G, Sigma‒Aldrich) dissolved in 50% ethanol for a duration of 8 </w:t>
      </w:r>
      <w:r>
        <w:rPr>
          <w:color w:val="000000" w:themeColor="text1"/>
          <w:sz w:val="24"/>
          <w:szCs w:val="24"/>
        </w:rPr>
        <w:lastRenderedPageBreak/>
        <w:t xml:space="preserve">minutes in a dark environment. </w:t>
      </w:r>
      <w:r>
        <w:rPr>
          <w:rFonts w:hint="eastAsia"/>
          <w:color w:val="000000" w:themeColor="text1"/>
          <w:sz w:val="24"/>
          <w:szCs w:val="24"/>
        </w:rPr>
        <w:t>S</w:t>
      </w:r>
      <w:r>
        <w:rPr>
          <w:color w:val="000000" w:themeColor="text1"/>
          <w:sz w:val="24"/>
          <w:szCs w:val="24"/>
        </w:rPr>
        <w:t>ubsequently</w:t>
      </w:r>
      <w:r>
        <w:rPr>
          <w:rFonts w:hint="eastAsia"/>
          <w:color w:val="000000" w:themeColor="text1"/>
          <w:sz w:val="24"/>
          <w:szCs w:val="24"/>
        </w:rPr>
        <w:t>, the sections were rinsed twice</w:t>
      </w:r>
      <w:r>
        <w:rPr>
          <w:color w:val="000000" w:themeColor="text1"/>
          <w:sz w:val="24"/>
          <w:szCs w:val="24"/>
        </w:rPr>
        <w:t xml:space="preserve"> with 50% ethanol and thr</w:t>
      </w:r>
      <w:r>
        <w:rPr>
          <w:rFonts w:hint="eastAsia"/>
          <w:color w:val="000000" w:themeColor="text1"/>
          <w:sz w:val="24"/>
          <w:szCs w:val="24"/>
        </w:rPr>
        <w:t>ice</w:t>
      </w:r>
      <w:r>
        <w:rPr>
          <w:color w:val="000000" w:themeColor="text1"/>
          <w:sz w:val="24"/>
          <w:szCs w:val="24"/>
        </w:rPr>
        <w:t xml:space="preserve"> with PBS.</w:t>
      </w:r>
    </w:p>
    <w:p w14:paraId="78981901" w14:textId="77777777" w:rsidR="003B61E9" w:rsidRDefault="003B61E9">
      <w:pPr>
        <w:spacing w:line="480" w:lineRule="auto"/>
        <w:rPr>
          <w:color w:val="000000" w:themeColor="text1"/>
          <w:sz w:val="24"/>
          <w:szCs w:val="24"/>
        </w:rPr>
      </w:pPr>
    </w:p>
    <w:p w14:paraId="7E04429B" w14:textId="77777777" w:rsidR="003B61E9" w:rsidRDefault="00000000">
      <w:pPr>
        <w:spacing w:line="480" w:lineRule="auto"/>
        <w:rPr>
          <w:b/>
          <w:bCs/>
          <w:color w:val="000000" w:themeColor="text1"/>
          <w:sz w:val="24"/>
          <w:szCs w:val="24"/>
        </w:rPr>
      </w:pPr>
      <w:r>
        <w:rPr>
          <w:b/>
          <w:bCs/>
          <w:color w:val="000000" w:themeColor="text1"/>
          <w:sz w:val="24"/>
          <w:szCs w:val="24"/>
        </w:rPr>
        <w:t>Statistical analysis</w:t>
      </w:r>
    </w:p>
    <w:p w14:paraId="047C2F45" w14:textId="77777777" w:rsidR="003B61E9" w:rsidRDefault="00000000" w:rsidP="00154A1A">
      <w:pPr>
        <w:spacing w:line="480" w:lineRule="auto"/>
        <w:jc w:val="both"/>
        <w:rPr>
          <w:color w:val="000000" w:themeColor="text1"/>
          <w:sz w:val="24"/>
          <w:szCs w:val="24"/>
        </w:rPr>
      </w:pPr>
      <w:r>
        <w:rPr>
          <w:color w:val="000000" w:themeColor="text1"/>
          <w:sz w:val="24"/>
          <w:szCs w:val="24"/>
        </w:rPr>
        <w:t>Animals were random</w:t>
      </w:r>
      <w:r>
        <w:rPr>
          <w:rFonts w:hint="eastAsia"/>
          <w:color w:val="000000" w:themeColor="text1"/>
          <w:sz w:val="24"/>
          <w:szCs w:val="24"/>
        </w:rPr>
        <w:t>ly assign</w:t>
      </w:r>
      <w:r>
        <w:rPr>
          <w:color w:val="000000" w:themeColor="text1"/>
          <w:sz w:val="24"/>
          <w:szCs w:val="24"/>
        </w:rPr>
        <w:t xml:space="preserve">ed to treatment groups </w:t>
      </w:r>
      <w:r>
        <w:rPr>
          <w:rFonts w:hint="eastAsia"/>
          <w:color w:val="000000" w:themeColor="text1"/>
          <w:sz w:val="24"/>
          <w:szCs w:val="24"/>
        </w:rPr>
        <w:t>by</w:t>
      </w:r>
      <w:r>
        <w:rPr>
          <w:color w:val="000000" w:themeColor="text1"/>
          <w:sz w:val="24"/>
          <w:szCs w:val="24"/>
        </w:rPr>
        <w:t xml:space="preserve"> Excel-generated random numbers</w:t>
      </w:r>
      <w:r>
        <w:rPr>
          <w:rFonts w:hint="eastAsia"/>
          <w:color w:val="000000" w:themeColor="text1"/>
          <w:sz w:val="24"/>
          <w:szCs w:val="24"/>
        </w:rPr>
        <w:t>.</w:t>
      </w:r>
      <w:r>
        <w:rPr>
          <w:color w:val="000000" w:themeColor="text1"/>
          <w:sz w:val="24"/>
          <w:szCs w:val="24"/>
        </w:rPr>
        <w:t xml:space="preserve"> </w:t>
      </w:r>
      <w:r>
        <w:rPr>
          <w:rFonts w:hint="eastAsia"/>
          <w:color w:val="000000" w:themeColor="text1"/>
          <w:sz w:val="24"/>
          <w:szCs w:val="24"/>
        </w:rPr>
        <w:t>A</w:t>
      </w:r>
      <w:r>
        <w:rPr>
          <w:color w:val="000000" w:themeColor="text1"/>
          <w:sz w:val="24"/>
          <w:szCs w:val="24"/>
        </w:rPr>
        <w:t xml:space="preserve">ll analyses were </w:t>
      </w:r>
      <w:r>
        <w:rPr>
          <w:rFonts w:hint="eastAsia"/>
          <w:color w:val="000000" w:themeColor="text1"/>
          <w:sz w:val="24"/>
          <w:szCs w:val="24"/>
        </w:rPr>
        <w:t>process</w:t>
      </w:r>
      <w:r>
        <w:rPr>
          <w:color w:val="000000" w:themeColor="text1"/>
          <w:sz w:val="24"/>
          <w:szCs w:val="24"/>
        </w:rPr>
        <w:t>ed by investigators blinded to the group</w:t>
      </w:r>
      <w:r>
        <w:rPr>
          <w:rFonts w:hint="eastAsia"/>
          <w:color w:val="000000" w:themeColor="text1"/>
          <w:sz w:val="24"/>
          <w:szCs w:val="24"/>
        </w:rPr>
        <w:t>ing</w:t>
      </w:r>
      <w:r>
        <w:rPr>
          <w:color w:val="000000" w:themeColor="text1"/>
          <w:sz w:val="24"/>
          <w:szCs w:val="24"/>
        </w:rPr>
        <w:t xml:space="preserve">. All the experiments </w:t>
      </w:r>
      <w:r>
        <w:rPr>
          <w:rFonts w:hint="eastAsia"/>
          <w:color w:val="000000" w:themeColor="text1"/>
          <w:sz w:val="24"/>
          <w:szCs w:val="24"/>
        </w:rPr>
        <w:t>reported</w:t>
      </w:r>
      <w:r>
        <w:rPr>
          <w:color w:val="000000" w:themeColor="text1"/>
          <w:sz w:val="24"/>
          <w:szCs w:val="24"/>
        </w:rPr>
        <w:t xml:space="preserve"> were </w:t>
      </w:r>
      <w:r>
        <w:rPr>
          <w:rFonts w:hint="eastAsia"/>
          <w:color w:val="000000" w:themeColor="text1"/>
          <w:sz w:val="24"/>
          <w:szCs w:val="24"/>
        </w:rPr>
        <w:t>duplicat</w:t>
      </w:r>
      <w:r>
        <w:rPr>
          <w:color w:val="000000" w:themeColor="text1"/>
          <w:sz w:val="24"/>
          <w:szCs w:val="24"/>
        </w:rPr>
        <w:t xml:space="preserve">ed at least </w:t>
      </w:r>
      <w:r>
        <w:rPr>
          <w:rFonts w:hint="eastAsia"/>
          <w:color w:val="000000" w:themeColor="text1"/>
          <w:sz w:val="24"/>
          <w:szCs w:val="24"/>
        </w:rPr>
        <w:t>twice</w:t>
      </w:r>
      <w:r>
        <w:rPr>
          <w:color w:val="000000" w:themeColor="text1"/>
          <w:sz w:val="24"/>
          <w:szCs w:val="24"/>
        </w:rPr>
        <w:t xml:space="preserve">. All the data </w:t>
      </w:r>
      <w:r>
        <w:rPr>
          <w:rFonts w:hint="eastAsia"/>
          <w:color w:val="000000" w:themeColor="text1"/>
          <w:sz w:val="24"/>
          <w:szCs w:val="24"/>
        </w:rPr>
        <w:t>we</w:t>
      </w:r>
      <w:r>
        <w:rPr>
          <w:color w:val="000000" w:themeColor="text1"/>
          <w:sz w:val="24"/>
          <w:szCs w:val="24"/>
        </w:rPr>
        <w:t xml:space="preserve">re </w:t>
      </w:r>
      <w:r>
        <w:rPr>
          <w:rFonts w:hint="eastAsia"/>
          <w:color w:val="000000" w:themeColor="text1"/>
          <w:sz w:val="24"/>
          <w:szCs w:val="24"/>
        </w:rPr>
        <w:t>describ</w:t>
      </w:r>
      <w:r>
        <w:rPr>
          <w:color w:val="000000" w:themeColor="text1"/>
          <w:sz w:val="24"/>
          <w:szCs w:val="24"/>
        </w:rPr>
        <w:t>ed as the means ± SEMs</w:t>
      </w:r>
      <w:r>
        <w:rPr>
          <w:rFonts w:hint="eastAsia"/>
          <w:color w:val="000000" w:themeColor="text1"/>
          <w:sz w:val="24"/>
          <w:szCs w:val="24"/>
        </w:rPr>
        <w:t xml:space="preserve"> and</w:t>
      </w:r>
      <w:r>
        <w:rPr>
          <w:color w:val="000000" w:themeColor="text1"/>
          <w:sz w:val="24"/>
          <w:szCs w:val="24"/>
        </w:rPr>
        <w:t xml:space="preserve"> analyzed with GraphPad Prism 8.0. </w:t>
      </w:r>
      <w:r>
        <w:rPr>
          <w:rFonts w:hint="eastAsia"/>
          <w:color w:val="000000" w:themeColor="text1"/>
          <w:sz w:val="24"/>
          <w:szCs w:val="24"/>
        </w:rPr>
        <w:t>D</w:t>
      </w:r>
      <w:r>
        <w:rPr>
          <w:color w:val="000000" w:themeColor="text1"/>
          <w:sz w:val="24"/>
          <w:szCs w:val="24"/>
        </w:rPr>
        <w:t xml:space="preserve">ata normality was </w:t>
      </w:r>
      <w:r>
        <w:rPr>
          <w:rFonts w:hint="eastAsia"/>
          <w:color w:val="000000" w:themeColor="text1"/>
          <w:sz w:val="24"/>
          <w:szCs w:val="24"/>
        </w:rPr>
        <w:t>examined by</w:t>
      </w:r>
      <w:r>
        <w:rPr>
          <w:color w:val="000000" w:themeColor="text1"/>
          <w:sz w:val="24"/>
          <w:szCs w:val="24"/>
        </w:rPr>
        <w:t xml:space="preserve"> </w:t>
      </w:r>
      <w:r>
        <w:rPr>
          <w:rFonts w:hint="eastAsia"/>
          <w:color w:val="000000" w:themeColor="text1"/>
          <w:sz w:val="24"/>
          <w:szCs w:val="24"/>
        </w:rPr>
        <w:t>t</w:t>
      </w:r>
      <w:r>
        <w:rPr>
          <w:color w:val="000000" w:themeColor="text1"/>
          <w:sz w:val="24"/>
          <w:szCs w:val="24"/>
        </w:rPr>
        <w:t xml:space="preserve">he Shapiro‒Wilk test. The homogeneity of variance was </w:t>
      </w:r>
      <w:r>
        <w:rPr>
          <w:rFonts w:hint="eastAsia"/>
          <w:color w:val="000000" w:themeColor="text1"/>
          <w:sz w:val="24"/>
          <w:szCs w:val="24"/>
        </w:rPr>
        <w:t>assess</w:t>
      </w:r>
      <w:r>
        <w:rPr>
          <w:color w:val="000000" w:themeColor="text1"/>
          <w:sz w:val="24"/>
          <w:szCs w:val="24"/>
        </w:rPr>
        <w:t xml:space="preserve">ed </w:t>
      </w:r>
      <w:r>
        <w:rPr>
          <w:rFonts w:hint="eastAsia"/>
          <w:color w:val="000000" w:themeColor="text1"/>
          <w:sz w:val="24"/>
          <w:szCs w:val="24"/>
        </w:rPr>
        <w:t>by</w:t>
      </w:r>
      <w:r>
        <w:rPr>
          <w:color w:val="000000" w:themeColor="text1"/>
          <w:sz w:val="24"/>
          <w:szCs w:val="24"/>
        </w:rPr>
        <w:t xml:space="preserve"> Bartlett's test. For comparisons between two independent, unpaired groups, the data </w:t>
      </w:r>
      <w:r>
        <w:rPr>
          <w:rFonts w:hint="eastAsia"/>
          <w:color w:val="000000" w:themeColor="text1"/>
          <w:sz w:val="24"/>
          <w:szCs w:val="24"/>
        </w:rPr>
        <w:t>with</w:t>
      </w:r>
      <w:r>
        <w:rPr>
          <w:color w:val="000000" w:themeColor="text1"/>
          <w:sz w:val="24"/>
          <w:szCs w:val="24"/>
        </w:rPr>
        <w:t xml:space="preserve"> a normal distribution and homogeneous variances were</w:t>
      </w:r>
      <w:r>
        <w:rPr>
          <w:rFonts w:hint="eastAsia"/>
          <w:color w:val="000000" w:themeColor="text1"/>
          <w:sz w:val="24"/>
          <w:szCs w:val="24"/>
        </w:rPr>
        <w:t xml:space="preserve"> assessed by</w:t>
      </w:r>
      <w:r>
        <w:rPr>
          <w:color w:val="000000" w:themeColor="text1"/>
          <w:sz w:val="24"/>
          <w:szCs w:val="24"/>
        </w:rPr>
        <w:t xml:space="preserve"> the unpaired Student's t test</w:t>
      </w:r>
      <w:r>
        <w:rPr>
          <w:rFonts w:hint="eastAsia"/>
          <w:color w:val="000000" w:themeColor="text1"/>
          <w:sz w:val="24"/>
          <w:szCs w:val="24"/>
        </w:rPr>
        <w:t xml:space="preserve"> and otherwise by </w:t>
      </w:r>
      <w:r>
        <w:rPr>
          <w:color w:val="000000" w:themeColor="text1"/>
          <w:sz w:val="24"/>
          <w:szCs w:val="24"/>
        </w:rPr>
        <w:t xml:space="preserve">the Mann‒Whitney U test. </w:t>
      </w:r>
      <w:r>
        <w:rPr>
          <w:rFonts w:hint="eastAsia"/>
          <w:color w:val="000000" w:themeColor="text1"/>
          <w:sz w:val="24"/>
          <w:szCs w:val="24"/>
        </w:rPr>
        <w:t>D</w:t>
      </w:r>
      <w:r>
        <w:rPr>
          <w:color w:val="000000" w:themeColor="text1"/>
          <w:sz w:val="24"/>
          <w:szCs w:val="24"/>
        </w:rPr>
        <w:t>ata from three groups with one variable w</w:t>
      </w:r>
      <w:r>
        <w:rPr>
          <w:rFonts w:hint="eastAsia"/>
          <w:color w:val="000000" w:themeColor="text1"/>
          <w:sz w:val="24"/>
          <w:szCs w:val="24"/>
        </w:rPr>
        <w:t>ere</w:t>
      </w:r>
      <w:r>
        <w:rPr>
          <w:color w:val="000000" w:themeColor="text1"/>
          <w:sz w:val="24"/>
          <w:szCs w:val="24"/>
        </w:rPr>
        <w:t xml:space="preserve"> compare</w:t>
      </w:r>
      <w:r>
        <w:rPr>
          <w:rFonts w:hint="eastAsia"/>
          <w:color w:val="000000" w:themeColor="text1"/>
          <w:sz w:val="24"/>
          <w:szCs w:val="24"/>
        </w:rPr>
        <w:t>d by</w:t>
      </w:r>
      <w:r>
        <w:rPr>
          <w:color w:val="000000" w:themeColor="text1"/>
          <w:sz w:val="24"/>
          <w:szCs w:val="24"/>
        </w:rPr>
        <w:t xml:space="preserve"> One-way analysis of variance (ANOVA) followed by Tukey’s post hoc test. </w:t>
      </w:r>
      <w:r>
        <w:rPr>
          <w:rFonts w:hint="eastAsia"/>
          <w:color w:val="000000" w:themeColor="text1"/>
          <w:sz w:val="24"/>
          <w:szCs w:val="24"/>
        </w:rPr>
        <w:t>C</w:t>
      </w:r>
      <w:r>
        <w:rPr>
          <w:color w:val="000000" w:themeColor="text1"/>
          <w:sz w:val="24"/>
          <w:szCs w:val="24"/>
        </w:rPr>
        <w:t xml:space="preserve">omparisons among multiple groups </w:t>
      </w:r>
      <w:r>
        <w:rPr>
          <w:rFonts w:hint="eastAsia"/>
          <w:color w:val="000000" w:themeColor="text1"/>
          <w:sz w:val="24"/>
          <w:szCs w:val="24"/>
        </w:rPr>
        <w:t>with</w:t>
      </w:r>
      <w:r>
        <w:rPr>
          <w:color w:val="000000" w:themeColor="text1"/>
          <w:sz w:val="24"/>
          <w:szCs w:val="24"/>
        </w:rPr>
        <w:t xml:space="preserve"> two or more variables</w:t>
      </w:r>
      <w:r>
        <w:rPr>
          <w:rFonts w:hint="eastAsia"/>
          <w:color w:val="000000" w:themeColor="text1"/>
          <w:sz w:val="24"/>
          <w:szCs w:val="24"/>
        </w:rPr>
        <w:t xml:space="preserve"> were analyzed by</w:t>
      </w:r>
      <w:r>
        <w:rPr>
          <w:color w:val="000000" w:themeColor="text1"/>
          <w:sz w:val="24"/>
          <w:szCs w:val="24"/>
        </w:rPr>
        <w:t xml:space="preserve"> two-way ANOVA followed by the Bonferroni post hoc correction. MWM analysis </w:t>
      </w:r>
      <w:r>
        <w:rPr>
          <w:rFonts w:hint="eastAsia"/>
          <w:color w:val="000000" w:themeColor="text1"/>
          <w:sz w:val="24"/>
          <w:szCs w:val="24"/>
        </w:rPr>
        <w:t>was conducted by o</w:t>
      </w:r>
      <w:r>
        <w:rPr>
          <w:color w:val="000000" w:themeColor="text1"/>
          <w:sz w:val="24"/>
          <w:szCs w:val="24"/>
        </w:rPr>
        <w:t xml:space="preserve">ne-way or multiway repeated-measures ANOVA. The specific statistical methods and statistical parameters are detailed in the figures and figure legends. Significance was set </w:t>
      </w:r>
      <w:r>
        <w:rPr>
          <w:rFonts w:hint="eastAsia"/>
          <w:color w:val="000000" w:themeColor="text1"/>
          <w:sz w:val="24"/>
          <w:szCs w:val="24"/>
        </w:rPr>
        <w:t>at</w:t>
      </w:r>
      <w:r>
        <w:rPr>
          <w:color w:val="000000" w:themeColor="text1"/>
          <w:sz w:val="24"/>
          <w:szCs w:val="24"/>
        </w:rPr>
        <w:t xml:space="preserve"> p &lt; 0.05 and expressed as </w:t>
      </w:r>
      <w:r>
        <w:rPr>
          <w:rFonts w:ascii="Cambria Math" w:eastAsia="MS Mincho" w:hAnsi="Cambria Math" w:cs="Cambria Math"/>
          <w:color w:val="000000" w:themeColor="text1"/>
          <w:sz w:val="24"/>
          <w:szCs w:val="24"/>
        </w:rPr>
        <w:t>∗</w:t>
      </w:r>
      <w:r>
        <w:rPr>
          <w:color w:val="000000" w:themeColor="text1"/>
          <w:sz w:val="24"/>
          <w:szCs w:val="24"/>
        </w:rPr>
        <w:t xml:space="preserve">p &lt; 0.05, and </w:t>
      </w:r>
      <w:r>
        <w:rPr>
          <w:rFonts w:ascii="Cambria Math" w:eastAsia="MS Mincho" w:hAnsi="Cambria Math" w:cs="Cambria Math"/>
          <w:color w:val="000000" w:themeColor="text1"/>
          <w:sz w:val="24"/>
          <w:szCs w:val="24"/>
        </w:rPr>
        <w:t>∗∗</w:t>
      </w:r>
      <w:r>
        <w:rPr>
          <w:color w:val="000000" w:themeColor="text1"/>
          <w:sz w:val="24"/>
          <w:szCs w:val="24"/>
        </w:rPr>
        <w:t>p &lt; 0.01, p &lt; 0.001.</w:t>
      </w:r>
    </w:p>
    <w:p w14:paraId="2B2E2064" w14:textId="77777777" w:rsidR="003B61E9" w:rsidRDefault="003B61E9">
      <w:pPr>
        <w:spacing w:line="480" w:lineRule="auto"/>
        <w:rPr>
          <w:color w:val="000000" w:themeColor="text1"/>
          <w:sz w:val="24"/>
          <w:szCs w:val="24"/>
        </w:rPr>
      </w:pPr>
    </w:p>
    <w:p w14:paraId="1BE8271F" w14:textId="77777777" w:rsidR="003B61E9" w:rsidRDefault="003B61E9">
      <w:pPr>
        <w:spacing w:line="480" w:lineRule="auto"/>
        <w:rPr>
          <w:b/>
          <w:bCs/>
          <w:color w:val="000000" w:themeColor="text1"/>
          <w:sz w:val="24"/>
          <w:szCs w:val="24"/>
        </w:rPr>
      </w:pPr>
    </w:p>
    <w:p w14:paraId="34319DF7" w14:textId="77777777" w:rsidR="003B61E9" w:rsidRDefault="00000000">
      <w:pPr>
        <w:spacing w:line="240" w:lineRule="auto"/>
        <w:rPr>
          <w:b/>
          <w:bCs/>
          <w:color w:val="000000" w:themeColor="text1"/>
          <w:sz w:val="24"/>
          <w:szCs w:val="24"/>
        </w:rPr>
      </w:pPr>
      <w:r>
        <w:rPr>
          <w:b/>
          <w:color w:val="000000" w:themeColor="text1"/>
          <w:sz w:val="24"/>
          <w:szCs w:val="24"/>
        </w:rPr>
        <w:br w:type="page"/>
      </w:r>
    </w:p>
    <w:p w14:paraId="6E85CE11" w14:textId="77777777" w:rsidR="003B61E9" w:rsidRDefault="00000000">
      <w:pPr>
        <w:rPr>
          <w:b/>
          <w:bCs/>
          <w:color w:val="000000" w:themeColor="text1"/>
          <w:sz w:val="24"/>
          <w:szCs w:val="24"/>
        </w:rPr>
      </w:pPr>
      <w:r>
        <w:rPr>
          <w:b/>
          <w:bCs/>
          <w:color w:val="000000" w:themeColor="text1"/>
          <w:sz w:val="24"/>
          <w:szCs w:val="24"/>
        </w:rPr>
        <w:lastRenderedPageBreak/>
        <w:t>Supplementary Text</w:t>
      </w:r>
    </w:p>
    <w:p w14:paraId="1E3F4B01" w14:textId="77777777" w:rsidR="003B61E9" w:rsidRDefault="00000000">
      <w:pPr>
        <w:spacing w:line="480" w:lineRule="auto"/>
        <w:rPr>
          <w:color w:val="000000" w:themeColor="text1"/>
          <w:sz w:val="24"/>
          <w:szCs w:val="24"/>
        </w:rPr>
      </w:pPr>
      <w:r>
        <w:rPr>
          <w:rFonts w:hint="eastAsia"/>
          <w:color w:val="000000" w:themeColor="text1"/>
          <w:sz w:val="24"/>
          <w:szCs w:val="24"/>
        </w:rPr>
        <w:t>G</w:t>
      </w:r>
      <w:r>
        <w:rPr>
          <w:color w:val="000000" w:themeColor="text1"/>
          <w:sz w:val="24"/>
          <w:szCs w:val="24"/>
        </w:rPr>
        <w:t>raphical abstract</w:t>
      </w:r>
    </w:p>
    <w:p w14:paraId="7D2D1D55" w14:textId="77777777" w:rsidR="003B61E9" w:rsidRDefault="00000000">
      <w:pPr>
        <w:spacing w:line="480" w:lineRule="auto"/>
        <w:rPr>
          <w:color w:val="000000" w:themeColor="text1"/>
          <w:sz w:val="24"/>
          <w:szCs w:val="24"/>
        </w:rPr>
      </w:pPr>
      <w:r>
        <w:rPr>
          <w:noProof/>
          <w:color w:val="000000" w:themeColor="text1"/>
        </w:rPr>
        <w:drawing>
          <wp:inline distT="0" distB="0" distL="0" distR="0" wp14:anchorId="78571780" wp14:editId="402D7EC3">
            <wp:extent cx="6645910" cy="4652010"/>
            <wp:effectExtent l="0" t="0" r="2540" b="0"/>
            <wp:docPr id="18891808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180880" name="图片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6645910" cy="4652010"/>
                    </a:xfrm>
                    <a:prstGeom prst="rect">
                      <a:avLst/>
                    </a:prstGeom>
                    <a:noFill/>
                    <a:ln>
                      <a:noFill/>
                    </a:ln>
                  </pic:spPr>
                </pic:pic>
              </a:graphicData>
            </a:graphic>
          </wp:inline>
        </w:drawing>
      </w:r>
    </w:p>
    <w:p w14:paraId="46CB3A05" w14:textId="77777777" w:rsidR="003B61E9" w:rsidRDefault="00000000">
      <w:pPr>
        <w:spacing w:line="480" w:lineRule="auto"/>
        <w:rPr>
          <w:color w:val="000000" w:themeColor="text1"/>
          <w:sz w:val="24"/>
          <w:szCs w:val="24"/>
        </w:rPr>
      </w:pPr>
      <w:r>
        <w:rPr>
          <w:rFonts w:eastAsia="等线"/>
          <w:color w:val="000000" w:themeColor="text1"/>
          <w:sz w:val="24"/>
          <w:szCs w:val="24"/>
        </w:rPr>
        <w:t>Aβ accumulates early within the central nervous system</w:t>
      </w:r>
      <w:r>
        <w:rPr>
          <w:color w:val="000000" w:themeColor="text1"/>
          <w:sz w:val="24"/>
          <w:szCs w:val="24"/>
        </w:rPr>
        <w:t>-surrounding bone marrow, leading to aberrant B lymphopoiesis that involves IL-6 signaling. This results in augmented output of age-associated B cells that accelerate Aβ neuropathology, suggesting that bone marrow-derived B cells may be a target for the future design of immune therapy for Alzheimer’s disease.</w:t>
      </w:r>
      <w:r>
        <w:rPr>
          <w:color w:val="000000" w:themeColor="text1"/>
          <w:sz w:val="24"/>
          <w:szCs w:val="24"/>
        </w:rPr>
        <w:br w:type="page"/>
      </w:r>
    </w:p>
    <w:p w14:paraId="7D7D9A45" w14:textId="2EDE62A2" w:rsidR="003B61E9" w:rsidRDefault="00772B55">
      <w:pPr>
        <w:spacing w:line="480" w:lineRule="auto"/>
        <w:rPr>
          <w:b/>
          <w:bCs/>
          <w:color w:val="000000" w:themeColor="text1"/>
          <w:sz w:val="24"/>
          <w:szCs w:val="24"/>
        </w:rPr>
      </w:pPr>
      <w:r>
        <w:rPr>
          <w:noProof/>
        </w:rPr>
        <w:lastRenderedPageBreak/>
        <w:drawing>
          <wp:inline distT="0" distB="0" distL="0" distR="0" wp14:anchorId="710E0F5A" wp14:editId="395366DB">
            <wp:extent cx="6645910" cy="8803005"/>
            <wp:effectExtent l="0" t="0" r="2540" b="0"/>
            <wp:docPr id="17758911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45910" cy="8803005"/>
                    </a:xfrm>
                    <a:prstGeom prst="rect">
                      <a:avLst/>
                    </a:prstGeom>
                    <a:noFill/>
                    <a:ln>
                      <a:noFill/>
                    </a:ln>
                  </pic:spPr>
                </pic:pic>
              </a:graphicData>
            </a:graphic>
          </wp:inline>
        </w:drawing>
      </w:r>
      <w:r>
        <w:rPr>
          <w:b/>
          <w:bCs/>
          <w:color w:val="000000" w:themeColor="text1"/>
          <w:sz w:val="24"/>
          <w:szCs w:val="24"/>
        </w:rPr>
        <w:t>Figure. S</w:t>
      </w:r>
      <w:r>
        <w:rPr>
          <w:rFonts w:hint="eastAsia"/>
          <w:b/>
          <w:bCs/>
          <w:color w:val="000000" w:themeColor="text1"/>
          <w:sz w:val="24"/>
          <w:szCs w:val="24"/>
        </w:rPr>
        <w:t>1.</w:t>
      </w:r>
      <w:r>
        <w:rPr>
          <w:b/>
          <w:bCs/>
          <w:color w:val="000000" w:themeColor="text1"/>
          <w:sz w:val="24"/>
          <w:szCs w:val="24"/>
        </w:rPr>
        <w:t xml:space="preserve"> </w:t>
      </w:r>
    </w:p>
    <w:p w14:paraId="12DF3DA6" w14:textId="67EE6333" w:rsidR="003B61E9" w:rsidRDefault="00000000">
      <w:pPr>
        <w:spacing w:line="480" w:lineRule="auto"/>
        <w:rPr>
          <w:color w:val="000000" w:themeColor="text1"/>
          <w:sz w:val="24"/>
          <w:szCs w:val="24"/>
        </w:rPr>
      </w:pPr>
      <w:r>
        <w:rPr>
          <w:b/>
          <w:bCs/>
          <w:color w:val="000000" w:themeColor="text1"/>
          <w:sz w:val="24"/>
          <w:szCs w:val="24"/>
        </w:rPr>
        <w:lastRenderedPageBreak/>
        <w:t xml:space="preserve">Flow cytometry gating strategy of </w:t>
      </w:r>
      <w:r>
        <w:rPr>
          <w:rFonts w:hint="eastAsia"/>
          <w:b/>
          <w:bCs/>
          <w:color w:val="000000" w:themeColor="text1"/>
          <w:sz w:val="24"/>
          <w:szCs w:val="24"/>
        </w:rPr>
        <w:t>BM</w:t>
      </w:r>
      <w:r>
        <w:rPr>
          <w:b/>
          <w:bCs/>
          <w:color w:val="000000" w:themeColor="text1"/>
          <w:sz w:val="24"/>
          <w:szCs w:val="24"/>
        </w:rPr>
        <w:t xml:space="preserve"> cellular lineages in 5×FAD and WT mice, related to Fig</w:t>
      </w:r>
      <w:r>
        <w:rPr>
          <w:rFonts w:hint="eastAsia"/>
          <w:b/>
          <w:bCs/>
          <w:color w:val="000000" w:themeColor="text1"/>
          <w:sz w:val="24"/>
          <w:szCs w:val="24"/>
        </w:rPr>
        <w:t xml:space="preserve">. </w:t>
      </w:r>
      <w:r>
        <w:rPr>
          <w:b/>
          <w:bCs/>
          <w:color w:val="000000" w:themeColor="text1"/>
          <w:sz w:val="24"/>
          <w:szCs w:val="24"/>
        </w:rPr>
        <w:t>2-3.</w:t>
      </w:r>
      <w:r w:rsidR="009B41AA">
        <w:rPr>
          <w:rFonts w:hint="eastAsia"/>
          <w:b/>
          <w:bCs/>
          <w:color w:val="000000" w:themeColor="text1"/>
          <w:sz w:val="24"/>
          <w:szCs w:val="24"/>
        </w:rPr>
        <w:t xml:space="preserve"> </w:t>
      </w:r>
      <w:r>
        <w:rPr>
          <w:rFonts w:hint="eastAsia"/>
          <w:b/>
          <w:bCs/>
          <w:color w:val="000000" w:themeColor="text1"/>
          <w:sz w:val="24"/>
          <w:szCs w:val="24"/>
        </w:rPr>
        <w:t>a</w:t>
      </w:r>
      <w:r>
        <w:rPr>
          <w:color w:val="000000" w:themeColor="text1"/>
          <w:sz w:val="24"/>
          <w:szCs w:val="24"/>
        </w:rPr>
        <w:t xml:space="preserve"> Flow cytometry gating strategy of </w:t>
      </w:r>
      <w:r>
        <w:rPr>
          <w:rFonts w:hint="eastAsia"/>
          <w:color w:val="000000" w:themeColor="text1"/>
          <w:sz w:val="24"/>
          <w:szCs w:val="24"/>
        </w:rPr>
        <w:t>BM</w:t>
      </w:r>
      <w:r>
        <w:rPr>
          <w:color w:val="000000" w:themeColor="text1"/>
          <w:sz w:val="24"/>
          <w:szCs w:val="24"/>
        </w:rPr>
        <w:t xml:space="preserve"> B cells (CD45</w:t>
      </w:r>
      <w:r>
        <w:rPr>
          <w:color w:val="000000" w:themeColor="text1"/>
          <w:sz w:val="24"/>
          <w:szCs w:val="24"/>
          <w:vertAlign w:val="superscript"/>
        </w:rPr>
        <w:t>+</w:t>
      </w:r>
      <w:r>
        <w:rPr>
          <w:color w:val="000000" w:themeColor="text1"/>
          <w:sz w:val="24"/>
          <w:szCs w:val="24"/>
        </w:rPr>
        <w:t xml:space="preserve"> CD3</w:t>
      </w:r>
      <w:r>
        <w:rPr>
          <w:color w:val="000000" w:themeColor="text1"/>
          <w:sz w:val="24"/>
          <w:szCs w:val="24"/>
          <w:vertAlign w:val="superscript"/>
        </w:rPr>
        <w:t xml:space="preserve">- </w:t>
      </w:r>
      <w:r>
        <w:rPr>
          <w:color w:val="000000" w:themeColor="text1"/>
          <w:sz w:val="24"/>
          <w:szCs w:val="24"/>
        </w:rPr>
        <w:t>CD19+), CD4+ T cells (CD45</w:t>
      </w:r>
      <w:r>
        <w:rPr>
          <w:color w:val="000000" w:themeColor="text1"/>
          <w:sz w:val="24"/>
          <w:szCs w:val="24"/>
          <w:vertAlign w:val="superscript"/>
        </w:rPr>
        <w:t>+</w:t>
      </w:r>
      <w:r>
        <w:rPr>
          <w:color w:val="000000" w:themeColor="text1"/>
          <w:sz w:val="24"/>
          <w:szCs w:val="24"/>
        </w:rPr>
        <w:t xml:space="preserve"> CD3</w:t>
      </w:r>
      <w:r>
        <w:rPr>
          <w:color w:val="000000" w:themeColor="text1"/>
          <w:sz w:val="24"/>
          <w:szCs w:val="24"/>
          <w:vertAlign w:val="superscript"/>
        </w:rPr>
        <w:t>+</w:t>
      </w:r>
      <w:r>
        <w:rPr>
          <w:color w:val="000000" w:themeColor="text1"/>
          <w:sz w:val="24"/>
          <w:szCs w:val="24"/>
        </w:rPr>
        <w:t xml:space="preserve"> CD4</w:t>
      </w:r>
      <w:r>
        <w:rPr>
          <w:color w:val="000000" w:themeColor="text1"/>
          <w:sz w:val="24"/>
          <w:szCs w:val="24"/>
          <w:vertAlign w:val="superscript"/>
        </w:rPr>
        <w:t>+</w:t>
      </w:r>
      <w:r>
        <w:rPr>
          <w:color w:val="000000" w:themeColor="text1"/>
          <w:sz w:val="24"/>
          <w:szCs w:val="24"/>
        </w:rPr>
        <w:t>), CD8+ T cells (CD45</w:t>
      </w:r>
      <w:r>
        <w:rPr>
          <w:color w:val="000000" w:themeColor="text1"/>
          <w:sz w:val="24"/>
          <w:szCs w:val="24"/>
          <w:vertAlign w:val="superscript"/>
        </w:rPr>
        <w:t>+</w:t>
      </w:r>
      <w:r>
        <w:rPr>
          <w:color w:val="000000" w:themeColor="text1"/>
          <w:sz w:val="24"/>
          <w:szCs w:val="24"/>
        </w:rPr>
        <w:t xml:space="preserve"> CD3</w:t>
      </w:r>
      <w:r>
        <w:rPr>
          <w:color w:val="000000" w:themeColor="text1"/>
          <w:sz w:val="24"/>
          <w:szCs w:val="24"/>
          <w:vertAlign w:val="superscript"/>
        </w:rPr>
        <w:t>+</w:t>
      </w:r>
      <w:r>
        <w:rPr>
          <w:color w:val="000000" w:themeColor="text1"/>
          <w:sz w:val="24"/>
          <w:szCs w:val="24"/>
        </w:rPr>
        <w:t xml:space="preserve"> CD8</w:t>
      </w:r>
      <w:r>
        <w:rPr>
          <w:color w:val="000000" w:themeColor="text1"/>
          <w:sz w:val="24"/>
          <w:szCs w:val="24"/>
          <w:vertAlign w:val="superscript"/>
        </w:rPr>
        <w:t>+</w:t>
      </w:r>
      <w:r>
        <w:rPr>
          <w:color w:val="000000" w:themeColor="text1"/>
          <w:sz w:val="24"/>
          <w:szCs w:val="24"/>
        </w:rPr>
        <w:t>).</w:t>
      </w:r>
      <w:r w:rsidR="009B41AA">
        <w:rPr>
          <w:rFonts w:hint="eastAsia"/>
          <w:color w:val="000000" w:themeColor="text1"/>
          <w:sz w:val="24"/>
          <w:szCs w:val="24"/>
        </w:rPr>
        <w:t xml:space="preserve"> </w:t>
      </w:r>
      <w:r>
        <w:rPr>
          <w:rFonts w:hint="eastAsia"/>
          <w:b/>
          <w:bCs/>
          <w:color w:val="000000" w:themeColor="text1"/>
          <w:sz w:val="24"/>
          <w:szCs w:val="24"/>
        </w:rPr>
        <w:t>b</w:t>
      </w:r>
      <w:r>
        <w:rPr>
          <w:color w:val="000000" w:themeColor="text1"/>
          <w:sz w:val="24"/>
          <w:szCs w:val="24"/>
        </w:rPr>
        <w:t xml:space="preserve"> Flow cytometry gating strategy of </w:t>
      </w:r>
      <w:r>
        <w:rPr>
          <w:rFonts w:hint="eastAsia"/>
          <w:color w:val="000000" w:themeColor="text1"/>
          <w:sz w:val="24"/>
          <w:szCs w:val="24"/>
        </w:rPr>
        <w:t>BM</w:t>
      </w:r>
      <w:r>
        <w:rPr>
          <w:color w:val="000000" w:themeColor="text1"/>
          <w:sz w:val="24"/>
          <w:szCs w:val="24"/>
        </w:rPr>
        <w:t xml:space="preserve"> common myeloid progenitors (CMPs, Lin</w:t>
      </w:r>
      <w:r>
        <w:rPr>
          <w:color w:val="000000" w:themeColor="text1"/>
          <w:sz w:val="24"/>
          <w:szCs w:val="24"/>
          <w:vertAlign w:val="superscript"/>
        </w:rPr>
        <w:t xml:space="preserve">- </w:t>
      </w:r>
      <w:r>
        <w:rPr>
          <w:color w:val="000000" w:themeColor="text1"/>
          <w:sz w:val="24"/>
          <w:szCs w:val="24"/>
        </w:rPr>
        <w:t>Sca-1</w:t>
      </w:r>
      <w:r>
        <w:rPr>
          <w:color w:val="000000" w:themeColor="text1"/>
          <w:sz w:val="24"/>
          <w:szCs w:val="24"/>
          <w:vertAlign w:val="superscript"/>
        </w:rPr>
        <w:t xml:space="preserve">- </w:t>
      </w:r>
      <w:r>
        <w:rPr>
          <w:color w:val="000000" w:themeColor="text1"/>
          <w:sz w:val="24"/>
          <w:szCs w:val="24"/>
        </w:rPr>
        <w:t>c-Kit</w:t>
      </w:r>
      <w:r>
        <w:rPr>
          <w:color w:val="000000" w:themeColor="text1"/>
          <w:sz w:val="24"/>
          <w:szCs w:val="24"/>
          <w:vertAlign w:val="superscript"/>
        </w:rPr>
        <w:t>+</w:t>
      </w:r>
      <w:r>
        <w:rPr>
          <w:color w:val="000000" w:themeColor="text1"/>
          <w:sz w:val="24"/>
          <w:szCs w:val="24"/>
        </w:rPr>
        <w:t xml:space="preserve"> CD34</w:t>
      </w:r>
      <w:r>
        <w:rPr>
          <w:color w:val="000000" w:themeColor="text1"/>
          <w:sz w:val="24"/>
          <w:szCs w:val="24"/>
          <w:vertAlign w:val="superscript"/>
        </w:rPr>
        <w:t>+</w:t>
      </w:r>
      <w:r>
        <w:rPr>
          <w:color w:val="000000" w:themeColor="text1"/>
          <w:sz w:val="24"/>
          <w:szCs w:val="24"/>
        </w:rPr>
        <w:t xml:space="preserve"> CD16/32</w:t>
      </w:r>
      <w:r>
        <w:rPr>
          <w:color w:val="000000" w:themeColor="text1"/>
          <w:sz w:val="24"/>
          <w:szCs w:val="24"/>
          <w:vertAlign w:val="superscript"/>
        </w:rPr>
        <w:t>int</w:t>
      </w:r>
      <w:r>
        <w:rPr>
          <w:color w:val="000000" w:themeColor="text1"/>
          <w:sz w:val="24"/>
          <w:szCs w:val="24"/>
        </w:rPr>
        <w:t>), granulocyte-monocyte progenitors (GMPs, Lin</w:t>
      </w:r>
      <w:r>
        <w:rPr>
          <w:color w:val="000000" w:themeColor="text1"/>
          <w:sz w:val="24"/>
          <w:szCs w:val="24"/>
          <w:vertAlign w:val="superscript"/>
        </w:rPr>
        <w:t xml:space="preserve">- </w:t>
      </w:r>
      <w:r>
        <w:rPr>
          <w:color w:val="000000" w:themeColor="text1"/>
          <w:sz w:val="24"/>
          <w:szCs w:val="24"/>
        </w:rPr>
        <w:t>Sca-1</w:t>
      </w:r>
      <w:r>
        <w:rPr>
          <w:color w:val="000000" w:themeColor="text1"/>
          <w:sz w:val="24"/>
          <w:szCs w:val="24"/>
          <w:vertAlign w:val="superscript"/>
        </w:rPr>
        <w:t xml:space="preserve">- </w:t>
      </w:r>
      <w:r>
        <w:rPr>
          <w:color w:val="000000" w:themeColor="text1"/>
          <w:sz w:val="24"/>
          <w:szCs w:val="24"/>
        </w:rPr>
        <w:t>c-Kit</w:t>
      </w:r>
      <w:r>
        <w:rPr>
          <w:color w:val="000000" w:themeColor="text1"/>
          <w:sz w:val="24"/>
          <w:szCs w:val="24"/>
          <w:vertAlign w:val="superscript"/>
        </w:rPr>
        <w:t>+</w:t>
      </w:r>
      <w:r>
        <w:rPr>
          <w:color w:val="000000" w:themeColor="text1"/>
          <w:sz w:val="24"/>
          <w:szCs w:val="24"/>
        </w:rPr>
        <w:t xml:space="preserve"> CD34</w:t>
      </w:r>
      <w:r>
        <w:rPr>
          <w:color w:val="000000" w:themeColor="text1"/>
          <w:sz w:val="24"/>
          <w:szCs w:val="24"/>
          <w:vertAlign w:val="superscript"/>
        </w:rPr>
        <w:t>+</w:t>
      </w:r>
      <w:r>
        <w:rPr>
          <w:color w:val="000000" w:themeColor="text1"/>
          <w:sz w:val="24"/>
          <w:szCs w:val="24"/>
        </w:rPr>
        <w:t xml:space="preserve"> CD16/32</w:t>
      </w:r>
      <w:r>
        <w:rPr>
          <w:color w:val="000000" w:themeColor="text1"/>
          <w:sz w:val="24"/>
          <w:szCs w:val="24"/>
          <w:vertAlign w:val="superscript"/>
        </w:rPr>
        <w:t>hi</w:t>
      </w:r>
      <w:r>
        <w:rPr>
          <w:color w:val="000000" w:themeColor="text1"/>
          <w:sz w:val="24"/>
          <w:szCs w:val="24"/>
        </w:rPr>
        <w:t>), monocyte-dendritic cell progenitors (MDPs, Lin</w:t>
      </w:r>
      <w:r>
        <w:rPr>
          <w:color w:val="000000" w:themeColor="text1"/>
          <w:sz w:val="24"/>
          <w:szCs w:val="24"/>
          <w:vertAlign w:val="superscript"/>
        </w:rPr>
        <w:t xml:space="preserve">- </w:t>
      </w:r>
      <w:r>
        <w:rPr>
          <w:color w:val="000000" w:themeColor="text1"/>
          <w:sz w:val="24"/>
          <w:szCs w:val="24"/>
        </w:rPr>
        <w:t>Sca-1</w:t>
      </w:r>
      <w:r>
        <w:rPr>
          <w:color w:val="000000" w:themeColor="text1"/>
          <w:sz w:val="24"/>
          <w:szCs w:val="24"/>
          <w:vertAlign w:val="superscript"/>
        </w:rPr>
        <w:t xml:space="preserve">- </w:t>
      </w:r>
      <w:r>
        <w:rPr>
          <w:color w:val="000000" w:themeColor="text1"/>
          <w:sz w:val="24"/>
          <w:szCs w:val="24"/>
        </w:rPr>
        <w:t>c-Kit</w:t>
      </w:r>
      <w:r>
        <w:rPr>
          <w:color w:val="000000" w:themeColor="text1"/>
          <w:sz w:val="24"/>
          <w:szCs w:val="24"/>
          <w:vertAlign w:val="superscript"/>
        </w:rPr>
        <w:t>+</w:t>
      </w:r>
      <w:r>
        <w:rPr>
          <w:color w:val="000000" w:themeColor="text1"/>
          <w:sz w:val="24"/>
          <w:szCs w:val="24"/>
        </w:rPr>
        <w:t xml:space="preserve"> CD34</w:t>
      </w:r>
      <w:r>
        <w:rPr>
          <w:color w:val="000000" w:themeColor="text1"/>
          <w:sz w:val="24"/>
          <w:szCs w:val="24"/>
          <w:vertAlign w:val="superscript"/>
        </w:rPr>
        <w:t>+</w:t>
      </w:r>
      <w:r>
        <w:rPr>
          <w:color w:val="000000" w:themeColor="text1"/>
          <w:sz w:val="24"/>
          <w:szCs w:val="24"/>
        </w:rPr>
        <w:t xml:space="preserve"> CD16/32</w:t>
      </w:r>
      <w:r>
        <w:rPr>
          <w:color w:val="000000" w:themeColor="text1"/>
          <w:sz w:val="24"/>
          <w:szCs w:val="24"/>
          <w:vertAlign w:val="superscript"/>
        </w:rPr>
        <w:t>hi</w:t>
      </w:r>
      <w:r>
        <w:rPr>
          <w:color w:val="000000" w:themeColor="text1"/>
          <w:sz w:val="24"/>
          <w:szCs w:val="24"/>
        </w:rPr>
        <w:t xml:space="preserve"> CD115</w:t>
      </w:r>
      <w:r>
        <w:rPr>
          <w:color w:val="000000" w:themeColor="text1"/>
          <w:sz w:val="24"/>
          <w:szCs w:val="24"/>
          <w:vertAlign w:val="superscript"/>
        </w:rPr>
        <w:t>+</w:t>
      </w:r>
      <w:r>
        <w:rPr>
          <w:color w:val="000000" w:themeColor="text1"/>
          <w:sz w:val="24"/>
          <w:szCs w:val="24"/>
        </w:rPr>
        <w:t>).</w:t>
      </w:r>
      <w:r w:rsidR="009B41AA">
        <w:rPr>
          <w:rFonts w:hint="eastAsia"/>
          <w:color w:val="000000" w:themeColor="text1"/>
          <w:sz w:val="24"/>
          <w:szCs w:val="24"/>
        </w:rPr>
        <w:t xml:space="preserve"> </w:t>
      </w:r>
      <w:r>
        <w:rPr>
          <w:rFonts w:hint="eastAsia"/>
          <w:b/>
          <w:bCs/>
          <w:color w:val="000000" w:themeColor="text1"/>
          <w:sz w:val="24"/>
          <w:szCs w:val="24"/>
        </w:rPr>
        <w:t>c</w:t>
      </w:r>
      <w:r>
        <w:rPr>
          <w:color w:val="000000" w:themeColor="text1"/>
          <w:sz w:val="24"/>
          <w:szCs w:val="24"/>
        </w:rPr>
        <w:t xml:space="preserve"> Flow cytometry gating strategy of bone marrow neutrophils (CD45</w:t>
      </w:r>
      <w:r>
        <w:rPr>
          <w:color w:val="000000" w:themeColor="text1"/>
          <w:sz w:val="24"/>
          <w:szCs w:val="24"/>
          <w:vertAlign w:val="superscript"/>
        </w:rPr>
        <w:t>+</w:t>
      </w:r>
      <w:r>
        <w:rPr>
          <w:color w:val="000000" w:themeColor="text1"/>
          <w:sz w:val="24"/>
          <w:szCs w:val="24"/>
        </w:rPr>
        <w:t xml:space="preserve"> CD11b</w:t>
      </w:r>
      <w:r>
        <w:rPr>
          <w:color w:val="000000" w:themeColor="text1"/>
          <w:sz w:val="24"/>
          <w:szCs w:val="24"/>
          <w:vertAlign w:val="superscript"/>
        </w:rPr>
        <w:t>+</w:t>
      </w:r>
      <w:r>
        <w:rPr>
          <w:color w:val="000000" w:themeColor="text1"/>
          <w:sz w:val="24"/>
          <w:szCs w:val="24"/>
        </w:rPr>
        <w:t xml:space="preserve"> Ly6G</w:t>
      </w:r>
      <w:r>
        <w:rPr>
          <w:color w:val="000000" w:themeColor="text1"/>
          <w:sz w:val="24"/>
          <w:szCs w:val="24"/>
          <w:vertAlign w:val="superscript"/>
        </w:rPr>
        <w:t>+</w:t>
      </w:r>
      <w:r>
        <w:rPr>
          <w:color w:val="000000" w:themeColor="text1"/>
          <w:sz w:val="24"/>
          <w:szCs w:val="24"/>
        </w:rPr>
        <w:t>), Ly6C</w:t>
      </w:r>
      <w:r>
        <w:rPr>
          <w:color w:val="000000" w:themeColor="text1"/>
          <w:sz w:val="24"/>
          <w:szCs w:val="24"/>
          <w:vertAlign w:val="superscript"/>
        </w:rPr>
        <w:t>high</w:t>
      </w:r>
      <w:r>
        <w:rPr>
          <w:color w:val="000000" w:themeColor="text1"/>
          <w:sz w:val="24"/>
          <w:szCs w:val="24"/>
        </w:rPr>
        <w:t xml:space="preserve"> monocytes (CD45</w:t>
      </w:r>
      <w:r>
        <w:rPr>
          <w:color w:val="000000" w:themeColor="text1"/>
          <w:sz w:val="24"/>
          <w:szCs w:val="24"/>
          <w:vertAlign w:val="superscript"/>
        </w:rPr>
        <w:t>+</w:t>
      </w:r>
      <w:r>
        <w:rPr>
          <w:color w:val="000000" w:themeColor="text1"/>
          <w:sz w:val="24"/>
          <w:szCs w:val="24"/>
        </w:rPr>
        <w:t xml:space="preserve"> CD11b</w:t>
      </w:r>
      <w:r>
        <w:rPr>
          <w:color w:val="000000" w:themeColor="text1"/>
          <w:sz w:val="24"/>
          <w:szCs w:val="24"/>
          <w:vertAlign w:val="superscript"/>
        </w:rPr>
        <w:t>+</w:t>
      </w:r>
      <w:r>
        <w:rPr>
          <w:color w:val="000000" w:themeColor="text1"/>
          <w:sz w:val="24"/>
          <w:szCs w:val="24"/>
        </w:rPr>
        <w:t xml:space="preserve"> Ly6G</w:t>
      </w:r>
      <w:r>
        <w:rPr>
          <w:color w:val="000000" w:themeColor="text1"/>
          <w:sz w:val="24"/>
          <w:szCs w:val="24"/>
          <w:vertAlign w:val="superscript"/>
        </w:rPr>
        <w:t xml:space="preserve">- </w:t>
      </w:r>
      <w:r>
        <w:rPr>
          <w:color w:val="000000" w:themeColor="text1"/>
          <w:sz w:val="24"/>
          <w:szCs w:val="24"/>
        </w:rPr>
        <w:t>F4/80</w:t>
      </w:r>
      <w:r>
        <w:rPr>
          <w:color w:val="000000" w:themeColor="text1"/>
          <w:sz w:val="24"/>
          <w:szCs w:val="24"/>
          <w:vertAlign w:val="superscript"/>
        </w:rPr>
        <w:t xml:space="preserve">- </w:t>
      </w:r>
      <w:r>
        <w:rPr>
          <w:color w:val="000000" w:themeColor="text1"/>
          <w:sz w:val="24"/>
          <w:szCs w:val="24"/>
        </w:rPr>
        <w:t>Ly6C</w:t>
      </w:r>
      <w:r>
        <w:rPr>
          <w:color w:val="000000" w:themeColor="text1"/>
          <w:sz w:val="24"/>
          <w:szCs w:val="24"/>
          <w:vertAlign w:val="superscript"/>
        </w:rPr>
        <w:t>high</w:t>
      </w:r>
      <w:r>
        <w:rPr>
          <w:color w:val="000000" w:themeColor="text1"/>
          <w:sz w:val="24"/>
          <w:szCs w:val="24"/>
        </w:rPr>
        <w:t>), and Ly6C</w:t>
      </w:r>
      <w:r>
        <w:rPr>
          <w:color w:val="000000" w:themeColor="text1"/>
          <w:sz w:val="24"/>
          <w:szCs w:val="24"/>
          <w:vertAlign w:val="superscript"/>
        </w:rPr>
        <w:t>low</w:t>
      </w:r>
      <w:r>
        <w:rPr>
          <w:color w:val="000000" w:themeColor="text1"/>
          <w:sz w:val="24"/>
          <w:szCs w:val="24"/>
        </w:rPr>
        <w:t xml:space="preserve"> monocytes (CD45</w:t>
      </w:r>
      <w:r>
        <w:rPr>
          <w:color w:val="000000" w:themeColor="text1"/>
          <w:sz w:val="24"/>
          <w:szCs w:val="24"/>
          <w:vertAlign w:val="superscript"/>
        </w:rPr>
        <w:t>+</w:t>
      </w:r>
      <w:r>
        <w:rPr>
          <w:color w:val="000000" w:themeColor="text1"/>
          <w:sz w:val="24"/>
          <w:szCs w:val="24"/>
        </w:rPr>
        <w:t xml:space="preserve"> CD11b</w:t>
      </w:r>
      <w:r>
        <w:rPr>
          <w:color w:val="000000" w:themeColor="text1"/>
          <w:sz w:val="24"/>
          <w:szCs w:val="24"/>
          <w:vertAlign w:val="superscript"/>
        </w:rPr>
        <w:t>+</w:t>
      </w:r>
      <w:r>
        <w:rPr>
          <w:color w:val="000000" w:themeColor="text1"/>
          <w:sz w:val="24"/>
          <w:szCs w:val="24"/>
        </w:rPr>
        <w:t xml:space="preserve"> Ly6G</w:t>
      </w:r>
      <w:r>
        <w:rPr>
          <w:color w:val="000000" w:themeColor="text1"/>
          <w:sz w:val="24"/>
          <w:szCs w:val="24"/>
          <w:vertAlign w:val="superscript"/>
        </w:rPr>
        <w:t xml:space="preserve">- </w:t>
      </w:r>
      <w:r>
        <w:rPr>
          <w:color w:val="000000" w:themeColor="text1"/>
          <w:sz w:val="24"/>
          <w:szCs w:val="24"/>
        </w:rPr>
        <w:t>F4/80</w:t>
      </w:r>
      <w:r>
        <w:rPr>
          <w:color w:val="000000" w:themeColor="text1"/>
          <w:sz w:val="24"/>
          <w:szCs w:val="24"/>
          <w:vertAlign w:val="superscript"/>
        </w:rPr>
        <w:t xml:space="preserve">- </w:t>
      </w:r>
      <w:r>
        <w:rPr>
          <w:color w:val="000000" w:themeColor="text1"/>
          <w:sz w:val="24"/>
          <w:szCs w:val="24"/>
        </w:rPr>
        <w:t>Ly6C</w:t>
      </w:r>
      <w:r>
        <w:rPr>
          <w:color w:val="000000" w:themeColor="text1"/>
          <w:sz w:val="24"/>
          <w:szCs w:val="24"/>
          <w:vertAlign w:val="superscript"/>
        </w:rPr>
        <w:t>low</w:t>
      </w:r>
      <w:r>
        <w:rPr>
          <w:color w:val="000000" w:themeColor="text1"/>
          <w:sz w:val="24"/>
          <w:szCs w:val="24"/>
        </w:rPr>
        <w:t>).</w:t>
      </w:r>
      <w:r w:rsidR="009B41AA">
        <w:rPr>
          <w:rFonts w:hint="eastAsia"/>
          <w:color w:val="000000" w:themeColor="text1"/>
          <w:sz w:val="24"/>
          <w:szCs w:val="24"/>
        </w:rPr>
        <w:t xml:space="preserve"> </w:t>
      </w:r>
      <w:r>
        <w:rPr>
          <w:rFonts w:hint="eastAsia"/>
          <w:b/>
          <w:bCs/>
          <w:color w:val="000000" w:themeColor="text1"/>
          <w:sz w:val="24"/>
          <w:szCs w:val="24"/>
        </w:rPr>
        <w:t>d</w:t>
      </w:r>
      <w:r>
        <w:rPr>
          <w:color w:val="000000" w:themeColor="text1"/>
          <w:sz w:val="24"/>
          <w:szCs w:val="24"/>
        </w:rPr>
        <w:t xml:space="preserve"> Flow cytometry gating strategy of </w:t>
      </w:r>
      <w:r>
        <w:rPr>
          <w:rFonts w:hint="eastAsia"/>
          <w:color w:val="000000" w:themeColor="text1"/>
          <w:sz w:val="24"/>
          <w:szCs w:val="24"/>
        </w:rPr>
        <w:t>BM</w:t>
      </w:r>
      <w:r>
        <w:rPr>
          <w:color w:val="000000" w:themeColor="text1"/>
          <w:sz w:val="24"/>
          <w:szCs w:val="24"/>
        </w:rPr>
        <w:t xml:space="preserve"> plasma cells (P</w:t>
      </w:r>
      <w:r>
        <w:rPr>
          <w:rFonts w:hint="eastAsia"/>
          <w:color w:val="000000" w:themeColor="text1"/>
          <w:sz w:val="24"/>
          <w:szCs w:val="24"/>
        </w:rPr>
        <w:t>C</w:t>
      </w:r>
      <w:r>
        <w:rPr>
          <w:color w:val="000000" w:themeColor="text1"/>
          <w:sz w:val="24"/>
          <w:szCs w:val="24"/>
        </w:rPr>
        <w:t>) (</w:t>
      </w:r>
      <w:r>
        <w:rPr>
          <w:rFonts w:eastAsia="微软雅黑"/>
          <w:color w:val="000000" w:themeColor="text1"/>
          <w:sz w:val="24"/>
          <w:szCs w:val="24"/>
        </w:rPr>
        <w:t>CD45</w:t>
      </w:r>
      <w:r>
        <w:rPr>
          <w:rFonts w:eastAsia="微软雅黑"/>
          <w:color w:val="000000" w:themeColor="text1"/>
          <w:sz w:val="24"/>
          <w:szCs w:val="24"/>
          <w:vertAlign w:val="superscript"/>
        </w:rPr>
        <w:t>+</w:t>
      </w:r>
      <w:r>
        <w:rPr>
          <w:rFonts w:eastAsia="微软雅黑"/>
          <w:color w:val="000000" w:themeColor="text1"/>
          <w:sz w:val="24"/>
          <w:szCs w:val="24"/>
        </w:rPr>
        <w:t xml:space="preserve"> CD3</w:t>
      </w:r>
      <w:r>
        <w:rPr>
          <w:rFonts w:eastAsia="微软雅黑"/>
          <w:color w:val="000000" w:themeColor="text1"/>
          <w:sz w:val="24"/>
          <w:szCs w:val="24"/>
          <w:vertAlign w:val="superscript"/>
        </w:rPr>
        <w:t>-</w:t>
      </w:r>
      <w:r>
        <w:rPr>
          <w:rFonts w:eastAsia="微软雅黑"/>
          <w:color w:val="000000" w:themeColor="text1"/>
          <w:sz w:val="24"/>
          <w:szCs w:val="24"/>
        </w:rPr>
        <w:t xml:space="preserve"> CD19</w:t>
      </w:r>
      <w:r>
        <w:rPr>
          <w:rFonts w:eastAsia="微软雅黑"/>
          <w:color w:val="000000" w:themeColor="text1"/>
          <w:sz w:val="24"/>
          <w:szCs w:val="24"/>
          <w:vertAlign w:val="superscript"/>
        </w:rPr>
        <w:t>+</w:t>
      </w:r>
      <w:r>
        <w:rPr>
          <w:rFonts w:eastAsia="微软雅黑"/>
          <w:color w:val="000000" w:themeColor="text1"/>
          <w:sz w:val="24"/>
          <w:szCs w:val="24"/>
        </w:rPr>
        <w:t>CD138</w:t>
      </w:r>
      <w:r>
        <w:rPr>
          <w:rFonts w:eastAsia="微软雅黑"/>
          <w:color w:val="000000" w:themeColor="text1"/>
          <w:sz w:val="24"/>
          <w:szCs w:val="24"/>
          <w:vertAlign w:val="superscript"/>
        </w:rPr>
        <w:t>+</w:t>
      </w:r>
      <w:r>
        <w:rPr>
          <w:color w:val="000000" w:themeColor="text1"/>
          <w:sz w:val="24"/>
          <w:szCs w:val="24"/>
        </w:rPr>
        <w:t xml:space="preserve">), </w:t>
      </w:r>
      <w:r>
        <w:rPr>
          <w:rFonts w:eastAsia="微软雅黑"/>
          <w:color w:val="000000" w:themeColor="text1"/>
          <w:sz w:val="24"/>
          <w:szCs w:val="24"/>
        </w:rPr>
        <w:t>B1a (CD45</w:t>
      </w:r>
      <w:r>
        <w:rPr>
          <w:rFonts w:eastAsia="微软雅黑"/>
          <w:color w:val="000000" w:themeColor="text1"/>
          <w:sz w:val="24"/>
          <w:szCs w:val="24"/>
          <w:vertAlign w:val="superscript"/>
        </w:rPr>
        <w:t>+</w:t>
      </w:r>
      <w:r>
        <w:rPr>
          <w:rFonts w:eastAsia="微软雅黑"/>
          <w:color w:val="000000" w:themeColor="text1"/>
          <w:sz w:val="24"/>
          <w:szCs w:val="24"/>
        </w:rPr>
        <w:t xml:space="preserve"> CD3</w:t>
      </w:r>
      <w:r>
        <w:rPr>
          <w:rFonts w:eastAsia="微软雅黑"/>
          <w:color w:val="000000" w:themeColor="text1"/>
          <w:sz w:val="24"/>
          <w:szCs w:val="24"/>
          <w:vertAlign w:val="superscript"/>
        </w:rPr>
        <w:t>-</w:t>
      </w:r>
      <w:r>
        <w:rPr>
          <w:rFonts w:eastAsia="微软雅黑"/>
          <w:color w:val="000000" w:themeColor="text1"/>
          <w:sz w:val="24"/>
          <w:szCs w:val="24"/>
        </w:rPr>
        <w:t xml:space="preserve"> CD19</w:t>
      </w:r>
      <w:r>
        <w:rPr>
          <w:rFonts w:eastAsia="微软雅黑"/>
          <w:color w:val="000000" w:themeColor="text1"/>
          <w:sz w:val="24"/>
          <w:szCs w:val="24"/>
          <w:vertAlign w:val="superscript"/>
        </w:rPr>
        <w:t>+</w:t>
      </w:r>
      <w:r>
        <w:rPr>
          <w:rFonts w:eastAsia="微软雅黑"/>
          <w:color w:val="000000" w:themeColor="text1"/>
          <w:sz w:val="24"/>
          <w:szCs w:val="24"/>
        </w:rPr>
        <w:t xml:space="preserve"> CD11b</w:t>
      </w:r>
      <w:r>
        <w:rPr>
          <w:rFonts w:eastAsia="微软雅黑"/>
          <w:color w:val="000000" w:themeColor="text1"/>
          <w:sz w:val="24"/>
          <w:szCs w:val="24"/>
          <w:vertAlign w:val="superscript"/>
        </w:rPr>
        <w:t>+</w:t>
      </w:r>
      <w:r>
        <w:rPr>
          <w:rFonts w:eastAsia="微软雅黑"/>
          <w:color w:val="000000" w:themeColor="text1"/>
          <w:sz w:val="24"/>
          <w:szCs w:val="24"/>
        </w:rPr>
        <w:t>CD5</w:t>
      </w:r>
      <w:r>
        <w:rPr>
          <w:rFonts w:eastAsia="微软雅黑"/>
          <w:color w:val="000000" w:themeColor="text1"/>
          <w:sz w:val="24"/>
          <w:szCs w:val="24"/>
          <w:vertAlign w:val="superscript"/>
        </w:rPr>
        <w:t>+</w:t>
      </w:r>
      <w:r>
        <w:rPr>
          <w:rFonts w:eastAsia="微软雅黑"/>
          <w:color w:val="000000" w:themeColor="text1"/>
          <w:sz w:val="24"/>
          <w:szCs w:val="24"/>
        </w:rPr>
        <w:t>), B1b(CD45</w:t>
      </w:r>
      <w:r>
        <w:rPr>
          <w:rFonts w:eastAsia="微软雅黑"/>
          <w:color w:val="000000" w:themeColor="text1"/>
          <w:sz w:val="24"/>
          <w:szCs w:val="24"/>
          <w:vertAlign w:val="superscript"/>
        </w:rPr>
        <w:t>+</w:t>
      </w:r>
      <w:r>
        <w:rPr>
          <w:rFonts w:eastAsia="微软雅黑"/>
          <w:color w:val="000000" w:themeColor="text1"/>
          <w:sz w:val="24"/>
          <w:szCs w:val="24"/>
        </w:rPr>
        <w:t xml:space="preserve"> CD3</w:t>
      </w:r>
      <w:r>
        <w:rPr>
          <w:rFonts w:eastAsia="微软雅黑"/>
          <w:color w:val="000000" w:themeColor="text1"/>
          <w:sz w:val="24"/>
          <w:szCs w:val="24"/>
          <w:vertAlign w:val="superscript"/>
        </w:rPr>
        <w:t>-</w:t>
      </w:r>
      <w:r>
        <w:rPr>
          <w:rFonts w:eastAsia="微软雅黑"/>
          <w:color w:val="000000" w:themeColor="text1"/>
          <w:sz w:val="24"/>
          <w:szCs w:val="24"/>
        </w:rPr>
        <w:t xml:space="preserve"> CD19</w:t>
      </w:r>
      <w:r>
        <w:rPr>
          <w:rFonts w:eastAsia="微软雅黑"/>
          <w:color w:val="000000" w:themeColor="text1"/>
          <w:sz w:val="24"/>
          <w:szCs w:val="24"/>
          <w:vertAlign w:val="superscript"/>
        </w:rPr>
        <w:t>+</w:t>
      </w:r>
      <w:r>
        <w:rPr>
          <w:rFonts w:eastAsia="微软雅黑"/>
          <w:color w:val="000000" w:themeColor="text1"/>
          <w:sz w:val="24"/>
          <w:szCs w:val="24"/>
        </w:rPr>
        <w:t xml:space="preserve"> CD11b</w:t>
      </w:r>
      <w:r>
        <w:rPr>
          <w:rFonts w:eastAsia="微软雅黑"/>
          <w:color w:val="000000" w:themeColor="text1"/>
          <w:sz w:val="24"/>
          <w:szCs w:val="24"/>
          <w:vertAlign w:val="superscript"/>
        </w:rPr>
        <w:t>+</w:t>
      </w:r>
      <w:r>
        <w:rPr>
          <w:rFonts w:eastAsia="微软雅黑"/>
          <w:color w:val="000000" w:themeColor="text1"/>
          <w:sz w:val="24"/>
          <w:szCs w:val="24"/>
        </w:rPr>
        <w:t>CD5</w:t>
      </w:r>
      <w:r>
        <w:rPr>
          <w:rFonts w:eastAsia="微软雅黑"/>
          <w:color w:val="000000" w:themeColor="text1"/>
          <w:sz w:val="24"/>
          <w:szCs w:val="24"/>
          <w:vertAlign w:val="superscript"/>
        </w:rPr>
        <w:t>-</w:t>
      </w:r>
      <w:r>
        <w:rPr>
          <w:rFonts w:eastAsia="微软雅黑"/>
          <w:color w:val="000000" w:themeColor="text1"/>
          <w:sz w:val="24"/>
          <w:szCs w:val="24"/>
        </w:rPr>
        <w:t>), B2(CD45</w:t>
      </w:r>
      <w:r>
        <w:rPr>
          <w:rFonts w:eastAsia="微软雅黑"/>
          <w:color w:val="000000" w:themeColor="text1"/>
          <w:sz w:val="24"/>
          <w:szCs w:val="24"/>
          <w:vertAlign w:val="superscript"/>
        </w:rPr>
        <w:t>+</w:t>
      </w:r>
      <w:r>
        <w:rPr>
          <w:rFonts w:eastAsia="微软雅黑"/>
          <w:color w:val="000000" w:themeColor="text1"/>
          <w:sz w:val="24"/>
          <w:szCs w:val="24"/>
        </w:rPr>
        <w:t xml:space="preserve"> CD3</w:t>
      </w:r>
      <w:r>
        <w:rPr>
          <w:rFonts w:eastAsia="微软雅黑"/>
          <w:color w:val="000000" w:themeColor="text1"/>
          <w:sz w:val="24"/>
          <w:szCs w:val="24"/>
          <w:vertAlign w:val="superscript"/>
        </w:rPr>
        <w:t>-</w:t>
      </w:r>
      <w:r>
        <w:rPr>
          <w:rFonts w:eastAsia="微软雅黑"/>
          <w:color w:val="000000" w:themeColor="text1"/>
          <w:sz w:val="24"/>
          <w:szCs w:val="24"/>
        </w:rPr>
        <w:t xml:space="preserve"> CD19</w:t>
      </w:r>
      <w:r>
        <w:rPr>
          <w:rFonts w:eastAsia="微软雅黑"/>
          <w:color w:val="000000" w:themeColor="text1"/>
          <w:sz w:val="24"/>
          <w:szCs w:val="24"/>
          <w:vertAlign w:val="superscript"/>
        </w:rPr>
        <w:t>+</w:t>
      </w:r>
      <w:r>
        <w:rPr>
          <w:rFonts w:eastAsia="微软雅黑"/>
          <w:color w:val="000000" w:themeColor="text1"/>
          <w:sz w:val="24"/>
          <w:szCs w:val="24"/>
        </w:rPr>
        <w:t>CD11b</w:t>
      </w:r>
      <w:r>
        <w:rPr>
          <w:rFonts w:eastAsia="微软雅黑"/>
          <w:color w:val="000000" w:themeColor="text1"/>
          <w:sz w:val="24"/>
          <w:szCs w:val="24"/>
          <w:vertAlign w:val="superscript"/>
        </w:rPr>
        <w:t>-</w:t>
      </w:r>
      <w:r>
        <w:rPr>
          <w:rFonts w:eastAsia="微软雅黑"/>
          <w:color w:val="000000" w:themeColor="text1"/>
          <w:sz w:val="24"/>
          <w:szCs w:val="24"/>
        </w:rPr>
        <w:t>CD5</w:t>
      </w:r>
      <w:r>
        <w:rPr>
          <w:rFonts w:eastAsia="微软雅黑"/>
          <w:color w:val="000000" w:themeColor="text1"/>
          <w:sz w:val="24"/>
          <w:szCs w:val="24"/>
          <w:vertAlign w:val="superscript"/>
        </w:rPr>
        <w:t>-</w:t>
      </w:r>
      <w:r>
        <w:rPr>
          <w:rFonts w:eastAsia="微软雅黑"/>
          <w:color w:val="000000" w:themeColor="text1"/>
          <w:sz w:val="24"/>
          <w:szCs w:val="24"/>
        </w:rPr>
        <w:t>), ABCs (CD45</w:t>
      </w:r>
      <w:r>
        <w:rPr>
          <w:rFonts w:eastAsia="微软雅黑"/>
          <w:color w:val="000000" w:themeColor="text1"/>
          <w:sz w:val="24"/>
          <w:szCs w:val="24"/>
          <w:vertAlign w:val="superscript"/>
        </w:rPr>
        <w:t>+</w:t>
      </w:r>
      <w:r>
        <w:rPr>
          <w:rFonts w:eastAsia="微软雅黑"/>
          <w:color w:val="000000" w:themeColor="text1"/>
          <w:sz w:val="24"/>
          <w:szCs w:val="24"/>
        </w:rPr>
        <w:t xml:space="preserve"> CD19</w:t>
      </w:r>
      <w:r>
        <w:rPr>
          <w:rFonts w:eastAsia="微软雅黑"/>
          <w:color w:val="000000" w:themeColor="text1"/>
          <w:sz w:val="24"/>
          <w:szCs w:val="24"/>
          <w:vertAlign w:val="superscript"/>
        </w:rPr>
        <w:t>+</w:t>
      </w:r>
      <w:r>
        <w:rPr>
          <w:rFonts w:eastAsia="微软雅黑"/>
          <w:color w:val="000000" w:themeColor="text1"/>
          <w:sz w:val="24"/>
          <w:szCs w:val="24"/>
        </w:rPr>
        <w:t xml:space="preserve"> CD11b</w:t>
      </w:r>
      <w:r>
        <w:rPr>
          <w:rFonts w:eastAsia="微软雅黑"/>
          <w:color w:val="000000" w:themeColor="text1"/>
          <w:sz w:val="24"/>
          <w:szCs w:val="24"/>
          <w:vertAlign w:val="superscript"/>
        </w:rPr>
        <w:t xml:space="preserve">+ </w:t>
      </w:r>
      <w:r>
        <w:rPr>
          <w:rFonts w:eastAsia="微软雅黑"/>
          <w:color w:val="000000" w:themeColor="text1"/>
          <w:sz w:val="24"/>
          <w:szCs w:val="24"/>
        </w:rPr>
        <w:t>CD11c</w:t>
      </w:r>
      <w:r>
        <w:rPr>
          <w:rFonts w:eastAsia="微软雅黑"/>
          <w:color w:val="000000" w:themeColor="text1"/>
          <w:sz w:val="24"/>
          <w:szCs w:val="24"/>
          <w:vertAlign w:val="superscript"/>
        </w:rPr>
        <w:t>+</w:t>
      </w:r>
      <w:r>
        <w:rPr>
          <w:rFonts w:eastAsia="微软雅黑"/>
          <w:color w:val="000000" w:themeColor="text1"/>
          <w:sz w:val="24"/>
          <w:szCs w:val="24"/>
        </w:rPr>
        <w:t xml:space="preserve"> CD21</w:t>
      </w:r>
      <w:r>
        <w:rPr>
          <w:rFonts w:eastAsia="微软雅黑"/>
          <w:color w:val="000000" w:themeColor="text1"/>
          <w:sz w:val="24"/>
          <w:szCs w:val="24"/>
          <w:vertAlign w:val="superscript"/>
        </w:rPr>
        <w:t>-</w:t>
      </w:r>
      <w:r>
        <w:rPr>
          <w:rFonts w:eastAsia="微软雅黑"/>
          <w:color w:val="000000" w:themeColor="text1"/>
          <w:sz w:val="24"/>
          <w:szCs w:val="24"/>
        </w:rPr>
        <w:t xml:space="preserve"> CD23</w:t>
      </w:r>
      <w:r>
        <w:rPr>
          <w:rFonts w:eastAsia="微软雅黑"/>
          <w:color w:val="000000" w:themeColor="text1"/>
          <w:sz w:val="24"/>
          <w:szCs w:val="24"/>
          <w:vertAlign w:val="superscript"/>
        </w:rPr>
        <w:t>-</w:t>
      </w:r>
      <w:r>
        <w:rPr>
          <w:rFonts w:eastAsia="微软雅黑"/>
          <w:color w:val="000000" w:themeColor="text1"/>
          <w:sz w:val="24"/>
          <w:szCs w:val="24"/>
        </w:rPr>
        <w:t>), CD21</w:t>
      </w:r>
      <w:r>
        <w:rPr>
          <w:rFonts w:eastAsia="微软雅黑"/>
          <w:color w:val="000000" w:themeColor="text1"/>
          <w:sz w:val="24"/>
          <w:szCs w:val="24"/>
          <w:vertAlign w:val="superscript"/>
        </w:rPr>
        <w:t>-</w:t>
      </w:r>
      <w:r>
        <w:rPr>
          <w:rFonts w:eastAsia="微软雅黑"/>
          <w:color w:val="000000" w:themeColor="text1"/>
          <w:sz w:val="24"/>
          <w:szCs w:val="24"/>
        </w:rPr>
        <w:t>CD23</w:t>
      </w:r>
      <w:r>
        <w:rPr>
          <w:rFonts w:eastAsia="微软雅黑"/>
          <w:color w:val="000000" w:themeColor="text1"/>
          <w:sz w:val="24"/>
          <w:szCs w:val="24"/>
          <w:vertAlign w:val="superscript"/>
        </w:rPr>
        <w:t>-</w:t>
      </w:r>
      <w:r>
        <w:rPr>
          <w:rFonts w:eastAsia="微软雅黑"/>
          <w:color w:val="000000" w:themeColor="text1"/>
          <w:sz w:val="24"/>
          <w:szCs w:val="24"/>
        </w:rPr>
        <w:t>B cells (CD45</w:t>
      </w:r>
      <w:r>
        <w:rPr>
          <w:rFonts w:eastAsia="微软雅黑"/>
          <w:color w:val="000000" w:themeColor="text1"/>
          <w:sz w:val="24"/>
          <w:szCs w:val="24"/>
          <w:vertAlign w:val="superscript"/>
        </w:rPr>
        <w:t>+</w:t>
      </w:r>
      <w:r>
        <w:rPr>
          <w:rFonts w:eastAsia="微软雅黑"/>
          <w:color w:val="000000" w:themeColor="text1"/>
          <w:sz w:val="24"/>
          <w:szCs w:val="24"/>
        </w:rPr>
        <w:t xml:space="preserve"> CD19</w:t>
      </w:r>
      <w:r>
        <w:rPr>
          <w:rFonts w:eastAsia="微软雅黑"/>
          <w:color w:val="000000" w:themeColor="text1"/>
          <w:sz w:val="24"/>
          <w:szCs w:val="24"/>
          <w:vertAlign w:val="superscript"/>
        </w:rPr>
        <w:t>+</w:t>
      </w:r>
      <w:r>
        <w:rPr>
          <w:rFonts w:eastAsia="微软雅黑"/>
          <w:color w:val="000000" w:themeColor="text1"/>
          <w:sz w:val="24"/>
          <w:szCs w:val="24"/>
        </w:rPr>
        <w:t xml:space="preserve"> CD21</w:t>
      </w:r>
      <w:r>
        <w:rPr>
          <w:rFonts w:eastAsia="微软雅黑"/>
          <w:color w:val="000000" w:themeColor="text1"/>
          <w:sz w:val="24"/>
          <w:szCs w:val="24"/>
          <w:vertAlign w:val="superscript"/>
        </w:rPr>
        <w:t>-</w:t>
      </w:r>
      <w:r>
        <w:rPr>
          <w:rFonts w:eastAsia="微软雅黑"/>
          <w:color w:val="000000" w:themeColor="text1"/>
          <w:sz w:val="24"/>
          <w:szCs w:val="24"/>
        </w:rPr>
        <w:t>CD23</w:t>
      </w:r>
      <w:r>
        <w:rPr>
          <w:rFonts w:eastAsia="微软雅黑"/>
          <w:color w:val="000000" w:themeColor="text1"/>
          <w:sz w:val="24"/>
          <w:szCs w:val="24"/>
          <w:vertAlign w:val="superscript"/>
        </w:rPr>
        <w:t>-</w:t>
      </w:r>
      <w:r>
        <w:rPr>
          <w:rFonts w:eastAsia="微软雅黑"/>
          <w:color w:val="000000" w:themeColor="text1"/>
          <w:sz w:val="24"/>
          <w:szCs w:val="24"/>
        </w:rPr>
        <w:t>), CD21</w:t>
      </w:r>
      <w:r>
        <w:rPr>
          <w:rFonts w:eastAsia="微软雅黑"/>
          <w:color w:val="000000" w:themeColor="text1"/>
          <w:sz w:val="24"/>
          <w:szCs w:val="24"/>
          <w:vertAlign w:val="superscript"/>
        </w:rPr>
        <w:t>+</w:t>
      </w:r>
      <w:r>
        <w:rPr>
          <w:rFonts w:eastAsia="微软雅黑"/>
          <w:color w:val="000000" w:themeColor="text1"/>
          <w:sz w:val="24"/>
          <w:szCs w:val="24"/>
        </w:rPr>
        <w:t>CD23</w:t>
      </w:r>
      <w:r>
        <w:rPr>
          <w:rFonts w:eastAsia="微软雅黑"/>
          <w:color w:val="000000" w:themeColor="text1"/>
          <w:sz w:val="24"/>
          <w:szCs w:val="24"/>
          <w:vertAlign w:val="superscript"/>
        </w:rPr>
        <w:t>-</w:t>
      </w:r>
      <w:r>
        <w:rPr>
          <w:rFonts w:eastAsia="微软雅黑"/>
          <w:color w:val="000000" w:themeColor="text1"/>
          <w:sz w:val="24"/>
          <w:szCs w:val="24"/>
        </w:rPr>
        <w:t>B cells (CD45</w:t>
      </w:r>
      <w:r>
        <w:rPr>
          <w:rFonts w:eastAsia="微软雅黑"/>
          <w:color w:val="000000" w:themeColor="text1"/>
          <w:sz w:val="24"/>
          <w:szCs w:val="24"/>
          <w:vertAlign w:val="superscript"/>
        </w:rPr>
        <w:t>+</w:t>
      </w:r>
      <w:r>
        <w:rPr>
          <w:rFonts w:eastAsia="微软雅黑"/>
          <w:color w:val="000000" w:themeColor="text1"/>
          <w:sz w:val="24"/>
          <w:szCs w:val="24"/>
        </w:rPr>
        <w:t xml:space="preserve"> CD19</w:t>
      </w:r>
      <w:r>
        <w:rPr>
          <w:rFonts w:eastAsia="微软雅黑"/>
          <w:color w:val="000000" w:themeColor="text1"/>
          <w:sz w:val="24"/>
          <w:szCs w:val="24"/>
          <w:vertAlign w:val="superscript"/>
        </w:rPr>
        <w:t>+</w:t>
      </w:r>
      <w:r>
        <w:rPr>
          <w:rFonts w:eastAsia="微软雅黑"/>
          <w:color w:val="000000" w:themeColor="text1"/>
          <w:sz w:val="24"/>
          <w:szCs w:val="24"/>
        </w:rPr>
        <w:t xml:space="preserve"> CD21</w:t>
      </w:r>
      <w:r>
        <w:rPr>
          <w:rFonts w:eastAsia="微软雅黑"/>
          <w:color w:val="000000" w:themeColor="text1"/>
          <w:sz w:val="24"/>
          <w:szCs w:val="24"/>
          <w:vertAlign w:val="superscript"/>
        </w:rPr>
        <w:t>+</w:t>
      </w:r>
      <w:r>
        <w:rPr>
          <w:rFonts w:eastAsia="微软雅黑"/>
          <w:color w:val="000000" w:themeColor="text1"/>
          <w:sz w:val="24"/>
          <w:szCs w:val="24"/>
        </w:rPr>
        <w:t>CD23</w:t>
      </w:r>
      <w:r>
        <w:rPr>
          <w:rFonts w:eastAsia="微软雅黑"/>
          <w:color w:val="000000" w:themeColor="text1"/>
          <w:sz w:val="24"/>
          <w:szCs w:val="24"/>
          <w:vertAlign w:val="superscript"/>
        </w:rPr>
        <w:t>-</w:t>
      </w:r>
      <w:r>
        <w:rPr>
          <w:rFonts w:eastAsia="微软雅黑"/>
          <w:color w:val="000000" w:themeColor="text1"/>
          <w:sz w:val="24"/>
          <w:szCs w:val="24"/>
        </w:rPr>
        <w:t>), FOB (CD45</w:t>
      </w:r>
      <w:r>
        <w:rPr>
          <w:rFonts w:eastAsia="微软雅黑"/>
          <w:color w:val="000000" w:themeColor="text1"/>
          <w:sz w:val="24"/>
          <w:szCs w:val="24"/>
          <w:vertAlign w:val="superscript"/>
        </w:rPr>
        <w:t>+</w:t>
      </w:r>
      <w:r>
        <w:rPr>
          <w:rFonts w:eastAsia="微软雅黑"/>
          <w:color w:val="000000" w:themeColor="text1"/>
          <w:sz w:val="24"/>
          <w:szCs w:val="24"/>
        </w:rPr>
        <w:t xml:space="preserve"> CD19</w:t>
      </w:r>
      <w:r>
        <w:rPr>
          <w:rFonts w:eastAsia="微软雅黑"/>
          <w:color w:val="000000" w:themeColor="text1"/>
          <w:sz w:val="24"/>
          <w:szCs w:val="24"/>
          <w:vertAlign w:val="superscript"/>
        </w:rPr>
        <w:t>+</w:t>
      </w:r>
      <w:r>
        <w:rPr>
          <w:rFonts w:eastAsia="微软雅黑"/>
          <w:color w:val="000000" w:themeColor="text1"/>
          <w:sz w:val="24"/>
          <w:szCs w:val="24"/>
        </w:rPr>
        <w:t xml:space="preserve"> CD21</w:t>
      </w:r>
      <w:r>
        <w:rPr>
          <w:rFonts w:eastAsia="微软雅黑"/>
          <w:color w:val="000000" w:themeColor="text1"/>
          <w:sz w:val="24"/>
          <w:szCs w:val="24"/>
          <w:vertAlign w:val="superscript"/>
        </w:rPr>
        <w:t>+</w:t>
      </w:r>
      <w:r>
        <w:rPr>
          <w:rFonts w:eastAsia="微软雅黑"/>
          <w:color w:val="000000" w:themeColor="text1"/>
          <w:sz w:val="24"/>
          <w:szCs w:val="24"/>
        </w:rPr>
        <w:t>CD23</w:t>
      </w:r>
      <w:r>
        <w:rPr>
          <w:rFonts w:eastAsia="微软雅黑"/>
          <w:color w:val="000000" w:themeColor="text1"/>
          <w:sz w:val="24"/>
          <w:szCs w:val="24"/>
          <w:vertAlign w:val="superscript"/>
        </w:rPr>
        <w:t>+</w:t>
      </w:r>
      <w:r>
        <w:rPr>
          <w:rFonts w:eastAsia="微软雅黑"/>
          <w:color w:val="000000" w:themeColor="text1"/>
          <w:sz w:val="24"/>
          <w:szCs w:val="24"/>
        </w:rPr>
        <w:t>)</w:t>
      </w:r>
      <w:r>
        <w:rPr>
          <w:color w:val="000000" w:themeColor="text1"/>
          <w:sz w:val="24"/>
          <w:szCs w:val="24"/>
        </w:rPr>
        <w:t>.</w:t>
      </w:r>
    </w:p>
    <w:p w14:paraId="194CD68F" w14:textId="77777777" w:rsidR="003B61E9" w:rsidRDefault="00000000">
      <w:pPr>
        <w:spacing w:line="480" w:lineRule="auto"/>
        <w:rPr>
          <w:color w:val="000000" w:themeColor="text1"/>
          <w:sz w:val="24"/>
          <w:szCs w:val="24"/>
        </w:rPr>
      </w:pPr>
      <w:r>
        <w:rPr>
          <w:color w:val="000000" w:themeColor="text1"/>
          <w:sz w:val="24"/>
          <w:szCs w:val="24"/>
        </w:rPr>
        <w:br w:type="page"/>
      </w:r>
    </w:p>
    <w:p w14:paraId="33CFE9D7" w14:textId="77777777" w:rsidR="003B61E9" w:rsidRDefault="00000000">
      <w:pPr>
        <w:spacing w:line="480" w:lineRule="auto"/>
        <w:rPr>
          <w:b/>
          <w:bCs/>
          <w:color w:val="000000" w:themeColor="text1"/>
          <w:sz w:val="24"/>
          <w:szCs w:val="24"/>
        </w:rPr>
      </w:pPr>
      <w:r>
        <w:rPr>
          <w:noProof/>
          <w:color w:val="000000" w:themeColor="text1"/>
        </w:rPr>
        <w:lastRenderedPageBreak/>
        <w:drawing>
          <wp:inline distT="0" distB="0" distL="0" distR="0" wp14:anchorId="26C23868" wp14:editId="03FAA2FC">
            <wp:extent cx="6645910" cy="8403590"/>
            <wp:effectExtent l="0" t="0" r="2540" b="0"/>
            <wp:docPr id="16574012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401223" name="图片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6645910" cy="8403590"/>
                    </a:xfrm>
                    <a:prstGeom prst="rect">
                      <a:avLst/>
                    </a:prstGeom>
                    <a:noFill/>
                    <a:ln>
                      <a:noFill/>
                    </a:ln>
                  </pic:spPr>
                </pic:pic>
              </a:graphicData>
            </a:graphic>
          </wp:inline>
        </w:drawing>
      </w:r>
      <w:bookmarkStart w:id="4" w:name="_Hlk119055850"/>
      <w:r>
        <w:rPr>
          <w:b/>
          <w:bCs/>
          <w:color w:val="000000" w:themeColor="text1"/>
          <w:sz w:val="24"/>
          <w:szCs w:val="24"/>
        </w:rPr>
        <w:t xml:space="preserve"> Figure. S</w:t>
      </w:r>
      <w:r>
        <w:rPr>
          <w:rFonts w:hint="eastAsia"/>
          <w:b/>
          <w:bCs/>
          <w:color w:val="000000" w:themeColor="text1"/>
          <w:sz w:val="24"/>
          <w:szCs w:val="24"/>
        </w:rPr>
        <w:t>2.</w:t>
      </w:r>
      <w:r>
        <w:rPr>
          <w:b/>
          <w:bCs/>
          <w:color w:val="000000" w:themeColor="text1"/>
          <w:sz w:val="24"/>
          <w:szCs w:val="24"/>
        </w:rPr>
        <w:t xml:space="preserve">  </w:t>
      </w:r>
    </w:p>
    <w:p w14:paraId="056381FB" w14:textId="437AEDE6" w:rsidR="003B61E9" w:rsidRDefault="00000000">
      <w:pPr>
        <w:spacing w:line="480" w:lineRule="auto"/>
        <w:rPr>
          <w:color w:val="000000" w:themeColor="text1"/>
          <w:sz w:val="24"/>
          <w:szCs w:val="24"/>
        </w:rPr>
      </w:pPr>
      <w:r>
        <w:rPr>
          <w:b/>
          <w:bCs/>
          <w:color w:val="000000" w:themeColor="text1"/>
          <w:sz w:val="24"/>
          <w:szCs w:val="24"/>
        </w:rPr>
        <w:t>Mobilization of HSCs and increased lymphopoiesis in skull bone marrow of 8-month-old APP/PS1 mice, related to Fig</w:t>
      </w:r>
      <w:r>
        <w:rPr>
          <w:rFonts w:hint="eastAsia"/>
          <w:b/>
          <w:bCs/>
          <w:color w:val="000000" w:themeColor="text1"/>
          <w:sz w:val="24"/>
          <w:szCs w:val="24"/>
        </w:rPr>
        <w:t xml:space="preserve">. </w:t>
      </w:r>
      <w:r>
        <w:rPr>
          <w:b/>
          <w:bCs/>
          <w:color w:val="000000" w:themeColor="text1"/>
          <w:sz w:val="24"/>
          <w:szCs w:val="24"/>
        </w:rPr>
        <w:t>2-3.</w:t>
      </w:r>
      <w:r w:rsidR="009B41AA">
        <w:rPr>
          <w:rFonts w:hint="eastAsia"/>
          <w:b/>
          <w:bCs/>
          <w:color w:val="000000" w:themeColor="text1"/>
          <w:sz w:val="24"/>
          <w:szCs w:val="24"/>
        </w:rPr>
        <w:t xml:space="preserve"> </w:t>
      </w:r>
      <w:r>
        <w:rPr>
          <w:color w:val="000000" w:themeColor="text1"/>
          <w:sz w:val="24"/>
          <w:szCs w:val="24"/>
        </w:rPr>
        <w:t xml:space="preserve">Flow cytometry detection of HSCs and immune progenitor cells of bone marrow </w:t>
      </w:r>
      <w:r>
        <w:rPr>
          <w:color w:val="000000" w:themeColor="text1"/>
          <w:sz w:val="24"/>
          <w:szCs w:val="24"/>
        </w:rPr>
        <w:lastRenderedPageBreak/>
        <w:t xml:space="preserve">and mature immune cells of brain in 8-month-old APP/PS1 mice and WT </w:t>
      </w:r>
      <w:r>
        <w:rPr>
          <w:rFonts w:hint="eastAsia"/>
          <w:color w:val="000000" w:themeColor="text1"/>
          <w:sz w:val="24"/>
          <w:szCs w:val="24"/>
        </w:rPr>
        <w:t>counterparts</w:t>
      </w:r>
      <w:r>
        <w:rPr>
          <w:color w:val="000000" w:themeColor="text1"/>
          <w:sz w:val="24"/>
          <w:szCs w:val="24"/>
        </w:rPr>
        <w:t>.</w:t>
      </w:r>
      <w:r w:rsidR="009B41AA">
        <w:rPr>
          <w:rFonts w:hint="eastAsia"/>
          <w:color w:val="000000" w:themeColor="text1"/>
          <w:sz w:val="24"/>
          <w:szCs w:val="24"/>
        </w:rPr>
        <w:t xml:space="preserve"> </w:t>
      </w:r>
      <w:r>
        <w:rPr>
          <w:rFonts w:hint="eastAsia"/>
          <w:b/>
          <w:bCs/>
          <w:color w:val="000000" w:themeColor="text1"/>
          <w:sz w:val="24"/>
          <w:szCs w:val="24"/>
        </w:rPr>
        <w:t>a</w:t>
      </w:r>
      <w:r>
        <w:rPr>
          <w:b/>
          <w:bCs/>
          <w:color w:val="000000" w:themeColor="text1"/>
          <w:sz w:val="24"/>
          <w:szCs w:val="24"/>
        </w:rPr>
        <w:t>-</w:t>
      </w:r>
      <w:r>
        <w:rPr>
          <w:rFonts w:hint="eastAsia"/>
          <w:b/>
          <w:bCs/>
          <w:color w:val="000000" w:themeColor="text1"/>
          <w:sz w:val="24"/>
          <w:szCs w:val="24"/>
        </w:rPr>
        <w:t>c</w:t>
      </w:r>
      <w:r>
        <w:rPr>
          <w:color w:val="000000" w:themeColor="text1"/>
          <w:sz w:val="24"/>
          <w:szCs w:val="24"/>
        </w:rPr>
        <w:t xml:space="preserve"> Counts and frequency of HSCs (</w:t>
      </w:r>
      <w:r>
        <w:rPr>
          <w:rFonts w:hint="eastAsia"/>
          <w:b/>
          <w:bCs/>
          <w:color w:val="000000" w:themeColor="text1"/>
          <w:sz w:val="24"/>
          <w:szCs w:val="24"/>
        </w:rPr>
        <w:t>a</w:t>
      </w:r>
      <w:r>
        <w:rPr>
          <w:color w:val="000000" w:themeColor="text1"/>
          <w:sz w:val="24"/>
          <w:szCs w:val="24"/>
        </w:rPr>
        <w:t>), Ki67</w:t>
      </w:r>
      <w:r>
        <w:rPr>
          <w:color w:val="000000" w:themeColor="text1"/>
          <w:sz w:val="24"/>
          <w:szCs w:val="24"/>
          <w:vertAlign w:val="superscript"/>
        </w:rPr>
        <w:t xml:space="preserve">+ </w:t>
      </w:r>
      <w:r>
        <w:rPr>
          <w:color w:val="000000" w:themeColor="text1"/>
          <w:sz w:val="24"/>
          <w:szCs w:val="24"/>
        </w:rPr>
        <w:t>HSCs (</w:t>
      </w:r>
      <w:r>
        <w:rPr>
          <w:rFonts w:hint="eastAsia"/>
          <w:b/>
          <w:bCs/>
          <w:color w:val="000000" w:themeColor="text1"/>
          <w:sz w:val="24"/>
          <w:szCs w:val="24"/>
        </w:rPr>
        <w:t>b</w:t>
      </w:r>
      <w:r>
        <w:rPr>
          <w:color w:val="000000" w:themeColor="text1"/>
          <w:sz w:val="24"/>
          <w:szCs w:val="24"/>
        </w:rPr>
        <w:t>), and immune progenitors (CLPs, CMPs, GMPs, and MDPs) (</w:t>
      </w:r>
      <w:r>
        <w:rPr>
          <w:rFonts w:hint="eastAsia"/>
          <w:b/>
          <w:bCs/>
          <w:color w:val="000000" w:themeColor="text1"/>
          <w:sz w:val="24"/>
          <w:szCs w:val="24"/>
        </w:rPr>
        <w:t>c</w:t>
      </w:r>
      <w:r>
        <w:rPr>
          <w:color w:val="000000" w:themeColor="text1"/>
          <w:sz w:val="24"/>
          <w:szCs w:val="24"/>
        </w:rPr>
        <w:t>) in skull bone marrow. n = 6-8 mice per group.</w:t>
      </w:r>
      <w:r w:rsidR="009B41AA">
        <w:rPr>
          <w:rFonts w:hint="eastAsia"/>
          <w:color w:val="000000" w:themeColor="text1"/>
          <w:sz w:val="24"/>
          <w:szCs w:val="24"/>
        </w:rPr>
        <w:t xml:space="preserve"> </w:t>
      </w:r>
      <w:r>
        <w:rPr>
          <w:rFonts w:hint="eastAsia"/>
          <w:b/>
          <w:bCs/>
          <w:color w:val="000000" w:themeColor="text1"/>
          <w:sz w:val="24"/>
          <w:szCs w:val="24"/>
        </w:rPr>
        <w:t>e</w:t>
      </w:r>
      <w:r>
        <w:rPr>
          <w:b/>
          <w:bCs/>
          <w:color w:val="000000" w:themeColor="text1"/>
          <w:sz w:val="24"/>
          <w:szCs w:val="24"/>
        </w:rPr>
        <w:t>-</w:t>
      </w:r>
      <w:r>
        <w:rPr>
          <w:rFonts w:hint="eastAsia"/>
          <w:b/>
          <w:bCs/>
          <w:color w:val="000000" w:themeColor="text1"/>
          <w:sz w:val="24"/>
          <w:szCs w:val="24"/>
        </w:rPr>
        <w:t>g</w:t>
      </w:r>
      <w:r>
        <w:rPr>
          <w:color w:val="000000" w:themeColor="text1"/>
          <w:sz w:val="24"/>
          <w:szCs w:val="24"/>
        </w:rPr>
        <w:t xml:space="preserve"> Counts and frequency of HSCs (</w:t>
      </w:r>
      <w:r>
        <w:rPr>
          <w:rFonts w:hint="eastAsia"/>
          <w:b/>
          <w:bCs/>
          <w:color w:val="000000" w:themeColor="text1"/>
          <w:sz w:val="24"/>
          <w:szCs w:val="24"/>
        </w:rPr>
        <w:t>e</w:t>
      </w:r>
      <w:r>
        <w:rPr>
          <w:color w:val="000000" w:themeColor="text1"/>
          <w:sz w:val="24"/>
          <w:szCs w:val="24"/>
        </w:rPr>
        <w:t>), Ki67</w:t>
      </w:r>
      <w:r>
        <w:rPr>
          <w:color w:val="000000" w:themeColor="text1"/>
          <w:sz w:val="24"/>
          <w:szCs w:val="24"/>
          <w:vertAlign w:val="superscript"/>
        </w:rPr>
        <w:t xml:space="preserve">+ </w:t>
      </w:r>
      <w:r>
        <w:rPr>
          <w:color w:val="000000" w:themeColor="text1"/>
          <w:sz w:val="24"/>
          <w:szCs w:val="24"/>
        </w:rPr>
        <w:t>HSCs (</w:t>
      </w:r>
      <w:r>
        <w:rPr>
          <w:rFonts w:hint="eastAsia"/>
          <w:b/>
          <w:bCs/>
          <w:color w:val="000000" w:themeColor="text1"/>
          <w:sz w:val="24"/>
          <w:szCs w:val="24"/>
        </w:rPr>
        <w:t>f</w:t>
      </w:r>
      <w:r>
        <w:rPr>
          <w:color w:val="000000" w:themeColor="text1"/>
          <w:sz w:val="24"/>
          <w:szCs w:val="24"/>
        </w:rPr>
        <w:t>), and immune progenitors (CLPs, CMPs, GMPs, and MDPs) (</w:t>
      </w:r>
      <w:r>
        <w:rPr>
          <w:rFonts w:hint="eastAsia"/>
          <w:b/>
          <w:bCs/>
          <w:color w:val="000000" w:themeColor="text1"/>
          <w:sz w:val="24"/>
          <w:szCs w:val="24"/>
        </w:rPr>
        <w:t>g</w:t>
      </w:r>
      <w:r>
        <w:rPr>
          <w:color w:val="000000" w:themeColor="text1"/>
          <w:sz w:val="24"/>
          <w:szCs w:val="24"/>
        </w:rPr>
        <w:t>) in femur bone marrow. n = 6-8 mice per group.</w:t>
      </w:r>
    </w:p>
    <w:p w14:paraId="557E2CE9" w14:textId="77777777" w:rsidR="003B61E9" w:rsidRDefault="00000000">
      <w:pPr>
        <w:spacing w:line="480" w:lineRule="auto"/>
        <w:rPr>
          <w:color w:val="000000" w:themeColor="text1"/>
          <w:sz w:val="24"/>
          <w:szCs w:val="24"/>
        </w:rPr>
      </w:pPr>
      <w:r>
        <w:rPr>
          <w:rFonts w:hint="eastAsia"/>
          <w:b/>
          <w:bCs/>
          <w:color w:val="000000" w:themeColor="text1"/>
          <w:sz w:val="24"/>
          <w:szCs w:val="24"/>
        </w:rPr>
        <w:t>h</w:t>
      </w:r>
      <w:r>
        <w:rPr>
          <w:b/>
          <w:bCs/>
          <w:color w:val="000000" w:themeColor="text1"/>
          <w:sz w:val="24"/>
          <w:szCs w:val="24"/>
        </w:rPr>
        <w:t>-</w:t>
      </w:r>
      <w:proofErr w:type="spellStart"/>
      <w:r>
        <w:rPr>
          <w:rFonts w:hint="eastAsia"/>
          <w:b/>
          <w:bCs/>
          <w:color w:val="000000" w:themeColor="text1"/>
          <w:sz w:val="24"/>
          <w:szCs w:val="24"/>
        </w:rPr>
        <w:t>i</w:t>
      </w:r>
      <w:proofErr w:type="spellEnd"/>
      <w:r>
        <w:rPr>
          <w:color w:val="000000" w:themeColor="text1"/>
          <w:sz w:val="24"/>
          <w:szCs w:val="24"/>
        </w:rPr>
        <w:t xml:space="preserve"> Counts and frequency of mature immune cells including B cells, CD4</w:t>
      </w:r>
      <w:r>
        <w:rPr>
          <w:color w:val="000000" w:themeColor="text1"/>
          <w:sz w:val="24"/>
          <w:szCs w:val="24"/>
          <w:vertAlign w:val="superscript"/>
        </w:rPr>
        <w:t>+</w:t>
      </w:r>
      <w:r>
        <w:rPr>
          <w:color w:val="000000" w:themeColor="text1"/>
          <w:sz w:val="24"/>
          <w:szCs w:val="24"/>
        </w:rPr>
        <w:t xml:space="preserve"> T cells, CD8</w:t>
      </w:r>
      <w:r>
        <w:rPr>
          <w:color w:val="000000" w:themeColor="text1"/>
          <w:sz w:val="24"/>
          <w:szCs w:val="24"/>
          <w:vertAlign w:val="superscript"/>
        </w:rPr>
        <w:t>+</w:t>
      </w:r>
      <w:r>
        <w:rPr>
          <w:color w:val="000000" w:themeColor="text1"/>
          <w:sz w:val="24"/>
          <w:szCs w:val="24"/>
        </w:rPr>
        <w:t xml:space="preserve"> T cells (</w:t>
      </w:r>
      <w:r>
        <w:rPr>
          <w:rFonts w:hint="eastAsia"/>
          <w:b/>
          <w:bCs/>
          <w:color w:val="000000" w:themeColor="text1"/>
          <w:sz w:val="24"/>
          <w:szCs w:val="24"/>
        </w:rPr>
        <w:t>h</w:t>
      </w:r>
      <w:r>
        <w:rPr>
          <w:color w:val="000000" w:themeColor="text1"/>
          <w:sz w:val="24"/>
          <w:szCs w:val="24"/>
        </w:rPr>
        <w:t>), neutrophils, Ly6C</w:t>
      </w:r>
      <w:r>
        <w:rPr>
          <w:color w:val="000000" w:themeColor="text1"/>
          <w:sz w:val="24"/>
          <w:szCs w:val="24"/>
          <w:vertAlign w:val="superscript"/>
        </w:rPr>
        <w:t>high</w:t>
      </w:r>
      <w:r>
        <w:rPr>
          <w:color w:val="000000" w:themeColor="text1"/>
          <w:sz w:val="24"/>
          <w:szCs w:val="24"/>
        </w:rPr>
        <w:t xml:space="preserve"> monocytes, and Ly6C</w:t>
      </w:r>
      <w:r>
        <w:rPr>
          <w:color w:val="000000" w:themeColor="text1"/>
          <w:sz w:val="24"/>
          <w:szCs w:val="24"/>
          <w:vertAlign w:val="superscript"/>
        </w:rPr>
        <w:t>low</w:t>
      </w:r>
      <w:r>
        <w:rPr>
          <w:color w:val="000000" w:themeColor="text1"/>
          <w:sz w:val="24"/>
          <w:szCs w:val="24"/>
        </w:rPr>
        <w:t xml:space="preserve"> monocytes (</w:t>
      </w:r>
      <w:proofErr w:type="spellStart"/>
      <w:r>
        <w:rPr>
          <w:rFonts w:hint="eastAsia"/>
          <w:b/>
          <w:bCs/>
          <w:color w:val="000000" w:themeColor="text1"/>
          <w:sz w:val="24"/>
          <w:szCs w:val="24"/>
        </w:rPr>
        <w:t>i</w:t>
      </w:r>
      <w:proofErr w:type="spellEnd"/>
      <w:r>
        <w:rPr>
          <w:color w:val="000000" w:themeColor="text1"/>
          <w:sz w:val="24"/>
          <w:szCs w:val="24"/>
        </w:rPr>
        <w:t xml:space="preserve">) in brain tissue. n = </w:t>
      </w:r>
      <w:r>
        <w:rPr>
          <w:rFonts w:hint="eastAsia"/>
          <w:color w:val="000000" w:themeColor="text1"/>
          <w:sz w:val="24"/>
          <w:szCs w:val="24"/>
        </w:rPr>
        <w:t>5</w:t>
      </w:r>
      <w:r>
        <w:rPr>
          <w:color w:val="000000" w:themeColor="text1"/>
          <w:sz w:val="24"/>
          <w:szCs w:val="24"/>
        </w:rPr>
        <w:t>-</w:t>
      </w:r>
      <w:r>
        <w:rPr>
          <w:rFonts w:hint="eastAsia"/>
          <w:color w:val="000000" w:themeColor="text1"/>
          <w:sz w:val="24"/>
          <w:szCs w:val="24"/>
        </w:rPr>
        <w:t>6</w:t>
      </w:r>
      <w:r>
        <w:rPr>
          <w:color w:val="000000" w:themeColor="text1"/>
          <w:sz w:val="24"/>
          <w:szCs w:val="24"/>
        </w:rPr>
        <w:t xml:space="preserve"> mice per group.</w:t>
      </w:r>
    </w:p>
    <w:p w14:paraId="2CF308A9" w14:textId="32D397FB" w:rsidR="003B61E9" w:rsidRDefault="00000000">
      <w:pPr>
        <w:spacing w:line="480" w:lineRule="auto"/>
        <w:rPr>
          <w:color w:val="000000" w:themeColor="text1"/>
          <w:sz w:val="24"/>
          <w:szCs w:val="24"/>
        </w:rPr>
      </w:pPr>
      <w:r>
        <w:rPr>
          <w:rFonts w:hint="eastAsia"/>
          <w:b/>
          <w:bCs/>
          <w:color w:val="000000" w:themeColor="text1"/>
          <w:sz w:val="24"/>
          <w:szCs w:val="24"/>
        </w:rPr>
        <w:t>d</w:t>
      </w:r>
      <w:r>
        <w:rPr>
          <w:b/>
          <w:bCs/>
          <w:color w:val="000000" w:themeColor="text1"/>
          <w:sz w:val="24"/>
          <w:szCs w:val="24"/>
        </w:rPr>
        <w:t xml:space="preserve">, </w:t>
      </w:r>
      <w:r>
        <w:rPr>
          <w:rFonts w:hint="eastAsia"/>
          <w:b/>
          <w:bCs/>
          <w:color w:val="000000" w:themeColor="text1"/>
          <w:sz w:val="24"/>
          <w:szCs w:val="24"/>
        </w:rPr>
        <w:t>j</w:t>
      </w:r>
      <w:r>
        <w:rPr>
          <w:color w:val="000000" w:themeColor="text1"/>
          <w:sz w:val="24"/>
          <w:szCs w:val="24"/>
        </w:rPr>
        <w:t xml:space="preserve"> Counts and frequency of ABCs in skull bone marrow (</w:t>
      </w:r>
      <w:r>
        <w:rPr>
          <w:rFonts w:hint="eastAsia"/>
          <w:b/>
          <w:bCs/>
          <w:color w:val="000000" w:themeColor="text1"/>
          <w:sz w:val="24"/>
          <w:szCs w:val="24"/>
        </w:rPr>
        <w:t>d</w:t>
      </w:r>
      <w:r>
        <w:rPr>
          <w:color w:val="000000" w:themeColor="text1"/>
          <w:sz w:val="24"/>
          <w:szCs w:val="24"/>
        </w:rPr>
        <w:t>) and brain tissue (</w:t>
      </w:r>
      <w:r>
        <w:rPr>
          <w:rFonts w:hint="eastAsia"/>
          <w:b/>
          <w:bCs/>
          <w:color w:val="000000" w:themeColor="text1"/>
          <w:sz w:val="24"/>
          <w:szCs w:val="24"/>
        </w:rPr>
        <w:t>j</w:t>
      </w:r>
      <w:r>
        <w:rPr>
          <w:color w:val="000000" w:themeColor="text1"/>
          <w:sz w:val="24"/>
          <w:szCs w:val="24"/>
        </w:rPr>
        <w:t xml:space="preserve">). n = 7 mice per group </w:t>
      </w:r>
      <w:proofErr w:type="gramStart"/>
      <w:r>
        <w:rPr>
          <w:color w:val="000000" w:themeColor="text1"/>
          <w:sz w:val="24"/>
          <w:szCs w:val="24"/>
        </w:rPr>
        <w:t>(</w:t>
      </w:r>
      <w:r>
        <w:rPr>
          <w:rFonts w:hint="eastAsia"/>
          <w:b/>
          <w:bCs/>
          <w:color w:val="000000" w:themeColor="text1"/>
          <w:sz w:val="24"/>
          <w:szCs w:val="24"/>
        </w:rPr>
        <w:t>d</w:t>
      </w:r>
      <w:r>
        <w:rPr>
          <w:color w:val="000000" w:themeColor="text1"/>
          <w:sz w:val="24"/>
          <w:szCs w:val="24"/>
        </w:rPr>
        <w:t>)</w:t>
      </w:r>
      <w:proofErr w:type="gramEnd"/>
      <w:r>
        <w:rPr>
          <w:color w:val="000000" w:themeColor="text1"/>
          <w:sz w:val="24"/>
          <w:szCs w:val="24"/>
        </w:rPr>
        <w:t>，</w:t>
      </w:r>
      <w:r>
        <w:rPr>
          <w:color w:val="000000" w:themeColor="text1"/>
          <w:sz w:val="24"/>
          <w:szCs w:val="24"/>
        </w:rPr>
        <w:t xml:space="preserve">n = 9 mice per group </w:t>
      </w:r>
      <w:proofErr w:type="gramStart"/>
      <w:r>
        <w:rPr>
          <w:color w:val="000000" w:themeColor="text1"/>
          <w:sz w:val="24"/>
          <w:szCs w:val="24"/>
        </w:rPr>
        <w:t>(</w:t>
      </w:r>
      <w:r>
        <w:rPr>
          <w:rFonts w:hint="eastAsia"/>
          <w:b/>
          <w:bCs/>
          <w:color w:val="000000" w:themeColor="text1"/>
          <w:sz w:val="24"/>
          <w:szCs w:val="24"/>
        </w:rPr>
        <w:t>j</w:t>
      </w:r>
      <w:r>
        <w:rPr>
          <w:color w:val="000000" w:themeColor="text1"/>
          <w:sz w:val="24"/>
          <w:szCs w:val="24"/>
        </w:rPr>
        <w:t>)</w:t>
      </w:r>
      <w:proofErr w:type="gramEnd"/>
      <w:r>
        <w:rPr>
          <w:color w:val="000000" w:themeColor="text1"/>
          <w:sz w:val="24"/>
          <w:szCs w:val="24"/>
        </w:rPr>
        <w:t>.</w:t>
      </w:r>
      <w:r w:rsidR="009B41AA">
        <w:rPr>
          <w:rFonts w:hint="eastAsia"/>
          <w:color w:val="000000" w:themeColor="text1"/>
          <w:sz w:val="24"/>
          <w:szCs w:val="24"/>
        </w:rPr>
        <w:t xml:space="preserve"> </w:t>
      </w:r>
      <w:r>
        <w:rPr>
          <w:color w:val="000000" w:themeColor="text1"/>
          <w:sz w:val="24"/>
          <w:szCs w:val="24"/>
        </w:rPr>
        <w:t>Mean ± SEM. *p &lt; 0.05 and **p &lt; 0.01. Two-tailed unpaired Student’s t test.</w:t>
      </w:r>
      <w:r>
        <w:rPr>
          <w:color w:val="000000" w:themeColor="text1"/>
          <w:sz w:val="24"/>
          <w:szCs w:val="24"/>
        </w:rPr>
        <w:br w:type="page"/>
      </w:r>
    </w:p>
    <w:p w14:paraId="02A005E1" w14:textId="77777777" w:rsidR="003B61E9" w:rsidRDefault="00000000">
      <w:pPr>
        <w:spacing w:line="480" w:lineRule="auto"/>
        <w:rPr>
          <w:b/>
          <w:bCs/>
          <w:color w:val="000000" w:themeColor="text1"/>
          <w:sz w:val="24"/>
          <w:szCs w:val="24"/>
        </w:rPr>
      </w:pPr>
      <w:r>
        <w:rPr>
          <w:noProof/>
          <w:color w:val="000000" w:themeColor="text1"/>
        </w:rPr>
        <w:lastRenderedPageBreak/>
        <w:drawing>
          <wp:inline distT="0" distB="0" distL="0" distR="0" wp14:anchorId="414B4FAD" wp14:editId="013C672F">
            <wp:extent cx="6645910" cy="8319770"/>
            <wp:effectExtent l="0" t="0" r="2540" b="5080"/>
            <wp:docPr id="22789427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94274" name="图片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6645910" cy="8319770"/>
                    </a:xfrm>
                    <a:prstGeom prst="rect">
                      <a:avLst/>
                    </a:prstGeom>
                    <a:noFill/>
                    <a:ln>
                      <a:noFill/>
                    </a:ln>
                  </pic:spPr>
                </pic:pic>
              </a:graphicData>
            </a:graphic>
          </wp:inline>
        </w:drawing>
      </w:r>
      <w:r>
        <w:rPr>
          <w:b/>
          <w:bCs/>
          <w:color w:val="000000" w:themeColor="text1"/>
          <w:sz w:val="24"/>
          <w:szCs w:val="24"/>
        </w:rPr>
        <w:t xml:space="preserve"> Figure. S</w:t>
      </w:r>
      <w:r>
        <w:rPr>
          <w:rFonts w:hint="eastAsia"/>
          <w:b/>
          <w:bCs/>
          <w:color w:val="000000" w:themeColor="text1"/>
          <w:sz w:val="24"/>
          <w:szCs w:val="24"/>
        </w:rPr>
        <w:t>3.</w:t>
      </w:r>
      <w:r>
        <w:rPr>
          <w:b/>
          <w:bCs/>
          <w:color w:val="000000" w:themeColor="text1"/>
          <w:sz w:val="24"/>
          <w:szCs w:val="24"/>
        </w:rPr>
        <w:t xml:space="preserve"> </w:t>
      </w:r>
    </w:p>
    <w:p w14:paraId="47B6CA56" w14:textId="3B8CF7BD" w:rsidR="003B61E9" w:rsidRDefault="00000000">
      <w:pPr>
        <w:spacing w:line="480" w:lineRule="auto"/>
        <w:rPr>
          <w:color w:val="000000" w:themeColor="text1"/>
          <w:sz w:val="24"/>
          <w:szCs w:val="24"/>
        </w:rPr>
      </w:pPr>
      <w:r>
        <w:rPr>
          <w:b/>
          <w:bCs/>
          <w:color w:val="000000" w:themeColor="text1"/>
          <w:sz w:val="24"/>
          <w:szCs w:val="24"/>
        </w:rPr>
        <w:t xml:space="preserve">Mobilization of HSCs and increased lymphopoiesis in </w:t>
      </w:r>
      <w:r>
        <w:rPr>
          <w:rFonts w:hint="eastAsia"/>
          <w:b/>
          <w:bCs/>
          <w:color w:val="000000" w:themeColor="text1"/>
          <w:sz w:val="24"/>
          <w:szCs w:val="24"/>
        </w:rPr>
        <w:t>BM</w:t>
      </w:r>
      <w:r>
        <w:rPr>
          <w:b/>
          <w:bCs/>
          <w:color w:val="000000" w:themeColor="text1"/>
          <w:sz w:val="24"/>
          <w:szCs w:val="24"/>
        </w:rPr>
        <w:t xml:space="preserve"> of 10-month-old 5×FAD mice, related to Fig</w:t>
      </w:r>
      <w:r>
        <w:rPr>
          <w:rFonts w:hint="eastAsia"/>
          <w:b/>
          <w:bCs/>
          <w:color w:val="000000" w:themeColor="text1"/>
          <w:sz w:val="24"/>
          <w:szCs w:val="24"/>
        </w:rPr>
        <w:t xml:space="preserve">. </w:t>
      </w:r>
      <w:r>
        <w:rPr>
          <w:b/>
          <w:bCs/>
          <w:color w:val="000000" w:themeColor="text1"/>
          <w:sz w:val="24"/>
          <w:szCs w:val="24"/>
        </w:rPr>
        <w:t>2.</w:t>
      </w:r>
      <w:r w:rsidR="009B41AA">
        <w:rPr>
          <w:rFonts w:hint="eastAsia"/>
          <w:b/>
          <w:bCs/>
          <w:color w:val="000000" w:themeColor="text1"/>
          <w:sz w:val="24"/>
          <w:szCs w:val="24"/>
        </w:rPr>
        <w:t xml:space="preserve"> </w:t>
      </w:r>
      <w:r>
        <w:rPr>
          <w:color w:val="000000" w:themeColor="text1"/>
          <w:sz w:val="24"/>
          <w:szCs w:val="24"/>
        </w:rPr>
        <w:t xml:space="preserve">Flow cytometry detection of </w:t>
      </w:r>
      <w:r>
        <w:rPr>
          <w:rFonts w:hint="eastAsia"/>
          <w:color w:val="000000" w:themeColor="text1"/>
          <w:sz w:val="24"/>
          <w:szCs w:val="24"/>
        </w:rPr>
        <w:t>BM</w:t>
      </w:r>
      <w:r>
        <w:rPr>
          <w:color w:val="000000" w:themeColor="text1"/>
          <w:sz w:val="24"/>
          <w:szCs w:val="24"/>
        </w:rPr>
        <w:t xml:space="preserve"> HSCs, immune progenitor cells and mature immune cells of 10-</w:t>
      </w:r>
      <w:r>
        <w:rPr>
          <w:color w:val="000000" w:themeColor="text1"/>
          <w:sz w:val="24"/>
          <w:szCs w:val="24"/>
        </w:rPr>
        <w:lastRenderedPageBreak/>
        <w:t xml:space="preserve">month-old 5×FAD mice and WT </w:t>
      </w:r>
      <w:r>
        <w:rPr>
          <w:rFonts w:hint="eastAsia"/>
          <w:color w:val="000000" w:themeColor="text1"/>
          <w:sz w:val="24"/>
          <w:szCs w:val="24"/>
        </w:rPr>
        <w:t>counterparts</w:t>
      </w:r>
      <w:r>
        <w:rPr>
          <w:color w:val="000000" w:themeColor="text1"/>
          <w:sz w:val="24"/>
          <w:szCs w:val="24"/>
        </w:rPr>
        <w:t xml:space="preserve">. </w:t>
      </w:r>
      <w:r>
        <w:rPr>
          <w:rFonts w:hint="eastAsia"/>
          <w:b/>
          <w:bCs/>
          <w:color w:val="000000" w:themeColor="text1"/>
          <w:sz w:val="24"/>
          <w:szCs w:val="24"/>
        </w:rPr>
        <w:t>a</w:t>
      </w:r>
      <w:r>
        <w:rPr>
          <w:b/>
          <w:bCs/>
          <w:color w:val="000000" w:themeColor="text1"/>
          <w:sz w:val="24"/>
          <w:szCs w:val="24"/>
        </w:rPr>
        <w:t>-</w:t>
      </w:r>
      <w:r>
        <w:rPr>
          <w:rFonts w:hint="eastAsia"/>
          <w:b/>
          <w:bCs/>
          <w:color w:val="000000" w:themeColor="text1"/>
          <w:sz w:val="24"/>
          <w:szCs w:val="24"/>
        </w:rPr>
        <w:t>f</w:t>
      </w:r>
      <w:r>
        <w:rPr>
          <w:color w:val="000000" w:themeColor="text1"/>
          <w:sz w:val="24"/>
          <w:szCs w:val="24"/>
        </w:rPr>
        <w:t xml:space="preserve"> Counts and frequency of HSCs (</w:t>
      </w:r>
      <w:r>
        <w:rPr>
          <w:rFonts w:hint="eastAsia"/>
          <w:b/>
          <w:bCs/>
          <w:color w:val="000000" w:themeColor="text1"/>
          <w:sz w:val="24"/>
          <w:szCs w:val="24"/>
        </w:rPr>
        <w:t>a</w:t>
      </w:r>
      <w:r>
        <w:rPr>
          <w:color w:val="000000" w:themeColor="text1"/>
          <w:sz w:val="24"/>
          <w:szCs w:val="24"/>
        </w:rPr>
        <w:t>), Ki67</w:t>
      </w:r>
      <w:r>
        <w:rPr>
          <w:color w:val="000000" w:themeColor="text1"/>
          <w:sz w:val="24"/>
          <w:szCs w:val="24"/>
          <w:vertAlign w:val="superscript"/>
        </w:rPr>
        <w:t xml:space="preserve">+ </w:t>
      </w:r>
      <w:r>
        <w:rPr>
          <w:color w:val="000000" w:themeColor="text1"/>
          <w:sz w:val="24"/>
          <w:szCs w:val="24"/>
        </w:rPr>
        <w:t>HSCs (</w:t>
      </w:r>
      <w:r>
        <w:rPr>
          <w:rFonts w:hint="eastAsia"/>
          <w:b/>
          <w:bCs/>
          <w:color w:val="000000" w:themeColor="text1"/>
          <w:sz w:val="24"/>
          <w:szCs w:val="24"/>
        </w:rPr>
        <w:t>b</w:t>
      </w:r>
      <w:r>
        <w:rPr>
          <w:color w:val="000000" w:themeColor="text1"/>
          <w:sz w:val="24"/>
          <w:szCs w:val="24"/>
        </w:rPr>
        <w:t>), CLPs (</w:t>
      </w:r>
      <w:r>
        <w:rPr>
          <w:rFonts w:hint="eastAsia"/>
          <w:b/>
          <w:bCs/>
          <w:color w:val="000000" w:themeColor="text1"/>
          <w:sz w:val="24"/>
          <w:szCs w:val="24"/>
        </w:rPr>
        <w:t>c</w:t>
      </w:r>
      <w:r>
        <w:rPr>
          <w:color w:val="000000" w:themeColor="text1"/>
          <w:sz w:val="24"/>
          <w:szCs w:val="24"/>
        </w:rPr>
        <w:t>), downstream lymphocytes (</w:t>
      </w:r>
      <w:r>
        <w:rPr>
          <w:rFonts w:hint="eastAsia"/>
          <w:b/>
          <w:bCs/>
          <w:color w:val="000000" w:themeColor="text1"/>
          <w:sz w:val="24"/>
          <w:szCs w:val="24"/>
        </w:rPr>
        <w:t>d</w:t>
      </w:r>
      <w:r>
        <w:rPr>
          <w:color w:val="000000" w:themeColor="text1"/>
          <w:sz w:val="24"/>
          <w:szCs w:val="24"/>
        </w:rPr>
        <w:t>), other immune progenitors (CMPs, GMPs, and MDPs) (</w:t>
      </w:r>
      <w:r>
        <w:rPr>
          <w:rFonts w:hint="eastAsia"/>
          <w:b/>
          <w:bCs/>
          <w:color w:val="000000" w:themeColor="text1"/>
          <w:sz w:val="24"/>
          <w:szCs w:val="24"/>
        </w:rPr>
        <w:t>e</w:t>
      </w:r>
      <w:r>
        <w:rPr>
          <w:color w:val="000000" w:themeColor="text1"/>
          <w:sz w:val="24"/>
          <w:szCs w:val="24"/>
        </w:rPr>
        <w:t>) and myeloid cells (</w:t>
      </w:r>
      <w:r>
        <w:rPr>
          <w:rFonts w:hint="eastAsia"/>
          <w:b/>
          <w:bCs/>
          <w:color w:val="000000" w:themeColor="text1"/>
          <w:sz w:val="24"/>
          <w:szCs w:val="24"/>
        </w:rPr>
        <w:t>f</w:t>
      </w:r>
      <w:r>
        <w:rPr>
          <w:color w:val="000000" w:themeColor="text1"/>
          <w:sz w:val="24"/>
          <w:szCs w:val="24"/>
        </w:rPr>
        <w:t xml:space="preserve">) in skull (left) and femur bone marrow (right). n = 8 mice per group in </w:t>
      </w:r>
      <w:r>
        <w:rPr>
          <w:rFonts w:hint="eastAsia"/>
          <w:b/>
          <w:bCs/>
          <w:color w:val="000000" w:themeColor="text1"/>
          <w:sz w:val="24"/>
          <w:szCs w:val="24"/>
        </w:rPr>
        <w:t>a</w:t>
      </w:r>
      <w:r>
        <w:rPr>
          <w:b/>
          <w:bCs/>
          <w:color w:val="000000" w:themeColor="text1"/>
          <w:sz w:val="24"/>
          <w:szCs w:val="24"/>
        </w:rPr>
        <w:t xml:space="preserve">, </w:t>
      </w:r>
      <w:r>
        <w:rPr>
          <w:rFonts w:hint="eastAsia"/>
          <w:b/>
          <w:bCs/>
          <w:color w:val="000000" w:themeColor="text1"/>
          <w:sz w:val="24"/>
          <w:szCs w:val="24"/>
        </w:rPr>
        <w:t>c</w:t>
      </w:r>
      <w:r>
        <w:rPr>
          <w:b/>
          <w:bCs/>
          <w:color w:val="000000" w:themeColor="text1"/>
          <w:sz w:val="24"/>
          <w:szCs w:val="24"/>
        </w:rPr>
        <w:t xml:space="preserve">, </w:t>
      </w:r>
      <w:r>
        <w:rPr>
          <w:rFonts w:hint="eastAsia"/>
          <w:b/>
          <w:bCs/>
          <w:color w:val="000000" w:themeColor="text1"/>
          <w:sz w:val="24"/>
          <w:szCs w:val="24"/>
        </w:rPr>
        <w:t>d</w:t>
      </w:r>
      <w:r>
        <w:rPr>
          <w:b/>
          <w:bCs/>
          <w:color w:val="000000" w:themeColor="text1"/>
          <w:sz w:val="24"/>
          <w:szCs w:val="24"/>
        </w:rPr>
        <w:t xml:space="preserve">, </w:t>
      </w:r>
      <w:r>
        <w:rPr>
          <w:rFonts w:hint="eastAsia"/>
          <w:b/>
          <w:bCs/>
          <w:color w:val="000000" w:themeColor="text1"/>
          <w:sz w:val="24"/>
          <w:szCs w:val="24"/>
        </w:rPr>
        <w:t>e</w:t>
      </w:r>
      <w:r>
        <w:rPr>
          <w:b/>
          <w:bCs/>
          <w:color w:val="000000" w:themeColor="text1"/>
          <w:sz w:val="24"/>
          <w:szCs w:val="24"/>
        </w:rPr>
        <w:t xml:space="preserve">, </w:t>
      </w:r>
      <w:r>
        <w:rPr>
          <w:rFonts w:hint="eastAsia"/>
          <w:b/>
          <w:bCs/>
          <w:color w:val="000000" w:themeColor="text1"/>
          <w:sz w:val="24"/>
          <w:szCs w:val="24"/>
        </w:rPr>
        <w:t>f</w:t>
      </w:r>
      <w:r>
        <w:rPr>
          <w:color w:val="000000" w:themeColor="text1"/>
          <w:sz w:val="24"/>
          <w:szCs w:val="24"/>
        </w:rPr>
        <w:t xml:space="preserve">. n = 8 mice per group in </w:t>
      </w:r>
      <w:r>
        <w:rPr>
          <w:rFonts w:hint="eastAsia"/>
          <w:b/>
          <w:bCs/>
          <w:color w:val="000000" w:themeColor="text1"/>
          <w:sz w:val="24"/>
          <w:szCs w:val="24"/>
        </w:rPr>
        <w:t>b</w:t>
      </w:r>
      <w:r>
        <w:rPr>
          <w:color w:val="000000" w:themeColor="text1"/>
          <w:sz w:val="24"/>
          <w:szCs w:val="24"/>
        </w:rPr>
        <w:t>.</w:t>
      </w:r>
      <w:r w:rsidR="009B41AA">
        <w:rPr>
          <w:rFonts w:hint="eastAsia"/>
          <w:color w:val="000000" w:themeColor="text1"/>
          <w:sz w:val="24"/>
          <w:szCs w:val="24"/>
        </w:rPr>
        <w:t xml:space="preserve"> </w:t>
      </w:r>
      <w:r>
        <w:rPr>
          <w:color w:val="000000" w:themeColor="text1"/>
          <w:sz w:val="24"/>
          <w:szCs w:val="24"/>
        </w:rPr>
        <w:t>Mean ± SEM. *p &lt; 0.05 and **p &lt; 0.01. Two-tailed unpaired Student’s t test.</w:t>
      </w:r>
    </w:p>
    <w:p w14:paraId="4A7D162A" w14:textId="77777777" w:rsidR="003B61E9" w:rsidRDefault="00000000">
      <w:pPr>
        <w:spacing w:line="480" w:lineRule="auto"/>
        <w:rPr>
          <w:color w:val="000000" w:themeColor="text1"/>
          <w:sz w:val="24"/>
          <w:szCs w:val="24"/>
        </w:rPr>
      </w:pPr>
      <w:r>
        <w:rPr>
          <w:color w:val="000000" w:themeColor="text1"/>
          <w:sz w:val="24"/>
          <w:szCs w:val="24"/>
        </w:rPr>
        <w:br w:type="page"/>
      </w:r>
    </w:p>
    <w:p w14:paraId="3BC829B1" w14:textId="77777777" w:rsidR="003B61E9" w:rsidRDefault="00000000">
      <w:pPr>
        <w:spacing w:line="480" w:lineRule="auto"/>
        <w:rPr>
          <w:b/>
          <w:bCs/>
          <w:color w:val="000000" w:themeColor="text1"/>
          <w:sz w:val="24"/>
          <w:szCs w:val="24"/>
        </w:rPr>
      </w:pPr>
      <w:r>
        <w:rPr>
          <w:noProof/>
          <w:color w:val="000000" w:themeColor="text1"/>
        </w:rPr>
        <w:lastRenderedPageBreak/>
        <w:drawing>
          <wp:inline distT="0" distB="0" distL="0" distR="0" wp14:anchorId="054F268F" wp14:editId="4886DD12">
            <wp:extent cx="6645910" cy="4734560"/>
            <wp:effectExtent l="0" t="0" r="2540" b="8890"/>
            <wp:docPr id="3755897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589720" name="图片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6645910" cy="4734560"/>
                    </a:xfrm>
                    <a:prstGeom prst="rect">
                      <a:avLst/>
                    </a:prstGeom>
                    <a:noFill/>
                    <a:ln>
                      <a:noFill/>
                    </a:ln>
                  </pic:spPr>
                </pic:pic>
              </a:graphicData>
            </a:graphic>
          </wp:inline>
        </w:drawing>
      </w:r>
      <w:r>
        <w:rPr>
          <w:b/>
          <w:bCs/>
          <w:color w:val="000000" w:themeColor="text1"/>
          <w:sz w:val="24"/>
          <w:szCs w:val="24"/>
        </w:rPr>
        <w:t xml:space="preserve"> Figure. S</w:t>
      </w:r>
      <w:r>
        <w:rPr>
          <w:rFonts w:hint="eastAsia"/>
          <w:b/>
          <w:bCs/>
          <w:color w:val="000000" w:themeColor="text1"/>
          <w:sz w:val="24"/>
          <w:szCs w:val="24"/>
        </w:rPr>
        <w:t>4.</w:t>
      </w:r>
      <w:r>
        <w:rPr>
          <w:b/>
          <w:bCs/>
          <w:color w:val="000000" w:themeColor="text1"/>
          <w:sz w:val="24"/>
          <w:szCs w:val="24"/>
        </w:rPr>
        <w:t xml:space="preserve"> </w:t>
      </w:r>
    </w:p>
    <w:p w14:paraId="03C20D95" w14:textId="58AA58F2" w:rsidR="003B61E9" w:rsidRDefault="00000000">
      <w:pPr>
        <w:spacing w:line="480" w:lineRule="auto"/>
        <w:rPr>
          <w:color w:val="000000" w:themeColor="text1"/>
          <w:sz w:val="24"/>
          <w:szCs w:val="24"/>
        </w:rPr>
      </w:pPr>
      <w:r>
        <w:rPr>
          <w:b/>
          <w:bCs/>
          <w:color w:val="000000" w:themeColor="text1"/>
          <w:sz w:val="24"/>
          <w:szCs w:val="24"/>
        </w:rPr>
        <w:t>Flow cytometry analysis of brain and spleen cellular lineages in 5×FAD mice, related to Fig</w:t>
      </w:r>
      <w:r>
        <w:rPr>
          <w:rFonts w:hint="eastAsia"/>
          <w:b/>
          <w:bCs/>
          <w:color w:val="000000" w:themeColor="text1"/>
          <w:sz w:val="24"/>
          <w:szCs w:val="24"/>
        </w:rPr>
        <w:t xml:space="preserve">. </w:t>
      </w:r>
      <w:r>
        <w:rPr>
          <w:b/>
          <w:bCs/>
          <w:color w:val="000000" w:themeColor="text1"/>
          <w:sz w:val="24"/>
          <w:szCs w:val="24"/>
        </w:rPr>
        <w:t xml:space="preserve">3. </w:t>
      </w:r>
      <w:r>
        <w:rPr>
          <w:rFonts w:hint="eastAsia"/>
          <w:b/>
          <w:bCs/>
          <w:color w:val="000000" w:themeColor="text1"/>
          <w:sz w:val="24"/>
          <w:szCs w:val="24"/>
        </w:rPr>
        <w:t>a</w:t>
      </w:r>
      <w:r>
        <w:rPr>
          <w:b/>
          <w:bCs/>
          <w:color w:val="000000" w:themeColor="text1"/>
          <w:sz w:val="24"/>
          <w:szCs w:val="24"/>
        </w:rPr>
        <w:t xml:space="preserve">, </w:t>
      </w:r>
      <w:r>
        <w:rPr>
          <w:rFonts w:hint="eastAsia"/>
          <w:b/>
          <w:bCs/>
          <w:color w:val="000000" w:themeColor="text1"/>
          <w:sz w:val="24"/>
          <w:szCs w:val="24"/>
        </w:rPr>
        <w:t>b</w:t>
      </w:r>
      <w:r>
        <w:rPr>
          <w:color w:val="000000" w:themeColor="text1"/>
          <w:sz w:val="24"/>
          <w:szCs w:val="24"/>
        </w:rPr>
        <w:t xml:space="preserve"> Counts and frequency of lymphocytes (</w:t>
      </w:r>
      <w:r>
        <w:rPr>
          <w:rFonts w:hint="eastAsia"/>
          <w:b/>
          <w:bCs/>
          <w:color w:val="000000" w:themeColor="text1"/>
          <w:sz w:val="24"/>
          <w:szCs w:val="24"/>
        </w:rPr>
        <w:t>a</w:t>
      </w:r>
      <w:r>
        <w:rPr>
          <w:color w:val="000000" w:themeColor="text1"/>
          <w:sz w:val="24"/>
          <w:szCs w:val="24"/>
        </w:rPr>
        <w:t>) and myeloid cells (</w:t>
      </w:r>
      <w:r>
        <w:rPr>
          <w:rFonts w:hint="eastAsia"/>
          <w:b/>
          <w:bCs/>
          <w:color w:val="000000" w:themeColor="text1"/>
          <w:sz w:val="24"/>
          <w:szCs w:val="24"/>
        </w:rPr>
        <w:t>b</w:t>
      </w:r>
      <w:r>
        <w:rPr>
          <w:color w:val="000000" w:themeColor="text1"/>
          <w:sz w:val="24"/>
          <w:szCs w:val="24"/>
        </w:rPr>
        <w:t xml:space="preserve">) of brain in 10-month-old 5×FAD mice and WT mice </w:t>
      </w:r>
      <w:r>
        <w:rPr>
          <w:rFonts w:hint="eastAsia"/>
          <w:color w:val="000000" w:themeColor="text1"/>
          <w:sz w:val="24"/>
          <w:szCs w:val="24"/>
        </w:rPr>
        <w:t xml:space="preserve">measured </w:t>
      </w:r>
      <w:r>
        <w:rPr>
          <w:color w:val="000000" w:themeColor="text1"/>
          <w:sz w:val="24"/>
          <w:szCs w:val="24"/>
        </w:rPr>
        <w:t>by flow cytometry. n = 4 mice per group.</w:t>
      </w:r>
      <w:r w:rsidR="009B41AA">
        <w:rPr>
          <w:rFonts w:hint="eastAsia"/>
          <w:color w:val="000000" w:themeColor="text1"/>
          <w:sz w:val="24"/>
          <w:szCs w:val="24"/>
        </w:rPr>
        <w:t xml:space="preserve"> </w:t>
      </w:r>
      <w:r>
        <w:rPr>
          <w:rFonts w:hint="eastAsia"/>
          <w:b/>
          <w:bCs/>
          <w:color w:val="000000" w:themeColor="text1"/>
          <w:sz w:val="24"/>
          <w:szCs w:val="24"/>
        </w:rPr>
        <w:t>c</w:t>
      </w:r>
      <w:r>
        <w:rPr>
          <w:b/>
          <w:bCs/>
          <w:color w:val="000000" w:themeColor="text1"/>
          <w:sz w:val="24"/>
          <w:szCs w:val="24"/>
        </w:rPr>
        <w:t xml:space="preserve">, </w:t>
      </w:r>
      <w:r>
        <w:rPr>
          <w:rFonts w:hint="eastAsia"/>
          <w:b/>
          <w:bCs/>
          <w:color w:val="000000" w:themeColor="text1"/>
          <w:sz w:val="24"/>
          <w:szCs w:val="24"/>
        </w:rPr>
        <w:t>d</w:t>
      </w:r>
      <w:r>
        <w:rPr>
          <w:color w:val="000000" w:themeColor="text1"/>
          <w:sz w:val="24"/>
          <w:szCs w:val="24"/>
        </w:rPr>
        <w:t xml:space="preserve"> Counts of mature immune cell lineage of spleen in 3-month-old (</w:t>
      </w:r>
      <w:r>
        <w:rPr>
          <w:rFonts w:hint="eastAsia"/>
          <w:b/>
          <w:bCs/>
          <w:color w:val="000000" w:themeColor="text1"/>
          <w:sz w:val="24"/>
          <w:szCs w:val="24"/>
        </w:rPr>
        <w:t>c</w:t>
      </w:r>
      <w:r>
        <w:rPr>
          <w:color w:val="000000" w:themeColor="text1"/>
          <w:sz w:val="24"/>
          <w:szCs w:val="24"/>
        </w:rPr>
        <w:t>) and 10-month-old (</w:t>
      </w:r>
      <w:r>
        <w:rPr>
          <w:rFonts w:hint="eastAsia"/>
          <w:b/>
          <w:bCs/>
          <w:color w:val="000000" w:themeColor="text1"/>
          <w:sz w:val="24"/>
          <w:szCs w:val="24"/>
        </w:rPr>
        <w:t>d</w:t>
      </w:r>
      <w:r>
        <w:rPr>
          <w:color w:val="000000" w:themeColor="text1"/>
          <w:sz w:val="24"/>
          <w:szCs w:val="24"/>
        </w:rPr>
        <w:t xml:space="preserve">) 5×FAD mice and WT </w:t>
      </w:r>
      <w:r>
        <w:rPr>
          <w:rFonts w:hint="eastAsia"/>
          <w:color w:val="000000" w:themeColor="text1"/>
          <w:sz w:val="24"/>
          <w:szCs w:val="24"/>
        </w:rPr>
        <w:t>counterparts</w:t>
      </w:r>
      <w:r>
        <w:rPr>
          <w:color w:val="000000" w:themeColor="text1"/>
          <w:sz w:val="24"/>
          <w:szCs w:val="24"/>
        </w:rPr>
        <w:t xml:space="preserve"> by flow cytometry. n = 8 mice per group in </w:t>
      </w:r>
      <w:r>
        <w:rPr>
          <w:rFonts w:hint="eastAsia"/>
          <w:b/>
          <w:bCs/>
          <w:color w:val="000000" w:themeColor="text1"/>
          <w:sz w:val="24"/>
          <w:szCs w:val="24"/>
        </w:rPr>
        <w:t>c</w:t>
      </w:r>
      <w:r>
        <w:rPr>
          <w:color w:val="000000" w:themeColor="text1"/>
          <w:sz w:val="24"/>
          <w:szCs w:val="24"/>
        </w:rPr>
        <w:t xml:space="preserve"> and </w:t>
      </w:r>
      <w:r>
        <w:rPr>
          <w:rFonts w:hint="eastAsia"/>
          <w:b/>
          <w:bCs/>
          <w:color w:val="000000" w:themeColor="text1"/>
          <w:sz w:val="24"/>
          <w:szCs w:val="24"/>
        </w:rPr>
        <w:t>d</w:t>
      </w:r>
      <w:r>
        <w:rPr>
          <w:color w:val="000000" w:themeColor="text1"/>
          <w:sz w:val="24"/>
          <w:szCs w:val="24"/>
        </w:rPr>
        <w:t>.</w:t>
      </w:r>
      <w:r w:rsidR="009B41AA">
        <w:rPr>
          <w:rFonts w:hint="eastAsia"/>
          <w:color w:val="000000" w:themeColor="text1"/>
          <w:sz w:val="24"/>
          <w:szCs w:val="24"/>
        </w:rPr>
        <w:t xml:space="preserve"> </w:t>
      </w:r>
      <w:r>
        <w:rPr>
          <w:color w:val="000000" w:themeColor="text1"/>
          <w:sz w:val="24"/>
          <w:szCs w:val="24"/>
        </w:rPr>
        <w:t>Mean ± SEM. *p &lt; 0.05 and **p &lt; 0.01. Two-tailed unpaired Student’s t test.</w:t>
      </w:r>
    </w:p>
    <w:p w14:paraId="468FCEEA" w14:textId="77777777" w:rsidR="003B61E9" w:rsidRDefault="00000000">
      <w:pPr>
        <w:spacing w:line="480" w:lineRule="auto"/>
        <w:rPr>
          <w:color w:val="000000" w:themeColor="text1"/>
          <w:sz w:val="24"/>
          <w:szCs w:val="24"/>
        </w:rPr>
      </w:pPr>
      <w:r>
        <w:rPr>
          <w:color w:val="000000" w:themeColor="text1"/>
          <w:sz w:val="24"/>
          <w:szCs w:val="24"/>
        </w:rPr>
        <w:br w:type="page"/>
      </w:r>
    </w:p>
    <w:p w14:paraId="1601D348" w14:textId="0E2C210C" w:rsidR="003B61E9" w:rsidRDefault="00772B55">
      <w:pPr>
        <w:spacing w:line="480" w:lineRule="auto"/>
        <w:rPr>
          <w:b/>
          <w:bCs/>
          <w:color w:val="000000" w:themeColor="text1"/>
          <w:sz w:val="24"/>
          <w:szCs w:val="24"/>
        </w:rPr>
      </w:pPr>
      <w:r>
        <w:rPr>
          <w:noProof/>
        </w:rPr>
        <w:lastRenderedPageBreak/>
        <w:drawing>
          <wp:inline distT="0" distB="0" distL="0" distR="0" wp14:anchorId="6E34E5C2" wp14:editId="22051DC2">
            <wp:extent cx="5867400" cy="6767830"/>
            <wp:effectExtent l="0" t="0" r="0" b="0"/>
            <wp:docPr id="13019977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67400" cy="6767830"/>
                    </a:xfrm>
                    <a:prstGeom prst="rect">
                      <a:avLst/>
                    </a:prstGeom>
                    <a:noFill/>
                    <a:ln>
                      <a:noFill/>
                    </a:ln>
                  </pic:spPr>
                </pic:pic>
              </a:graphicData>
            </a:graphic>
          </wp:inline>
        </w:drawing>
      </w:r>
    </w:p>
    <w:p w14:paraId="5F1336B0" w14:textId="77777777" w:rsidR="003B61E9" w:rsidRDefault="00000000">
      <w:pPr>
        <w:spacing w:line="480" w:lineRule="auto"/>
        <w:rPr>
          <w:b/>
          <w:bCs/>
          <w:color w:val="000000" w:themeColor="text1"/>
          <w:sz w:val="24"/>
          <w:szCs w:val="24"/>
        </w:rPr>
      </w:pPr>
      <w:r>
        <w:rPr>
          <w:b/>
          <w:bCs/>
          <w:color w:val="000000" w:themeColor="text1"/>
          <w:sz w:val="24"/>
          <w:szCs w:val="24"/>
        </w:rPr>
        <w:t>Figure. S</w:t>
      </w:r>
      <w:r>
        <w:rPr>
          <w:rFonts w:hint="eastAsia"/>
          <w:b/>
          <w:bCs/>
          <w:color w:val="000000" w:themeColor="text1"/>
          <w:sz w:val="24"/>
          <w:szCs w:val="24"/>
        </w:rPr>
        <w:t>5.</w:t>
      </w:r>
      <w:r>
        <w:rPr>
          <w:b/>
          <w:bCs/>
          <w:color w:val="000000" w:themeColor="text1"/>
          <w:sz w:val="24"/>
          <w:szCs w:val="24"/>
        </w:rPr>
        <w:t xml:space="preserve"> </w:t>
      </w:r>
    </w:p>
    <w:p w14:paraId="0A8903C9" w14:textId="7C426955" w:rsidR="003B61E9" w:rsidRDefault="00000000">
      <w:pPr>
        <w:spacing w:line="480" w:lineRule="auto"/>
        <w:rPr>
          <w:color w:val="000000" w:themeColor="text1"/>
          <w:sz w:val="24"/>
          <w:szCs w:val="24"/>
        </w:rPr>
      </w:pPr>
      <w:r>
        <w:rPr>
          <w:rFonts w:hint="eastAsia"/>
          <w:b/>
          <w:bCs/>
          <w:color w:val="000000" w:themeColor="text1"/>
          <w:sz w:val="24"/>
          <w:szCs w:val="24"/>
        </w:rPr>
        <w:t>C</w:t>
      </w:r>
      <w:r>
        <w:rPr>
          <w:b/>
          <w:bCs/>
          <w:color w:val="000000" w:themeColor="text1"/>
          <w:sz w:val="24"/>
          <w:szCs w:val="24"/>
        </w:rPr>
        <w:t>ellular identity of ABCs in 5×FAD mice, related to Fig</w:t>
      </w:r>
      <w:r>
        <w:rPr>
          <w:rFonts w:hint="eastAsia"/>
          <w:b/>
          <w:bCs/>
          <w:color w:val="000000" w:themeColor="text1"/>
          <w:sz w:val="24"/>
          <w:szCs w:val="24"/>
        </w:rPr>
        <w:t xml:space="preserve">. </w:t>
      </w:r>
      <w:r>
        <w:rPr>
          <w:b/>
          <w:bCs/>
          <w:color w:val="000000" w:themeColor="text1"/>
          <w:sz w:val="24"/>
          <w:szCs w:val="24"/>
        </w:rPr>
        <w:t xml:space="preserve">3. </w:t>
      </w:r>
      <w:bookmarkStart w:id="5" w:name="_Hlk199758919"/>
      <w:r>
        <w:rPr>
          <w:rFonts w:hint="eastAsia"/>
          <w:b/>
          <w:bCs/>
          <w:color w:val="000000" w:themeColor="text1"/>
          <w:sz w:val="24"/>
          <w:szCs w:val="24"/>
        </w:rPr>
        <w:t>a</w:t>
      </w:r>
      <w:r>
        <w:rPr>
          <w:b/>
          <w:bCs/>
          <w:color w:val="000000" w:themeColor="text1"/>
          <w:sz w:val="24"/>
          <w:szCs w:val="24"/>
        </w:rPr>
        <w:t xml:space="preserve">, </w:t>
      </w:r>
      <w:r>
        <w:rPr>
          <w:rFonts w:hint="eastAsia"/>
          <w:b/>
          <w:bCs/>
          <w:color w:val="000000" w:themeColor="text1"/>
          <w:sz w:val="24"/>
          <w:szCs w:val="24"/>
        </w:rPr>
        <w:t>b</w:t>
      </w:r>
      <w:r>
        <w:rPr>
          <w:color w:val="000000" w:themeColor="text1"/>
          <w:sz w:val="24"/>
          <w:szCs w:val="24"/>
        </w:rPr>
        <w:t xml:space="preserve"> Flow cytometry analysis of </w:t>
      </w:r>
      <w:r>
        <w:rPr>
          <w:rFonts w:hint="eastAsia"/>
          <w:color w:val="000000" w:themeColor="text1"/>
          <w:sz w:val="24"/>
          <w:szCs w:val="24"/>
        </w:rPr>
        <w:t xml:space="preserve">ABCs </w:t>
      </w:r>
      <w:r>
        <w:rPr>
          <w:color w:val="000000" w:themeColor="text1"/>
          <w:sz w:val="24"/>
          <w:szCs w:val="24"/>
        </w:rPr>
        <w:t xml:space="preserve">in </w:t>
      </w:r>
      <w:r>
        <w:rPr>
          <w:rFonts w:hint="eastAsia"/>
          <w:color w:val="000000" w:themeColor="text1"/>
          <w:sz w:val="24"/>
          <w:szCs w:val="24"/>
        </w:rPr>
        <w:t xml:space="preserve">spleen </w:t>
      </w:r>
      <w:r>
        <w:rPr>
          <w:color w:val="000000" w:themeColor="text1"/>
          <w:sz w:val="24"/>
          <w:szCs w:val="24"/>
        </w:rPr>
        <w:t xml:space="preserve">of </w:t>
      </w:r>
      <w:r>
        <w:rPr>
          <w:rFonts w:hint="eastAsia"/>
          <w:color w:val="000000" w:themeColor="text1"/>
          <w:sz w:val="24"/>
          <w:szCs w:val="24"/>
        </w:rPr>
        <w:t>3</w:t>
      </w:r>
      <w:r>
        <w:rPr>
          <w:color w:val="000000" w:themeColor="text1"/>
          <w:sz w:val="24"/>
          <w:szCs w:val="24"/>
        </w:rPr>
        <w:t xml:space="preserve">-month-old 5×FAD mice. Gating strategy of </w:t>
      </w:r>
      <w:r>
        <w:rPr>
          <w:rFonts w:hint="eastAsia"/>
          <w:color w:val="000000" w:themeColor="text1"/>
          <w:sz w:val="24"/>
          <w:szCs w:val="24"/>
        </w:rPr>
        <w:t>Zeb2</w:t>
      </w:r>
      <w:r>
        <w:rPr>
          <w:rFonts w:hint="eastAsia"/>
          <w:color w:val="000000" w:themeColor="text1"/>
          <w:sz w:val="24"/>
          <w:szCs w:val="24"/>
          <w:vertAlign w:val="superscript"/>
        </w:rPr>
        <w:t>+</w:t>
      </w:r>
      <w:r>
        <w:rPr>
          <w:rFonts w:hint="eastAsia"/>
          <w:color w:val="000000" w:themeColor="text1"/>
          <w:sz w:val="24"/>
          <w:szCs w:val="24"/>
        </w:rPr>
        <w:t xml:space="preserve"> ABCs and T-bet</w:t>
      </w:r>
      <w:r>
        <w:rPr>
          <w:rFonts w:hint="eastAsia"/>
          <w:color w:val="000000" w:themeColor="text1"/>
          <w:sz w:val="24"/>
          <w:szCs w:val="24"/>
          <w:vertAlign w:val="superscript"/>
        </w:rPr>
        <w:t>+</w:t>
      </w:r>
      <w:r>
        <w:rPr>
          <w:rFonts w:hint="eastAsia"/>
          <w:color w:val="000000" w:themeColor="text1"/>
          <w:sz w:val="24"/>
          <w:szCs w:val="24"/>
        </w:rPr>
        <w:t xml:space="preserve"> ABCs </w:t>
      </w:r>
      <w:r>
        <w:rPr>
          <w:color w:val="000000" w:themeColor="text1"/>
          <w:sz w:val="24"/>
          <w:szCs w:val="24"/>
        </w:rPr>
        <w:t xml:space="preserve">in </w:t>
      </w:r>
      <w:r>
        <w:rPr>
          <w:rFonts w:hint="eastAsia"/>
          <w:color w:val="000000" w:themeColor="text1"/>
          <w:sz w:val="24"/>
          <w:szCs w:val="24"/>
        </w:rPr>
        <w:t>spleen</w:t>
      </w:r>
      <w:r>
        <w:rPr>
          <w:color w:val="000000" w:themeColor="text1"/>
          <w:sz w:val="24"/>
          <w:szCs w:val="24"/>
        </w:rPr>
        <w:t xml:space="preserve"> (</w:t>
      </w:r>
      <w:r>
        <w:rPr>
          <w:rFonts w:hint="eastAsia"/>
          <w:b/>
          <w:bCs/>
          <w:color w:val="000000" w:themeColor="text1"/>
          <w:sz w:val="24"/>
          <w:szCs w:val="24"/>
        </w:rPr>
        <w:t>a</w:t>
      </w:r>
      <w:r>
        <w:rPr>
          <w:color w:val="000000" w:themeColor="text1"/>
          <w:sz w:val="24"/>
          <w:szCs w:val="24"/>
        </w:rPr>
        <w:t>). The</w:t>
      </w:r>
      <w:r>
        <w:rPr>
          <w:rFonts w:hint="eastAsia"/>
          <w:color w:val="000000" w:themeColor="text1"/>
          <w:sz w:val="24"/>
          <w:szCs w:val="24"/>
        </w:rPr>
        <w:t xml:space="preserve"> </w:t>
      </w:r>
      <w:r>
        <w:rPr>
          <w:color w:val="000000" w:themeColor="text1"/>
          <w:sz w:val="24"/>
          <w:szCs w:val="24"/>
        </w:rPr>
        <w:t xml:space="preserve">percentage of </w:t>
      </w:r>
      <w:r>
        <w:rPr>
          <w:rFonts w:hint="eastAsia"/>
          <w:color w:val="000000" w:themeColor="text1"/>
          <w:sz w:val="24"/>
          <w:szCs w:val="24"/>
        </w:rPr>
        <w:t>Zeb2</w:t>
      </w:r>
      <w:r>
        <w:rPr>
          <w:rFonts w:hint="eastAsia"/>
          <w:color w:val="000000" w:themeColor="text1"/>
          <w:sz w:val="24"/>
          <w:szCs w:val="24"/>
          <w:vertAlign w:val="superscript"/>
        </w:rPr>
        <w:t>+</w:t>
      </w:r>
      <w:r>
        <w:rPr>
          <w:rFonts w:hint="eastAsia"/>
          <w:color w:val="000000" w:themeColor="text1"/>
          <w:sz w:val="24"/>
          <w:szCs w:val="24"/>
        </w:rPr>
        <w:t xml:space="preserve"> ABCs and T-bet</w:t>
      </w:r>
      <w:r>
        <w:rPr>
          <w:rFonts w:hint="eastAsia"/>
          <w:color w:val="000000" w:themeColor="text1"/>
          <w:sz w:val="24"/>
          <w:szCs w:val="24"/>
          <w:vertAlign w:val="superscript"/>
        </w:rPr>
        <w:t>+</w:t>
      </w:r>
      <w:r>
        <w:rPr>
          <w:rFonts w:hint="eastAsia"/>
          <w:color w:val="000000" w:themeColor="text1"/>
          <w:sz w:val="24"/>
          <w:szCs w:val="24"/>
        </w:rPr>
        <w:t xml:space="preserve"> ABCs </w:t>
      </w:r>
      <w:r>
        <w:rPr>
          <w:color w:val="000000" w:themeColor="text1"/>
          <w:sz w:val="24"/>
          <w:szCs w:val="24"/>
        </w:rPr>
        <w:t>within the ABCs (</w:t>
      </w:r>
      <w:r>
        <w:rPr>
          <w:rFonts w:hint="eastAsia"/>
          <w:b/>
          <w:bCs/>
          <w:color w:val="000000" w:themeColor="text1"/>
          <w:sz w:val="24"/>
          <w:szCs w:val="24"/>
        </w:rPr>
        <w:t>b</w:t>
      </w:r>
      <w:r>
        <w:rPr>
          <w:color w:val="000000" w:themeColor="text1"/>
          <w:sz w:val="24"/>
          <w:szCs w:val="24"/>
        </w:rPr>
        <w:t xml:space="preserve">). n = </w:t>
      </w:r>
      <w:r>
        <w:rPr>
          <w:rFonts w:hint="eastAsia"/>
          <w:color w:val="000000" w:themeColor="text1"/>
          <w:sz w:val="24"/>
          <w:szCs w:val="24"/>
        </w:rPr>
        <w:t>8</w:t>
      </w:r>
      <w:r>
        <w:rPr>
          <w:color w:val="000000" w:themeColor="text1"/>
          <w:sz w:val="24"/>
          <w:szCs w:val="24"/>
        </w:rPr>
        <w:t xml:space="preserve"> mice per group.</w:t>
      </w:r>
      <w:r w:rsidR="009B41AA">
        <w:rPr>
          <w:rFonts w:hint="eastAsia"/>
          <w:color w:val="000000" w:themeColor="text1"/>
          <w:sz w:val="24"/>
          <w:szCs w:val="24"/>
        </w:rPr>
        <w:t xml:space="preserve"> </w:t>
      </w:r>
      <w:bookmarkEnd w:id="5"/>
      <w:r>
        <w:rPr>
          <w:rFonts w:hint="eastAsia"/>
          <w:b/>
          <w:bCs/>
          <w:color w:val="000000" w:themeColor="text1"/>
          <w:sz w:val="24"/>
          <w:szCs w:val="24"/>
        </w:rPr>
        <w:t>c</w:t>
      </w:r>
      <w:r>
        <w:rPr>
          <w:color w:val="000000" w:themeColor="text1"/>
          <w:sz w:val="24"/>
          <w:szCs w:val="24"/>
        </w:rPr>
        <w:t xml:space="preserve"> Representative images of </w:t>
      </w:r>
      <w:r>
        <w:rPr>
          <w:rFonts w:hint="eastAsia"/>
          <w:color w:val="000000" w:themeColor="text1"/>
          <w:sz w:val="24"/>
          <w:szCs w:val="24"/>
        </w:rPr>
        <w:t>CD19</w:t>
      </w:r>
      <w:r>
        <w:rPr>
          <w:color w:val="000000" w:themeColor="text1"/>
          <w:sz w:val="24"/>
          <w:szCs w:val="24"/>
        </w:rPr>
        <w:t xml:space="preserve"> and C</w:t>
      </w:r>
      <w:r>
        <w:rPr>
          <w:rFonts w:hint="eastAsia"/>
          <w:color w:val="000000" w:themeColor="text1"/>
          <w:sz w:val="24"/>
          <w:szCs w:val="24"/>
        </w:rPr>
        <w:t>D</w:t>
      </w:r>
      <w:r>
        <w:rPr>
          <w:color w:val="000000" w:themeColor="text1"/>
          <w:sz w:val="24"/>
          <w:szCs w:val="24"/>
        </w:rPr>
        <w:t xml:space="preserve">11c staining in </w:t>
      </w:r>
      <w:r>
        <w:rPr>
          <w:rFonts w:hint="eastAsia"/>
          <w:color w:val="000000" w:themeColor="text1"/>
          <w:sz w:val="24"/>
          <w:szCs w:val="24"/>
        </w:rPr>
        <w:t>brain of 10</w:t>
      </w:r>
      <w:r>
        <w:rPr>
          <w:color w:val="000000" w:themeColor="text1"/>
          <w:sz w:val="24"/>
          <w:szCs w:val="24"/>
        </w:rPr>
        <w:t>-month-old 5×FAD mice</w:t>
      </w:r>
      <w:r>
        <w:rPr>
          <w:rFonts w:hint="eastAsia"/>
          <w:color w:val="000000" w:themeColor="text1"/>
          <w:sz w:val="24"/>
          <w:szCs w:val="24"/>
        </w:rPr>
        <w:t>.</w:t>
      </w:r>
      <w:r>
        <w:rPr>
          <w:rFonts w:ascii="Segoe UI" w:hAnsi="Segoe UI" w:cs="Segoe UI"/>
          <w:b/>
          <w:bCs/>
          <w:color w:val="000000" w:themeColor="text1"/>
          <w:shd w:val="clear" w:color="auto" w:fill="FFFFFF"/>
        </w:rPr>
        <w:t xml:space="preserve"> </w:t>
      </w:r>
      <w:r>
        <w:rPr>
          <w:color w:val="000000" w:themeColor="text1"/>
          <w:sz w:val="24"/>
          <w:szCs w:val="24"/>
        </w:rPr>
        <w:t>White arrows indicate positive cells.</w:t>
      </w:r>
      <w:r>
        <w:rPr>
          <w:color w:val="000000" w:themeColor="text1"/>
          <w:sz w:val="24"/>
          <w:szCs w:val="24"/>
        </w:rPr>
        <w:br w:type="page"/>
      </w:r>
    </w:p>
    <w:bookmarkEnd w:id="4"/>
    <w:p w14:paraId="4562E4B3" w14:textId="5BCF9BA8" w:rsidR="003B61E9" w:rsidRDefault="00772B55">
      <w:pPr>
        <w:pStyle w:val="SMHeading"/>
        <w:rPr>
          <w:color w:val="000000" w:themeColor="text1"/>
        </w:rPr>
      </w:pPr>
      <w:r>
        <w:rPr>
          <w:noProof/>
        </w:rPr>
        <w:lastRenderedPageBreak/>
        <w:drawing>
          <wp:inline distT="0" distB="0" distL="0" distR="0" wp14:anchorId="1FB1A992" wp14:editId="5702D07D">
            <wp:extent cx="6645910" cy="8569960"/>
            <wp:effectExtent l="0" t="0" r="2540" b="2540"/>
            <wp:docPr id="212581516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45910" cy="8569960"/>
                    </a:xfrm>
                    <a:prstGeom prst="rect">
                      <a:avLst/>
                    </a:prstGeom>
                    <a:noFill/>
                    <a:ln>
                      <a:noFill/>
                    </a:ln>
                  </pic:spPr>
                </pic:pic>
              </a:graphicData>
            </a:graphic>
          </wp:inline>
        </w:drawing>
      </w:r>
    </w:p>
    <w:p w14:paraId="7DEC8715" w14:textId="77777777" w:rsidR="003B61E9" w:rsidRDefault="00000000">
      <w:pPr>
        <w:spacing w:line="480" w:lineRule="auto"/>
        <w:rPr>
          <w:b/>
          <w:bCs/>
          <w:color w:val="000000" w:themeColor="text1"/>
          <w:sz w:val="24"/>
          <w:szCs w:val="24"/>
        </w:rPr>
      </w:pPr>
      <w:r>
        <w:rPr>
          <w:b/>
          <w:bCs/>
          <w:color w:val="000000" w:themeColor="text1"/>
          <w:sz w:val="24"/>
          <w:szCs w:val="24"/>
        </w:rPr>
        <w:t>Figure. S</w:t>
      </w:r>
      <w:r>
        <w:rPr>
          <w:rFonts w:hint="eastAsia"/>
          <w:b/>
          <w:bCs/>
          <w:color w:val="000000" w:themeColor="text1"/>
          <w:sz w:val="24"/>
          <w:szCs w:val="24"/>
        </w:rPr>
        <w:t>6.</w:t>
      </w:r>
      <w:r>
        <w:rPr>
          <w:b/>
          <w:bCs/>
          <w:color w:val="000000" w:themeColor="text1"/>
          <w:sz w:val="24"/>
          <w:szCs w:val="24"/>
        </w:rPr>
        <w:t xml:space="preserve"> </w:t>
      </w:r>
    </w:p>
    <w:p w14:paraId="4C376CA9" w14:textId="2F45992C" w:rsidR="003B61E9" w:rsidRDefault="00000000" w:rsidP="009B41AA">
      <w:pPr>
        <w:spacing w:line="480" w:lineRule="auto"/>
        <w:jc w:val="both"/>
        <w:rPr>
          <w:color w:val="000000" w:themeColor="text1"/>
        </w:rPr>
      </w:pPr>
      <w:r>
        <w:rPr>
          <w:b/>
          <w:bCs/>
          <w:color w:val="000000" w:themeColor="text1"/>
          <w:sz w:val="24"/>
          <w:szCs w:val="24"/>
        </w:rPr>
        <w:lastRenderedPageBreak/>
        <w:t>Single-cell RNA sequencing of microglia in 5×FAD-control mice and 5×FAD-ABCs mice, related to Fig</w:t>
      </w:r>
      <w:r>
        <w:rPr>
          <w:rFonts w:hint="eastAsia"/>
          <w:b/>
          <w:bCs/>
          <w:color w:val="000000" w:themeColor="text1"/>
          <w:sz w:val="24"/>
          <w:szCs w:val="24"/>
        </w:rPr>
        <w:t>.</w:t>
      </w:r>
      <w:r>
        <w:rPr>
          <w:b/>
          <w:bCs/>
          <w:color w:val="000000" w:themeColor="text1"/>
          <w:sz w:val="24"/>
          <w:szCs w:val="24"/>
        </w:rPr>
        <w:t xml:space="preserve"> 5.</w:t>
      </w:r>
      <w:r w:rsidR="009B41AA">
        <w:rPr>
          <w:rFonts w:hint="eastAsia"/>
          <w:b/>
          <w:bCs/>
          <w:color w:val="000000" w:themeColor="text1"/>
          <w:sz w:val="24"/>
          <w:szCs w:val="24"/>
        </w:rPr>
        <w:t xml:space="preserve"> </w:t>
      </w:r>
      <w:proofErr w:type="spellStart"/>
      <w:proofErr w:type="gramStart"/>
      <w:r>
        <w:rPr>
          <w:rFonts w:hint="eastAsia"/>
          <w:b/>
          <w:bCs/>
          <w:color w:val="000000" w:themeColor="text1"/>
          <w:sz w:val="24"/>
          <w:szCs w:val="24"/>
        </w:rPr>
        <w:t>a</w:t>
      </w:r>
      <w:proofErr w:type="spellEnd"/>
      <w:proofErr w:type="gramEnd"/>
      <w:r>
        <w:rPr>
          <w:color w:val="000000" w:themeColor="text1"/>
          <w:sz w:val="24"/>
          <w:szCs w:val="24"/>
        </w:rPr>
        <w:t xml:space="preserve"> Experimental design for isolation of CD11b</w:t>
      </w:r>
      <w:r>
        <w:rPr>
          <w:color w:val="000000" w:themeColor="text1"/>
          <w:sz w:val="24"/>
          <w:szCs w:val="24"/>
          <w:vertAlign w:val="superscript"/>
        </w:rPr>
        <w:t>+</w:t>
      </w:r>
      <w:r>
        <w:rPr>
          <w:color w:val="000000" w:themeColor="text1"/>
          <w:sz w:val="24"/>
          <w:szCs w:val="24"/>
        </w:rPr>
        <w:t xml:space="preserve"> cells from hippocampus and cortex.</w:t>
      </w:r>
      <w:r w:rsidR="009B41AA">
        <w:rPr>
          <w:rFonts w:hint="eastAsia"/>
          <w:color w:val="000000" w:themeColor="text1"/>
          <w:sz w:val="24"/>
          <w:szCs w:val="24"/>
        </w:rPr>
        <w:t xml:space="preserve"> </w:t>
      </w:r>
      <w:r>
        <w:rPr>
          <w:rFonts w:hint="eastAsia"/>
          <w:b/>
          <w:bCs/>
          <w:color w:val="000000" w:themeColor="text1"/>
          <w:sz w:val="24"/>
          <w:szCs w:val="24"/>
        </w:rPr>
        <w:t>b</w:t>
      </w:r>
      <w:r>
        <w:rPr>
          <w:color w:val="000000" w:themeColor="text1"/>
          <w:sz w:val="24"/>
          <w:szCs w:val="24"/>
        </w:rPr>
        <w:t xml:space="preserve"> UMAP for 37146 cells from n = 2 per group and annotated by cluster.</w:t>
      </w:r>
      <w:r w:rsidR="009B41AA">
        <w:rPr>
          <w:rFonts w:hint="eastAsia"/>
          <w:color w:val="000000" w:themeColor="text1"/>
          <w:sz w:val="24"/>
          <w:szCs w:val="24"/>
        </w:rPr>
        <w:t xml:space="preserve"> </w:t>
      </w:r>
      <w:r>
        <w:rPr>
          <w:rFonts w:hint="eastAsia"/>
          <w:b/>
          <w:bCs/>
          <w:color w:val="000000" w:themeColor="text1"/>
          <w:sz w:val="24"/>
          <w:szCs w:val="24"/>
        </w:rPr>
        <w:t>c</w:t>
      </w:r>
      <w:r>
        <w:rPr>
          <w:color w:val="000000" w:themeColor="text1"/>
          <w:sz w:val="24"/>
          <w:szCs w:val="24"/>
        </w:rPr>
        <w:t xml:space="preserve"> Summarized graph </w:t>
      </w:r>
      <w:r>
        <w:rPr>
          <w:rFonts w:hint="eastAsia"/>
          <w:color w:val="000000" w:themeColor="text1"/>
          <w:sz w:val="24"/>
          <w:szCs w:val="24"/>
        </w:rPr>
        <w:t>of</w:t>
      </w:r>
      <w:r>
        <w:rPr>
          <w:color w:val="000000" w:themeColor="text1"/>
          <w:sz w:val="24"/>
          <w:szCs w:val="24"/>
        </w:rPr>
        <w:t xml:space="preserve"> cell-type-specific marker for all cell types.</w:t>
      </w:r>
      <w:r w:rsidR="009B41AA">
        <w:rPr>
          <w:rFonts w:hint="eastAsia"/>
          <w:color w:val="000000" w:themeColor="text1"/>
          <w:sz w:val="24"/>
          <w:szCs w:val="24"/>
        </w:rPr>
        <w:t xml:space="preserve"> </w:t>
      </w:r>
      <w:r>
        <w:rPr>
          <w:rFonts w:hint="eastAsia"/>
          <w:b/>
          <w:bCs/>
          <w:color w:val="000000" w:themeColor="text1"/>
          <w:sz w:val="24"/>
          <w:szCs w:val="24"/>
        </w:rPr>
        <w:t>d</w:t>
      </w:r>
      <w:r>
        <w:rPr>
          <w:color w:val="000000" w:themeColor="text1"/>
          <w:sz w:val="24"/>
          <w:szCs w:val="24"/>
        </w:rPr>
        <w:t xml:space="preserve"> Gene expression heatmap </w:t>
      </w:r>
      <w:r>
        <w:rPr>
          <w:rFonts w:hint="eastAsia"/>
          <w:color w:val="000000" w:themeColor="text1"/>
          <w:sz w:val="24"/>
          <w:szCs w:val="24"/>
        </w:rPr>
        <w:t>of</w:t>
      </w:r>
      <w:r>
        <w:rPr>
          <w:color w:val="000000" w:themeColor="text1"/>
          <w:sz w:val="24"/>
          <w:szCs w:val="24"/>
        </w:rPr>
        <w:t xml:space="preserve"> the top enriched genes for each microglia cluster. Expression of canonical marker genes delineates 11 microglial states population (HM, homeostatic microglia; DAMs, disease-associated microglia; TM, transitioning microglia; IFN-R, interferon responsive microglia; Inflammation, inflammatory microglia; Cycling, proliferative microglia; MHC-II, MHC class II microglia; Cell motility; Cycling, proliferative microglia).</w:t>
      </w:r>
      <w:r w:rsidR="009B41AA">
        <w:rPr>
          <w:rFonts w:hint="eastAsia"/>
          <w:color w:val="000000" w:themeColor="text1"/>
          <w:sz w:val="24"/>
          <w:szCs w:val="24"/>
        </w:rPr>
        <w:t xml:space="preserve"> </w:t>
      </w:r>
      <w:r>
        <w:rPr>
          <w:rFonts w:hint="eastAsia"/>
          <w:b/>
          <w:bCs/>
          <w:color w:val="000000" w:themeColor="text1"/>
          <w:sz w:val="24"/>
          <w:szCs w:val="24"/>
        </w:rPr>
        <w:t>e</w:t>
      </w:r>
      <w:r>
        <w:rPr>
          <w:b/>
          <w:bCs/>
          <w:color w:val="000000" w:themeColor="text1"/>
          <w:sz w:val="24"/>
          <w:szCs w:val="24"/>
        </w:rPr>
        <w:t xml:space="preserve">, </w:t>
      </w:r>
      <w:r>
        <w:rPr>
          <w:rFonts w:hint="eastAsia"/>
          <w:b/>
          <w:bCs/>
          <w:color w:val="000000" w:themeColor="text1"/>
          <w:sz w:val="24"/>
          <w:szCs w:val="24"/>
        </w:rPr>
        <w:t>f</w:t>
      </w:r>
      <w:r>
        <w:rPr>
          <w:color w:val="000000" w:themeColor="text1"/>
          <w:sz w:val="24"/>
          <w:szCs w:val="24"/>
        </w:rPr>
        <w:t xml:space="preserve"> UMAP of HM marker genes C1qa, Cx3cr1, P2ry12, Tmem119 and DAM marker genes Trem2, </w:t>
      </w:r>
      <w:proofErr w:type="spellStart"/>
      <w:r>
        <w:rPr>
          <w:color w:val="000000" w:themeColor="text1"/>
          <w:sz w:val="24"/>
          <w:szCs w:val="24"/>
        </w:rPr>
        <w:t>Apoe</w:t>
      </w:r>
      <w:proofErr w:type="spellEnd"/>
      <w:r>
        <w:rPr>
          <w:color w:val="000000" w:themeColor="text1"/>
          <w:sz w:val="24"/>
          <w:szCs w:val="24"/>
        </w:rPr>
        <w:t>, Cst7, Lyz2 (</w:t>
      </w:r>
      <w:r>
        <w:rPr>
          <w:rFonts w:hint="eastAsia"/>
          <w:b/>
          <w:bCs/>
          <w:color w:val="000000" w:themeColor="text1"/>
          <w:sz w:val="24"/>
          <w:szCs w:val="24"/>
        </w:rPr>
        <w:t>e</w:t>
      </w:r>
      <w:r>
        <w:rPr>
          <w:color w:val="000000" w:themeColor="text1"/>
          <w:sz w:val="24"/>
          <w:szCs w:val="24"/>
        </w:rPr>
        <w:t>). Dot plot of HM and DAM genes (</w:t>
      </w:r>
      <w:r>
        <w:rPr>
          <w:rFonts w:hint="eastAsia"/>
          <w:b/>
          <w:bCs/>
          <w:color w:val="000000" w:themeColor="text1"/>
          <w:sz w:val="24"/>
          <w:szCs w:val="24"/>
        </w:rPr>
        <w:t>f</w:t>
      </w:r>
      <w:r>
        <w:rPr>
          <w:color w:val="000000" w:themeColor="text1"/>
          <w:sz w:val="24"/>
          <w:szCs w:val="24"/>
        </w:rPr>
        <w:t>).</w:t>
      </w:r>
      <w:r w:rsidR="009B41AA">
        <w:rPr>
          <w:rFonts w:hint="eastAsia"/>
          <w:color w:val="000000" w:themeColor="text1"/>
          <w:sz w:val="24"/>
          <w:szCs w:val="24"/>
        </w:rPr>
        <w:t xml:space="preserve"> </w:t>
      </w:r>
      <w:r>
        <w:rPr>
          <w:rFonts w:hint="eastAsia"/>
          <w:b/>
          <w:bCs/>
          <w:color w:val="000000" w:themeColor="text1"/>
          <w:sz w:val="24"/>
          <w:szCs w:val="24"/>
        </w:rPr>
        <w:t>g</w:t>
      </w:r>
      <w:r>
        <w:rPr>
          <w:color w:val="000000" w:themeColor="text1"/>
          <w:sz w:val="24"/>
          <w:szCs w:val="24"/>
        </w:rPr>
        <w:t xml:space="preserve"> Representative images of P2ry12 (left) and Cd11c (right) staining in the hippocampal DG region (up). Quantification of P2ry12- and Cd11c- positive area in hippocampus (down), n = 5-8 views from 4 mice per group for area fraction.</w:t>
      </w:r>
      <w:r>
        <w:rPr>
          <w:b/>
          <w:bCs/>
          <w:color w:val="000000" w:themeColor="text1"/>
          <w:sz w:val="24"/>
          <w:szCs w:val="24"/>
        </w:rPr>
        <w:t xml:space="preserve"> </w:t>
      </w:r>
      <w:r>
        <w:rPr>
          <w:color w:val="000000" w:themeColor="text1"/>
          <w:sz w:val="24"/>
          <w:szCs w:val="24"/>
        </w:rPr>
        <w:t>Data are mean ± SEM. *p &lt; 0.05, Two-tailed unpaired Student’s t test was used.</w:t>
      </w:r>
      <w:r>
        <w:rPr>
          <w:color w:val="000000" w:themeColor="text1"/>
        </w:rPr>
        <w:br w:type="page"/>
      </w:r>
    </w:p>
    <w:p w14:paraId="05506424" w14:textId="77777777" w:rsidR="003B61E9" w:rsidRDefault="00000000">
      <w:pPr>
        <w:pStyle w:val="SMHeading"/>
        <w:rPr>
          <w:color w:val="000000" w:themeColor="text1"/>
        </w:rPr>
      </w:pPr>
      <w:r>
        <w:rPr>
          <w:noProof/>
        </w:rPr>
        <w:lastRenderedPageBreak/>
        <w:drawing>
          <wp:inline distT="0" distB="0" distL="0" distR="0" wp14:anchorId="67EF635C" wp14:editId="65C3B1B6">
            <wp:extent cx="6645910" cy="8509635"/>
            <wp:effectExtent l="0" t="0" r="2540" b="5715"/>
            <wp:docPr id="6494296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429652"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6645910" cy="8509635"/>
                    </a:xfrm>
                    <a:prstGeom prst="rect">
                      <a:avLst/>
                    </a:prstGeom>
                    <a:noFill/>
                    <a:ln>
                      <a:noFill/>
                    </a:ln>
                  </pic:spPr>
                </pic:pic>
              </a:graphicData>
            </a:graphic>
          </wp:inline>
        </w:drawing>
      </w:r>
    </w:p>
    <w:p w14:paraId="781E7D43" w14:textId="77777777" w:rsidR="003B61E9" w:rsidRDefault="00000000">
      <w:pPr>
        <w:spacing w:line="480" w:lineRule="auto"/>
        <w:rPr>
          <w:b/>
          <w:bCs/>
          <w:color w:val="000000" w:themeColor="text1"/>
          <w:sz w:val="24"/>
          <w:szCs w:val="24"/>
        </w:rPr>
      </w:pPr>
      <w:bookmarkStart w:id="6" w:name="_Hlk199760676"/>
      <w:r>
        <w:rPr>
          <w:b/>
          <w:bCs/>
          <w:color w:val="000000" w:themeColor="text1"/>
          <w:sz w:val="24"/>
          <w:szCs w:val="24"/>
        </w:rPr>
        <w:t>Figure. S</w:t>
      </w:r>
      <w:r>
        <w:rPr>
          <w:rFonts w:hint="eastAsia"/>
          <w:b/>
          <w:bCs/>
          <w:color w:val="000000" w:themeColor="text1"/>
          <w:sz w:val="24"/>
          <w:szCs w:val="24"/>
        </w:rPr>
        <w:t>7.</w:t>
      </w:r>
      <w:r>
        <w:rPr>
          <w:b/>
          <w:bCs/>
          <w:color w:val="000000" w:themeColor="text1"/>
          <w:sz w:val="24"/>
          <w:szCs w:val="24"/>
        </w:rPr>
        <w:t xml:space="preserve"> </w:t>
      </w:r>
    </w:p>
    <w:p w14:paraId="4BFA15CE" w14:textId="51E469F6" w:rsidR="003B61E9" w:rsidRDefault="00000000">
      <w:pPr>
        <w:spacing w:line="480" w:lineRule="auto"/>
        <w:rPr>
          <w:color w:val="000000" w:themeColor="text1"/>
          <w:sz w:val="24"/>
          <w:szCs w:val="24"/>
        </w:rPr>
      </w:pPr>
      <w:r>
        <w:rPr>
          <w:b/>
          <w:bCs/>
          <w:color w:val="000000" w:themeColor="text1"/>
          <w:sz w:val="24"/>
          <w:szCs w:val="24"/>
        </w:rPr>
        <w:t>ABCs augment Aβ pathology</w:t>
      </w:r>
      <w:r>
        <w:rPr>
          <w:rFonts w:hint="eastAsia"/>
          <w:b/>
          <w:bCs/>
          <w:color w:val="000000" w:themeColor="text1"/>
          <w:sz w:val="24"/>
          <w:szCs w:val="24"/>
        </w:rPr>
        <w:t xml:space="preserve"> and </w:t>
      </w:r>
      <w:r>
        <w:rPr>
          <w:b/>
          <w:bCs/>
          <w:color w:val="000000" w:themeColor="text1"/>
          <w:sz w:val="24"/>
          <w:szCs w:val="24"/>
        </w:rPr>
        <w:t>microglia reactivity</w:t>
      </w:r>
      <w:r>
        <w:rPr>
          <w:rFonts w:hint="eastAsia"/>
          <w:b/>
          <w:bCs/>
          <w:color w:val="000000" w:themeColor="text1"/>
          <w:sz w:val="24"/>
          <w:szCs w:val="24"/>
        </w:rPr>
        <w:t>,</w:t>
      </w:r>
      <w:r>
        <w:rPr>
          <w:b/>
          <w:bCs/>
          <w:color w:val="000000" w:themeColor="text1"/>
          <w:sz w:val="24"/>
          <w:szCs w:val="24"/>
        </w:rPr>
        <w:t xml:space="preserve"> related to Fig</w:t>
      </w:r>
      <w:r>
        <w:rPr>
          <w:rFonts w:hint="eastAsia"/>
          <w:b/>
          <w:bCs/>
          <w:color w:val="000000" w:themeColor="text1"/>
          <w:sz w:val="24"/>
          <w:szCs w:val="24"/>
        </w:rPr>
        <w:t>.</w:t>
      </w:r>
      <w:r>
        <w:rPr>
          <w:b/>
          <w:bCs/>
          <w:color w:val="000000" w:themeColor="text1"/>
          <w:sz w:val="24"/>
          <w:szCs w:val="24"/>
        </w:rPr>
        <w:t xml:space="preserve"> 5.</w:t>
      </w:r>
      <w:r w:rsidR="009B41AA">
        <w:rPr>
          <w:rFonts w:hint="eastAsia"/>
          <w:b/>
          <w:bCs/>
          <w:color w:val="000000" w:themeColor="text1"/>
          <w:sz w:val="24"/>
          <w:szCs w:val="24"/>
        </w:rPr>
        <w:t xml:space="preserve"> </w:t>
      </w:r>
      <w:proofErr w:type="spellStart"/>
      <w:proofErr w:type="gramStart"/>
      <w:r>
        <w:rPr>
          <w:rFonts w:hint="eastAsia"/>
          <w:b/>
          <w:bCs/>
          <w:color w:val="000000" w:themeColor="text1"/>
          <w:sz w:val="24"/>
          <w:szCs w:val="24"/>
        </w:rPr>
        <w:t>a</w:t>
      </w:r>
      <w:proofErr w:type="spellEnd"/>
      <w:proofErr w:type="gramEnd"/>
      <w:r>
        <w:rPr>
          <w:color w:val="000000" w:themeColor="text1"/>
          <w:sz w:val="24"/>
          <w:szCs w:val="24"/>
        </w:rPr>
        <w:t xml:space="preserve"> Experimental design for </w:t>
      </w:r>
      <w:r>
        <w:rPr>
          <w:rFonts w:hint="eastAsia"/>
          <w:color w:val="000000" w:themeColor="text1"/>
          <w:sz w:val="24"/>
          <w:szCs w:val="24"/>
        </w:rPr>
        <w:t xml:space="preserve">primary </w:t>
      </w:r>
      <w:r>
        <w:rPr>
          <w:color w:val="000000" w:themeColor="text1"/>
          <w:sz w:val="24"/>
          <w:szCs w:val="24"/>
        </w:rPr>
        <w:t xml:space="preserve">microglia </w:t>
      </w:r>
      <w:r>
        <w:rPr>
          <w:rFonts w:hint="eastAsia"/>
          <w:color w:val="000000" w:themeColor="text1"/>
          <w:sz w:val="24"/>
          <w:szCs w:val="24"/>
        </w:rPr>
        <w:t xml:space="preserve">cultured </w:t>
      </w:r>
      <w:r>
        <w:rPr>
          <w:color w:val="000000" w:themeColor="text1"/>
          <w:sz w:val="24"/>
          <w:szCs w:val="24"/>
        </w:rPr>
        <w:t>with supernatant from spleen-derived ABCs</w:t>
      </w:r>
      <w:r>
        <w:rPr>
          <w:rFonts w:hint="eastAsia"/>
          <w:color w:val="000000" w:themeColor="text1"/>
          <w:sz w:val="24"/>
          <w:szCs w:val="24"/>
        </w:rPr>
        <w:t xml:space="preserve"> </w:t>
      </w:r>
      <w:r>
        <w:rPr>
          <w:color w:val="000000" w:themeColor="text1"/>
          <w:sz w:val="24"/>
          <w:szCs w:val="24"/>
        </w:rPr>
        <w:t>in vitro.</w:t>
      </w:r>
      <w:r w:rsidR="009B41AA">
        <w:rPr>
          <w:rFonts w:hint="eastAsia"/>
          <w:color w:val="000000" w:themeColor="text1"/>
          <w:sz w:val="24"/>
          <w:szCs w:val="24"/>
        </w:rPr>
        <w:t xml:space="preserve"> </w:t>
      </w:r>
      <w:r>
        <w:rPr>
          <w:rFonts w:hint="eastAsia"/>
          <w:b/>
          <w:bCs/>
          <w:color w:val="000000" w:themeColor="text1"/>
          <w:sz w:val="24"/>
          <w:szCs w:val="24"/>
        </w:rPr>
        <w:t>b</w:t>
      </w:r>
      <w:r>
        <w:rPr>
          <w:color w:val="000000" w:themeColor="text1"/>
          <w:sz w:val="24"/>
          <w:szCs w:val="24"/>
        </w:rPr>
        <w:t xml:space="preserve"> </w:t>
      </w:r>
      <w:r>
        <w:rPr>
          <w:rFonts w:hint="eastAsia"/>
          <w:color w:val="000000" w:themeColor="text1"/>
          <w:sz w:val="24"/>
          <w:szCs w:val="24"/>
        </w:rPr>
        <w:t>Q</w:t>
      </w:r>
      <w:r>
        <w:rPr>
          <w:color w:val="000000" w:themeColor="text1"/>
          <w:sz w:val="24"/>
          <w:szCs w:val="24"/>
        </w:rPr>
        <w:t xml:space="preserve">uantitative real- time </w:t>
      </w:r>
      <w:r>
        <w:rPr>
          <w:color w:val="000000" w:themeColor="text1"/>
          <w:sz w:val="24"/>
          <w:szCs w:val="24"/>
        </w:rPr>
        <w:lastRenderedPageBreak/>
        <w:t xml:space="preserve">PCR analysis of </w:t>
      </w:r>
      <w:r>
        <w:rPr>
          <w:rFonts w:hint="eastAsia"/>
          <w:color w:val="000000" w:themeColor="text1"/>
          <w:sz w:val="24"/>
          <w:szCs w:val="24"/>
        </w:rPr>
        <w:t xml:space="preserve">IL-6 </w:t>
      </w:r>
      <w:r>
        <w:rPr>
          <w:color w:val="000000" w:themeColor="text1"/>
          <w:sz w:val="24"/>
          <w:szCs w:val="24"/>
        </w:rPr>
        <w:t>in microglia</w:t>
      </w:r>
      <w:r>
        <w:rPr>
          <w:rFonts w:hint="eastAsia"/>
          <w:color w:val="000000" w:themeColor="text1"/>
          <w:sz w:val="24"/>
          <w:szCs w:val="24"/>
        </w:rPr>
        <w:t xml:space="preserve"> </w:t>
      </w:r>
      <w:r>
        <w:rPr>
          <w:color w:val="000000" w:themeColor="text1"/>
          <w:sz w:val="24"/>
          <w:szCs w:val="24"/>
        </w:rPr>
        <w:t>culture</w:t>
      </w:r>
      <w:r>
        <w:rPr>
          <w:rFonts w:hint="eastAsia"/>
          <w:color w:val="000000" w:themeColor="text1"/>
          <w:sz w:val="24"/>
          <w:szCs w:val="24"/>
        </w:rPr>
        <w:t>d</w:t>
      </w:r>
      <w:r>
        <w:rPr>
          <w:color w:val="000000" w:themeColor="text1"/>
          <w:sz w:val="24"/>
          <w:szCs w:val="24"/>
        </w:rPr>
        <w:t xml:space="preserve"> with supernatant from spleen-derived ABCs</w:t>
      </w:r>
      <w:r>
        <w:rPr>
          <w:rFonts w:hint="eastAsia"/>
          <w:color w:val="000000" w:themeColor="text1"/>
          <w:sz w:val="24"/>
          <w:szCs w:val="24"/>
        </w:rPr>
        <w:t xml:space="preserve"> </w:t>
      </w:r>
      <w:r>
        <w:rPr>
          <w:color w:val="000000" w:themeColor="text1"/>
          <w:sz w:val="24"/>
          <w:szCs w:val="24"/>
        </w:rPr>
        <w:t>in vitro.</w:t>
      </w:r>
      <w:r>
        <w:rPr>
          <w:rFonts w:hint="eastAsia"/>
          <w:color w:val="000000" w:themeColor="text1"/>
          <w:sz w:val="24"/>
          <w:szCs w:val="24"/>
        </w:rPr>
        <w:t xml:space="preserve"> </w:t>
      </w:r>
      <w:r>
        <w:rPr>
          <w:color w:val="000000" w:themeColor="text1"/>
          <w:sz w:val="24"/>
          <w:szCs w:val="24"/>
        </w:rPr>
        <w:t xml:space="preserve">n = </w:t>
      </w:r>
      <w:r>
        <w:rPr>
          <w:rFonts w:hint="eastAsia"/>
          <w:color w:val="000000" w:themeColor="text1"/>
          <w:sz w:val="24"/>
          <w:szCs w:val="24"/>
        </w:rPr>
        <w:t>5-6</w:t>
      </w:r>
      <w:r>
        <w:rPr>
          <w:color w:val="000000" w:themeColor="text1"/>
          <w:sz w:val="24"/>
          <w:szCs w:val="24"/>
        </w:rPr>
        <w:t xml:space="preserve"> per group.</w:t>
      </w:r>
      <w:r w:rsidR="009B41AA">
        <w:rPr>
          <w:rFonts w:hint="eastAsia"/>
          <w:color w:val="000000" w:themeColor="text1"/>
          <w:sz w:val="24"/>
          <w:szCs w:val="24"/>
        </w:rPr>
        <w:t xml:space="preserve"> </w:t>
      </w:r>
      <w:r>
        <w:rPr>
          <w:rFonts w:hint="eastAsia"/>
          <w:b/>
          <w:bCs/>
          <w:color w:val="000000" w:themeColor="text1"/>
          <w:sz w:val="24"/>
          <w:szCs w:val="24"/>
        </w:rPr>
        <w:t>c-d</w:t>
      </w:r>
      <w:r>
        <w:rPr>
          <w:color w:val="000000" w:themeColor="text1"/>
          <w:sz w:val="24"/>
          <w:szCs w:val="24"/>
        </w:rPr>
        <w:t xml:space="preserve"> Primary microglia </w:t>
      </w:r>
      <w:r>
        <w:rPr>
          <w:rFonts w:hint="eastAsia"/>
          <w:color w:val="000000" w:themeColor="text1"/>
          <w:sz w:val="24"/>
          <w:szCs w:val="24"/>
        </w:rPr>
        <w:t xml:space="preserve">cultured </w:t>
      </w:r>
      <w:r>
        <w:rPr>
          <w:color w:val="000000" w:themeColor="text1"/>
          <w:sz w:val="24"/>
          <w:szCs w:val="24"/>
        </w:rPr>
        <w:t xml:space="preserve">with supernatant from </w:t>
      </w:r>
      <w:r>
        <w:rPr>
          <w:rFonts w:hint="eastAsia"/>
          <w:color w:val="000000" w:themeColor="text1"/>
          <w:sz w:val="24"/>
          <w:szCs w:val="24"/>
        </w:rPr>
        <w:t xml:space="preserve">WT and </w:t>
      </w:r>
      <w:r>
        <w:rPr>
          <w:color w:val="000000" w:themeColor="text1"/>
          <w:sz w:val="24"/>
          <w:szCs w:val="24"/>
        </w:rPr>
        <w:t xml:space="preserve">5×FAD spleen-derived ABCs </w:t>
      </w:r>
      <w:r>
        <w:rPr>
          <w:rFonts w:hint="eastAsia"/>
          <w:color w:val="000000" w:themeColor="text1"/>
          <w:sz w:val="24"/>
          <w:szCs w:val="24"/>
        </w:rPr>
        <w:t xml:space="preserve">for </w:t>
      </w:r>
      <w:r>
        <w:rPr>
          <w:color w:val="000000" w:themeColor="text1"/>
          <w:sz w:val="24"/>
          <w:szCs w:val="24"/>
        </w:rPr>
        <w:t xml:space="preserve">48 hours and subsequently treated with 10 </w:t>
      </w:r>
      <w:r>
        <w:rPr>
          <w:rFonts w:hint="eastAsia"/>
          <w:color w:val="000000" w:themeColor="text1"/>
          <w:sz w:val="24"/>
          <w:szCs w:val="24"/>
        </w:rPr>
        <w:sym w:font="Symbol" w:char="F06D"/>
      </w:r>
      <w:r>
        <w:rPr>
          <w:color w:val="000000" w:themeColor="text1"/>
          <w:sz w:val="24"/>
          <w:szCs w:val="24"/>
        </w:rPr>
        <w:t>M A</w:t>
      </w:r>
      <w:r>
        <w:rPr>
          <w:rFonts w:hint="eastAsia"/>
          <w:color w:val="000000" w:themeColor="text1"/>
          <w:sz w:val="24"/>
          <w:szCs w:val="24"/>
        </w:rPr>
        <w:sym w:font="Symbol" w:char="F062"/>
      </w:r>
      <w:r>
        <w:rPr>
          <w:color w:val="000000" w:themeColor="text1"/>
          <w:sz w:val="24"/>
          <w:szCs w:val="24"/>
          <w:vertAlign w:val="subscript"/>
        </w:rPr>
        <w:t>42</w:t>
      </w:r>
      <w:r>
        <w:rPr>
          <w:rFonts w:hint="eastAsia"/>
          <w:color w:val="000000" w:themeColor="text1"/>
          <w:sz w:val="24"/>
          <w:szCs w:val="24"/>
        </w:rPr>
        <w:t xml:space="preserve">-555 </w:t>
      </w:r>
      <w:r>
        <w:rPr>
          <w:color w:val="000000" w:themeColor="text1"/>
          <w:sz w:val="24"/>
          <w:szCs w:val="24"/>
        </w:rPr>
        <w:t xml:space="preserve">for another </w:t>
      </w:r>
      <w:r>
        <w:rPr>
          <w:rFonts w:hint="eastAsia"/>
          <w:color w:val="000000" w:themeColor="text1"/>
          <w:sz w:val="24"/>
          <w:szCs w:val="24"/>
        </w:rPr>
        <w:t>12</w:t>
      </w:r>
      <w:r>
        <w:rPr>
          <w:color w:val="000000" w:themeColor="text1"/>
          <w:sz w:val="24"/>
          <w:szCs w:val="24"/>
        </w:rPr>
        <w:t xml:space="preserve"> hours, and the phagocytosis </w:t>
      </w:r>
      <w:r>
        <w:rPr>
          <w:rFonts w:hint="eastAsia"/>
          <w:color w:val="000000" w:themeColor="text1"/>
          <w:sz w:val="24"/>
          <w:szCs w:val="24"/>
        </w:rPr>
        <w:t>capacity</w:t>
      </w:r>
      <w:r>
        <w:rPr>
          <w:color w:val="000000" w:themeColor="text1"/>
          <w:sz w:val="24"/>
          <w:szCs w:val="24"/>
        </w:rPr>
        <w:t xml:space="preserve"> of microglia were </w:t>
      </w:r>
      <w:r>
        <w:rPr>
          <w:rFonts w:hint="eastAsia"/>
          <w:color w:val="000000" w:themeColor="text1"/>
          <w:sz w:val="24"/>
          <w:szCs w:val="24"/>
        </w:rPr>
        <w:t>calculat</w:t>
      </w:r>
      <w:r>
        <w:rPr>
          <w:color w:val="000000" w:themeColor="text1"/>
          <w:sz w:val="24"/>
          <w:szCs w:val="24"/>
        </w:rPr>
        <w:t xml:space="preserve">ed on the basis of the </w:t>
      </w:r>
      <w:proofErr w:type="spellStart"/>
      <w:r>
        <w:rPr>
          <w:color w:val="000000" w:themeColor="text1"/>
          <w:sz w:val="24"/>
          <w:szCs w:val="24"/>
        </w:rPr>
        <w:t>HiLyte</w:t>
      </w:r>
      <w:proofErr w:type="spellEnd"/>
      <w:r>
        <w:rPr>
          <w:color w:val="000000" w:themeColor="text1"/>
          <w:sz w:val="24"/>
          <w:szCs w:val="24"/>
        </w:rPr>
        <w:t>™ Fluor</w:t>
      </w:r>
      <w:r>
        <w:rPr>
          <w:rFonts w:hint="eastAsia"/>
          <w:color w:val="000000" w:themeColor="text1"/>
          <w:sz w:val="24"/>
          <w:szCs w:val="24"/>
        </w:rPr>
        <w:t xml:space="preserve"> </w:t>
      </w:r>
      <w:r>
        <w:rPr>
          <w:color w:val="000000" w:themeColor="text1"/>
          <w:sz w:val="24"/>
          <w:szCs w:val="24"/>
        </w:rPr>
        <w:t>555 intensity in Iba1</w:t>
      </w:r>
      <w:r>
        <w:rPr>
          <w:color w:val="000000" w:themeColor="text1"/>
          <w:sz w:val="24"/>
          <w:szCs w:val="24"/>
          <w:vertAlign w:val="superscript"/>
        </w:rPr>
        <w:t>+</w:t>
      </w:r>
      <w:r>
        <w:rPr>
          <w:color w:val="000000" w:themeColor="text1"/>
          <w:sz w:val="24"/>
          <w:szCs w:val="24"/>
        </w:rPr>
        <w:t xml:space="preserve"> cells. n = </w:t>
      </w:r>
      <w:r>
        <w:rPr>
          <w:rFonts w:hint="eastAsia"/>
          <w:color w:val="000000" w:themeColor="text1"/>
          <w:sz w:val="24"/>
          <w:szCs w:val="24"/>
        </w:rPr>
        <w:t>7-9</w:t>
      </w:r>
      <w:r>
        <w:rPr>
          <w:color w:val="000000" w:themeColor="text1"/>
          <w:sz w:val="24"/>
          <w:szCs w:val="24"/>
        </w:rPr>
        <w:t xml:space="preserve"> per group</w:t>
      </w:r>
      <w:r>
        <w:rPr>
          <w:rFonts w:hint="eastAsia"/>
          <w:color w:val="000000" w:themeColor="text1"/>
          <w:sz w:val="24"/>
          <w:szCs w:val="24"/>
        </w:rPr>
        <w:t>.</w:t>
      </w:r>
    </w:p>
    <w:bookmarkEnd w:id="6"/>
    <w:p w14:paraId="4B701700" w14:textId="3C9F5BF9" w:rsidR="003B61E9" w:rsidRDefault="00000000" w:rsidP="009B41AA">
      <w:pPr>
        <w:spacing w:line="480" w:lineRule="auto"/>
        <w:rPr>
          <w:color w:val="000000" w:themeColor="text1"/>
          <w:sz w:val="24"/>
          <w:szCs w:val="24"/>
        </w:rPr>
      </w:pPr>
      <w:r>
        <w:rPr>
          <w:rFonts w:hint="eastAsia"/>
          <w:b/>
          <w:bCs/>
          <w:color w:val="000000" w:themeColor="text1"/>
          <w:sz w:val="24"/>
          <w:szCs w:val="24"/>
        </w:rPr>
        <w:t>e</w:t>
      </w:r>
      <w:r>
        <w:rPr>
          <w:rFonts w:hint="eastAsia"/>
          <w:color w:val="000000" w:themeColor="text1"/>
          <w:sz w:val="24"/>
          <w:szCs w:val="24"/>
        </w:rPr>
        <w:t xml:space="preserve"> </w:t>
      </w:r>
      <w:bookmarkStart w:id="7" w:name="_Hlk199769745"/>
      <w:r>
        <w:rPr>
          <w:color w:val="000000" w:themeColor="text1"/>
          <w:sz w:val="24"/>
          <w:szCs w:val="24"/>
        </w:rPr>
        <w:t xml:space="preserve">Schematic diagram of lateral ventricle injection of ABCs in </w:t>
      </w:r>
      <w:r>
        <w:rPr>
          <w:rFonts w:hint="eastAsia"/>
          <w:color w:val="000000" w:themeColor="text1"/>
          <w:sz w:val="24"/>
          <w:szCs w:val="24"/>
        </w:rPr>
        <w:t xml:space="preserve">APP/PS1 </w:t>
      </w:r>
      <w:r>
        <w:rPr>
          <w:color w:val="000000" w:themeColor="text1"/>
          <w:sz w:val="24"/>
          <w:szCs w:val="24"/>
        </w:rPr>
        <w:t xml:space="preserve">mice. </w:t>
      </w:r>
      <w:bookmarkEnd w:id="7"/>
      <w:r>
        <w:rPr>
          <w:rFonts w:hint="eastAsia"/>
          <w:color w:val="000000" w:themeColor="text1"/>
          <w:sz w:val="24"/>
          <w:szCs w:val="24"/>
        </w:rPr>
        <w:t xml:space="preserve">The </w:t>
      </w:r>
      <w:r>
        <w:rPr>
          <w:color w:val="000000" w:themeColor="text1"/>
          <w:sz w:val="24"/>
          <w:szCs w:val="24"/>
        </w:rPr>
        <w:t xml:space="preserve">bone marrow derived ABCs </w:t>
      </w:r>
      <w:r>
        <w:rPr>
          <w:rFonts w:hint="eastAsia"/>
          <w:color w:val="000000" w:themeColor="text1"/>
          <w:sz w:val="24"/>
          <w:szCs w:val="24"/>
        </w:rPr>
        <w:t>from 18</w:t>
      </w:r>
      <w:r>
        <w:rPr>
          <w:color w:val="000000" w:themeColor="text1"/>
          <w:sz w:val="24"/>
          <w:szCs w:val="24"/>
        </w:rPr>
        <w:t xml:space="preserve">-month-old </w:t>
      </w:r>
      <w:r>
        <w:rPr>
          <w:rFonts w:hint="eastAsia"/>
          <w:color w:val="000000" w:themeColor="text1"/>
          <w:sz w:val="24"/>
          <w:szCs w:val="24"/>
        </w:rPr>
        <w:t xml:space="preserve">APP/PS1 </w:t>
      </w:r>
      <w:r>
        <w:rPr>
          <w:color w:val="000000" w:themeColor="text1"/>
          <w:sz w:val="24"/>
          <w:szCs w:val="24"/>
        </w:rPr>
        <w:t xml:space="preserve">mice were injected </w:t>
      </w:r>
      <w:r>
        <w:rPr>
          <w:rFonts w:hint="eastAsia"/>
          <w:color w:val="000000" w:themeColor="text1"/>
          <w:sz w:val="24"/>
          <w:szCs w:val="24"/>
        </w:rPr>
        <w:t>in</w:t>
      </w:r>
      <w:r>
        <w:rPr>
          <w:color w:val="000000" w:themeColor="text1"/>
          <w:sz w:val="24"/>
          <w:szCs w:val="24"/>
        </w:rPr>
        <w:t>to the bilateral ventricles</w:t>
      </w:r>
      <w:r>
        <w:rPr>
          <w:rFonts w:hint="eastAsia"/>
          <w:color w:val="000000" w:themeColor="text1"/>
          <w:sz w:val="24"/>
          <w:szCs w:val="24"/>
        </w:rPr>
        <w:t xml:space="preserve"> of</w:t>
      </w:r>
      <w:r>
        <w:rPr>
          <w:color w:val="000000" w:themeColor="text1"/>
          <w:sz w:val="24"/>
          <w:szCs w:val="24"/>
        </w:rPr>
        <w:t xml:space="preserve"> </w:t>
      </w:r>
      <w:r>
        <w:rPr>
          <w:rFonts w:hint="eastAsia"/>
          <w:color w:val="000000" w:themeColor="text1"/>
          <w:sz w:val="24"/>
          <w:szCs w:val="24"/>
        </w:rPr>
        <w:t>10</w:t>
      </w:r>
      <w:r>
        <w:rPr>
          <w:color w:val="000000" w:themeColor="text1"/>
          <w:sz w:val="24"/>
          <w:szCs w:val="24"/>
        </w:rPr>
        <w:t>-month-old</w:t>
      </w:r>
      <w:r>
        <w:rPr>
          <w:rFonts w:hint="eastAsia"/>
          <w:color w:val="000000" w:themeColor="text1"/>
          <w:sz w:val="24"/>
          <w:szCs w:val="24"/>
        </w:rPr>
        <w:t xml:space="preserve"> APP/PS1 </w:t>
      </w:r>
      <w:r>
        <w:rPr>
          <w:color w:val="000000" w:themeColor="text1"/>
          <w:sz w:val="24"/>
          <w:szCs w:val="24"/>
        </w:rPr>
        <w:t xml:space="preserve">mice, then </w:t>
      </w:r>
      <w:r>
        <w:rPr>
          <w:rFonts w:hint="eastAsia"/>
          <w:color w:val="000000" w:themeColor="text1"/>
          <w:sz w:val="24"/>
          <w:szCs w:val="24"/>
        </w:rPr>
        <w:t>p</w:t>
      </w:r>
      <w:r>
        <w:rPr>
          <w:color w:val="000000" w:themeColor="text1"/>
          <w:sz w:val="24"/>
          <w:szCs w:val="24"/>
        </w:rPr>
        <w:t xml:space="preserve">athological analysis were performed </w:t>
      </w:r>
      <w:r>
        <w:rPr>
          <w:rFonts w:hint="eastAsia"/>
          <w:color w:val="000000" w:themeColor="text1"/>
          <w:sz w:val="24"/>
          <w:szCs w:val="24"/>
        </w:rPr>
        <w:t>1-</w:t>
      </w:r>
      <w:r>
        <w:rPr>
          <w:color w:val="000000" w:themeColor="text1"/>
          <w:sz w:val="24"/>
          <w:szCs w:val="24"/>
        </w:rPr>
        <w:t xml:space="preserve">month post-intervention. </w:t>
      </w:r>
      <w:r>
        <w:rPr>
          <w:rFonts w:hint="eastAsia"/>
          <w:b/>
          <w:bCs/>
          <w:color w:val="000000" w:themeColor="text1"/>
          <w:sz w:val="24"/>
          <w:szCs w:val="24"/>
        </w:rPr>
        <w:t>f</w:t>
      </w:r>
      <w:r>
        <w:rPr>
          <w:color w:val="000000" w:themeColor="text1"/>
          <w:sz w:val="24"/>
          <w:szCs w:val="24"/>
        </w:rPr>
        <w:t xml:space="preserve"> </w:t>
      </w:r>
      <w:bookmarkStart w:id="8" w:name="_Hlk199769783"/>
      <w:r>
        <w:rPr>
          <w:color w:val="000000" w:themeColor="text1"/>
          <w:sz w:val="24"/>
          <w:szCs w:val="24"/>
        </w:rPr>
        <w:t>Representative images of TS staining in the DG region (left). Quantification of TS-positive Aβ plaque area in</w:t>
      </w:r>
      <w:r>
        <w:rPr>
          <w:rFonts w:hint="eastAsia"/>
          <w:color w:val="000000" w:themeColor="text1"/>
          <w:sz w:val="24"/>
          <w:szCs w:val="24"/>
        </w:rPr>
        <w:t xml:space="preserve"> </w:t>
      </w:r>
      <w:r>
        <w:rPr>
          <w:color w:val="000000" w:themeColor="text1"/>
          <w:sz w:val="24"/>
          <w:szCs w:val="24"/>
        </w:rPr>
        <w:t xml:space="preserve">hippocampal DG region (right), n = </w:t>
      </w:r>
      <w:r>
        <w:rPr>
          <w:rFonts w:hint="eastAsia"/>
          <w:color w:val="000000" w:themeColor="text1"/>
          <w:sz w:val="24"/>
          <w:szCs w:val="24"/>
        </w:rPr>
        <w:t>12-18</w:t>
      </w:r>
      <w:r>
        <w:rPr>
          <w:color w:val="000000" w:themeColor="text1"/>
          <w:sz w:val="24"/>
          <w:szCs w:val="24"/>
        </w:rPr>
        <w:t xml:space="preserve"> views from </w:t>
      </w:r>
      <w:r>
        <w:rPr>
          <w:rFonts w:hint="eastAsia"/>
          <w:color w:val="000000" w:themeColor="text1"/>
          <w:sz w:val="24"/>
          <w:szCs w:val="24"/>
        </w:rPr>
        <w:t>4</w:t>
      </w:r>
      <w:r>
        <w:rPr>
          <w:color w:val="000000" w:themeColor="text1"/>
          <w:sz w:val="24"/>
          <w:szCs w:val="24"/>
        </w:rPr>
        <w:t xml:space="preserve"> mice per group.</w:t>
      </w:r>
      <w:r w:rsidR="009B41AA">
        <w:rPr>
          <w:rFonts w:hint="eastAsia"/>
          <w:color w:val="000000" w:themeColor="text1"/>
          <w:sz w:val="24"/>
          <w:szCs w:val="24"/>
        </w:rPr>
        <w:t xml:space="preserve"> </w:t>
      </w:r>
      <w:r>
        <w:rPr>
          <w:rFonts w:hint="eastAsia"/>
          <w:b/>
          <w:bCs/>
          <w:color w:val="000000" w:themeColor="text1"/>
          <w:sz w:val="24"/>
          <w:szCs w:val="24"/>
        </w:rPr>
        <w:t>g</w:t>
      </w:r>
      <w:r>
        <w:rPr>
          <w:b/>
          <w:bCs/>
          <w:color w:val="000000" w:themeColor="text1"/>
          <w:sz w:val="24"/>
          <w:szCs w:val="24"/>
        </w:rPr>
        <w:t>-</w:t>
      </w:r>
      <w:r>
        <w:rPr>
          <w:rFonts w:hint="eastAsia"/>
          <w:b/>
          <w:bCs/>
          <w:color w:val="000000" w:themeColor="text1"/>
          <w:sz w:val="24"/>
          <w:szCs w:val="24"/>
        </w:rPr>
        <w:t>h</w:t>
      </w:r>
      <w:r>
        <w:rPr>
          <w:color w:val="000000" w:themeColor="text1"/>
          <w:sz w:val="24"/>
          <w:szCs w:val="24"/>
        </w:rPr>
        <w:t xml:space="preserve"> Representative images of Aβ (red) and Iba1 (green) staining in the hippocampal DG region (</w:t>
      </w:r>
      <w:r>
        <w:rPr>
          <w:rFonts w:hint="eastAsia"/>
          <w:b/>
          <w:bCs/>
          <w:color w:val="000000" w:themeColor="text1"/>
          <w:sz w:val="24"/>
          <w:szCs w:val="24"/>
        </w:rPr>
        <w:t>g</w:t>
      </w:r>
      <w:r>
        <w:rPr>
          <w:color w:val="000000" w:themeColor="text1"/>
          <w:sz w:val="24"/>
          <w:szCs w:val="24"/>
        </w:rPr>
        <w:t>)</w:t>
      </w:r>
      <w:r>
        <w:rPr>
          <w:rFonts w:hint="eastAsia"/>
          <w:color w:val="000000" w:themeColor="text1"/>
          <w:sz w:val="24"/>
          <w:szCs w:val="24"/>
        </w:rPr>
        <w:t xml:space="preserve">. </w:t>
      </w:r>
      <w:r>
        <w:rPr>
          <w:color w:val="000000" w:themeColor="text1"/>
          <w:sz w:val="24"/>
          <w:szCs w:val="24"/>
        </w:rPr>
        <w:t xml:space="preserve">Quantifications of Iba1-positive area (left) and Iba1-positive </w:t>
      </w:r>
      <w:r>
        <w:rPr>
          <w:rFonts w:hint="eastAsia"/>
          <w:color w:val="000000" w:themeColor="text1"/>
          <w:sz w:val="24"/>
          <w:szCs w:val="24"/>
        </w:rPr>
        <w:t>f</w:t>
      </w:r>
      <w:r>
        <w:rPr>
          <w:color w:val="000000" w:themeColor="text1"/>
          <w:sz w:val="24"/>
          <w:szCs w:val="24"/>
        </w:rPr>
        <w:t>ractal dimension (right) in hippocampus (</w:t>
      </w:r>
      <w:r>
        <w:rPr>
          <w:rFonts w:hint="eastAsia"/>
          <w:b/>
          <w:bCs/>
          <w:color w:val="000000" w:themeColor="text1"/>
          <w:sz w:val="24"/>
          <w:szCs w:val="24"/>
        </w:rPr>
        <w:t>h</w:t>
      </w:r>
      <w:r>
        <w:rPr>
          <w:color w:val="000000" w:themeColor="text1"/>
          <w:sz w:val="24"/>
          <w:szCs w:val="24"/>
        </w:rPr>
        <w:t>), n = </w:t>
      </w:r>
      <w:r>
        <w:rPr>
          <w:rFonts w:hint="eastAsia"/>
          <w:color w:val="000000" w:themeColor="text1"/>
          <w:sz w:val="24"/>
          <w:szCs w:val="24"/>
        </w:rPr>
        <w:t>13-30</w:t>
      </w:r>
      <w:r>
        <w:rPr>
          <w:color w:val="000000" w:themeColor="text1"/>
          <w:sz w:val="24"/>
          <w:szCs w:val="24"/>
        </w:rPr>
        <w:t xml:space="preserve"> views from </w:t>
      </w:r>
      <w:r>
        <w:rPr>
          <w:rFonts w:hint="eastAsia"/>
          <w:color w:val="000000" w:themeColor="text1"/>
          <w:sz w:val="24"/>
          <w:szCs w:val="24"/>
        </w:rPr>
        <w:t>4</w:t>
      </w:r>
      <w:r>
        <w:rPr>
          <w:color w:val="000000" w:themeColor="text1"/>
          <w:sz w:val="24"/>
          <w:szCs w:val="24"/>
        </w:rPr>
        <w:t xml:space="preserve"> mice per group for area fraction, n =</w:t>
      </w:r>
      <w:r>
        <w:rPr>
          <w:rFonts w:hint="eastAsia"/>
          <w:color w:val="000000" w:themeColor="text1"/>
          <w:sz w:val="24"/>
          <w:szCs w:val="24"/>
        </w:rPr>
        <w:t>24-</w:t>
      </w:r>
      <w:r>
        <w:rPr>
          <w:color w:val="000000" w:themeColor="text1"/>
          <w:sz w:val="24"/>
          <w:szCs w:val="24"/>
        </w:rPr>
        <w:t xml:space="preserve">36 views from </w:t>
      </w:r>
      <w:r>
        <w:rPr>
          <w:rFonts w:hint="eastAsia"/>
          <w:color w:val="000000" w:themeColor="text1"/>
          <w:sz w:val="24"/>
          <w:szCs w:val="24"/>
        </w:rPr>
        <w:t>4</w:t>
      </w:r>
      <w:r>
        <w:rPr>
          <w:color w:val="000000" w:themeColor="text1"/>
          <w:sz w:val="24"/>
          <w:szCs w:val="24"/>
        </w:rPr>
        <w:t xml:space="preserve"> mice per group for fractal dimension.</w:t>
      </w:r>
      <w:bookmarkEnd w:id="8"/>
      <w:r>
        <w:rPr>
          <w:color w:val="000000" w:themeColor="text1"/>
          <w:sz w:val="24"/>
          <w:szCs w:val="24"/>
        </w:rPr>
        <w:t xml:space="preserve"> Data are mean ± SEM. *p &lt; 0.05, **p &lt; 0.01</w:t>
      </w:r>
      <w:r>
        <w:rPr>
          <w:rFonts w:hint="eastAsia"/>
          <w:color w:val="000000" w:themeColor="text1"/>
          <w:sz w:val="24"/>
          <w:szCs w:val="24"/>
        </w:rPr>
        <w:t xml:space="preserve">, </w:t>
      </w:r>
      <w:r>
        <w:rPr>
          <w:color w:val="000000" w:themeColor="text1"/>
          <w:sz w:val="24"/>
          <w:szCs w:val="24"/>
        </w:rPr>
        <w:t>**</w:t>
      </w:r>
      <w:r>
        <w:rPr>
          <w:rFonts w:hint="eastAsia"/>
          <w:color w:val="000000" w:themeColor="text1"/>
          <w:sz w:val="24"/>
          <w:szCs w:val="24"/>
        </w:rPr>
        <w:t>*</w:t>
      </w:r>
      <w:r>
        <w:rPr>
          <w:color w:val="000000" w:themeColor="text1"/>
          <w:sz w:val="24"/>
          <w:szCs w:val="24"/>
        </w:rPr>
        <w:t>p &lt; 0.0</w:t>
      </w:r>
      <w:r>
        <w:rPr>
          <w:rFonts w:hint="eastAsia"/>
          <w:color w:val="000000" w:themeColor="text1"/>
          <w:sz w:val="24"/>
          <w:szCs w:val="24"/>
        </w:rPr>
        <w:t>0</w:t>
      </w:r>
      <w:r>
        <w:rPr>
          <w:color w:val="000000" w:themeColor="text1"/>
          <w:sz w:val="24"/>
          <w:szCs w:val="24"/>
        </w:rPr>
        <w:t>1</w:t>
      </w:r>
      <w:r>
        <w:rPr>
          <w:rFonts w:hint="eastAsia"/>
          <w:color w:val="000000" w:themeColor="text1"/>
          <w:sz w:val="24"/>
          <w:szCs w:val="24"/>
        </w:rPr>
        <w:t>,</w:t>
      </w:r>
      <w:r>
        <w:rPr>
          <w:color w:val="000000" w:themeColor="text1"/>
          <w:sz w:val="24"/>
          <w:szCs w:val="24"/>
        </w:rPr>
        <w:t xml:space="preserve"> Two-tailed unpaired Student’s t test was used </w:t>
      </w:r>
      <w:r>
        <w:rPr>
          <w:rFonts w:hint="eastAsia"/>
          <w:color w:val="000000" w:themeColor="text1"/>
          <w:sz w:val="24"/>
          <w:szCs w:val="24"/>
        </w:rPr>
        <w:t xml:space="preserve">in </w:t>
      </w:r>
      <w:r>
        <w:rPr>
          <w:rFonts w:hint="eastAsia"/>
          <w:b/>
          <w:bCs/>
          <w:color w:val="000000" w:themeColor="text1"/>
          <w:sz w:val="24"/>
          <w:szCs w:val="24"/>
        </w:rPr>
        <w:t>f, h</w:t>
      </w:r>
      <w:r>
        <w:rPr>
          <w:rFonts w:hint="eastAsia"/>
          <w:color w:val="000000" w:themeColor="text1"/>
          <w:sz w:val="24"/>
          <w:szCs w:val="24"/>
        </w:rPr>
        <w:t xml:space="preserve"> </w:t>
      </w:r>
      <w:r>
        <w:rPr>
          <w:color w:val="000000" w:themeColor="text1"/>
          <w:sz w:val="24"/>
          <w:szCs w:val="24"/>
        </w:rPr>
        <w:t>and Mann-Whitney test</w:t>
      </w:r>
      <w:r>
        <w:rPr>
          <w:rFonts w:hint="eastAsia"/>
          <w:color w:val="000000" w:themeColor="text1"/>
          <w:sz w:val="24"/>
          <w:szCs w:val="24"/>
        </w:rPr>
        <w:t xml:space="preserve"> </w:t>
      </w:r>
      <w:r>
        <w:rPr>
          <w:color w:val="000000" w:themeColor="text1"/>
          <w:sz w:val="24"/>
          <w:szCs w:val="24"/>
        </w:rPr>
        <w:t xml:space="preserve">was used </w:t>
      </w:r>
      <w:r>
        <w:rPr>
          <w:rFonts w:hint="eastAsia"/>
          <w:color w:val="000000" w:themeColor="text1"/>
          <w:sz w:val="24"/>
          <w:szCs w:val="24"/>
        </w:rPr>
        <w:t>in</w:t>
      </w:r>
      <w:r>
        <w:rPr>
          <w:rFonts w:hint="eastAsia"/>
          <w:b/>
          <w:bCs/>
          <w:color w:val="000000" w:themeColor="text1"/>
          <w:sz w:val="24"/>
          <w:szCs w:val="24"/>
        </w:rPr>
        <w:t xml:space="preserve"> b, d</w:t>
      </w:r>
      <w:r>
        <w:rPr>
          <w:color w:val="000000" w:themeColor="text1"/>
          <w:sz w:val="24"/>
          <w:szCs w:val="24"/>
        </w:rPr>
        <w:t>.</w:t>
      </w:r>
    </w:p>
    <w:p w14:paraId="262F4853" w14:textId="77777777" w:rsidR="003B61E9" w:rsidRDefault="00000000">
      <w:pPr>
        <w:pStyle w:val="SMHeading"/>
        <w:rPr>
          <w:color w:val="000000" w:themeColor="text1"/>
        </w:rPr>
      </w:pPr>
      <w:r>
        <w:rPr>
          <w:noProof/>
          <w:color w:val="000000" w:themeColor="text1"/>
        </w:rPr>
        <w:lastRenderedPageBreak/>
        <w:drawing>
          <wp:inline distT="0" distB="0" distL="0" distR="0" wp14:anchorId="1F858589" wp14:editId="60609A41">
            <wp:extent cx="6645910" cy="8606790"/>
            <wp:effectExtent l="0" t="0" r="2540" b="3810"/>
            <wp:docPr id="42386316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863168" name="图片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6645910" cy="8606790"/>
                    </a:xfrm>
                    <a:prstGeom prst="rect">
                      <a:avLst/>
                    </a:prstGeom>
                    <a:noFill/>
                    <a:ln>
                      <a:noFill/>
                    </a:ln>
                  </pic:spPr>
                </pic:pic>
              </a:graphicData>
            </a:graphic>
          </wp:inline>
        </w:drawing>
      </w:r>
    </w:p>
    <w:p w14:paraId="7EF64C26" w14:textId="77777777" w:rsidR="003B61E9" w:rsidRDefault="00000000">
      <w:pPr>
        <w:spacing w:line="480" w:lineRule="auto"/>
        <w:rPr>
          <w:b/>
          <w:bCs/>
          <w:color w:val="000000" w:themeColor="text1"/>
          <w:sz w:val="24"/>
          <w:szCs w:val="24"/>
        </w:rPr>
      </w:pPr>
      <w:r>
        <w:rPr>
          <w:b/>
          <w:bCs/>
          <w:color w:val="000000" w:themeColor="text1"/>
          <w:sz w:val="24"/>
          <w:szCs w:val="24"/>
        </w:rPr>
        <w:t>Figure. S</w:t>
      </w:r>
      <w:r>
        <w:rPr>
          <w:rFonts w:hint="eastAsia"/>
          <w:b/>
          <w:bCs/>
          <w:color w:val="000000" w:themeColor="text1"/>
          <w:sz w:val="24"/>
          <w:szCs w:val="24"/>
        </w:rPr>
        <w:t>8.</w:t>
      </w:r>
      <w:r>
        <w:rPr>
          <w:b/>
          <w:bCs/>
          <w:color w:val="000000" w:themeColor="text1"/>
          <w:sz w:val="24"/>
          <w:szCs w:val="24"/>
        </w:rPr>
        <w:t xml:space="preserve"> </w:t>
      </w:r>
    </w:p>
    <w:p w14:paraId="0D70599B" w14:textId="12EDB11A" w:rsidR="003B61E9" w:rsidRDefault="00000000" w:rsidP="009B41AA">
      <w:pPr>
        <w:spacing w:line="480" w:lineRule="auto"/>
        <w:jc w:val="both"/>
        <w:rPr>
          <w:color w:val="000000" w:themeColor="text1"/>
          <w:sz w:val="24"/>
          <w:szCs w:val="24"/>
        </w:rPr>
      </w:pPr>
      <w:r>
        <w:rPr>
          <w:b/>
          <w:bCs/>
          <w:color w:val="000000" w:themeColor="text1"/>
          <w:sz w:val="24"/>
          <w:szCs w:val="24"/>
        </w:rPr>
        <w:lastRenderedPageBreak/>
        <w:t>Disruption of IL-6R signaling suppresses AD pathological progression and cognitive impairment, related to Fig</w:t>
      </w:r>
      <w:r>
        <w:rPr>
          <w:rFonts w:hint="eastAsia"/>
          <w:b/>
          <w:bCs/>
          <w:color w:val="000000" w:themeColor="text1"/>
          <w:sz w:val="24"/>
          <w:szCs w:val="24"/>
        </w:rPr>
        <w:t xml:space="preserve">. </w:t>
      </w:r>
      <w:r>
        <w:rPr>
          <w:b/>
          <w:bCs/>
          <w:color w:val="000000" w:themeColor="text1"/>
          <w:sz w:val="24"/>
          <w:szCs w:val="24"/>
        </w:rPr>
        <w:t>6.</w:t>
      </w:r>
      <w:r w:rsidR="009B41AA">
        <w:rPr>
          <w:rFonts w:hint="eastAsia"/>
          <w:b/>
          <w:bCs/>
          <w:color w:val="000000" w:themeColor="text1"/>
          <w:sz w:val="24"/>
          <w:szCs w:val="24"/>
        </w:rPr>
        <w:t xml:space="preserve"> </w:t>
      </w:r>
      <w:r>
        <w:rPr>
          <w:rFonts w:hint="eastAsia"/>
          <w:b/>
          <w:bCs/>
          <w:color w:val="000000" w:themeColor="text1"/>
          <w:sz w:val="24"/>
          <w:szCs w:val="24"/>
        </w:rPr>
        <w:t>a</w:t>
      </w:r>
      <w:r>
        <w:rPr>
          <w:color w:val="000000" w:themeColor="text1"/>
          <w:sz w:val="24"/>
          <w:szCs w:val="24"/>
        </w:rPr>
        <w:t xml:space="preserve"> Schematic diagram of tocilizumab administration in 5×FAD mice. 5-month-old 5×FAD mice were intraperitoneally injected tocilizumab (8mg/kg) or IgG control every two weeks until 8 month, then behavioral test and pathology were performed in turn. In behavioral testing, n=14, 13, 11, and 13 mice for WT-IgG, WT-Tocilizumab, 5×FAD-IgG, and 5×FAD-Tocilizumab, respectively.</w:t>
      </w:r>
      <w:r w:rsidR="009B41AA">
        <w:rPr>
          <w:rFonts w:hint="eastAsia"/>
          <w:color w:val="000000" w:themeColor="text1"/>
          <w:sz w:val="24"/>
          <w:szCs w:val="24"/>
        </w:rPr>
        <w:t xml:space="preserve"> </w:t>
      </w:r>
      <w:r>
        <w:rPr>
          <w:rFonts w:hint="eastAsia"/>
          <w:b/>
          <w:bCs/>
          <w:color w:val="000000" w:themeColor="text1"/>
          <w:sz w:val="24"/>
          <w:szCs w:val="24"/>
        </w:rPr>
        <w:t>b</w:t>
      </w:r>
      <w:r>
        <w:rPr>
          <w:b/>
          <w:bCs/>
          <w:color w:val="000000" w:themeColor="text1"/>
          <w:sz w:val="24"/>
          <w:szCs w:val="24"/>
        </w:rPr>
        <w:t>-</w:t>
      </w:r>
      <w:r>
        <w:rPr>
          <w:rFonts w:hint="eastAsia"/>
          <w:b/>
          <w:bCs/>
          <w:color w:val="000000" w:themeColor="text1"/>
          <w:sz w:val="24"/>
          <w:szCs w:val="24"/>
        </w:rPr>
        <w:t>d</w:t>
      </w:r>
      <w:r>
        <w:rPr>
          <w:color w:val="000000" w:themeColor="text1"/>
          <w:sz w:val="24"/>
          <w:szCs w:val="24"/>
        </w:rPr>
        <w:t xml:space="preserve"> Y maze and Morris Water Maze (MWM)</w:t>
      </w:r>
      <w:r>
        <w:rPr>
          <w:rFonts w:hint="eastAsia"/>
          <w:color w:val="000000" w:themeColor="text1"/>
          <w:sz w:val="24"/>
          <w:szCs w:val="24"/>
        </w:rPr>
        <w:t xml:space="preserve"> tests</w:t>
      </w:r>
      <w:r>
        <w:rPr>
          <w:color w:val="000000" w:themeColor="text1"/>
          <w:sz w:val="24"/>
          <w:szCs w:val="24"/>
        </w:rPr>
        <w:t xml:space="preserve">. Representative track images </w:t>
      </w:r>
      <w:r>
        <w:rPr>
          <w:rFonts w:hint="eastAsia"/>
          <w:color w:val="000000" w:themeColor="text1"/>
          <w:sz w:val="24"/>
          <w:szCs w:val="24"/>
        </w:rPr>
        <w:t>and c</w:t>
      </w:r>
      <w:r>
        <w:rPr>
          <w:color w:val="000000" w:themeColor="text1"/>
          <w:sz w:val="24"/>
          <w:szCs w:val="24"/>
        </w:rPr>
        <w:t>orrect spontaneous alternation rate in a Y maze (</w:t>
      </w:r>
      <w:r>
        <w:rPr>
          <w:rFonts w:hint="eastAsia"/>
          <w:b/>
          <w:bCs/>
          <w:color w:val="000000" w:themeColor="text1"/>
          <w:sz w:val="24"/>
          <w:szCs w:val="24"/>
        </w:rPr>
        <w:t>b</w:t>
      </w:r>
      <w:r>
        <w:rPr>
          <w:color w:val="000000" w:themeColor="text1"/>
          <w:sz w:val="24"/>
          <w:szCs w:val="24"/>
        </w:rPr>
        <w:t xml:space="preserve">). Representative track images of 5×FAD mice in the probe trial of </w:t>
      </w:r>
      <w:r>
        <w:rPr>
          <w:rFonts w:hint="eastAsia"/>
          <w:color w:val="000000" w:themeColor="text1"/>
          <w:sz w:val="24"/>
          <w:szCs w:val="24"/>
        </w:rPr>
        <w:t>MWM and e</w:t>
      </w:r>
      <w:r>
        <w:rPr>
          <w:color w:val="000000" w:themeColor="text1"/>
          <w:sz w:val="24"/>
          <w:szCs w:val="24"/>
        </w:rPr>
        <w:t>scape latency to the platform during the training trials (</w:t>
      </w:r>
      <w:r>
        <w:rPr>
          <w:rFonts w:hint="eastAsia"/>
          <w:b/>
          <w:bCs/>
          <w:color w:val="000000" w:themeColor="text1"/>
          <w:sz w:val="24"/>
          <w:szCs w:val="24"/>
        </w:rPr>
        <w:t>c</w:t>
      </w:r>
      <w:r>
        <w:rPr>
          <w:color w:val="000000" w:themeColor="text1"/>
          <w:sz w:val="24"/>
          <w:szCs w:val="24"/>
        </w:rPr>
        <w:t xml:space="preserve">). Latency of first time to </w:t>
      </w:r>
      <w:r>
        <w:rPr>
          <w:rFonts w:hint="eastAsia"/>
          <w:color w:val="000000" w:themeColor="text1"/>
          <w:sz w:val="24"/>
          <w:szCs w:val="24"/>
        </w:rPr>
        <w:t>locate</w:t>
      </w:r>
      <w:r>
        <w:rPr>
          <w:color w:val="000000" w:themeColor="text1"/>
          <w:sz w:val="24"/>
          <w:szCs w:val="24"/>
        </w:rPr>
        <w:t xml:space="preserve"> the target, number of target crossing</w:t>
      </w:r>
      <w:r>
        <w:rPr>
          <w:rFonts w:hint="eastAsia"/>
          <w:color w:val="000000" w:themeColor="text1"/>
          <w:sz w:val="24"/>
          <w:szCs w:val="24"/>
        </w:rPr>
        <w:t>s</w:t>
      </w:r>
      <w:r>
        <w:rPr>
          <w:color w:val="000000" w:themeColor="text1"/>
          <w:sz w:val="24"/>
          <w:szCs w:val="24"/>
        </w:rPr>
        <w:t>, time spent in target quadrant, and the mean swimming speed of mice in the probe trial (</w:t>
      </w:r>
      <w:r>
        <w:rPr>
          <w:rFonts w:hint="eastAsia"/>
          <w:b/>
          <w:bCs/>
          <w:color w:val="000000" w:themeColor="text1"/>
          <w:sz w:val="24"/>
          <w:szCs w:val="24"/>
        </w:rPr>
        <w:t>d</w:t>
      </w:r>
      <w:r>
        <w:rPr>
          <w:color w:val="000000" w:themeColor="text1"/>
          <w:sz w:val="24"/>
          <w:szCs w:val="24"/>
        </w:rPr>
        <w:t>).</w:t>
      </w:r>
      <w:r w:rsidR="009B41AA">
        <w:rPr>
          <w:rFonts w:hint="eastAsia"/>
          <w:color w:val="000000" w:themeColor="text1"/>
          <w:sz w:val="24"/>
          <w:szCs w:val="24"/>
        </w:rPr>
        <w:t xml:space="preserve"> </w:t>
      </w:r>
      <w:r>
        <w:rPr>
          <w:rFonts w:hint="eastAsia"/>
          <w:b/>
          <w:bCs/>
          <w:color w:val="000000" w:themeColor="text1"/>
          <w:sz w:val="24"/>
          <w:szCs w:val="24"/>
        </w:rPr>
        <w:t>e</w:t>
      </w:r>
      <w:r>
        <w:rPr>
          <w:b/>
          <w:bCs/>
          <w:color w:val="000000" w:themeColor="text1"/>
          <w:sz w:val="24"/>
          <w:szCs w:val="24"/>
        </w:rPr>
        <w:t xml:space="preserve">, </w:t>
      </w:r>
      <w:r>
        <w:rPr>
          <w:rFonts w:hint="eastAsia"/>
          <w:b/>
          <w:bCs/>
          <w:color w:val="000000" w:themeColor="text1"/>
          <w:sz w:val="24"/>
          <w:szCs w:val="24"/>
        </w:rPr>
        <w:t>f</w:t>
      </w:r>
      <w:r>
        <w:rPr>
          <w:color w:val="000000" w:themeColor="text1"/>
          <w:sz w:val="24"/>
          <w:szCs w:val="24"/>
        </w:rPr>
        <w:t xml:space="preserve"> Counts and frequency of ABCs in skull bone marrow (</w:t>
      </w:r>
      <w:r>
        <w:rPr>
          <w:rFonts w:hint="eastAsia"/>
          <w:b/>
          <w:bCs/>
          <w:color w:val="000000" w:themeColor="text1"/>
          <w:sz w:val="24"/>
          <w:szCs w:val="24"/>
        </w:rPr>
        <w:t>e</w:t>
      </w:r>
      <w:r>
        <w:rPr>
          <w:color w:val="000000" w:themeColor="text1"/>
          <w:sz w:val="24"/>
          <w:szCs w:val="24"/>
        </w:rPr>
        <w:t>) and brain (</w:t>
      </w:r>
      <w:r>
        <w:rPr>
          <w:rFonts w:hint="eastAsia"/>
          <w:b/>
          <w:bCs/>
          <w:color w:val="000000" w:themeColor="text1"/>
          <w:sz w:val="24"/>
          <w:szCs w:val="24"/>
        </w:rPr>
        <w:t>f</w:t>
      </w:r>
      <w:r>
        <w:rPr>
          <w:color w:val="000000" w:themeColor="text1"/>
          <w:sz w:val="24"/>
          <w:szCs w:val="24"/>
        </w:rPr>
        <w:t>). n=4-6 mice per group.</w:t>
      </w:r>
      <w:r w:rsidR="009B41AA">
        <w:rPr>
          <w:rFonts w:hint="eastAsia"/>
          <w:color w:val="000000" w:themeColor="text1"/>
          <w:sz w:val="24"/>
          <w:szCs w:val="24"/>
        </w:rPr>
        <w:t xml:space="preserve"> </w:t>
      </w:r>
      <w:r>
        <w:rPr>
          <w:rFonts w:hint="eastAsia"/>
          <w:b/>
          <w:bCs/>
          <w:color w:val="000000" w:themeColor="text1"/>
          <w:sz w:val="24"/>
          <w:szCs w:val="24"/>
        </w:rPr>
        <w:t>g</w:t>
      </w:r>
      <w:r>
        <w:rPr>
          <w:b/>
          <w:bCs/>
          <w:color w:val="000000" w:themeColor="text1"/>
          <w:sz w:val="24"/>
          <w:szCs w:val="24"/>
        </w:rPr>
        <w:t>-</w:t>
      </w:r>
      <w:proofErr w:type="spellStart"/>
      <w:r>
        <w:rPr>
          <w:rFonts w:hint="eastAsia"/>
          <w:b/>
          <w:bCs/>
          <w:color w:val="000000" w:themeColor="text1"/>
          <w:sz w:val="24"/>
          <w:szCs w:val="24"/>
        </w:rPr>
        <w:t>i</w:t>
      </w:r>
      <w:proofErr w:type="spellEnd"/>
      <w:r>
        <w:rPr>
          <w:color w:val="000000" w:themeColor="text1"/>
          <w:sz w:val="24"/>
          <w:szCs w:val="24"/>
        </w:rPr>
        <w:t xml:space="preserve"> Representative images of TS staining in the brain sections (left) and the enlarged images of cortex and hippocampal DG region (right) (</w:t>
      </w:r>
      <w:r>
        <w:rPr>
          <w:rFonts w:hint="eastAsia"/>
          <w:b/>
          <w:bCs/>
          <w:color w:val="000000" w:themeColor="text1"/>
          <w:sz w:val="24"/>
          <w:szCs w:val="24"/>
        </w:rPr>
        <w:t>g</w:t>
      </w:r>
      <w:r>
        <w:rPr>
          <w:color w:val="000000" w:themeColor="text1"/>
          <w:sz w:val="24"/>
          <w:szCs w:val="24"/>
        </w:rPr>
        <w:t>). Quantification of TS-positive Aβ plaque area in cortex and hippocampal DG region (</w:t>
      </w:r>
      <w:r>
        <w:rPr>
          <w:rFonts w:hint="eastAsia"/>
          <w:b/>
          <w:bCs/>
          <w:color w:val="000000" w:themeColor="text1"/>
          <w:sz w:val="24"/>
          <w:szCs w:val="24"/>
        </w:rPr>
        <w:t>h</w:t>
      </w:r>
      <w:r>
        <w:rPr>
          <w:color w:val="000000" w:themeColor="text1"/>
          <w:sz w:val="24"/>
          <w:szCs w:val="24"/>
        </w:rPr>
        <w:t>), n = 27 views from 3 mice per group for cortex, n = 18 views from 3 mice per group for DG. Quantification of TBST-soluble Aβ</w:t>
      </w:r>
      <w:r>
        <w:rPr>
          <w:color w:val="000000" w:themeColor="text1"/>
          <w:sz w:val="24"/>
          <w:szCs w:val="24"/>
          <w:vertAlign w:val="subscript"/>
        </w:rPr>
        <w:t>1-42</w:t>
      </w:r>
      <w:r>
        <w:rPr>
          <w:color w:val="000000" w:themeColor="text1"/>
          <w:sz w:val="24"/>
          <w:szCs w:val="24"/>
        </w:rPr>
        <w:t xml:space="preserve"> and Guanidine-soluble Aβ</w:t>
      </w:r>
      <w:r>
        <w:rPr>
          <w:color w:val="000000" w:themeColor="text1"/>
          <w:sz w:val="24"/>
          <w:szCs w:val="24"/>
          <w:vertAlign w:val="subscript"/>
        </w:rPr>
        <w:t>1-42</w:t>
      </w:r>
      <w:r>
        <w:rPr>
          <w:color w:val="000000" w:themeColor="text1"/>
          <w:sz w:val="24"/>
          <w:szCs w:val="24"/>
        </w:rPr>
        <w:t xml:space="preserve"> in hippocampus with ELISA, n = 8 mice per group (</w:t>
      </w:r>
      <w:proofErr w:type="spellStart"/>
      <w:r>
        <w:rPr>
          <w:rFonts w:hint="eastAsia"/>
          <w:b/>
          <w:bCs/>
          <w:color w:val="000000" w:themeColor="text1"/>
          <w:sz w:val="24"/>
          <w:szCs w:val="24"/>
        </w:rPr>
        <w:t>i</w:t>
      </w:r>
      <w:proofErr w:type="spellEnd"/>
      <w:r>
        <w:rPr>
          <w:color w:val="000000" w:themeColor="text1"/>
          <w:sz w:val="24"/>
          <w:szCs w:val="24"/>
        </w:rPr>
        <w:t>).</w:t>
      </w:r>
    </w:p>
    <w:p w14:paraId="34CF0DFB" w14:textId="7C5A54EF" w:rsidR="003B61E9" w:rsidRDefault="00000000" w:rsidP="009B41AA">
      <w:pPr>
        <w:spacing w:line="480" w:lineRule="auto"/>
        <w:jc w:val="both"/>
        <w:rPr>
          <w:color w:val="000000" w:themeColor="text1"/>
          <w:sz w:val="24"/>
          <w:szCs w:val="24"/>
        </w:rPr>
      </w:pPr>
      <w:r>
        <w:rPr>
          <w:rFonts w:hint="eastAsia"/>
          <w:b/>
          <w:bCs/>
          <w:color w:val="000000" w:themeColor="text1"/>
          <w:sz w:val="24"/>
          <w:szCs w:val="24"/>
        </w:rPr>
        <w:t>j</w:t>
      </w:r>
      <w:r>
        <w:rPr>
          <w:b/>
          <w:bCs/>
          <w:color w:val="000000" w:themeColor="text1"/>
          <w:sz w:val="24"/>
          <w:szCs w:val="24"/>
        </w:rPr>
        <w:t xml:space="preserve">, </w:t>
      </w:r>
      <w:r>
        <w:rPr>
          <w:rFonts w:hint="eastAsia"/>
          <w:b/>
          <w:bCs/>
          <w:color w:val="000000" w:themeColor="text1"/>
          <w:sz w:val="24"/>
          <w:szCs w:val="24"/>
        </w:rPr>
        <w:t>k</w:t>
      </w:r>
      <w:r>
        <w:rPr>
          <w:color w:val="000000" w:themeColor="text1"/>
          <w:sz w:val="24"/>
          <w:szCs w:val="24"/>
        </w:rPr>
        <w:t xml:space="preserve"> Representative images of Aβ (red) and Iba1 (green) staining in the hippocampal DG region (left) and the enlarged images (right) (</w:t>
      </w:r>
      <w:r>
        <w:rPr>
          <w:rFonts w:hint="eastAsia"/>
          <w:b/>
          <w:bCs/>
          <w:color w:val="000000" w:themeColor="text1"/>
          <w:sz w:val="24"/>
          <w:szCs w:val="24"/>
        </w:rPr>
        <w:t>j</w:t>
      </w:r>
      <w:r>
        <w:rPr>
          <w:color w:val="000000" w:themeColor="text1"/>
          <w:sz w:val="24"/>
          <w:szCs w:val="24"/>
        </w:rPr>
        <w:t>). Quantifications of Iba1-positive area (up) and Iba1-positive Fractal dimension (down) in hippocampus (</w:t>
      </w:r>
      <w:r>
        <w:rPr>
          <w:rFonts w:hint="eastAsia"/>
          <w:b/>
          <w:bCs/>
          <w:color w:val="000000" w:themeColor="text1"/>
          <w:sz w:val="24"/>
          <w:szCs w:val="24"/>
        </w:rPr>
        <w:t>k</w:t>
      </w:r>
      <w:r>
        <w:rPr>
          <w:color w:val="000000" w:themeColor="text1"/>
          <w:sz w:val="24"/>
          <w:szCs w:val="24"/>
        </w:rPr>
        <w:t>), n = 24 views from 3 mice per group for area fraction, n = 36 views from 3 mice per group for fractal dimension.</w:t>
      </w:r>
      <w:r w:rsidR="009B41AA">
        <w:rPr>
          <w:rFonts w:hint="eastAsia"/>
          <w:color w:val="000000" w:themeColor="text1"/>
          <w:sz w:val="24"/>
          <w:szCs w:val="24"/>
        </w:rPr>
        <w:t xml:space="preserve"> </w:t>
      </w:r>
      <w:r>
        <w:rPr>
          <w:color w:val="000000" w:themeColor="text1"/>
          <w:sz w:val="24"/>
          <w:szCs w:val="24"/>
        </w:rPr>
        <w:t>Data are mean ± SEM. *p &lt; 0.05, **p &lt; 0.01; Two</w:t>
      </w:r>
      <w:r>
        <w:rPr>
          <w:rFonts w:hint="eastAsia"/>
          <w:color w:val="000000" w:themeColor="text1"/>
          <w:sz w:val="24"/>
          <w:szCs w:val="24"/>
        </w:rPr>
        <w:t>-</w:t>
      </w:r>
      <w:r>
        <w:rPr>
          <w:color w:val="000000" w:themeColor="text1"/>
          <w:sz w:val="24"/>
          <w:szCs w:val="24"/>
        </w:rPr>
        <w:t xml:space="preserve">way ANOVA with Tukey's multiple comparisons test was used in </w:t>
      </w:r>
      <w:r>
        <w:rPr>
          <w:rFonts w:hint="eastAsia"/>
          <w:b/>
          <w:bCs/>
          <w:color w:val="000000" w:themeColor="text1"/>
          <w:sz w:val="24"/>
          <w:szCs w:val="24"/>
        </w:rPr>
        <w:t>b</w:t>
      </w:r>
      <w:r>
        <w:rPr>
          <w:b/>
          <w:bCs/>
          <w:color w:val="000000" w:themeColor="text1"/>
          <w:sz w:val="24"/>
          <w:szCs w:val="24"/>
        </w:rPr>
        <w:t xml:space="preserve">, </w:t>
      </w:r>
      <w:r>
        <w:rPr>
          <w:rFonts w:hint="eastAsia"/>
          <w:b/>
          <w:bCs/>
          <w:color w:val="000000" w:themeColor="text1"/>
          <w:sz w:val="24"/>
          <w:szCs w:val="24"/>
        </w:rPr>
        <w:t>d</w:t>
      </w:r>
      <w:r>
        <w:rPr>
          <w:color w:val="000000" w:themeColor="text1"/>
          <w:sz w:val="24"/>
          <w:szCs w:val="24"/>
        </w:rPr>
        <w:t xml:space="preserve">. Multiway repeated measure ANOVA was used in </w:t>
      </w:r>
      <w:r>
        <w:rPr>
          <w:rFonts w:hint="eastAsia"/>
          <w:b/>
          <w:bCs/>
          <w:color w:val="000000" w:themeColor="text1"/>
          <w:sz w:val="24"/>
          <w:szCs w:val="24"/>
        </w:rPr>
        <w:t>c</w:t>
      </w:r>
      <w:r>
        <w:rPr>
          <w:color w:val="000000" w:themeColor="text1"/>
          <w:sz w:val="24"/>
          <w:szCs w:val="24"/>
        </w:rPr>
        <w:t xml:space="preserve">. Two-tailed unpaired Student’s t test was used in </w:t>
      </w:r>
      <w:r>
        <w:rPr>
          <w:rFonts w:hint="eastAsia"/>
          <w:b/>
          <w:bCs/>
          <w:color w:val="000000" w:themeColor="text1"/>
          <w:sz w:val="24"/>
          <w:szCs w:val="24"/>
        </w:rPr>
        <w:t>e</w:t>
      </w:r>
      <w:r>
        <w:rPr>
          <w:b/>
          <w:bCs/>
          <w:color w:val="000000" w:themeColor="text1"/>
          <w:sz w:val="24"/>
          <w:szCs w:val="24"/>
        </w:rPr>
        <w:t xml:space="preserve">, </w:t>
      </w:r>
      <w:r>
        <w:rPr>
          <w:rFonts w:hint="eastAsia"/>
          <w:b/>
          <w:bCs/>
          <w:color w:val="000000" w:themeColor="text1"/>
          <w:sz w:val="24"/>
          <w:szCs w:val="24"/>
        </w:rPr>
        <w:t>f</w:t>
      </w:r>
      <w:r>
        <w:rPr>
          <w:b/>
          <w:bCs/>
          <w:color w:val="000000" w:themeColor="text1"/>
          <w:sz w:val="24"/>
          <w:szCs w:val="24"/>
        </w:rPr>
        <w:t xml:space="preserve">, </w:t>
      </w:r>
      <w:r>
        <w:rPr>
          <w:rFonts w:hint="eastAsia"/>
          <w:b/>
          <w:bCs/>
          <w:color w:val="000000" w:themeColor="text1"/>
          <w:sz w:val="24"/>
          <w:szCs w:val="24"/>
        </w:rPr>
        <w:t>h</w:t>
      </w:r>
      <w:r>
        <w:rPr>
          <w:b/>
          <w:bCs/>
          <w:color w:val="000000" w:themeColor="text1"/>
          <w:sz w:val="24"/>
          <w:szCs w:val="24"/>
        </w:rPr>
        <w:t xml:space="preserve">, </w:t>
      </w:r>
      <w:proofErr w:type="spellStart"/>
      <w:r>
        <w:rPr>
          <w:rFonts w:hint="eastAsia"/>
          <w:b/>
          <w:bCs/>
          <w:color w:val="000000" w:themeColor="text1"/>
          <w:sz w:val="24"/>
          <w:szCs w:val="24"/>
        </w:rPr>
        <w:t>i</w:t>
      </w:r>
      <w:proofErr w:type="spellEnd"/>
      <w:r>
        <w:rPr>
          <w:b/>
          <w:bCs/>
          <w:color w:val="000000" w:themeColor="text1"/>
          <w:sz w:val="24"/>
          <w:szCs w:val="24"/>
        </w:rPr>
        <w:t xml:space="preserve"> </w:t>
      </w:r>
      <w:r>
        <w:rPr>
          <w:color w:val="000000" w:themeColor="text1"/>
          <w:sz w:val="24"/>
          <w:szCs w:val="24"/>
        </w:rPr>
        <w:t xml:space="preserve">and </w:t>
      </w:r>
      <w:r>
        <w:rPr>
          <w:rFonts w:hint="eastAsia"/>
          <w:b/>
          <w:bCs/>
          <w:color w:val="000000" w:themeColor="text1"/>
          <w:sz w:val="24"/>
          <w:szCs w:val="24"/>
        </w:rPr>
        <w:t>k</w:t>
      </w:r>
      <w:r>
        <w:rPr>
          <w:color w:val="000000" w:themeColor="text1"/>
          <w:sz w:val="24"/>
          <w:szCs w:val="24"/>
        </w:rPr>
        <w:t>.</w:t>
      </w:r>
      <w:r>
        <w:rPr>
          <w:color w:val="000000" w:themeColor="text1"/>
          <w:sz w:val="24"/>
          <w:szCs w:val="24"/>
        </w:rPr>
        <w:br w:type="page"/>
      </w:r>
    </w:p>
    <w:p w14:paraId="0658356C" w14:textId="77777777" w:rsidR="003B61E9" w:rsidRDefault="00000000">
      <w:pPr>
        <w:pStyle w:val="SMHeading"/>
        <w:rPr>
          <w:color w:val="000000" w:themeColor="text1"/>
        </w:rPr>
      </w:pPr>
      <w:r>
        <w:rPr>
          <w:noProof/>
          <w:color w:val="000000" w:themeColor="text1"/>
        </w:rPr>
        <w:lastRenderedPageBreak/>
        <w:drawing>
          <wp:inline distT="0" distB="0" distL="0" distR="0" wp14:anchorId="750AA65F" wp14:editId="349D86E5">
            <wp:extent cx="6645910" cy="5948680"/>
            <wp:effectExtent l="0" t="0" r="2540" b="0"/>
            <wp:docPr id="47983046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830460" name="图片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6645910" cy="5948680"/>
                    </a:xfrm>
                    <a:prstGeom prst="rect">
                      <a:avLst/>
                    </a:prstGeom>
                    <a:noFill/>
                    <a:ln>
                      <a:noFill/>
                    </a:ln>
                  </pic:spPr>
                </pic:pic>
              </a:graphicData>
            </a:graphic>
          </wp:inline>
        </w:drawing>
      </w:r>
      <w:r>
        <w:rPr>
          <w:color w:val="000000" w:themeColor="text1"/>
        </w:rPr>
        <w:t xml:space="preserve"> Figure. S</w:t>
      </w:r>
      <w:r>
        <w:rPr>
          <w:rFonts w:hint="eastAsia"/>
          <w:color w:val="000000" w:themeColor="text1"/>
          <w:lang w:eastAsia="zh-CN"/>
        </w:rPr>
        <w:t>9</w:t>
      </w:r>
      <w:r>
        <w:rPr>
          <w:rFonts w:hint="eastAsia"/>
          <w:color w:val="000000" w:themeColor="text1"/>
        </w:rPr>
        <w:t>.</w:t>
      </w:r>
      <w:r>
        <w:rPr>
          <w:color w:val="000000" w:themeColor="text1"/>
        </w:rPr>
        <w:t xml:space="preserve"> </w:t>
      </w:r>
    </w:p>
    <w:p w14:paraId="01061E8B" w14:textId="73608B3B" w:rsidR="003B61E9" w:rsidRDefault="00000000">
      <w:pPr>
        <w:pStyle w:val="SMHeading"/>
        <w:rPr>
          <w:b w:val="0"/>
          <w:bCs w:val="0"/>
          <w:color w:val="000000" w:themeColor="text1"/>
          <w:lang w:eastAsia="zh-CN"/>
        </w:rPr>
      </w:pPr>
      <w:bookmarkStart w:id="9" w:name="_Hlk199760267"/>
      <w:r>
        <w:rPr>
          <w:color w:val="000000" w:themeColor="text1"/>
        </w:rPr>
        <w:t>Evaluation of sustained therapeutic efficacy following IL-6</w:t>
      </w:r>
      <w:r>
        <w:rPr>
          <w:rFonts w:hint="eastAsia"/>
          <w:color w:val="000000" w:themeColor="text1"/>
        </w:rPr>
        <w:t>R</w:t>
      </w:r>
      <w:r>
        <w:rPr>
          <w:color w:val="000000" w:themeColor="text1"/>
        </w:rPr>
        <w:t xml:space="preserve"> blockade, related to Fig</w:t>
      </w:r>
      <w:r>
        <w:rPr>
          <w:rFonts w:hint="eastAsia"/>
          <w:color w:val="000000" w:themeColor="text1"/>
        </w:rPr>
        <w:t xml:space="preserve">. </w:t>
      </w:r>
      <w:r>
        <w:rPr>
          <w:color w:val="000000" w:themeColor="text1"/>
        </w:rPr>
        <w:t>6.</w:t>
      </w:r>
      <w:r w:rsidR="009B41AA">
        <w:rPr>
          <w:rFonts w:hint="eastAsia"/>
          <w:color w:val="000000" w:themeColor="text1"/>
          <w:lang w:eastAsia="zh-CN"/>
        </w:rPr>
        <w:t xml:space="preserve"> </w:t>
      </w:r>
    </w:p>
    <w:p w14:paraId="08D3700A" w14:textId="4FE3A1DD" w:rsidR="003B61E9" w:rsidRDefault="00000000" w:rsidP="009B41AA">
      <w:pPr>
        <w:spacing w:line="480" w:lineRule="auto"/>
        <w:jc w:val="both"/>
        <w:rPr>
          <w:color w:val="000000" w:themeColor="text1"/>
          <w:sz w:val="24"/>
          <w:szCs w:val="24"/>
        </w:rPr>
      </w:pPr>
      <w:r>
        <w:rPr>
          <w:rFonts w:hint="eastAsia"/>
          <w:b/>
          <w:bCs/>
          <w:color w:val="000000" w:themeColor="text1"/>
          <w:sz w:val="24"/>
          <w:szCs w:val="24"/>
        </w:rPr>
        <w:t>a</w:t>
      </w:r>
      <w:r>
        <w:rPr>
          <w:color w:val="000000" w:themeColor="text1"/>
          <w:sz w:val="24"/>
          <w:szCs w:val="24"/>
        </w:rPr>
        <w:t xml:space="preserve"> Schem</w:t>
      </w:r>
      <w:r>
        <w:rPr>
          <w:rFonts w:hint="eastAsia"/>
          <w:color w:val="000000" w:themeColor="text1"/>
          <w:sz w:val="24"/>
          <w:szCs w:val="24"/>
        </w:rPr>
        <w:t>e</w:t>
      </w:r>
      <w:r>
        <w:rPr>
          <w:color w:val="000000" w:themeColor="text1"/>
          <w:sz w:val="24"/>
          <w:szCs w:val="24"/>
        </w:rPr>
        <w:t xml:space="preserve"> of tocilizumab administration in 5×FAD mice. </w:t>
      </w:r>
      <w:r>
        <w:rPr>
          <w:rFonts w:hint="eastAsia"/>
          <w:color w:val="000000" w:themeColor="text1"/>
          <w:sz w:val="24"/>
          <w:szCs w:val="24"/>
        </w:rPr>
        <w:t>T</w:t>
      </w:r>
      <w:r>
        <w:rPr>
          <w:color w:val="000000" w:themeColor="text1"/>
          <w:sz w:val="24"/>
          <w:szCs w:val="24"/>
        </w:rPr>
        <w:t>ocilizumab (18mg/kg) or matched IgG control were intraperitoneally injected in</w:t>
      </w:r>
      <w:r>
        <w:rPr>
          <w:rFonts w:hint="eastAsia"/>
          <w:color w:val="000000" w:themeColor="text1"/>
          <w:sz w:val="24"/>
          <w:szCs w:val="24"/>
        </w:rPr>
        <w:t xml:space="preserve"> 6</w:t>
      </w:r>
      <w:r>
        <w:rPr>
          <w:color w:val="000000" w:themeColor="text1"/>
          <w:sz w:val="24"/>
          <w:szCs w:val="24"/>
        </w:rPr>
        <w:t>-month-old 5×FAD mice every other day for 1 month</w:t>
      </w:r>
      <w:r>
        <w:rPr>
          <w:rFonts w:hint="eastAsia"/>
          <w:color w:val="000000" w:themeColor="text1"/>
          <w:sz w:val="24"/>
          <w:szCs w:val="24"/>
        </w:rPr>
        <w:t xml:space="preserve">. </w:t>
      </w:r>
      <w:r>
        <w:rPr>
          <w:color w:val="000000" w:themeColor="text1"/>
          <w:sz w:val="24"/>
          <w:szCs w:val="24"/>
        </w:rPr>
        <w:t>Pathological assessment was carried out after a 1-month period of treatment withdrawal.</w:t>
      </w:r>
      <w:r w:rsidR="009B41AA">
        <w:rPr>
          <w:rFonts w:hint="eastAsia"/>
          <w:color w:val="000000" w:themeColor="text1"/>
          <w:sz w:val="24"/>
          <w:szCs w:val="24"/>
        </w:rPr>
        <w:t xml:space="preserve"> </w:t>
      </w:r>
      <w:r>
        <w:rPr>
          <w:rFonts w:hint="eastAsia"/>
          <w:b/>
          <w:bCs/>
          <w:color w:val="000000" w:themeColor="text1"/>
          <w:sz w:val="24"/>
          <w:szCs w:val="24"/>
        </w:rPr>
        <w:t>b</w:t>
      </w:r>
      <w:r>
        <w:rPr>
          <w:color w:val="000000" w:themeColor="text1"/>
          <w:sz w:val="24"/>
          <w:szCs w:val="24"/>
        </w:rPr>
        <w:t xml:space="preserve"> Quantification of TBST-soluble Aβ</w:t>
      </w:r>
      <w:r>
        <w:rPr>
          <w:color w:val="000000" w:themeColor="text1"/>
          <w:sz w:val="24"/>
          <w:szCs w:val="24"/>
          <w:vertAlign w:val="subscript"/>
        </w:rPr>
        <w:t>1-42</w:t>
      </w:r>
      <w:r>
        <w:rPr>
          <w:color w:val="000000" w:themeColor="text1"/>
          <w:sz w:val="24"/>
          <w:szCs w:val="24"/>
        </w:rPr>
        <w:t xml:space="preserve"> and Guanidine-soluble Aβ</w:t>
      </w:r>
      <w:r>
        <w:rPr>
          <w:color w:val="000000" w:themeColor="text1"/>
          <w:sz w:val="24"/>
          <w:szCs w:val="24"/>
          <w:vertAlign w:val="subscript"/>
        </w:rPr>
        <w:t>1-42</w:t>
      </w:r>
      <w:r>
        <w:rPr>
          <w:color w:val="000000" w:themeColor="text1"/>
          <w:sz w:val="24"/>
          <w:szCs w:val="24"/>
        </w:rPr>
        <w:t xml:space="preserve"> in hippocampus with ELISA, n = </w:t>
      </w:r>
      <w:r>
        <w:rPr>
          <w:rFonts w:hint="eastAsia"/>
          <w:color w:val="000000" w:themeColor="text1"/>
          <w:sz w:val="24"/>
          <w:szCs w:val="24"/>
        </w:rPr>
        <w:t>6-7</w:t>
      </w:r>
      <w:r>
        <w:rPr>
          <w:color w:val="000000" w:themeColor="text1"/>
          <w:sz w:val="24"/>
          <w:szCs w:val="24"/>
        </w:rPr>
        <w:t xml:space="preserve"> mice per group.</w:t>
      </w:r>
      <w:r w:rsidR="009B41AA">
        <w:rPr>
          <w:rFonts w:hint="eastAsia"/>
          <w:color w:val="000000" w:themeColor="text1"/>
          <w:sz w:val="24"/>
          <w:szCs w:val="24"/>
        </w:rPr>
        <w:t xml:space="preserve"> </w:t>
      </w:r>
      <w:r>
        <w:rPr>
          <w:rFonts w:hint="eastAsia"/>
          <w:b/>
          <w:bCs/>
          <w:color w:val="000000" w:themeColor="text1"/>
          <w:sz w:val="24"/>
          <w:szCs w:val="24"/>
        </w:rPr>
        <w:t xml:space="preserve">c, d </w:t>
      </w:r>
      <w:r>
        <w:rPr>
          <w:color w:val="000000" w:themeColor="text1"/>
          <w:sz w:val="24"/>
          <w:szCs w:val="24"/>
        </w:rPr>
        <w:t>Representative images of Aβ (red) and Iba1 (green) staining in the hippocampal DG region (</w:t>
      </w:r>
      <w:r>
        <w:rPr>
          <w:rFonts w:hint="eastAsia"/>
          <w:b/>
          <w:bCs/>
          <w:color w:val="000000" w:themeColor="text1"/>
          <w:sz w:val="24"/>
          <w:szCs w:val="24"/>
        </w:rPr>
        <w:t>c</w:t>
      </w:r>
      <w:r>
        <w:rPr>
          <w:color w:val="000000" w:themeColor="text1"/>
          <w:sz w:val="24"/>
          <w:szCs w:val="24"/>
        </w:rPr>
        <w:t>). Quantifications of Iba1-positive area (up) and Iba1-positive Fractal dimension (down) in hippocampus (</w:t>
      </w:r>
      <w:r>
        <w:rPr>
          <w:rFonts w:hint="eastAsia"/>
          <w:b/>
          <w:bCs/>
          <w:color w:val="000000" w:themeColor="text1"/>
          <w:sz w:val="24"/>
          <w:szCs w:val="24"/>
        </w:rPr>
        <w:t>d</w:t>
      </w:r>
      <w:r>
        <w:rPr>
          <w:color w:val="000000" w:themeColor="text1"/>
          <w:sz w:val="24"/>
          <w:szCs w:val="24"/>
        </w:rPr>
        <w:t>), n = </w:t>
      </w:r>
      <w:r>
        <w:rPr>
          <w:rFonts w:hint="eastAsia"/>
          <w:color w:val="000000" w:themeColor="text1"/>
          <w:sz w:val="24"/>
          <w:szCs w:val="24"/>
        </w:rPr>
        <w:t>30</w:t>
      </w:r>
      <w:r>
        <w:rPr>
          <w:color w:val="000000" w:themeColor="text1"/>
          <w:sz w:val="24"/>
          <w:szCs w:val="24"/>
        </w:rPr>
        <w:t xml:space="preserve"> views from </w:t>
      </w:r>
      <w:r>
        <w:rPr>
          <w:rFonts w:hint="eastAsia"/>
          <w:color w:val="000000" w:themeColor="text1"/>
          <w:sz w:val="24"/>
          <w:szCs w:val="24"/>
        </w:rPr>
        <w:t>4</w:t>
      </w:r>
      <w:r>
        <w:rPr>
          <w:color w:val="000000" w:themeColor="text1"/>
          <w:sz w:val="24"/>
          <w:szCs w:val="24"/>
        </w:rPr>
        <w:t xml:space="preserve"> mice per group for </w:t>
      </w:r>
      <w:r>
        <w:rPr>
          <w:color w:val="000000" w:themeColor="text1"/>
          <w:sz w:val="24"/>
          <w:szCs w:val="24"/>
        </w:rPr>
        <w:lastRenderedPageBreak/>
        <w:t>area fraction, n = </w:t>
      </w:r>
      <w:r>
        <w:rPr>
          <w:rFonts w:hint="eastAsia"/>
          <w:color w:val="000000" w:themeColor="text1"/>
          <w:sz w:val="24"/>
          <w:szCs w:val="24"/>
        </w:rPr>
        <w:t>24</w:t>
      </w:r>
      <w:r>
        <w:rPr>
          <w:color w:val="000000" w:themeColor="text1"/>
          <w:sz w:val="24"/>
          <w:szCs w:val="24"/>
        </w:rPr>
        <w:t xml:space="preserve"> views from </w:t>
      </w:r>
      <w:r>
        <w:rPr>
          <w:rFonts w:hint="eastAsia"/>
          <w:color w:val="000000" w:themeColor="text1"/>
          <w:sz w:val="24"/>
          <w:szCs w:val="24"/>
        </w:rPr>
        <w:t>4</w:t>
      </w:r>
      <w:r>
        <w:rPr>
          <w:color w:val="000000" w:themeColor="text1"/>
          <w:sz w:val="24"/>
          <w:szCs w:val="24"/>
        </w:rPr>
        <w:t xml:space="preserve"> mice per group for fractal dimension.</w:t>
      </w:r>
      <w:r w:rsidR="009B41AA">
        <w:rPr>
          <w:rFonts w:hint="eastAsia"/>
          <w:color w:val="000000" w:themeColor="text1"/>
          <w:sz w:val="24"/>
          <w:szCs w:val="24"/>
        </w:rPr>
        <w:t xml:space="preserve"> </w:t>
      </w:r>
      <w:r>
        <w:rPr>
          <w:color w:val="000000" w:themeColor="text1"/>
          <w:sz w:val="24"/>
          <w:szCs w:val="24"/>
        </w:rPr>
        <w:t xml:space="preserve">Data are mean ± SEM. *p &lt; 0.05, </w:t>
      </w:r>
      <w:bookmarkStart w:id="10" w:name="_Hlk199695733"/>
      <w:r>
        <w:rPr>
          <w:color w:val="000000" w:themeColor="text1"/>
          <w:sz w:val="24"/>
          <w:szCs w:val="24"/>
        </w:rPr>
        <w:t>**p &lt; 0.01;</w:t>
      </w:r>
      <w:bookmarkEnd w:id="10"/>
      <w:r>
        <w:rPr>
          <w:color w:val="000000" w:themeColor="text1"/>
          <w:sz w:val="24"/>
          <w:szCs w:val="24"/>
        </w:rPr>
        <w:t xml:space="preserve"> **</w:t>
      </w:r>
      <w:r>
        <w:rPr>
          <w:rFonts w:hint="eastAsia"/>
          <w:color w:val="000000" w:themeColor="text1"/>
          <w:sz w:val="24"/>
          <w:szCs w:val="24"/>
        </w:rPr>
        <w:t>*</w:t>
      </w:r>
      <w:r>
        <w:rPr>
          <w:color w:val="000000" w:themeColor="text1"/>
          <w:sz w:val="24"/>
          <w:szCs w:val="24"/>
        </w:rPr>
        <w:t>p &lt; 0.0</w:t>
      </w:r>
      <w:r>
        <w:rPr>
          <w:rFonts w:hint="eastAsia"/>
          <w:color w:val="000000" w:themeColor="text1"/>
          <w:sz w:val="24"/>
          <w:szCs w:val="24"/>
        </w:rPr>
        <w:t>0</w:t>
      </w:r>
      <w:r>
        <w:rPr>
          <w:color w:val="000000" w:themeColor="text1"/>
          <w:sz w:val="24"/>
          <w:szCs w:val="24"/>
        </w:rPr>
        <w:t>1; Two</w:t>
      </w:r>
      <w:r>
        <w:rPr>
          <w:rFonts w:hint="eastAsia"/>
          <w:color w:val="000000" w:themeColor="text1"/>
          <w:sz w:val="24"/>
          <w:szCs w:val="24"/>
        </w:rPr>
        <w:t>-</w:t>
      </w:r>
      <w:r>
        <w:rPr>
          <w:color w:val="000000" w:themeColor="text1"/>
          <w:sz w:val="24"/>
          <w:szCs w:val="24"/>
        </w:rPr>
        <w:t>way ANOVA with Tukey's multiple</w:t>
      </w:r>
      <w:bookmarkEnd w:id="9"/>
      <w:r>
        <w:rPr>
          <w:color w:val="000000" w:themeColor="text1"/>
          <w:sz w:val="24"/>
          <w:szCs w:val="24"/>
        </w:rPr>
        <w:t xml:space="preserve"> </w:t>
      </w:r>
      <w:bookmarkStart w:id="11" w:name="_Hlk199760278"/>
      <w:r>
        <w:rPr>
          <w:color w:val="000000" w:themeColor="text1"/>
          <w:sz w:val="24"/>
          <w:szCs w:val="24"/>
        </w:rPr>
        <w:t>comparisons test was used.</w:t>
      </w:r>
      <w:bookmarkEnd w:id="11"/>
    </w:p>
    <w:p w14:paraId="327DED3A" w14:textId="77777777" w:rsidR="003B61E9" w:rsidRDefault="00000000">
      <w:pPr>
        <w:spacing w:line="480" w:lineRule="auto"/>
        <w:rPr>
          <w:color w:val="000000" w:themeColor="text1"/>
          <w:sz w:val="24"/>
          <w:szCs w:val="24"/>
        </w:rPr>
      </w:pPr>
      <w:r>
        <w:rPr>
          <w:color w:val="000000" w:themeColor="text1"/>
          <w:sz w:val="24"/>
          <w:szCs w:val="24"/>
        </w:rPr>
        <w:br w:type="page"/>
      </w:r>
    </w:p>
    <w:p w14:paraId="24028963" w14:textId="77777777" w:rsidR="003B61E9" w:rsidRDefault="00000000">
      <w:pPr>
        <w:spacing w:line="480" w:lineRule="auto"/>
        <w:rPr>
          <w:color w:val="000000" w:themeColor="text1"/>
          <w:sz w:val="24"/>
          <w:szCs w:val="24"/>
        </w:rPr>
      </w:pPr>
      <w:r>
        <w:rPr>
          <w:rFonts w:eastAsiaTheme="minorEastAsia"/>
          <w:b/>
          <w:bCs/>
          <w:color w:val="000000" w:themeColor="text1"/>
          <w:kern w:val="32"/>
          <w:sz w:val="24"/>
          <w:szCs w:val="24"/>
          <w:lang w:eastAsia="en-US"/>
        </w:rPr>
        <w:lastRenderedPageBreak/>
        <w:t>Table S1. Baseline characteristics and injected dose of 18F-92</w:t>
      </w:r>
      <w:r>
        <w:rPr>
          <w:rFonts w:eastAsiaTheme="minorEastAsia" w:hint="eastAsia"/>
          <w:b/>
          <w:bCs/>
          <w:color w:val="000000" w:themeColor="text1"/>
          <w:kern w:val="32"/>
          <w:sz w:val="24"/>
          <w:szCs w:val="24"/>
        </w:rPr>
        <w:t xml:space="preserve"> or 18F-AV45.</w:t>
      </w:r>
    </w:p>
    <w:p w14:paraId="105D611A" w14:textId="77777777" w:rsidR="003B61E9" w:rsidRDefault="003B61E9">
      <w:pPr>
        <w:spacing w:line="480" w:lineRule="auto"/>
        <w:rPr>
          <w:color w:val="000000" w:themeColor="text1"/>
          <w:sz w:val="24"/>
          <w:szCs w:val="24"/>
        </w:rPr>
      </w:pPr>
    </w:p>
    <w:p w14:paraId="6962D685" w14:textId="77777777" w:rsidR="003B61E9" w:rsidRDefault="003B61E9">
      <w:pPr>
        <w:spacing w:line="480" w:lineRule="auto"/>
        <w:rPr>
          <w:color w:val="000000" w:themeColor="text1"/>
          <w:sz w:val="24"/>
          <w:szCs w:val="24"/>
        </w:rPr>
      </w:pPr>
    </w:p>
    <w:p w14:paraId="0FCC8F60" w14:textId="77777777" w:rsidR="003B61E9" w:rsidRDefault="003B61E9">
      <w:pPr>
        <w:spacing w:line="480" w:lineRule="auto"/>
        <w:rPr>
          <w:color w:val="000000" w:themeColor="text1"/>
          <w:sz w:val="24"/>
          <w:szCs w:val="24"/>
        </w:rPr>
      </w:pPr>
    </w:p>
    <w:p w14:paraId="35A50E4C" w14:textId="77777777" w:rsidR="003B61E9" w:rsidRDefault="003B61E9">
      <w:pPr>
        <w:spacing w:line="480" w:lineRule="auto"/>
        <w:rPr>
          <w:color w:val="000000" w:themeColor="text1"/>
          <w:sz w:val="24"/>
          <w:szCs w:val="24"/>
        </w:rPr>
      </w:pPr>
    </w:p>
    <w:p w14:paraId="18224AD6" w14:textId="77777777" w:rsidR="003B61E9" w:rsidRDefault="003B61E9">
      <w:pPr>
        <w:spacing w:line="480" w:lineRule="auto"/>
        <w:rPr>
          <w:color w:val="000000" w:themeColor="text1"/>
          <w:sz w:val="24"/>
          <w:szCs w:val="24"/>
        </w:rPr>
      </w:pPr>
    </w:p>
    <w:p w14:paraId="769DA352" w14:textId="77777777" w:rsidR="003B61E9" w:rsidRDefault="003B61E9">
      <w:pPr>
        <w:spacing w:line="480" w:lineRule="auto"/>
        <w:rPr>
          <w:b/>
          <w:bCs/>
          <w:color w:val="000000" w:themeColor="text1"/>
          <w:sz w:val="24"/>
          <w:szCs w:val="24"/>
        </w:rPr>
      </w:pPr>
    </w:p>
    <w:tbl>
      <w:tblPr>
        <w:tblStyle w:val="ae"/>
        <w:tblpPr w:leftFromText="180" w:rightFromText="180" w:vertAnchor="page" w:horzAnchor="margin" w:tblpXSpec="center" w:tblpY="1540"/>
        <w:tblW w:w="8290" w:type="dxa"/>
        <w:tblBorders>
          <w:top w:val="single" w:sz="12" w:space="0" w:color="000000" w:themeColor="text1"/>
          <w:left w:val="none" w:sz="0" w:space="0" w:color="auto"/>
          <w:bottom w:val="single" w:sz="12" w:space="0" w:color="000000" w:themeColor="text1"/>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2409"/>
        <w:gridCol w:w="2268"/>
        <w:gridCol w:w="1486"/>
      </w:tblGrid>
      <w:tr w:rsidR="003B61E9" w14:paraId="6638836B" w14:textId="77777777">
        <w:trPr>
          <w:trHeight w:val="262"/>
        </w:trPr>
        <w:tc>
          <w:tcPr>
            <w:tcW w:w="2127" w:type="dxa"/>
            <w:tcBorders>
              <w:top w:val="single" w:sz="12" w:space="0" w:color="000000" w:themeColor="text1"/>
              <w:bottom w:val="single" w:sz="12" w:space="0" w:color="000000" w:themeColor="text1"/>
            </w:tcBorders>
            <w:noWrap/>
            <w:vAlign w:val="center"/>
          </w:tcPr>
          <w:p w14:paraId="188F67BE" w14:textId="77777777" w:rsidR="003B61E9" w:rsidRDefault="00000000">
            <w:pPr>
              <w:spacing w:line="480" w:lineRule="auto"/>
              <w:rPr>
                <w:color w:val="000000" w:themeColor="text1"/>
                <w:sz w:val="24"/>
                <w:szCs w:val="24"/>
              </w:rPr>
            </w:pPr>
            <w:r>
              <w:rPr>
                <w:rFonts w:eastAsia="微软雅黑"/>
                <w:color w:val="000000" w:themeColor="text1"/>
                <w:sz w:val="24"/>
                <w:szCs w:val="24"/>
              </w:rPr>
              <w:t xml:space="preserve">Observation item           </w:t>
            </w:r>
          </w:p>
        </w:tc>
        <w:tc>
          <w:tcPr>
            <w:tcW w:w="2409" w:type="dxa"/>
            <w:tcBorders>
              <w:top w:val="single" w:sz="12" w:space="0" w:color="000000" w:themeColor="text1"/>
              <w:bottom w:val="single" w:sz="12" w:space="0" w:color="000000" w:themeColor="text1"/>
            </w:tcBorders>
            <w:vAlign w:val="center"/>
          </w:tcPr>
          <w:p w14:paraId="508BADAD" w14:textId="77777777" w:rsidR="003B61E9" w:rsidRDefault="00000000">
            <w:pPr>
              <w:spacing w:line="480" w:lineRule="auto"/>
              <w:ind w:leftChars="100" w:left="450" w:hangingChars="100" w:hanging="240"/>
              <w:jc w:val="center"/>
              <w:rPr>
                <w:color w:val="000000" w:themeColor="text1"/>
                <w:sz w:val="24"/>
                <w:szCs w:val="24"/>
              </w:rPr>
            </w:pPr>
            <w:bookmarkStart w:id="12" w:name="_Hlk199500459"/>
            <w:r>
              <w:rPr>
                <w:rFonts w:eastAsia="微软雅黑"/>
                <w:color w:val="000000" w:themeColor="text1"/>
                <w:sz w:val="24"/>
                <w:szCs w:val="24"/>
              </w:rPr>
              <w:t xml:space="preserve">Non-AD </w:t>
            </w:r>
            <w:proofErr w:type="gramStart"/>
            <w:r>
              <w:rPr>
                <w:rFonts w:eastAsia="微软雅黑"/>
                <w:color w:val="000000" w:themeColor="text1"/>
                <w:sz w:val="24"/>
                <w:szCs w:val="24"/>
              </w:rPr>
              <w:t>dementia</w:t>
            </w:r>
            <w:r>
              <w:rPr>
                <w:color w:val="000000" w:themeColor="text1"/>
                <w:sz w:val="24"/>
                <w:szCs w:val="24"/>
              </w:rPr>
              <w:t xml:space="preserve"> </w:t>
            </w:r>
            <w:bookmarkEnd w:id="12"/>
            <w:r>
              <w:rPr>
                <w:color w:val="000000" w:themeColor="text1"/>
                <w:sz w:val="24"/>
                <w:szCs w:val="24"/>
              </w:rPr>
              <w:t xml:space="preserve"> </w:t>
            </w:r>
            <w:r>
              <w:rPr>
                <w:rFonts w:eastAsia="微软雅黑"/>
                <w:color w:val="000000" w:themeColor="text1"/>
                <w:sz w:val="24"/>
                <w:szCs w:val="24"/>
              </w:rPr>
              <w:t>(</w:t>
            </w:r>
            <w:proofErr w:type="gramEnd"/>
            <w:r>
              <w:rPr>
                <w:rFonts w:eastAsia="微软雅黑"/>
                <w:color w:val="000000" w:themeColor="text1"/>
                <w:sz w:val="24"/>
                <w:szCs w:val="24"/>
              </w:rPr>
              <w:t>n=</w:t>
            </w:r>
            <w:r>
              <w:rPr>
                <w:rFonts w:eastAsia="微软雅黑" w:hint="eastAsia"/>
                <w:color w:val="000000" w:themeColor="text1"/>
                <w:sz w:val="24"/>
                <w:szCs w:val="24"/>
              </w:rPr>
              <w:t>8</w:t>
            </w:r>
            <w:r>
              <w:rPr>
                <w:rFonts w:eastAsia="微软雅黑"/>
                <w:color w:val="000000" w:themeColor="text1"/>
                <w:sz w:val="24"/>
                <w:szCs w:val="24"/>
              </w:rPr>
              <w:t>)</w:t>
            </w:r>
          </w:p>
        </w:tc>
        <w:tc>
          <w:tcPr>
            <w:tcW w:w="2268" w:type="dxa"/>
            <w:tcBorders>
              <w:top w:val="single" w:sz="12" w:space="0" w:color="000000" w:themeColor="text1"/>
              <w:bottom w:val="single" w:sz="12" w:space="0" w:color="000000" w:themeColor="text1"/>
            </w:tcBorders>
            <w:vAlign w:val="center"/>
          </w:tcPr>
          <w:p w14:paraId="1992B4E5" w14:textId="77777777" w:rsidR="003B61E9" w:rsidRDefault="00000000">
            <w:pPr>
              <w:spacing w:line="480" w:lineRule="auto"/>
              <w:ind w:firstLine="440"/>
              <w:jc w:val="center"/>
              <w:rPr>
                <w:rFonts w:eastAsia="微软雅黑"/>
                <w:color w:val="000000" w:themeColor="text1"/>
                <w:sz w:val="24"/>
                <w:szCs w:val="24"/>
              </w:rPr>
            </w:pPr>
            <w:r>
              <w:rPr>
                <w:rFonts w:eastAsia="微软雅黑"/>
                <w:color w:val="000000" w:themeColor="text1"/>
                <w:sz w:val="24"/>
                <w:szCs w:val="24"/>
              </w:rPr>
              <w:t>AD dementia</w:t>
            </w:r>
          </w:p>
          <w:p w14:paraId="2C327003" w14:textId="77777777" w:rsidR="003B61E9" w:rsidRDefault="00000000">
            <w:pPr>
              <w:spacing w:line="480" w:lineRule="auto"/>
              <w:ind w:firstLine="440"/>
              <w:jc w:val="center"/>
              <w:rPr>
                <w:rFonts w:eastAsia="微软雅黑"/>
                <w:color w:val="000000" w:themeColor="text1"/>
                <w:sz w:val="24"/>
                <w:szCs w:val="24"/>
              </w:rPr>
            </w:pPr>
            <w:r>
              <w:rPr>
                <w:rFonts w:eastAsia="微软雅黑"/>
                <w:color w:val="000000" w:themeColor="text1"/>
                <w:sz w:val="24"/>
                <w:szCs w:val="24"/>
              </w:rPr>
              <w:t>(n=1</w:t>
            </w:r>
            <w:r>
              <w:rPr>
                <w:rFonts w:eastAsia="微软雅黑" w:hint="eastAsia"/>
                <w:color w:val="000000" w:themeColor="text1"/>
                <w:sz w:val="24"/>
                <w:szCs w:val="24"/>
              </w:rPr>
              <w:t>8</w:t>
            </w:r>
            <w:r>
              <w:rPr>
                <w:rFonts w:eastAsia="微软雅黑"/>
                <w:color w:val="000000" w:themeColor="text1"/>
                <w:sz w:val="24"/>
                <w:szCs w:val="24"/>
              </w:rPr>
              <w:t>)</w:t>
            </w:r>
          </w:p>
        </w:tc>
        <w:tc>
          <w:tcPr>
            <w:tcW w:w="1486" w:type="dxa"/>
            <w:tcBorders>
              <w:top w:val="single" w:sz="12" w:space="0" w:color="000000" w:themeColor="text1"/>
              <w:bottom w:val="single" w:sz="12" w:space="0" w:color="000000" w:themeColor="text1"/>
            </w:tcBorders>
            <w:vAlign w:val="center"/>
          </w:tcPr>
          <w:p w14:paraId="25FFED1F" w14:textId="77777777" w:rsidR="003B61E9" w:rsidRDefault="00000000">
            <w:pPr>
              <w:spacing w:line="480" w:lineRule="auto"/>
              <w:ind w:firstLine="440"/>
              <w:rPr>
                <w:rFonts w:eastAsia="微软雅黑"/>
                <w:color w:val="000000" w:themeColor="text1"/>
                <w:sz w:val="24"/>
                <w:szCs w:val="24"/>
              </w:rPr>
            </w:pPr>
            <w:r>
              <w:rPr>
                <w:rFonts w:eastAsia="微软雅黑"/>
                <w:color w:val="000000" w:themeColor="text1"/>
                <w:sz w:val="24"/>
                <w:szCs w:val="24"/>
              </w:rPr>
              <w:t>P-value</w:t>
            </w:r>
          </w:p>
        </w:tc>
      </w:tr>
      <w:tr w:rsidR="003B61E9" w14:paraId="7CDFBAE5" w14:textId="77777777">
        <w:trPr>
          <w:trHeight w:val="425"/>
        </w:trPr>
        <w:tc>
          <w:tcPr>
            <w:tcW w:w="2127" w:type="dxa"/>
            <w:tcBorders>
              <w:top w:val="single" w:sz="12" w:space="0" w:color="000000" w:themeColor="text1"/>
            </w:tcBorders>
            <w:noWrap/>
            <w:vAlign w:val="center"/>
          </w:tcPr>
          <w:p w14:paraId="211692D0" w14:textId="77777777" w:rsidR="003B61E9" w:rsidRDefault="00000000">
            <w:pPr>
              <w:spacing w:line="480" w:lineRule="auto"/>
              <w:rPr>
                <w:rFonts w:eastAsia="微软雅黑"/>
                <w:color w:val="000000" w:themeColor="text1"/>
                <w:sz w:val="24"/>
                <w:szCs w:val="24"/>
              </w:rPr>
            </w:pPr>
            <w:r>
              <w:rPr>
                <w:rFonts w:eastAsia="微软雅黑"/>
                <w:color w:val="000000" w:themeColor="text1"/>
                <w:sz w:val="24"/>
                <w:szCs w:val="24"/>
              </w:rPr>
              <w:t>Male, n (</w:t>
            </w:r>
            <w:proofErr w:type="gramStart"/>
            <w:r>
              <w:rPr>
                <w:rFonts w:eastAsia="微软雅黑"/>
                <w:color w:val="000000" w:themeColor="text1"/>
                <w:sz w:val="24"/>
                <w:szCs w:val="24"/>
              </w:rPr>
              <w:t>%</w:t>
            </w:r>
            <w:r>
              <w:rPr>
                <w:rFonts w:eastAsia="微软雅黑" w:hint="eastAsia"/>
                <w:color w:val="000000" w:themeColor="text1"/>
                <w:sz w:val="24"/>
                <w:szCs w:val="24"/>
              </w:rPr>
              <w:t>)</w:t>
            </w:r>
            <w:r>
              <w:rPr>
                <w:rFonts w:eastAsia="微软雅黑"/>
                <w:color w:val="000000" w:themeColor="text1"/>
                <w:sz w:val="24"/>
                <w:szCs w:val="24"/>
              </w:rPr>
              <w:t xml:space="preserve">   </w:t>
            </w:r>
            <w:proofErr w:type="gramEnd"/>
            <w:r>
              <w:rPr>
                <w:rFonts w:eastAsia="微软雅黑"/>
                <w:color w:val="000000" w:themeColor="text1"/>
                <w:sz w:val="24"/>
                <w:szCs w:val="24"/>
              </w:rPr>
              <w:t xml:space="preserve">        </w:t>
            </w:r>
          </w:p>
        </w:tc>
        <w:tc>
          <w:tcPr>
            <w:tcW w:w="2409" w:type="dxa"/>
            <w:tcBorders>
              <w:top w:val="single" w:sz="12" w:space="0" w:color="000000" w:themeColor="text1"/>
            </w:tcBorders>
            <w:vAlign w:val="center"/>
          </w:tcPr>
          <w:p w14:paraId="7A0B0176" w14:textId="77777777" w:rsidR="003B61E9" w:rsidRDefault="00000000">
            <w:pPr>
              <w:spacing w:line="480" w:lineRule="auto"/>
              <w:ind w:firstLine="440"/>
              <w:jc w:val="center"/>
              <w:rPr>
                <w:rFonts w:eastAsia="微软雅黑"/>
                <w:color w:val="000000" w:themeColor="text1"/>
                <w:sz w:val="24"/>
                <w:szCs w:val="24"/>
              </w:rPr>
            </w:pPr>
            <w:r>
              <w:rPr>
                <w:rFonts w:eastAsia="微软雅黑" w:hint="eastAsia"/>
                <w:color w:val="000000" w:themeColor="text1"/>
                <w:sz w:val="24"/>
                <w:szCs w:val="24"/>
              </w:rPr>
              <w:t>2</w:t>
            </w:r>
            <w:r>
              <w:rPr>
                <w:rFonts w:eastAsia="微软雅黑"/>
                <w:color w:val="000000" w:themeColor="text1"/>
                <w:sz w:val="24"/>
                <w:szCs w:val="24"/>
              </w:rPr>
              <w:t xml:space="preserve"> (25.0%)</w:t>
            </w:r>
          </w:p>
        </w:tc>
        <w:tc>
          <w:tcPr>
            <w:tcW w:w="2268" w:type="dxa"/>
            <w:tcBorders>
              <w:top w:val="single" w:sz="12" w:space="0" w:color="000000" w:themeColor="text1"/>
            </w:tcBorders>
            <w:vAlign w:val="center"/>
          </w:tcPr>
          <w:p w14:paraId="13440C26" w14:textId="77777777" w:rsidR="003B61E9" w:rsidRDefault="00000000">
            <w:pPr>
              <w:spacing w:line="480" w:lineRule="auto"/>
              <w:ind w:firstLine="440"/>
              <w:jc w:val="center"/>
              <w:rPr>
                <w:rFonts w:eastAsia="微软雅黑"/>
                <w:color w:val="000000" w:themeColor="text1"/>
                <w:sz w:val="24"/>
                <w:szCs w:val="24"/>
              </w:rPr>
            </w:pPr>
            <w:r>
              <w:rPr>
                <w:rFonts w:eastAsia="微软雅黑" w:hint="eastAsia"/>
                <w:color w:val="000000" w:themeColor="text1"/>
                <w:sz w:val="24"/>
                <w:szCs w:val="24"/>
              </w:rPr>
              <w:t>11</w:t>
            </w:r>
            <w:r>
              <w:rPr>
                <w:rFonts w:eastAsia="微软雅黑"/>
                <w:color w:val="000000" w:themeColor="text1"/>
                <w:sz w:val="24"/>
                <w:szCs w:val="24"/>
              </w:rPr>
              <w:t xml:space="preserve"> (</w:t>
            </w:r>
            <w:r>
              <w:rPr>
                <w:rFonts w:eastAsia="微软雅黑" w:hint="eastAsia"/>
                <w:color w:val="000000" w:themeColor="text1"/>
                <w:sz w:val="24"/>
                <w:szCs w:val="24"/>
              </w:rPr>
              <w:t>61.1</w:t>
            </w:r>
            <w:r>
              <w:rPr>
                <w:rFonts w:eastAsia="微软雅黑"/>
                <w:color w:val="000000" w:themeColor="text1"/>
                <w:sz w:val="24"/>
                <w:szCs w:val="24"/>
              </w:rPr>
              <w:t>%)</w:t>
            </w:r>
          </w:p>
        </w:tc>
        <w:tc>
          <w:tcPr>
            <w:tcW w:w="1486" w:type="dxa"/>
            <w:tcBorders>
              <w:top w:val="single" w:sz="12" w:space="0" w:color="000000" w:themeColor="text1"/>
            </w:tcBorders>
            <w:vAlign w:val="center"/>
          </w:tcPr>
          <w:p w14:paraId="3492C015" w14:textId="77777777" w:rsidR="003B61E9" w:rsidRDefault="00000000">
            <w:pPr>
              <w:spacing w:line="480" w:lineRule="auto"/>
              <w:ind w:firstLine="440"/>
              <w:rPr>
                <w:rFonts w:eastAsia="微软雅黑"/>
                <w:color w:val="000000" w:themeColor="text1"/>
                <w:sz w:val="24"/>
                <w:szCs w:val="24"/>
              </w:rPr>
            </w:pPr>
            <w:r>
              <w:rPr>
                <w:rFonts w:eastAsia="微软雅黑"/>
                <w:color w:val="000000" w:themeColor="text1"/>
                <w:sz w:val="24"/>
                <w:szCs w:val="24"/>
              </w:rPr>
              <w:t>0.</w:t>
            </w:r>
            <w:r>
              <w:rPr>
                <w:rFonts w:eastAsia="微软雅黑" w:hint="eastAsia"/>
                <w:color w:val="000000" w:themeColor="text1"/>
                <w:sz w:val="24"/>
                <w:szCs w:val="24"/>
              </w:rPr>
              <w:t>202</w:t>
            </w:r>
          </w:p>
        </w:tc>
      </w:tr>
      <w:tr w:rsidR="003B61E9" w14:paraId="279AB603" w14:textId="77777777">
        <w:trPr>
          <w:trHeight w:val="429"/>
        </w:trPr>
        <w:tc>
          <w:tcPr>
            <w:tcW w:w="2127" w:type="dxa"/>
            <w:noWrap/>
            <w:vAlign w:val="center"/>
          </w:tcPr>
          <w:p w14:paraId="2E11D828" w14:textId="77777777" w:rsidR="003B61E9" w:rsidRDefault="00000000">
            <w:pPr>
              <w:spacing w:line="480" w:lineRule="auto"/>
              <w:rPr>
                <w:rFonts w:eastAsia="微软雅黑"/>
                <w:color w:val="000000" w:themeColor="text1"/>
                <w:sz w:val="24"/>
                <w:szCs w:val="24"/>
              </w:rPr>
            </w:pPr>
            <w:r>
              <w:rPr>
                <w:rFonts w:eastAsia="微软雅黑"/>
                <w:color w:val="000000" w:themeColor="text1"/>
                <w:sz w:val="24"/>
                <w:szCs w:val="24"/>
              </w:rPr>
              <w:t>Age (year)</w:t>
            </w:r>
          </w:p>
        </w:tc>
        <w:tc>
          <w:tcPr>
            <w:tcW w:w="2409" w:type="dxa"/>
            <w:vAlign w:val="center"/>
          </w:tcPr>
          <w:p w14:paraId="7D9E3ED5" w14:textId="77777777" w:rsidR="003B61E9" w:rsidRDefault="00000000">
            <w:pPr>
              <w:spacing w:line="480" w:lineRule="auto"/>
              <w:ind w:firstLine="440"/>
              <w:jc w:val="center"/>
              <w:rPr>
                <w:rFonts w:eastAsia="微软雅黑"/>
                <w:color w:val="000000" w:themeColor="text1"/>
                <w:sz w:val="24"/>
                <w:szCs w:val="24"/>
              </w:rPr>
            </w:pPr>
            <w:r>
              <w:rPr>
                <w:rFonts w:eastAsia="微软雅黑" w:hint="eastAsia"/>
                <w:color w:val="000000" w:themeColor="text1"/>
                <w:sz w:val="24"/>
                <w:szCs w:val="24"/>
              </w:rPr>
              <w:t>66.88</w:t>
            </w:r>
            <w:r>
              <w:rPr>
                <w:rFonts w:eastAsia="微软雅黑"/>
                <w:color w:val="000000" w:themeColor="text1"/>
                <w:sz w:val="24"/>
                <w:szCs w:val="24"/>
              </w:rPr>
              <w:t xml:space="preserve">± </w:t>
            </w:r>
            <w:r>
              <w:rPr>
                <w:rFonts w:eastAsia="微软雅黑" w:hint="eastAsia"/>
                <w:color w:val="000000" w:themeColor="text1"/>
                <w:sz w:val="24"/>
                <w:szCs w:val="24"/>
              </w:rPr>
              <w:t>7.16</w:t>
            </w:r>
          </w:p>
        </w:tc>
        <w:tc>
          <w:tcPr>
            <w:tcW w:w="2268" w:type="dxa"/>
            <w:vAlign w:val="center"/>
          </w:tcPr>
          <w:p w14:paraId="3ADD7C72" w14:textId="77777777" w:rsidR="003B61E9" w:rsidRDefault="00000000">
            <w:pPr>
              <w:spacing w:line="480" w:lineRule="auto"/>
              <w:ind w:firstLineChars="200" w:firstLine="480"/>
              <w:jc w:val="center"/>
              <w:rPr>
                <w:rFonts w:eastAsia="微软雅黑"/>
                <w:color w:val="000000" w:themeColor="text1"/>
                <w:sz w:val="24"/>
                <w:szCs w:val="24"/>
              </w:rPr>
            </w:pPr>
            <w:r>
              <w:rPr>
                <w:rFonts w:eastAsia="微软雅黑" w:hint="eastAsia"/>
                <w:color w:val="000000" w:themeColor="text1"/>
                <w:sz w:val="24"/>
                <w:szCs w:val="24"/>
              </w:rPr>
              <w:t>68.47</w:t>
            </w:r>
            <w:r>
              <w:rPr>
                <w:rFonts w:eastAsia="微软雅黑"/>
                <w:color w:val="000000" w:themeColor="text1"/>
                <w:sz w:val="24"/>
                <w:szCs w:val="24"/>
              </w:rPr>
              <w:t xml:space="preserve"> ±</w:t>
            </w:r>
            <w:r>
              <w:rPr>
                <w:rFonts w:eastAsia="微软雅黑" w:hint="eastAsia"/>
                <w:color w:val="000000" w:themeColor="text1"/>
                <w:sz w:val="24"/>
                <w:szCs w:val="24"/>
              </w:rPr>
              <w:t>9.61</w:t>
            </w:r>
          </w:p>
        </w:tc>
        <w:tc>
          <w:tcPr>
            <w:tcW w:w="1486" w:type="dxa"/>
            <w:vAlign w:val="center"/>
          </w:tcPr>
          <w:p w14:paraId="5DFC000C" w14:textId="77777777" w:rsidR="003B61E9" w:rsidRDefault="00000000">
            <w:pPr>
              <w:spacing w:line="480" w:lineRule="auto"/>
              <w:ind w:firstLine="440"/>
              <w:rPr>
                <w:rFonts w:eastAsia="微软雅黑"/>
                <w:color w:val="000000" w:themeColor="text1"/>
                <w:sz w:val="24"/>
                <w:szCs w:val="24"/>
              </w:rPr>
            </w:pPr>
            <w:r>
              <w:rPr>
                <w:rFonts w:eastAsia="微软雅黑"/>
                <w:color w:val="000000" w:themeColor="text1"/>
                <w:sz w:val="24"/>
                <w:szCs w:val="24"/>
              </w:rPr>
              <w:t>0.</w:t>
            </w:r>
            <w:r>
              <w:rPr>
                <w:rFonts w:eastAsia="微软雅黑" w:hint="eastAsia"/>
                <w:color w:val="000000" w:themeColor="text1"/>
                <w:sz w:val="24"/>
                <w:szCs w:val="24"/>
              </w:rPr>
              <w:t>681</w:t>
            </w:r>
          </w:p>
        </w:tc>
      </w:tr>
      <w:tr w:rsidR="003B61E9" w14:paraId="2F8B4B5A" w14:textId="77777777">
        <w:trPr>
          <w:trHeight w:val="429"/>
        </w:trPr>
        <w:tc>
          <w:tcPr>
            <w:tcW w:w="2127" w:type="dxa"/>
            <w:noWrap/>
            <w:vAlign w:val="center"/>
          </w:tcPr>
          <w:p w14:paraId="754548E9" w14:textId="77777777" w:rsidR="003B61E9" w:rsidRDefault="00000000">
            <w:pPr>
              <w:spacing w:line="480" w:lineRule="auto"/>
              <w:rPr>
                <w:rFonts w:eastAsia="微软雅黑"/>
                <w:color w:val="000000" w:themeColor="text1"/>
                <w:sz w:val="24"/>
                <w:szCs w:val="24"/>
              </w:rPr>
            </w:pPr>
            <w:r>
              <w:rPr>
                <w:rFonts w:eastAsia="微软雅黑"/>
                <w:color w:val="000000" w:themeColor="text1"/>
                <w:sz w:val="24"/>
                <w:szCs w:val="24"/>
              </w:rPr>
              <w:t>Education (year)</w:t>
            </w:r>
          </w:p>
        </w:tc>
        <w:tc>
          <w:tcPr>
            <w:tcW w:w="2409" w:type="dxa"/>
            <w:vAlign w:val="center"/>
          </w:tcPr>
          <w:p w14:paraId="7E0AF8D8" w14:textId="77777777" w:rsidR="003B61E9" w:rsidRDefault="00000000">
            <w:pPr>
              <w:spacing w:line="480" w:lineRule="auto"/>
              <w:ind w:firstLine="440"/>
              <w:jc w:val="center"/>
              <w:rPr>
                <w:rFonts w:eastAsia="微软雅黑"/>
                <w:color w:val="000000" w:themeColor="text1"/>
                <w:sz w:val="24"/>
                <w:szCs w:val="24"/>
              </w:rPr>
            </w:pPr>
            <w:r>
              <w:rPr>
                <w:rFonts w:eastAsia="微软雅黑" w:hint="eastAsia"/>
                <w:color w:val="000000" w:themeColor="text1"/>
                <w:sz w:val="24"/>
                <w:szCs w:val="24"/>
              </w:rPr>
              <w:t>11.63</w:t>
            </w:r>
            <w:r>
              <w:rPr>
                <w:rFonts w:eastAsia="微软雅黑"/>
                <w:color w:val="000000" w:themeColor="text1"/>
                <w:sz w:val="24"/>
                <w:szCs w:val="24"/>
              </w:rPr>
              <w:t xml:space="preserve"> ± </w:t>
            </w:r>
            <w:r>
              <w:rPr>
                <w:rFonts w:eastAsia="微软雅黑" w:hint="eastAsia"/>
                <w:color w:val="000000" w:themeColor="text1"/>
                <w:sz w:val="24"/>
                <w:szCs w:val="24"/>
              </w:rPr>
              <w:t>5.81</w:t>
            </w:r>
          </w:p>
        </w:tc>
        <w:tc>
          <w:tcPr>
            <w:tcW w:w="2268" w:type="dxa"/>
            <w:vAlign w:val="center"/>
          </w:tcPr>
          <w:p w14:paraId="05F96D62" w14:textId="77777777" w:rsidR="003B61E9" w:rsidRDefault="00000000">
            <w:pPr>
              <w:spacing w:line="480" w:lineRule="auto"/>
              <w:ind w:firstLine="440"/>
              <w:jc w:val="center"/>
              <w:rPr>
                <w:rFonts w:eastAsia="微软雅黑"/>
                <w:color w:val="000000" w:themeColor="text1"/>
                <w:sz w:val="24"/>
                <w:szCs w:val="24"/>
              </w:rPr>
            </w:pPr>
            <w:r>
              <w:rPr>
                <w:rFonts w:eastAsia="微软雅黑"/>
                <w:color w:val="000000" w:themeColor="text1"/>
                <w:sz w:val="24"/>
                <w:szCs w:val="24"/>
              </w:rPr>
              <w:t>10.</w:t>
            </w:r>
            <w:r>
              <w:rPr>
                <w:rFonts w:eastAsia="微软雅黑" w:hint="eastAsia"/>
                <w:color w:val="000000" w:themeColor="text1"/>
                <w:sz w:val="24"/>
                <w:szCs w:val="24"/>
              </w:rPr>
              <w:t>76</w:t>
            </w:r>
            <w:r>
              <w:rPr>
                <w:rFonts w:eastAsia="微软雅黑"/>
                <w:color w:val="000000" w:themeColor="text1"/>
                <w:sz w:val="24"/>
                <w:szCs w:val="24"/>
              </w:rPr>
              <w:t xml:space="preserve"> ± 5.</w:t>
            </w:r>
            <w:r>
              <w:rPr>
                <w:rFonts w:eastAsia="微软雅黑" w:hint="eastAsia"/>
                <w:color w:val="000000" w:themeColor="text1"/>
                <w:sz w:val="24"/>
                <w:szCs w:val="24"/>
              </w:rPr>
              <w:t>27</w:t>
            </w:r>
          </w:p>
        </w:tc>
        <w:tc>
          <w:tcPr>
            <w:tcW w:w="1486" w:type="dxa"/>
            <w:vAlign w:val="center"/>
          </w:tcPr>
          <w:p w14:paraId="4CE60644" w14:textId="77777777" w:rsidR="003B61E9" w:rsidRDefault="00000000">
            <w:pPr>
              <w:spacing w:line="480" w:lineRule="auto"/>
              <w:ind w:firstLine="440"/>
              <w:rPr>
                <w:rFonts w:eastAsia="微软雅黑"/>
                <w:color w:val="000000" w:themeColor="text1"/>
                <w:sz w:val="24"/>
                <w:szCs w:val="24"/>
              </w:rPr>
            </w:pPr>
            <w:r>
              <w:rPr>
                <w:rFonts w:eastAsia="微软雅黑"/>
                <w:color w:val="000000" w:themeColor="text1"/>
                <w:sz w:val="24"/>
                <w:szCs w:val="24"/>
              </w:rPr>
              <w:t>0.</w:t>
            </w:r>
            <w:r>
              <w:rPr>
                <w:rFonts w:eastAsia="微软雅黑" w:hint="eastAsia"/>
                <w:color w:val="000000" w:themeColor="text1"/>
                <w:sz w:val="24"/>
                <w:szCs w:val="24"/>
              </w:rPr>
              <w:t>716</w:t>
            </w:r>
          </w:p>
        </w:tc>
      </w:tr>
      <w:tr w:rsidR="003B61E9" w14:paraId="5485DB13" w14:textId="77777777">
        <w:trPr>
          <w:trHeight w:val="429"/>
        </w:trPr>
        <w:tc>
          <w:tcPr>
            <w:tcW w:w="2127" w:type="dxa"/>
            <w:tcBorders>
              <w:bottom w:val="nil"/>
            </w:tcBorders>
            <w:noWrap/>
            <w:vAlign w:val="center"/>
          </w:tcPr>
          <w:p w14:paraId="0DD67DB6" w14:textId="77777777" w:rsidR="003B61E9" w:rsidRDefault="00000000">
            <w:pPr>
              <w:spacing w:line="480" w:lineRule="auto"/>
              <w:rPr>
                <w:rFonts w:eastAsia="微软雅黑"/>
                <w:color w:val="000000" w:themeColor="text1"/>
                <w:sz w:val="24"/>
                <w:szCs w:val="24"/>
              </w:rPr>
            </w:pPr>
            <w:r>
              <w:rPr>
                <w:rFonts w:eastAsia="微软雅黑"/>
                <w:color w:val="000000" w:themeColor="text1"/>
                <w:sz w:val="24"/>
                <w:szCs w:val="24"/>
              </w:rPr>
              <w:t>MMSE (</w:t>
            </w:r>
            <w:proofErr w:type="gramStart"/>
            <w:r>
              <w:rPr>
                <w:rFonts w:eastAsia="微软雅黑"/>
                <w:color w:val="000000" w:themeColor="text1"/>
                <w:sz w:val="24"/>
                <w:szCs w:val="24"/>
              </w:rPr>
              <w:t xml:space="preserve">score)   </w:t>
            </w:r>
            <w:proofErr w:type="gramEnd"/>
            <w:r>
              <w:rPr>
                <w:rFonts w:eastAsia="微软雅黑"/>
                <w:color w:val="000000" w:themeColor="text1"/>
                <w:sz w:val="24"/>
                <w:szCs w:val="24"/>
              </w:rPr>
              <w:t xml:space="preserve">          </w:t>
            </w:r>
          </w:p>
        </w:tc>
        <w:tc>
          <w:tcPr>
            <w:tcW w:w="2409" w:type="dxa"/>
            <w:tcBorders>
              <w:bottom w:val="nil"/>
            </w:tcBorders>
            <w:vAlign w:val="center"/>
          </w:tcPr>
          <w:p w14:paraId="78A16390" w14:textId="77777777" w:rsidR="003B61E9" w:rsidRDefault="00000000">
            <w:pPr>
              <w:spacing w:line="480" w:lineRule="auto"/>
              <w:ind w:firstLine="440"/>
              <w:jc w:val="center"/>
              <w:rPr>
                <w:rFonts w:eastAsia="微软雅黑"/>
                <w:color w:val="000000" w:themeColor="text1"/>
                <w:sz w:val="24"/>
                <w:szCs w:val="24"/>
              </w:rPr>
            </w:pPr>
            <w:r>
              <w:rPr>
                <w:rFonts w:eastAsia="微软雅黑" w:hint="eastAsia"/>
                <w:color w:val="000000" w:themeColor="text1"/>
                <w:sz w:val="24"/>
                <w:szCs w:val="24"/>
              </w:rPr>
              <w:t>21.63</w:t>
            </w:r>
            <w:r>
              <w:rPr>
                <w:rFonts w:eastAsia="微软雅黑"/>
                <w:color w:val="000000" w:themeColor="text1"/>
                <w:sz w:val="24"/>
                <w:szCs w:val="24"/>
              </w:rPr>
              <w:t xml:space="preserve"> ± 5.</w:t>
            </w:r>
            <w:r>
              <w:rPr>
                <w:rFonts w:eastAsia="微软雅黑" w:hint="eastAsia"/>
                <w:color w:val="000000" w:themeColor="text1"/>
                <w:sz w:val="24"/>
                <w:szCs w:val="24"/>
              </w:rPr>
              <w:t>37</w:t>
            </w:r>
          </w:p>
        </w:tc>
        <w:tc>
          <w:tcPr>
            <w:tcW w:w="2268" w:type="dxa"/>
            <w:tcBorders>
              <w:bottom w:val="nil"/>
            </w:tcBorders>
            <w:vAlign w:val="center"/>
          </w:tcPr>
          <w:p w14:paraId="62759135" w14:textId="77777777" w:rsidR="003B61E9" w:rsidRDefault="00000000">
            <w:pPr>
              <w:spacing w:line="480" w:lineRule="auto"/>
              <w:ind w:firstLine="440"/>
              <w:jc w:val="center"/>
              <w:rPr>
                <w:rFonts w:eastAsia="微软雅黑"/>
                <w:color w:val="000000" w:themeColor="text1"/>
                <w:sz w:val="24"/>
                <w:szCs w:val="24"/>
              </w:rPr>
            </w:pPr>
            <w:r>
              <w:rPr>
                <w:rFonts w:eastAsia="微软雅黑" w:hint="eastAsia"/>
                <w:color w:val="000000" w:themeColor="text1"/>
                <w:sz w:val="24"/>
                <w:szCs w:val="24"/>
              </w:rPr>
              <w:t>17.65</w:t>
            </w:r>
            <w:r>
              <w:rPr>
                <w:rFonts w:eastAsia="微软雅黑"/>
                <w:color w:val="000000" w:themeColor="text1"/>
                <w:sz w:val="24"/>
                <w:szCs w:val="24"/>
              </w:rPr>
              <w:t xml:space="preserve"> ± 5.</w:t>
            </w:r>
            <w:r>
              <w:rPr>
                <w:rFonts w:eastAsia="微软雅黑" w:hint="eastAsia"/>
                <w:color w:val="000000" w:themeColor="text1"/>
                <w:sz w:val="24"/>
                <w:szCs w:val="24"/>
              </w:rPr>
              <w:t>37</w:t>
            </w:r>
          </w:p>
        </w:tc>
        <w:tc>
          <w:tcPr>
            <w:tcW w:w="1486" w:type="dxa"/>
            <w:tcBorders>
              <w:bottom w:val="nil"/>
            </w:tcBorders>
            <w:vAlign w:val="center"/>
          </w:tcPr>
          <w:p w14:paraId="53508EDF" w14:textId="77777777" w:rsidR="003B61E9" w:rsidRDefault="00000000">
            <w:pPr>
              <w:spacing w:line="480" w:lineRule="auto"/>
              <w:ind w:firstLine="440"/>
              <w:rPr>
                <w:rFonts w:eastAsia="微软雅黑"/>
                <w:color w:val="000000" w:themeColor="text1"/>
                <w:sz w:val="24"/>
                <w:szCs w:val="24"/>
              </w:rPr>
            </w:pPr>
            <w:r>
              <w:rPr>
                <w:rFonts w:eastAsia="微软雅黑"/>
                <w:color w:val="000000" w:themeColor="text1"/>
                <w:sz w:val="24"/>
                <w:szCs w:val="24"/>
              </w:rPr>
              <w:t>0.</w:t>
            </w:r>
            <w:r>
              <w:rPr>
                <w:rFonts w:eastAsia="微软雅黑" w:hint="eastAsia"/>
                <w:color w:val="000000" w:themeColor="text1"/>
                <w:sz w:val="24"/>
                <w:szCs w:val="24"/>
              </w:rPr>
              <w:t>10</w:t>
            </w:r>
          </w:p>
        </w:tc>
      </w:tr>
      <w:tr w:rsidR="003B61E9" w14:paraId="5D5E718B" w14:textId="77777777">
        <w:trPr>
          <w:trHeight w:val="429"/>
        </w:trPr>
        <w:tc>
          <w:tcPr>
            <w:tcW w:w="2127" w:type="dxa"/>
            <w:tcBorders>
              <w:top w:val="nil"/>
              <w:bottom w:val="nil"/>
            </w:tcBorders>
            <w:noWrap/>
            <w:vAlign w:val="center"/>
          </w:tcPr>
          <w:p w14:paraId="2E324E7B" w14:textId="77777777" w:rsidR="003B61E9" w:rsidRDefault="00000000">
            <w:pPr>
              <w:spacing w:line="480" w:lineRule="auto"/>
              <w:rPr>
                <w:rFonts w:eastAsia="微软雅黑"/>
                <w:color w:val="000000" w:themeColor="text1"/>
                <w:sz w:val="24"/>
                <w:szCs w:val="24"/>
              </w:rPr>
            </w:pPr>
            <w:r>
              <w:rPr>
                <w:rFonts w:eastAsia="微软雅黑"/>
                <w:color w:val="000000" w:themeColor="text1"/>
                <w:sz w:val="24"/>
                <w:szCs w:val="24"/>
              </w:rPr>
              <w:t>Injected dose</w:t>
            </w:r>
            <w:r>
              <w:rPr>
                <w:rFonts w:eastAsia="微软雅黑" w:hint="eastAsia"/>
                <w:color w:val="000000" w:themeColor="text1"/>
                <w:sz w:val="24"/>
                <w:szCs w:val="24"/>
              </w:rPr>
              <w:t xml:space="preserve"> of </w:t>
            </w:r>
            <w:r>
              <w:rPr>
                <w:color w:val="000000" w:themeColor="text1"/>
                <w:sz w:val="24"/>
                <w:szCs w:val="24"/>
              </w:rPr>
              <w:t>18F-92</w:t>
            </w:r>
            <w:r>
              <w:rPr>
                <w:rFonts w:eastAsia="微软雅黑"/>
                <w:color w:val="000000" w:themeColor="text1"/>
                <w:sz w:val="24"/>
                <w:szCs w:val="24"/>
              </w:rPr>
              <w:t xml:space="preserve"> (</w:t>
            </w:r>
            <w:proofErr w:type="spellStart"/>
            <w:r>
              <w:rPr>
                <w:rFonts w:eastAsia="微软雅黑"/>
                <w:color w:val="000000" w:themeColor="text1"/>
                <w:sz w:val="24"/>
                <w:szCs w:val="24"/>
              </w:rPr>
              <w:t>mCi</w:t>
            </w:r>
            <w:proofErr w:type="spellEnd"/>
            <w:r>
              <w:rPr>
                <w:rFonts w:eastAsia="微软雅黑"/>
                <w:color w:val="000000" w:themeColor="text1"/>
                <w:sz w:val="24"/>
                <w:szCs w:val="24"/>
              </w:rPr>
              <w:t xml:space="preserve">)          </w:t>
            </w:r>
          </w:p>
        </w:tc>
        <w:tc>
          <w:tcPr>
            <w:tcW w:w="2409" w:type="dxa"/>
            <w:tcBorders>
              <w:top w:val="nil"/>
              <w:bottom w:val="nil"/>
            </w:tcBorders>
            <w:vAlign w:val="center"/>
          </w:tcPr>
          <w:p w14:paraId="5AF991B5" w14:textId="77777777" w:rsidR="003B61E9" w:rsidRDefault="00000000">
            <w:pPr>
              <w:spacing w:line="480" w:lineRule="auto"/>
              <w:ind w:firstLine="440"/>
              <w:jc w:val="center"/>
              <w:rPr>
                <w:rFonts w:eastAsia="微软雅黑"/>
                <w:color w:val="000000" w:themeColor="text1"/>
                <w:sz w:val="24"/>
                <w:szCs w:val="24"/>
              </w:rPr>
            </w:pPr>
            <w:r>
              <w:rPr>
                <w:rFonts w:eastAsia="微软雅黑"/>
                <w:color w:val="000000" w:themeColor="text1"/>
                <w:sz w:val="24"/>
                <w:szCs w:val="24"/>
              </w:rPr>
              <w:t xml:space="preserve">9.95 </w:t>
            </w:r>
            <w:bookmarkStart w:id="13" w:name="OLE_LINK2"/>
            <w:r>
              <w:rPr>
                <w:rFonts w:eastAsia="微软雅黑"/>
                <w:color w:val="000000" w:themeColor="text1"/>
                <w:sz w:val="24"/>
                <w:szCs w:val="24"/>
              </w:rPr>
              <w:t>±</w:t>
            </w:r>
            <w:bookmarkEnd w:id="13"/>
            <w:r>
              <w:rPr>
                <w:rFonts w:eastAsia="微软雅黑"/>
                <w:color w:val="000000" w:themeColor="text1"/>
                <w:sz w:val="24"/>
                <w:szCs w:val="24"/>
              </w:rPr>
              <w:t xml:space="preserve"> 0.37</w:t>
            </w:r>
          </w:p>
        </w:tc>
        <w:tc>
          <w:tcPr>
            <w:tcW w:w="2268" w:type="dxa"/>
            <w:tcBorders>
              <w:top w:val="nil"/>
              <w:bottom w:val="nil"/>
            </w:tcBorders>
            <w:vAlign w:val="center"/>
          </w:tcPr>
          <w:p w14:paraId="3357C278" w14:textId="77777777" w:rsidR="003B61E9" w:rsidRDefault="00000000">
            <w:pPr>
              <w:spacing w:line="480" w:lineRule="auto"/>
              <w:ind w:firstLine="440"/>
              <w:jc w:val="center"/>
              <w:rPr>
                <w:rFonts w:eastAsia="微软雅黑"/>
                <w:color w:val="000000" w:themeColor="text1"/>
                <w:sz w:val="24"/>
                <w:szCs w:val="24"/>
              </w:rPr>
            </w:pPr>
            <w:r>
              <w:rPr>
                <w:rFonts w:eastAsia="微软雅黑"/>
                <w:color w:val="000000" w:themeColor="text1"/>
                <w:sz w:val="24"/>
                <w:szCs w:val="24"/>
              </w:rPr>
              <w:t>9.72 ± 0.47</w:t>
            </w:r>
          </w:p>
        </w:tc>
        <w:tc>
          <w:tcPr>
            <w:tcW w:w="1486" w:type="dxa"/>
            <w:tcBorders>
              <w:top w:val="nil"/>
              <w:bottom w:val="nil"/>
            </w:tcBorders>
            <w:vAlign w:val="center"/>
          </w:tcPr>
          <w:p w14:paraId="48CC36C8" w14:textId="77777777" w:rsidR="003B61E9" w:rsidRDefault="00000000">
            <w:pPr>
              <w:spacing w:line="480" w:lineRule="auto"/>
              <w:ind w:firstLine="440"/>
              <w:rPr>
                <w:rFonts w:eastAsia="微软雅黑"/>
                <w:color w:val="000000" w:themeColor="text1"/>
                <w:sz w:val="24"/>
                <w:szCs w:val="24"/>
              </w:rPr>
            </w:pPr>
            <w:r>
              <w:rPr>
                <w:rFonts w:eastAsia="微软雅黑"/>
                <w:color w:val="000000" w:themeColor="text1"/>
                <w:sz w:val="24"/>
                <w:szCs w:val="24"/>
              </w:rPr>
              <w:t>0.396</w:t>
            </w:r>
          </w:p>
        </w:tc>
      </w:tr>
      <w:tr w:rsidR="003B61E9" w14:paraId="53510745" w14:textId="77777777">
        <w:trPr>
          <w:trHeight w:val="429"/>
        </w:trPr>
        <w:tc>
          <w:tcPr>
            <w:tcW w:w="2127" w:type="dxa"/>
            <w:tcBorders>
              <w:top w:val="nil"/>
              <w:bottom w:val="single" w:sz="12" w:space="0" w:color="000000" w:themeColor="text1"/>
            </w:tcBorders>
            <w:noWrap/>
            <w:vAlign w:val="center"/>
          </w:tcPr>
          <w:p w14:paraId="0B36C800" w14:textId="77777777" w:rsidR="003B61E9" w:rsidRDefault="00000000">
            <w:pPr>
              <w:spacing w:line="480" w:lineRule="auto"/>
              <w:rPr>
                <w:rFonts w:eastAsia="微软雅黑"/>
                <w:color w:val="000000" w:themeColor="text1"/>
                <w:sz w:val="24"/>
                <w:szCs w:val="24"/>
              </w:rPr>
            </w:pPr>
            <w:r>
              <w:rPr>
                <w:rFonts w:eastAsia="微软雅黑"/>
                <w:color w:val="000000" w:themeColor="text1"/>
                <w:sz w:val="24"/>
                <w:szCs w:val="24"/>
              </w:rPr>
              <w:t>Injected dose</w:t>
            </w:r>
            <w:r>
              <w:rPr>
                <w:rFonts w:eastAsia="微软雅黑" w:hint="eastAsia"/>
                <w:color w:val="000000" w:themeColor="text1"/>
                <w:sz w:val="24"/>
                <w:szCs w:val="24"/>
              </w:rPr>
              <w:t xml:space="preserve"> of </w:t>
            </w:r>
            <w:r>
              <w:rPr>
                <w:color w:val="000000" w:themeColor="text1"/>
                <w:sz w:val="24"/>
                <w:szCs w:val="24"/>
              </w:rPr>
              <w:t>18F-AV45</w:t>
            </w:r>
            <w:r>
              <w:rPr>
                <w:rFonts w:eastAsia="微软雅黑"/>
                <w:color w:val="000000" w:themeColor="text1"/>
                <w:sz w:val="24"/>
                <w:szCs w:val="24"/>
              </w:rPr>
              <w:t xml:space="preserve"> (</w:t>
            </w:r>
            <w:proofErr w:type="spellStart"/>
            <w:r>
              <w:rPr>
                <w:rFonts w:eastAsia="微软雅黑"/>
                <w:color w:val="000000" w:themeColor="text1"/>
                <w:sz w:val="24"/>
                <w:szCs w:val="24"/>
              </w:rPr>
              <w:t>mCi</w:t>
            </w:r>
            <w:proofErr w:type="spellEnd"/>
            <w:r>
              <w:rPr>
                <w:rFonts w:eastAsia="微软雅黑"/>
                <w:color w:val="000000" w:themeColor="text1"/>
                <w:sz w:val="24"/>
                <w:szCs w:val="24"/>
              </w:rPr>
              <w:t xml:space="preserve">)          </w:t>
            </w:r>
          </w:p>
        </w:tc>
        <w:tc>
          <w:tcPr>
            <w:tcW w:w="2409" w:type="dxa"/>
            <w:tcBorders>
              <w:top w:val="nil"/>
              <w:bottom w:val="single" w:sz="12" w:space="0" w:color="000000" w:themeColor="text1"/>
            </w:tcBorders>
            <w:vAlign w:val="center"/>
          </w:tcPr>
          <w:p w14:paraId="4FA36E0F" w14:textId="77777777" w:rsidR="003B61E9" w:rsidRDefault="00000000">
            <w:pPr>
              <w:spacing w:line="480" w:lineRule="auto"/>
              <w:ind w:firstLine="440"/>
              <w:jc w:val="center"/>
              <w:rPr>
                <w:rFonts w:eastAsia="微软雅黑"/>
                <w:color w:val="000000" w:themeColor="text1"/>
                <w:sz w:val="24"/>
                <w:szCs w:val="24"/>
              </w:rPr>
            </w:pPr>
            <w:r>
              <w:rPr>
                <w:rFonts w:eastAsia="微软雅黑" w:hint="eastAsia"/>
                <w:color w:val="000000" w:themeColor="text1"/>
                <w:sz w:val="24"/>
                <w:szCs w:val="24"/>
              </w:rPr>
              <w:t xml:space="preserve">5.15 </w:t>
            </w:r>
            <w:r>
              <w:rPr>
                <w:rFonts w:eastAsia="微软雅黑"/>
                <w:color w:val="000000" w:themeColor="text1"/>
                <w:sz w:val="24"/>
                <w:szCs w:val="24"/>
              </w:rPr>
              <w:t>±</w:t>
            </w:r>
            <w:r>
              <w:rPr>
                <w:rFonts w:eastAsia="微软雅黑" w:hint="eastAsia"/>
                <w:color w:val="000000" w:themeColor="text1"/>
                <w:sz w:val="24"/>
                <w:szCs w:val="24"/>
              </w:rPr>
              <w:t xml:space="preserve"> 0.17</w:t>
            </w:r>
          </w:p>
        </w:tc>
        <w:tc>
          <w:tcPr>
            <w:tcW w:w="2268" w:type="dxa"/>
            <w:tcBorders>
              <w:top w:val="nil"/>
              <w:bottom w:val="single" w:sz="12" w:space="0" w:color="000000" w:themeColor="text1"/>
            </w:tcBorders>
            <w:vAlign w:val="center"/>
          </w:tcPr>
          <w:p w14:paraId="4BC208EB" w14:textId="77777777" w:rsidR="003B61E9" w:rsidRDefault="00000000">
            <w:pPr>
              <w:spacing w:line="480" w:lineRule="auto"/>
              <w:ind w:firstLine="440"/>
              <w:jc w:val="center"/>
              <w:rPr>
                <w:rFonts w:eastAsia="微软雅黑"/>
                <w:color w:val="000000" w:themeColor="text1"/>
                <w:sz w:val="24"/>
                <w:szCs w:val="24"/>
              </w:rPr>
            </w:pPr>
            <w:r>
              <w:rPr>
                <w:rFonts w:eastAsia="微软雅黑" w:hint="eastAsia"/>
                <w:color w:val="000000" w:themeColor="text1"/>
                <w:sz w:val="24"/>
                <w:szCs w:val="24"/>
              </w:rPr>
              <w:t xml:space="preserve">5.20 </w:t>
            </w:r>
            <w:r>
              <w:rPr>
                <w:rFonts w:eastAsia="微软雅黑"/>
                <w:color w:val="000000" w:themeColor="text1"/>
                <w:sz w:val="24"/>
                <w:szCs w:val="24"/>
              </w:rPr>
              <w:t>±</w:t>
            </w:r>
            <w:r>
              <w:rPr>
                <w:rFonts w:eastAsia="微软雅黑" w:hint="eastAsia"/>
                <w:color w:val="000000" w:themeColor="text1"/>
                <w:sz w:val="24"/>
                <w:szCs w:val="24"/>
              </w:rPr>
              <w:t xml:space="preserve"> 0.29</w:t>
            </w:r>
          </w:p>
        </w:tc>
        <w:tc>
          <w:tcPr>
            <w:tcW w:w="1486" w:type="dxa"/>
            <w:tcBorders>
              <w:top w:val="nil"/>
              <w:bottom w:val="single" w:sz="12" w:space="0" w:color="000000" w:themeColor="text1"/>
            </w:tcBorders>
            <w:vAlign w:val="center"/>
          </w:tcPr>
          <w:p w14:paraId="6DDD068B" w14:textId="77777777" w:rsidR="003B61E9" w:rsidRDefault="00000000">
            <w:pPr>
              <w:spacing w:line="480" w:lineRule="auto"/>
              <w:ind w:firstLine="440"/>
              <w:rPr>
                <w:rFonts w:eastAsia="微软雅黑"/>
                <w:color w:val="000000" w:themeColor="text1"/>
                <w:sz w:val="24"/>
                <w:szCs w:val="24"/>
              </w:rPr>
            </w:pPr>
            <w:r>
              <w:rPr>
                <w:rFonts w:eastAsia="微软雅黑" w:hint="eastAsia"/>
                <w:color w:val="000000" w:themeColor="text1"/>
                <w:sz w:val="24"/>
                <w:szCs w:val="24"/>
              </w:rPr>
              <w:t>0.610</w:t>
            </w:r>
          </w:p>
        </w:tc>
      </w:tr>
      <w:tr w:rsidR="003B61E9" w14:paraId="49C0D958" w14:textId="77777777">
        <w:trPr>
          <w:trHeight w:val="248"/>
        </w:trPr>
        <w:tc>
          <w:tcPr>
            <w:tcW w:w="8290" w:type="dxa"/>
            <w:gridSpan w:val="4"/>
            <w:tcBorders>
              <w:top w:val="single" w:sz="12" w:space="0" w:color="000000" w:themeColor="text1"/>
              <w:bottom w:val="nil"/>
            </w:tcBorders>
          </w:tcPr>
          <w:p w14:paraId="6690B6CF" w14:textId="77777777" w:rsidR="003B61E9" w:rsidRDefault="00000000">
            <w:pPr>
              <w:spacing w:line="480" w:lineRule="auto"/>
              <w:ind w:firstLine="320"/>
              <w:jc w:val="both"/>
              <w:rPr>
                <w:rFonts w:eastAsia="微软雅黑"/>
                <w:color w:val="000000" w:themeColor="text1"/>
                <w:sz w:val="24"/>
                <w:szCs w:val="24"/>
              </w:rPr>
            </w:pPr>
            <w:r>
              <w:rPr>
                <w:rFonts w:eastAsia="微软雅黑"/>
                <w:color w:val="000000" w:themeColor="text1"/>
                <w:sz w:val="24"/>
                <w:szCs w:val="24"/>
              </w:rPr>
              <w:t>Non-AD dementia</w:t>
            </w:r>
            <w:r>
              <w:rPr>
                <w:rFonts w:eastAsia="等线"/>
                <w:b/>
                <w:bCs/>
                <w:color w:val="000000" w:themeColor="text1"/>
                <w:sz w:val="24"/>
                <w:szCs w:val="24"/>
              </w:rPr>
              <w:t xml:space="preserve"> </w:t>
            </w:r>
            <w:r>
              <w:rPr>
                <w:rFonts w:eastAsia="微软雅黑"/>
                <w:color w:val="000000" w:themeColor="text1"/>
                <w:sz w:val="24"/>
                <w:szCs w:val="24"/>
              </w:rPr>
              <w:t xml:space="preserve">was defined as a Brain amyloid plaque load (BAPL) score of 1, AD dementia was defined as a (BAPL) score of 2-3 in the brain parenchyma. </w:t>
            </w:r>
          </w:p>
          <w:p w14:paraId="58C20DBF" w14:textId="77777777" w:rsidR="003B61E9" w:rsidRDefault="00000000">
            <w:pPr>
              <w:spacing w:line="480" w:lineRule="auto"/>
              <w:ind w:firstLine="320"/>
              <w:jc w:val="both"/>
              <w:rPr>
                <w:rFonts w:eastAsia="微软雅黑"/>
                <w:color w:val="000000" w:themeColor="text1"/>
                <w:sz w:val="24"/>
                <w:szCs w:val="24"/>
              </w:rPr>
            </w:pPr>
            <w:r>
              <w:rPr>
                <w:rFonts w:eastAsia="微软雅黑"/>
                <w:color w:val="000000" w:themeColor="text1"/>
                <w:sz w:val="24"/>
                <w:szCs w:val="24"/>
              </w:rPr>
              <w:t xml:space="preserve">MMSE: </w:t>
            </w:r>
            <w:proofErr w:type="spellStart"/>
            <w:r>
              <w:rPr>
                <w:rFonts w:eastAsia="微软雅黑"/>
                <w:color w:val="000000" w:themeColor="text1"/>
                <w:sz w:val="24"/>
                <w:szCs w:val="24"/>
              </w:rPr>
              <w:t>Mini⁃Mental</w:t>
            </w:r>
            <w:proofErr w:type="spellEnd"/>
            <w:r>
              <w:rPr>
                <w:rFonts w:eastAsia="微软雅黑"/>
                <w:color w:val="000000" w:themeColor="text1"/>
                <w:sz w:val="24"/>
                <w:szCs w:val="24"/>
              </w:rPr>
              <w:t xml:space="preserve"> State Examination, </w:t>
            </w:r>
            <w:proofErr w:type="spellStart"/>
            <w:r>
              <w:rPr>
                <w:rFonts w:eastAsia="微软雅黑"/>
                <w:color w:val="000000" w:themeColor="text1"/>
                <w:sz w:val="24"/>
                <w:szCs w:val="24"/>
              </w:rPr>
              <w:t>mCi</w:t>
            </w:r>
            <w:proofErr w:type="spellEnd"/>
            <w:r>
              <w:rPr>
                <w:rFonts w:eastAsia="微软雅黑"/>
                <w:color w:val="000000" w:themeColor="text1"/>
                <w:sz w:val="24"/>
                <w:szCs w:val="24"/>
              </w:rPr>
              <w:t>:</w:t>
            </w:r>
            <w:r>
              <w:rPr>
                <w:color w:val="000000" w:themeColor="text1"/>
                <w:sz w:val="24"/>
                <w:szCs w:val="24"/>
              </w:rPr>
              <w:t xml:space="preserve"> </w:t>
            </w:r>
            <w:r>
              <w:rPr>
                <w:rFonts w:eastAsia="微软雅黑"/>
                <w:color w:val="000000" w:themeColor="text1"/>
                <w:sz w:val="24"/>
                <w:szCs w:val="24"/>
              </w:rPr>
              <w:t>Milli Curie.</w:t>
            </w:r>
          </w:p>
          <w:p w14:paraId="27963D78" w14:textId="77777777" w:rsidR="003B61E9" w:rsidRDefault="00000000">
            <w:pPr>
              <w:spacing w:line="480" w:lineRule="auto"/>
              <w:ind w:firstLine="320"/>
              <w:jc w:val="both"/>
              <w:rPr>
                <w:rFonts w:eastAsia="微软雅黑"/>
                <w:color w:val="000000" w:themeColor="text1"/>
                <w:sz w:val="24"/>
                <w:szCs w:val="24"/>
              </w:rPr>
            </w:pPr>
            <w:r>
              <w:rPr>
                <w:rFonts w:eastAsia="微软雅黑"/>
                <w:color w:val="000000" w:themeColor="text1"/>
                <w:sz w:val="24"/>
                <w:szCs w:val="24"/>
              </w:rPr>
              <w:t>Data are (mean ± SD) or number (%), *P &lt; 0.05.</w:t>
            </w:r>
          </w:p>
        </w:tc>
      </w:tr>
    </w:tbl>
    <w:p w14:paraId="065EDA04" w14:textId="77777777" w:rsidR="003B61E9" w:rsidRDefault="003B61E9">
      <w:pPr>
        <w:spacing w:line="480" w:lineRule="auto"/>
        <w:rPr>
          <w:b/>
          <w:bCs/>
          <w:color w:val="000000" w:themeColor="text1"/>
          <w:sz w:val="24"/>
          <w:szCs w:val="24"/>
        </w:rPr>
      </w:pPr>
    </w:p>
    <w:p w14:paraId="7FDE8525" w14:textId="77777777" w:rsidR="003B61E9" w:rsidRDefault="003B61E9">
      <w:pPr>
        <w:spacing w:line="480" w:lineRule="auto"/>
        <w:rPr>
          <w:b/>
          <w:bCs/>
          <w:color w:val="000000" w:themeColor="text1"/>
          <w:sz w:val="24"/>
          <w:szCs w:val="24"/>
        </w:rPr>
      </w:pPr>
    </w:p>
    <w:p w14:paraId="16A6D767" w14:textId="77777777" w:rsidR="003B61E9" w:rsidRDefault="003B61E9">
      <w:pPr>
        <w:spacing w:line="480" w:lineRule="auto"/>
        <w:rPr>
          <w:color w:val="000000" w:themeColor="text1"/>
        </w:rPr>
      </w:pPr>
    </w:p>
    <w:p w14:paraId="19A240BE" w14:textId="77777777" w:rsidR="003B61E9" w:rsidRDefault="003B61E9">
      <w:pPr>
        <w:spacing w:line="480" w:lineRule="auto"/>
        <w:rPr>
          <w:color w:val="000000" w:themeColor="text1"/>
        </w:rPr>
      </w:pPr>
    </w:p>
    <w:p w14:paraId="009A86F4" w14:textId="77777777" w:rsidR="003B61E9" w:rsidRDefault="003B61E9">
      <w:pPr>
        <w:spacing w:line="480" w:lineRule="auto"/>
        <w:rPr>
          <w:color w:val="000000" w:themeColor="text1"/>
        </w:rPr>
      </w:pPr>
    </w:p>
    <w:p w14:paraId="4337EE85" w14:textId="77777777" w:rsidR="003B61E9" w:rsidRDefault="003B61E9">
      <w:pPr>
        <w:spacing w:line="480" w:lineRule="auto"/>
        <w:rPr>
          <w:color w:val="000000" w:themeColor="text1"/>
        </w:rPr>
      </w:pPr>
    </w:p>
    <w:p w14:paraId="53C640C7" w14:textId="77777777" w:rsidR="003B61E9" w:rsidRDefault="003B61E9">
      <w:pPr>
        <w:spacing w:line="480" w:lineRule="auto"/>
        <w:rPr>
          <w:color w:val="000000" w:themeColor="text1"/>
        </w:rPr>
      </w:pPr>
    </w:p>
    <w:p w14:paraId="77AFFD23" w14:textId="77777777" w:rsidR="003B61E9" w:rsidRDefault="003B61E9">
      <w:pPr>
        <w:spacing w:line="480" w:lineRule="auto"/>
        <w:rPr>
          <w:color w:val="000000" w:themeColor="text1"/>
        </w:rPr>
      </w:pPr>
    </w:p>
    <w:p w14:paraId="358F28AB" w14:textId="77777777" w:rsidR="003B61E9" w:rsidRDefault="003B61E9">
      <w:pPr>
        <w:spacing w:line="480" w:lineRule="auto"/>
        <w:rPr>
          <w:color w:val="000000" w:themeColor="text1"/>
        </w:rPr>
      </w:pPr>
    </w:p>
    <w:p w14:paraId="5017F2D3" w14:textId="77777777" w:rsidR="003B61E9" w:rsidRDefault="00000000">
      <w:pPr>
        <w:spacing w:line="480" w:lineRule="auto"/>
        <w:rPr>
          <w:color w:val="000000" w:themeColor="text1"/>
        </w:rPr>
      </w:pPr>
      <w:r>
        <w:rPr>
          <w:color w:val="000000" w:themeColor="text1"/>
        </w:rPr>
        <w:br w:type="page"/>
      </w:r>
    </w:p>
    <w:p w14:paraId="41CB662A" w14:textId="77777777" w:rsidR="003B61E9" w:rsidRDefault="00000000">
      <w:pPr>
        <w:autoSpaceDE w:val="0"/>
        <w:autoSpaceDN w:val="0"/>
        <w:adjustRightInd w:val="0"/>
        <w:rPr>
          <w:b/>
          <w:color w:val="000000" w:themeColor="text1"/>
          <w:kern w:val="0"/>
          <w:sz w:val="24"/>
          <w:szCs w:val="24"/>
        </w:rPr>
      </w:pPr>
      <w:r>
        <w:rPr>
          <w:b/>
          <w:color w:val="000000" w:themeColor="text1"/>
          <w:kern w:val="0"/>
          <w:sz w:val="24"/>
          <w:szCs w:val="24"/>
        </w:rPr>
        <w:lastRenderedPageBreak/>
        <w:t xml:space="preserve">Table </w:t>
      </w:r>
      <w:r>
        <w:rPr>
          <w:rFonts w:hint="eastAsia"/>
          <w:b/>
          <w:color w:val="000000" w:themeColor="text1"/>
          <w:kern w:val="0"/>
          <w:sz w:val="24"/>
          <w:szCs w:val="24"/>
        </w:rPr>
        <w:t xml:space="preserve">S2. </w:t>
      </w:r>
    </w:p>
    <w:tbl>
      <w:tblPr>
        <w:tblW w:w="9360" w:type="dxa"/>
        <w:tblLook w:val="04A0" w:firstRow="1" w:lastRow="0" w:firstColumn="1" w:lastColumn="0" w:noHBand="0" w:noVBand="1"/>
      </w:tblPr>
      <w:tblGrid>
        <w:gridCol w:w="1238"/>
        <w:gridCol w:w="4000"/>
        <w:gridCol w:w="4122"/>
      </w:tblGrid>
      <w:tr w:rsidR="003B61E9" w:rsidRPr="00787690" w14:paraId="4F89A2A5" w14:textId="77777777">
        <w:trPr>
          <w:trHeight w:val="300"/>
        </w:trPr>
        <w:tc>
          <w:tcPr>
            <w:tcW w:w="1238" w:type="dxa"/>
            <w:tcBorders>
              <w:top w:val="single" w:sz="4" w:space="0" w:color="auto"/>
              <w:bottom w:val="single" w:sz="4" w:space="0" w:color="auto"/>
            </w:tcBorders>
            <w:noWrap/>
          </w:tcPr>
          <w:p w14:paraId="331B271C" w14:textId="77777777" w:rsidR="003B61E9" w:rsidRPr="00787690" w:rsidRDefault="00000000">
            <w:pPr>
              <w:autoSpaceDE w:val="0"/>
              <w:autoSpaceDN w:val="0"/>
              <w:adjustRightInd w:val="0"/>
              <w:rPr>
                <w:color w:val="000000" w:themeColor="text1"/>
                <w:sz w:val="24"/>
                <w:szCs w:val="24"/>
              </w:rPr>
            </w:pPr>
            <w:r w:rsidRPr="00787690">
              <w:rPr>
                <w:color w:val="000000" w:themeColor="text1"/>
                <w:sz w:val="24"/>
                <w:szCs w:val="24"/>
              </w:rPr>
              <w:t>Gene name</w:t>
            </w:r>
          </w:p>
        </w:tc>
        <w:tc>
          <w:tcPr>
            <w:tcW w:w="4000" w:type="dxa"/>
            <w:tcBorders>
              <w:top w:val="single" w:sz="4" w:space="0" w:color="auto"/>
              <w:bottom w:val="single" w:sz="4" w:space="0" w:color="auto"/>
            </w:tcBorders>
            <w:noWrap/>
          </w:tcPr>
          <w:p w14:paraId="33B82C72" w14:textId="77777777" w:rsidR="003B61E9" w:rsidRPr="00787690" w:rsidRDefault="00000000">
            <w:pPr>
              <w:autoSpaceDE w:val="0"/>
              <w:autoSpaceDN w:val="0"/>
              <w:adjustRightInd w:val="0"/>
              <w:rPr>
                <w:color w:val="000000" w:themeColor="text1"/>
                <w:sz w:val="24"/>
                <w:szCs w:val="24"/>
              </w:rPr>
            </w:pPr>
            <w:r w:rsidRPr="00787690">
              <w:rPr>
                <w:color w:val="000000" w:themeColor="text1"/>
                <w:sz w:val="24"/>
                <w:szCs w:val="24"/>
              </w:rPr>
              <w:t>Forward primer</w:t>
            </w:r>
            <w:r w:rsidRPr="00787690">
              <w:rPr>
                <w:color w:val="000000" w:themeColor="text1"/>
                <w:sz w:val="24"/>
                <w:szCs w:val="24"/>
              </w:rPr>
              <w:t>（</w:t>
            </w:r>
            <w:r w:rsidRPr="00787690">
              <w:rPr>
                <w:color w:val="000000" w:themeColor="text1"/>
                <w:sz w:val="24"/>
                <w:szCs w:val="24"/>
              </w:rPr>
              <w:t>5’→3’</w:t>
            </w:r>
            <w:r w:rsidRPr="00787690">
              <w:rPr>
                <w:color w:val="000000" w:themeColor="text1"/>
                <w:sz w:val="24"/>
                <w:szCs w:val="24"/>
              </w:rPr>
              <w:t>）</w:t>
            </w:r>
          </w:p>
        </w:tc>
        <w:tc>
          <w:tcPr>
            <w:tcW w:w="4122" w:type="dxa"/>
            <w:tcBorders>
              <w:top w:val="single" w:sz="4" w:space="0" w:color="auto"/>
              <w:bottom w:val="single" w:sz="4" w:space="0" w:color="auto"/>
            </w:tcBorders>
            <w:noWrap/>
          </w:tcPr>
          <w:p w14:paraId="3B8DF1FF" w14:textId="77777777" w:rsidR="003B61E9" w:rsidRPr="00787690" w:rsidRDefault="00000000">
            <w:pPr>
              <w:autoSpaceDE w:val="0"/>
              <w:autoSpaceDN w:val="0"/>
              <w:adjustRightInd w:val="0"/>
              <w:rPr>
                <w:color w:val="000000" w:themeColor="text1"/>
                <w:sz w:val="24"/>
                <w:szCs w:val="24"/>
              </w:rPr>
            </w:pPr>
            <w:r w:rsidRPr="00787690">
              <w:rPr>
                <w:color w:val="000000" w:themeColor="text1"/>
                <w:sz w:val="24"/>
                <w:szCs w:val="24"/>
              </w:rPr>
              <w:t>Reverse Primer</w:t>
            </w:r>
            <w:r w:rsidRPr="00787690">
              <w:rPr>
                <w:color w:val="000000" w:themeColor="text1"/>
                <w:sz w:val="24"/>
                <w:szCs w:val="24"/>
              </w:rPr>
              <w:t>（</w:t>
            </w:r>
            <w:r w:rsidRPr="00787690">
              <w:rPr>
                <w:color w:val="000000" w:themeColor="text1"/>
                <w:sz w:val="24"/>
                <w:szCs w:val="24"/>
              </w:rPr>
              <w:t>5’→3’</w:t>
            </w:r>
            <w:r w:rsidRPr="00787690">
              <w:rPr>
                <w:color w:val="000000" w:themeColor="text1"/>
                <w:sz w:val="24"/>
                <w:szCs w:val="24"/>
              </w:rPr>
              <w:t>）</w:t>
            </w:r>
          </w:p>
        </w:tc>
      </w:tr>
      <w:tr w:rsidR="003B61E9" w:rsidRPr="00787690" w14:paraId="13A9C194" w14:textId="77777777">
        <w:trPr>
          <w:trHeight w:val="300"/>
        </w:trPr>
        <w:tc>
          <w:tcPr>
            <w:tcW w:w="1238" w:type="dxa"/>
            <w:noWrap/>
          </w:tcPr>
          <w:p w14:paraId="6E317A11" w14:textId="77777777" w:rsidR="003B61E9" w:rsidRPr="00787690" w:rsidRDefault="00000000">
            <w:pPr>
              <w:autoSpaceDE w:val="0"/>
              <w:autoSpaceDN w:val="0"/>
              <w:adjustRightInd w:val="0"/>
              <w:rPr>
                <w:color w:val="000000" w:themeColor="text1"/>
                <w:sz w:val="24"/>
                <w:szCs w:val="24"/>
              </w:rPr>
            </w:pPr>
            <w:r w:rsidRPr="00787690">
              <w:rPr>
                <w:color w:val="000000" w:themeColor="text1"/>
                <w:sz w:val="24"/>
                <w:szCs w:val="24"/>
              </w:rPr>
              <w:t>IL6</w:t>
            </w:r>
          </w:p>
        </w:tc>
        <w:tc>
          <w:tcPr>
            <w:tcW w:w="4000" w:type="dxa"/>
            <w:noWrap/>
          </w:tcPr>
          <w:p w14:paraId="7B24CE1E" w14:textId="77777777" w:rsidR="003B61E9" w:rsidRPr="00787690" w:rsidRDefault="00000000">
            <w:pPr>
              <w:autoSpaceDE w:val="0"/>
              <w:autoSpaceDN w:val="0"/>
              <w:adjustRightInd w:val="0"/>
              <w:rPr>
                <w:color w:val="000000" w:themeColor="text1"/>
                <w:sz w:val="24"/>
                <w:szCs w:val="24"/>
              </w:rPr>
            </w:pPr>
            <w:r w:rsidRPr="00787690">
              <w:rPr>
                <w:color w:val="000000" w:themeColor="text1"/>
                <w:sz w:val="24"/>
                <w:szCs w:val="24"/>
              </w:rPr>
              <w:t>TAGTCCTTCCTACCCCAATTTCC</w:t>
            </w:r>
          </w:p>
        </w:tc>
        <w:tc>
          <w:tcPr>
            <w:tcW w:w="4122" w:type="dxa"/>
            <w:noWrap/>
          </w:tcPr>
          <w:p w14:paraId="4E043D20" w14:textId="77777777" w:rsidR="003B61E9" w:rsidRPr="00787690" w:rsidRDefault="00000000">
            <w:pPr>
              <w:autoSpaceDE w:val="0"/>
              <w:autoSpaceDN w:val="0"/>
              <w:adjustRightInd w:val="0"/>
              <w:rPr>
                <w:color w:val="000000" w:themeColor="text1"/>
                <w:sz w:val="24"/>
                <w:szCs w:val="24"/>
              </w:rPr>
            </w:pPr>
            <w:r w:rsidRPr="00787690">
              <w:rPr>
                <w:color w:val="000000" w:themeColor="text1"/>
                <w:sz w:val="24"/>
                <w:szCs w:val="24"/>
              </w:rPr>
              <w:t>TTGGTCCTTAGCCACTCCTTC</w:t>
            </w:r>
          </w:p>
        </w:tc>
      </w:tr>
      <w:tr w:rsidR="003B61E9" w:rsidRPr="00787690" w14:paraId="3E59EB41" w14:textId="77777777">
        <w:trPr>
          <w:trHeight w:val="300"/>
        </w:trPr>
        <w:tc>
          <w:tcPr>
            <w:tcW w:w="1238" w:type="dxa"/>
            <w:tcBorders>
              <w:bottom w:val="single" w:sz="4" w:space="0" w:color="auto"/>
            </w:tcBorders>
            <w:noWrap/>
          </w:tcPr>
          <w:p w14:paraId="72741325" w14:textId="77777777" w:rsidR="003B61E9" w:rsidRPr="00787690" w:rsidRDefault="00000000">
            <w:pPr>
              <w:autoSpaceDE w:val="0"/>
              <w:autoSpaceDN w:val="0"/>
              <w:adjustRightInd w:val="0"/>
              <w:rPr>
                <w:color w:val="000000" w:themeColor="text1"/>
                <w:sz w:val="24"/>
                <w:szCs w:val="24"/>
              </w:rPr>
            </w:pPr>
            <w:r w:rsidRPr="00787690">
              <w:rPr>
                <w:color w:val="000000" w:themeColor="text1"/>
                <w:sz w:val="24"/>
                <w:szCs w:val="24"/>
              </w:rPr>
              <w:t>β-actin</w:t>
            </w:r>
          </w:p>
        </w:tc>
        <w:tc>
          <w:tcPr>
            <w:tcW w:w="4000" w:type="dxa"/>
            <w:tcBorders>
              <w:bottom w:val="single" w:sz="4" w:space="0" w:color="auto"/>
            </w:tcBorders>
            <w:noWrap/>
          </w:tcPr>
          <w:p w14:paraId="6A0F5E1C" w14:textId="77777777" w:rsidR="003B61E9" w:rsidRPr="00787690" w:rsidRDefault="00000000">
            <w:pPr>
              <w:autoSpaceDE w:val="0"/>
              <w:autoSpaceDN w:val="0"/>
              <w:adjustRightInd w:val="0"/>
              <w:rPr>
                <w:color w:val="000000" w:themeColor="text1"/>
                <w:sz w:val="24"/>
                <w:szCs w:val="24"/>
              </w:rPr>
            </w:pPr>
            <w:r w:rsidRPr="00787690">
              <w:rPr>
                <w:color w:val="000000" w:themeColor="text1"/>
                <w:sz w:val="24"/>
                <w:szCs w:val="24"/>
              </w:rPr>
              <w:t>GGTCATCACTATTGGCAACG</w:t>
            </w:r>
          </w:p>
        </w:tc>
        <w:tc>
          <w:tcPr>
            <w:tcW w:w="4122" w:type="dxa"/>
            <w:tcBorders>
              <w:bottom w:val="single" w:sz="4" w:space="0" w:color="auto"/>
            </w:tcBorders>
            <w:noWrap/>
          </w:tcPr>
          <w:p w14:paraId="6A9A591F" w14:textId="77777777" w:rsidR="003B61E9" w:rsidRPr="00787690" w:rsidRDefault="00000000">
            <w:pPr>
              <w:autoSpaceDE w:val="0"/>
              <w:autoSpaceDN w:val="0"/>
              <w:adjustRightInd w:val="0"/>
              <w:rPr>
                <w:color w:val="000000" w:themeColor="text1"/>
                <w:sz w:val="24"/>
                <w:szCs w:val="24"/>
              </w:rPr>
            </w:pPr>
            <w:r w:rsidRPr="00787690">
              <w:rPr>
                <w:color w:val="000000" w:themeColor="text1"/>
                <w:sz w:val="24"/>
                <w:szCs w:val="24"/>
              </w:rPr>
              <w:t>TCCATACCCAAGAAGGAAGG</w:t>
            </w:r>
          </w:p>
        </w:tc>
      </w:tr>
    </w:tbl>
    <w:p w14:paraId="729FD1B7" w14:textId="2735D0BE" w:rsidR="009C44B9" w:rsidRDefault="009C44B9">
      <w:pPr>
        <w:spacing w:line="480" w:lineRule="auto"/>
        <w:rPr>
          <w:b/>
          <w:bCs/>
          <w:color w:val="000000" w:themeColor="text1"/>
          <w:sz w:val="24"/>
          <w:szCs w:val="24"/>
        </w:rPr>
      </w:pPr>
    </w:p>
    <w:p w14:paraId="5695D3BA" w14:textId="77777777" w:rsidR="009C44B9" w:rsidRDefault="009C44B9">
      <w:pPr>
        <w:spacing w:line="240" w:lineRule="auto"/>
        <w:rPr>
          <w:b/>
          <w:bCs/>
          <w:color w:val="000000" w:themeColor="text1"/>
          <w:sz w:val="24"/>
          <w:szCs w:val="24"/>
        </w:rPr>
      </w:pPr>
      <w:r>
        <w:rPr>
          <w:b/>
          <w:bCs/>
          <w:color w:val="000000" w:themeColor="text1"/>
          <w:sz w:val="24"/>
          <w:szCs w:val="24"/>
        </w:rPr>
        <w:br w:type="page"/>
      </w:r>
    </w:p>
    <w:p w14:paraId="1AA2F328" w14:textId="4CC66865" w:rsidR="003B61E9" w:rsidRDefault="009C44B9">
      <w:pPr>
        <w:spacing w:line="480" w:lineRule="auto"/>
        <w:rPr>
          <w:color w:val="000000" w:themeColor="text1"/>
        </w:rPr>
      </w:pPr>
      <w:r w:rsidRPr="00D57E08">
        <w:rPr>
          <w:b/>
          <w:bCs/>
          <w:color w:val="000000" w:themeColor="text1"/>
          <w:sz w:val="24"/>
          <w:szCs w:val="24"/>
        </w:rPr>
        <w:lastRenderedPageBreak/>
        <w:t>R</w:t>
      </w:r>
      <w:r w:rsidRPr="00D57E08">
        <w:rPr>
          <w:rFonts w:hint="eastAsia"/>
          <w:b/>
          <w:bCs/>
          <w:color w:val="000000" w:themeColor="text1"/>
          <w:sz w:val="24"/>
          <w:szCs w:val="24"/>
        </w:rPr>
        <w:t>esources</w:t>
      </w:r>
      <w:r w:rsidRPr="00D57E08">
        <w:rPr>
          <w:b/>
          <w:bCs/>
          <w:color w:val="000000" w:themeColor="text1"/>
          <w:sz w:val="24"/>
          <w:szCs w:val="24"/>
        </w:rPr>
        <w:t xml:space="preserve"> T</w:t>
      </w:r>
      <w:r w:rsidRPr="00D57E08">
        <w:rPr>
          <w:rFonts w:hint="eastAsia"/>
          <w:b/>
          <w:bCs/>
          <w:color w:val="000000" w:themeColor="text1"/>
          <w:sz w:val="24"/>
          <w:szCs w:val="24"/>
        </w:rPr>
        <w:t>able</w:t>
      </w:r>
    </w:p>
    <w:tbl>
      <w:tblPr>
        <w:tblW w:w="10225" w:type="dxa"/>
        <w:tblBorders>
          <w:top w:val="single" w:sz="6" w:space="0" w:color="EBEBEB"/>
          <w:bottom w:val="single" w:sz="6" w:space="0" w:color="EBEBEB"/>
        </w:tblBorders>
        <w:tblCellMar>
          <w:left w:w="0" w:type="dxa"/>
          <w:right w:w="0" w:type="dxa"/>
        </w:tblCellMar>
        <w:tblLook w:val="04A0" w:firstRow="1" w:lastRow="0" w:firstColumn="1" w:lastColumn="0" w:noHBand="0" w:noVBand="1"/>
      </w:tblPr>
      <w:tblGrid>
        <w:gridCol w:w="10225"/>
      </w:tblGrid>
      <w:tr w:rsidR="009C44B9" w14:paraId="40D1DDDE" w14:textId="77777777" w:rsidTr="004F6977">
        <w:tc>
          <w:tcPr>
            <w:tcW w:w="0" w:type="auto"/>
            <w:tcBorders>
              <w:right w:val="nil"/>
            </w:tcBorders>
            <w:tcMar>
              <w:top w:w="75" w:type="dxa"/>
              <w:left w:w="75" w:type="dxa"/>
              <w:bottom w:w="75" w:type="dxa"/>
              <w:right w:w="75" w:type="dxa"/>
            </w:tcMar>
          </w:tcPr>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9"/>
              <w:gridCol w:w="1990"/>
              <w:gridCol w:w="4036"/>
            </w:tblGrid>
            <w:tr w:rsidR="009C44B9" w14:paraId="4B3BD59F" w14:textId="77777777" w:rsidTr="004F6977">
              <w:trPr>
                <w:trHeight w:val="360"/>
              </w:trPr>
              <w:tc>
                <w:tcPr>
                  <w:tcW w:w="4039" w:type="dxa"/>
                  <w:vAlign w:val="center"/>
                </w:tcPr>
                <w:p w14:paraId="3D9D241F" w14:textId="77777777" w:rsidR="009C44B9" w:rsidRDefault="009C44B9" w:rsidP="004F6977">
                  <w:pPr>
                    <w:spacing w:line="240" w:lineRule="auto"/>
                    <w:rPr>
                      <w:b/>
                      <w:bCs/>
                      <w:color w:val="000000" w:themeColor="text1"/>
                      <w:sz w:val="24"/>
                      <w:szCs w:val="24"/>
                    </w:rPr>
                  </w:pPr>
                  <w:r>
                    <w:rPr>
                      <w:b/>
                      <w:bCs/>
                      <w:color w:val="000000" w:themeColor="text1"/>
                      <w:sz w:val="24"/>
                      <w:szCs w:val="24"/>
                    </w:rPr>
                    <w:t>REAGENT or RESOURCE</w:t>
                  </w:r>
                </w:p>
              </w:tc>
              <w:tc>
                <w:tcPr>
                  <w:tcW w:w="1990" w:type="dxa"/>
                  <w:vAlign w:val="center"/>
                </w:tcPr>
                <w:p w14:paraId="507F805E" w14:textId="77777777" w:rsidR="009C44B9" w:rsidRDefault="009C44B9" w:rsidP="004F6977">
                  <w:pPr>
                    <w:spacing w:line="240" w:lineRule="auto"/>
                    <w:rPr>
                      <w:b/>
                      <w:bCs/>
                      <w:color w:val="000000" w:themeColor="text1"/>
                      <w:sz w:val="24"/>
                      <w:szCs w:val="24"/>
                    </w:rPr>
                  </w:pPr>
                  <w:r>
                    <w:rPr>
                      <w:b/>
                      <w:bCs/>
                      <w:color w:val="000000" w:themeColor="text1"/>
                      <w:sz w:val="24"/>
                      <w:szCs w:val="24"/>
                    </w:rPr>
                    <w:t>SOURCE</w:t>
                  </w:r>
                </w:p>
              </w:tc>
              <w:tc>
                <w:tcPr>
                  <w:tcW w:w="4036" w:type="dxa"/>
                  <w:vAlign w:val="center"/>
                </w:tcPr>
                <w:p w14:paraId="466C7E73" w14:textId="77777777" w:rsidR="009C44B9" w:rsidRDefault="009C44B9" w:rsidP="004F6977">
                  <w:pPr>
                    <w:spacing w:line="240" w:lineRule="auto"/>
                    <w:rPr>
                      <w:b/>
                      <w:bCs/>
                      <w:color w:val="000000" w:themeColor="text1"/>
                      <w:sz w:val="24"/>
                      <w:szCs w:val="24"/>
                    </w:rPr>
                  </w:pPr>
                  <w:r>
                    <w:rPr>
                      <w:b/>
                      <w:bCs/>
                      <w:color w:val="000000" w:themeColor="text1"/>
                      <w:sz w:val="24"/>
                      <w:szCs w:val="24"/>
                    </w:rPr>
                    <w:t>IDENTIFIER</w:t>
                  </w:r>
                </w:p>
              </w:tc>
            </w:tr>
            <w:tr w:rsidR="009C44B9" w14:paraId="13D88AAE" w14:textId="77777777" w:rsidTr="004F6977">
              <w:trPr>
                <w:trHeight w:val="324"/>
              </w:trPr>
              <w:tc>
                <w:tcPr>
                  <w:tcW w:w="10065" w:type="dxa"/>
                  <w:gridSpan w:val="3"/>
                  <w:vAlign w:val="center"/>
                </w:tcPr>
                <w:p w14:paraId="517F186A" w14:textId="77777777" w:rsidR="009C44B9" w:rsidRDefault="009C44B9" w:rsidP="004F6977">
                  <w:pPr>
                    <w:spacing w:line="240" w:lineRule="auto"/>
                    <w:rPr>
                      <w:b/>
                      <w:bCs/>
                      <w:color w:val="000000" w:themeColor="text1"/>
                      <w:sz w:val="24"/>
                      <w:szCs w:val="24"/>
                    </w:rPr>
                  </w:pPr>
                  <w:r>
                    <w:rPr>
                      <w:b/>
                      <w:bCs/>
                      <w:color w:val="000000" w:themeColor="text1"/>
                      <w:sz w:val="24"/>
                      <w:szCs w:val="24"/>
                    </w:rPr>
                    <w:t>Antibodies</w:t>
                  </w:r>
                </w:p>
              </w:tc>
            </w:tr>
            <w:tr w:rsidR="009C44B9" w14:paraId="31B8AE31" w14:textId="77777777" w:rsidTr="004F6977">
              <w:trPr>
                <w:trHeight w:val="324"/>
              </w:trPr>
              <w:tc>
                <w:tcPr>
                  <w:tcW w:w="4039" w:type="dxa"/>
                  <w:vAlign w:val="center"/>
                </w:tcPr>
                <w:p w14:paraId="754CE576" w14:textId="77777777" w:rsidR="009C44B9" w:rsidRDefault="009C44B9" w:rsidP="004F6977">
                  <w:pPr>
                    <w:spacing w:line="240" w:lineRule="auto"/>
                    <w:rPr>
                      <w:color w:val="000000" w:themeColor="text1"/>
                      <w:sz w:val="24"/>
                      <w:szCs w:val="24"/>
                    </w:rPr>
                  </w:pPr>
                  <w:r>
                    <w:rPr>
                      <w:color w:val="000000" w:themeColor="text1"/>
                      <w:sz w:val="24"/>
                      <w:szCs w:val="24"/>
                    </w:rPr>
                    <w:t>Brilliant Violet 421™ anti-mouse Lineage Cocktail (17A2; RB6-8C5; RA3-6B2; Ter-119; M1/70)</w:t>
                  </w:r>
                </w:p>
              </w:tc>
              <w:tc>
                <w:tcPr>
                  <w:tcW w:w="1990" w:type="dxa"/>
                  <w:vAlign w:val="center"/>
                </w:tcPr>
                <w:p w14:paraId="220BDF2C"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3C7D65D7" w14:textId="77777777" w:rsidR="009C44B9" w:rsidRDefault="009C44B9" w:rsidP="004F6977">
                  <w:pPr>
                    <w:spacing w:line="240" w:lineRule="auto"/>
                    <w:rPr>
                      <w:color w:val="000000" w:themeColor="text1"/>
                      <w:sz w:val="24"/>
                      <w:szCs w:val="24"/>
                    </w:rPr>
                  </w:pPr>
                  <w:r>
                    <w:rPr>
                      <w:color w:val="000000" w:themeColor="text1"/>
                      <w:sz w:val="24"/>
                      <w:szCs w:val="24"/>
                    </w:rPr>
                    <w:t>Cat# 133311, RRID: AB_11203535</w:t>
                  </w:r>
                </w:p>
              </w:tc>
            </w:tr>
            <w:tr w:rsidR="009C44B9" w14:paraId="69D1CB0E" w14:textId="77777777" w:rsidTr="004F6977">
              <w:trPr>
                <w:trHeight w:val="324"/>
              </w:trPr>
              <w:tc>
                <w:tcPr>
                  <w:tcW w:w="4039" w:type="dxa"/>
                  <w:vAlign w:val="center"/>
                </w:tcPr>
                <w:p w14:paraId="14FF536A" w14:textId="77777777" w:rsidR="009C44B9" w:rsidRDefault="009C44B9" w:rsidP="004F6977">
                  <w:pPr>
                    <w:spacing w:line="240" w:lineRule="auto"/>
                    <w:rPr>
                      <w:color w:val="000000" w:themeColor="text1"/>
                      <w:sz w:val="24"/>
                      <w:szCs w:val="24"/>
                    </w:rPr>
                  </w:pPr>
                  <w:r>
                    <w:rPr>
                      <w:color w:val="000000" w:themeColor="text1"/>
                      <w:sz w:val="24"/>
                      <w:szCs w:val="24"/>
                    </w:rPr>
                    <w:t>Brilliant Violet 605™ anti-mouse Ly-6A/E (Sca-1) antibody (D7)</w:t>
                  </w:r>
                </w:p>
              </w:tc>
              <w:tc>
                <w:tcPr>
                  <w:tcW w:w="1990" w:type="dxa"/>
                  <w:vAlign w:val="center"/>
                </w:tcPr>
                <w:p w14:paraId="222FB32C"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1AF9522A" w14:textId="77777777" w:rsidR="009C44B9" w:rsidRDefault="009C44B9" w:rsidP="004F6977">
                  <w:pPr>
                    <w:spacing w:line="240" w:lineRule="auto"/>
                    <w:rPr>
                      <w:color w:val="000000" w:themeColor="text1"/>
                      <w:sz w:val="24"/>
                      <w:szCs w:val="24"/>
                    </w:rPr>
                  </w:pPr>
                  <w:r>
                    <w:rPr>
                      <w:color w:val="000000" w:themeColor="text1"/>
                      <w:sz w:val="24"/>
                      <w:szCs w:val="24"/>
                    </w:rPr>
                    <w:t>Cat# 108134, RRID: AB_2650926</w:t>
                  </w:r>
                </w:p>
              </w:tc>
            </w:tr>
            <w:tr w:rsidR="009C44B9" w14:paraId="4F56E89F" w14:textId="77777777" w:rsidTr="004F6977">
              <w:trPr>
                <w:trHeight w:val="324"/>
              </w:trPr>
              <w:tc>
                <w:tcPr>
                  <w:tcW w:w="4039" w:type="dxa"/>
                  <w:vAlign w:val="center"/>
                </w:tcPr>
                <w:p w14:paraId="3067C1F6" w14:textId="77777777" w:rsidR="009C44B9" w:rsidRDefault="009C44B9" w:rsidP="004F6977">
                  <w:pPr>
                    <w:spacing w:line="240" w:lineRule="auto"/>
                    <w:rPr>
                      <w:color w:val="000000" w:themeColor="text1"/>
                      <w:sz w:val="24"/>
                      <w:szCs w:val="24"/>
                    </w:rPr>
                  </w:pPr>
                  <w:r>
                    <w:rPr>
                      <w:color w:val="000000" w:themeColor="text1"/>
                      <w:sz w:val="24"/>
                      <w:szCs w:val="24"/>
                    </w:rPr>
                    <w:t>Brilliant Violet 510™ anti-mouse CD117 (c-kit) antibody (ACK2)</w:t>
                  </w:r>
                </w:p>
              </w:tc>
              <w:tc>
                <w:tcPr>
                  <w:tcW w:w="1990" w:type="dxa"/>
                  <w:vAlign w:val="center"/>
                </w:tcPr>
                <w:p w14:paraId="1788C719"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754ABD8E" w14:textId="77777777" w:rsidR="009C44B9" w:rsidRDefault="009C44B9" w:rsidP="004F6977">
                  <w:pPr>
                    <w:spacing w:line="240" w:lineRule="auto"/>
                    <w:rPr>
                      <w:color w:val="000000" w:themeColor="text1"/>
                      <w:sz w:val="24"/>
                      <w:szCs w:val="24"/>
                    </w:rPr>
                  </w:pPr>
                  <w:r>
                    <w:rPr>
                      <w:color w:val="000000" w:themeColor="text1"/>
                      <w:sz w:val="24"/>
                      <w:szCs w:val="24"/>
                    </w:rPr>
                    <w:t>Cat# 135119, RRID: AB_2562011</w:t>
                  </w:r>
                </w:p>
              </w:tc>
            </w:tr>
            <w:tr w:rsidR="009C44B9" w14:paraId="038D16E0" w14:textId="77777777" w:rsidTr="004F6977">
              <w:trPr>
                <w:trHeight w:val="324"/>
              </w:trPr>
              <w:tc>
                <w:tcPr>
                  <w:tcW w:w="4039" w:type="dxa"/>
                  <w:vAlign w:val="center"/>
                </w:tcPr>
                <w:p w14:paraId="5426F54D" w14:textId="77777777" w:rsidR="009C44B9" w:rsidRDefault="009C44B9" w:rsidP="004F6977">
                  <w:pPr>
                    <w:spacing w:line="240" w:lineRule="auto"/>
                    <w:rPr>
                      <w:color w:val="000000" w:themeColor="text1"/>
                      <w:sz w:val="24"/>
                      <w:szCs w:val="24"/>
                    </w:rPr>
                  </w:pPr>
                  <w:r>
                    <w:rPr>
                      <w:color w:val="000000" w:themeColor="text1"/>
                      <w:sz w:val="24"/>
                      <w:szCs w:val="24"/>
                    </w:rPr>
                    <w:t>APC/Fire™ 750 anti-mouse CD34 Antibody (HM34)</w:t>
                  </w:r>
                </w:p>
              </w:tc>
              <w:tc>
                <w:tcPr>
                  <w:tcW w:w="1990" w:type="dxa"/>
                  <w:vAlign w:val="center"/>
                </w:tcPr>
                <w:p w14:paraId="759D6722"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328A6D3A" w14:textId="77777777" w:rsidR="009C44B9" w:rsidRDefault="009C44B9" w:rsidP="004F6977">
                  <w:pPr>
                    <w:spacing w:line="240" w:lineRule="auto"/>
                    <w:rPr>
                      <w:color w:val="000000" w:themeColor="text1"/>
                      <w:sz w:val="24"/>
                      <w:szCs w:val="24"/>
                    </w:rPr>
                  </w:pPr>
                  <w:r>
                    <w:rPr>
                      <w:color w:val="000000" w:themeColor="text1"/>
                      <w:sz w:val="24"/>
                      <w:szCs w:val="24"/>
                    </w:rPr>
                    <w:t>Cat# 128614, RRID: AB_2715985</w:t>
                  </w:r>
                </w:p>
              </w:tc>
            </w:tr>
            <w:tr w:rsidR="009C44B9" w14:paraId="184EFCB8" w14:textId="77777777" w:rsidTr="004F6977">
              <w:trPr>
                <w:trHeight w:val="324"/>
              </w:trPr>
              <w:tc>
                <w:tcPr>
                  <w:tcW w:w="4039" w:type="dxa"/>
                  <w:vAlign w:val="center"/>
                </w:tcPr>
                <w:p w14:paraId="56B349D1" w14:textId="77777777" w:rsidR="009C44B9" w:rsidRDefault="009C44B9" w:rsidP="004F6977">
                  <w:pPr>
                    <w:spacing w:line="240" w:lineRule="auto"/>
                    <w:rPr>
                      <w:color w:val="000000" w:themeColor="text1"/>
                      <w:sz w:val="24"/>
                      <w:szCs w:val="24"/>
                    </w:rPr>
                  </w:pPr>
                  <w:r>
                    <w:rPr>
                      <w:color w:val="000000" w:themeColor="text1"/>
                      <w:sz w:val="24"/>
                      <w:szCs w:val="24"/>
                    </w:rPr>
                    <w:t>PE Rat Anti-Mouse CD135 (FLK2) antibody (A2F10.1)</w:t>
                  </w:r>
                </w:p>
              </w:tc>
              <w:tc>
                <w:tcPr>
                  <w:tcW w:w="1990" w:type="dxa"/>
                  <w:vAlign w:val="center"/>
                </w:tcPr>
                <w:p w14:paraId="3723CAD7" w14:textId="77777777" w:rsidR="009C44B9" w:rsidRDefault="009C44B9" w:rsidP="004F6977">
                  <w:pPr>
                    <w:spacing w:line="240" w:lineRule="auto"/>
                    <w:rPr>
                      <w:color w:val="000000" w:themeColor="text1"/>
                      <w:sz w:val="24"/>
                      <w:szCs w:val="24"/>
                    </w:rPr>
                  </w:pPr>
                  <w:r>
                    <w:rPr>
                      <w:color w:val="000000" w:themeColor="text1"/>
                      <w:sz w:val="24"/>
                      <w:szCs w:val="24"/>
                    </w:rPr>
                    <w:t>BD Biosciences</w:t>
                  </w:r>
                </w:p>
              </w:tc>
              <w:tc>
                <w:tcPr>
                  <w:tcW w:w="4036" w:type="dxa"/>
                  <w:vAlign w:val="center"/>
                </w:tcPr>
                <w:p w14:paraId="732973DE" w14:textId="77777777" w:rsidR="009C44B9" w:rsidRDefault="009C44B9" w:rsidP="004F6977">
                  <w:pPr>
                    <w:spacing w:line="240" w:lineRule="auto"/>
                    <w:rPr>
                      <w:color w:val="000000" w:themeColor="text1"/>
                      <w:sz w:val="24"/>
                      <w:szCs w:val="24"/>
                    </w:rPr>
                  </w:pPr>
                  <w:r>
                    <w:rPr>
                      <w:color w:val="000000" w:themeColor="text1"/>
                      <w:sz w:val="24"/>
                      <w:szCs w:val="24"/>
                    </w:rPr>
                    <w:t>Cat# 553842</w:t>
                  </w:r>
                  <w:r>
                    <w:rPr>
                      <w:rFonts w:hint="eastAsia"/>
                      <w:color w:val="000000" w:themeColor="text1"/>
                      <w:sz w:val="24"/>
                      <w:szCs w:val="24"/>
                    </w:rPr>
                    <w:t>,</w:t>
                  </w:r>
                  <w:r>
                    <w:rPr>
                      <w:color w:val="000000" w:themeColor="text1"/>
                    </w:rPr>
                    <w:t xml:space="preserve"> </w:t>
                  </w:r>
                  <w:r>
                    <w:rPr>
                      <w:color w:val="000000" w:themeColor="text1"/>
                      <w:sz w:val="24"/>
                      <w:szCs w:val="24"/>
                    </w:rPr>
                    <w:t>RRID: AB_395079</w:t>
                  </w:r>
                </w:p>
              </w:tc>
            </w:tr>
            <w:tr w:rsidR="009C44B9" w14:paraId="67441157" w14:textId="77777777" w:rsidTr="004F6977">
              <w:trPr>
                <w:trHeight w:val="324"/>
              </w:trPr>
              <w:tc>
                <w:tcPr>
                  <w:tcW w:w="4039" w:type="dxa"/>
                  <w:vAlign w:val="center"/>
                </w:tcPr>
                <w:p w14:paraId="2941D611" w14:textId="77777777" w:rsidR="009C44B9" w:rsidRDefault="009C44B9" w:rsidP="004F6977">
                  <w:pPr>
                    <w:spacing w:line="240" w:lineRule="auto"/>
                    <w:rPr>
                      <w:color w:val="000000" w:themeColor="text1"/>
                      <w:sz w:val="24"/>
                      <w:szCs w:val="24"/>
                    </w:rPr>
                  </w:pPr>
                  <w:r>
                    <w:rPr>
                      <w:color w:val="000000" w:themeColor="text1"/>
                      <w:sz w:val="24"/>
                      <w:szCs w:val="24"/>
                    </w:rPr>
                    <w:t>APC anti-mouse CD48 Antibody (HM48-1)</w:t>
                  </w:r>
                </w:p>
              </w:tc>
              <w:tc>
                <w:tcPr>
                  <w:tcW w:w="1990" w:type="dxa"/>
                  <w:vAlign w:val="center"/>
                </w:tcPr>
                <w:p w14:paraId="5DBE1EFE"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61B7E7CA" w14:textId="77777777" w:rsidR="009C44B9" w:rsidRDefault="009C44B9" w:rsidP="004F6977">
                  <w:pPr>
                    <w:spacing w:line="240" w:lineRule="auto"/>
                    <w:rPr>
                      <w:color w:val="000000" w:themeColor="text1"/>
                      <w:sz w:val="24"/>
                      <w:szCs w:val="24"/>
                    </w:rPr>
                  </w:pPr>
                  <w:r>
                    <w:rPr>
                      <w:color w:val="000000" w:themeColor="text1"/>
                      <w:sz w:val="24"/>
                      <w:szCs w:val="24"/>
                    </w:rPr>
                    <w:t>Cat# 103432, RRID: AB_2561463</w:t>
                  </w:r>
                </w:p>
              </w:tc>
            </w:tr>
            <w:tr w:rsidR="009C44B9" w14:paraId="004D824B" w14:textId="77777777" w:rsidTr="004F6977">
              <w:trPr>
                <w:trHeight w:val="324"/>
              </w:trPr>
              <w:tc>
                <w:tcPr>
                  <w:tcW w:w="4039" w:type="dxa"/>
                  <w:vAlign w:val="center"/>
                </w:tcPr>
                <w:p w14:paraId="395A1218" w14:textId="77777777" w:rsidR="009C44B9" w:rsidRDefault="009C44B9" w:rsidP="004F6977">
                  <w:pPr>
                    <w:spacing w:line="240" w:lineRule="auto"/>
                    <w:rPr>
                      <w:color w:val="000000" w:themeColor="text1"/>
                      <w:sz w:val="24"/>
                      <w:szCs w:val="24"/>
                    </w:rPr>
                  </w:pPr>
                  <w:r>
                    <w:rPr>
                      <w:color w:val="000000" w:themeColor="text1"/>
                      <w:sz w:val="24"/>
                      <w:szCs w:val="24"/>
                    </w:rPr>
                    <w:t>PE/Dazzle™ 594 anti-mouse CD150 (SLAM) Antibody (TC15-12F12.2)</w:t>
                  </w:r>
                </w:p>
              </w:tc>
              <w:tc>
                <w:tcPr>
                  <w:tcW w:w="1990" w:type="dxa"/>
                  <w:vAlign w:val="center"/>
                </w:tcPr>
                <w:p w14:paraId="4F74F43D"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54CAB9FA" w14:textId="77777777" w:rsidR="009C44B9" w:rsidRDefault="009C44B9" w:rsidP="004F6977">
                  <w:pPr>
                    <w:spacing w:line="240" w:lineRule="auto"/>
                    <w:rPr>
                      <w:color w:val="000000" w:themeColor="text1"/>
                      <w:sz w:val="24"/>
                      <w:szCs w:val="24"/>
                    </w:rPr>
                  </w:pPr>
                  <w:r>
                    <w:rPr>
                      <w:color w:val="000000" w:themeColor="text1"/>
                      <w:sz w:val="24"/>
                      <w:szCs w:val="24"/>
                    </w:rPr>
                    <w:t>Cat# 115936, RRID: AB_2565961</w:t>
                  </w:r>
                </w:p>
              </w:tc>
            </w:tr>
            <w:tr w:rsidR="009C44B9" w14:paraId="49E7784F" w14:textId="77777777" w:rsidTr="004F6977">
              <w:trPr>
                <w:trHeight w:val="324"/>
              </w:trPr>
              <w:tc>
                <w:tcPr>
                  <w:tcW w:w="4039" w:type="dxa"/>
                  <w:vAlign w:val="center"/>
                </w:tcPr>
                <w:p w14:paraId="388C1BE3" w14:textId="77777777" w:rsidR="009C44B9" w:rsidRDefault="009C44B9" w:rsidP="004F6977">
                  <w:pPr>
                    <w:spacing w:line="240" w:lineRule="auto"/>
                    <w:rPr>
                      <w:color w:val="000000" w:themeColor="text1"/>
                      <w:sz w:val="24"/>
                      <w:szCs w:val="24"/>
                    </w:rPr>
                  </w:pPr>
                  <w:r>
                    <w:rPr>
                      <w:color w:val="000000" w:themeColor="text1"/>
                      <w:sz w:val="24"/>
                      <w:szCs w:val="24"/>
                    </w:rPr>
                    <w:t>FITC anti-mouse CD16/32 Antibody (93)</w:t>
                  </w:r>
                </w:p>
              </w:tc>
              <w:tc>
                <w:tcPr>
                  <w:tcW w:w="1990" w:type="dxa"/>
                  <w:vAlign w:val="center"/>
                </w:tcPr>
                <w:p w14:paraId="7216A67C"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69FDD529" w14:textId="77777777" w:rsidR="009C44B9" w:rsidRDefault="009C44B9" w:rsidP="004F6977">
                  <w:pPr>
                    <w:spacing w:line="240" w:lineRule="auto"/>
                    <w:rPr>
                      <w:color w:val="000000" w:themeColor="text1"/>
                      <w:sz w:val="24"/>
                      <w:szCs w:val="24"/>
                    </w:rPr>
                  </w:pPr>
                  <w:r>
                    <w:rPr>
                      <w:color w:val="000000" w:themeColor="text1"/>
                      <w:sz w:val="24"/>
                      <w:szCs w:val="24"/>
                    </w:rPr>
                    <w:t>Cat# 101306, RRID: AB_312805</w:t>
                  </w:r>
                </w:p>
              </w:tc>
            </w:tr>
            <w:tr w:rsidR="009C44B9" w14:paraId="01520C38" w14:textId="77777777" w:rsidTr="004F6977">
              <w:trPr>
                <w:trHeight w:val="324"/>
              </w:trPr>
              <w:tc>
                <w:tcPr>
                  <w:tcW w:w="4039" w:type="dxa"/>
                  <w:vAlign w:val="center"/>
                </w:tcPr>
                <w:p w14:paraId="4FFF568D" w14:textId="77777777" w:rsidR="009C44B9" w:rsidRDefault="009C44B9" w:rsidP="004F6977">
                  <w:pPr>
                    <w:spacing w:line="240" w:lineRule="auto"/>
                    <w:rPr>
                      <w:color w:val="000000" w:themeColor="text1"/>
                      <w:sz w:val="24"/>
                      <w:szCs w:val="24"/>
                    </w:rPr>
                  </w:pPr>
                  <w:r>
                    <w:rPr>
                      <w:color w:val="000000" w:themeColor="text1"/>
                      <w:sz w:val="24"/>
                      <w:szCs w:val="24"/>
                    </w:rPr>
                    <w:t>Brilliant Violet 650™ anti-mouse CD115 antibody (AFS98)</w:t>
                  </w:r>
                </w:p>
              </w:tc>
              <w:tc>
                <w:tcPr>
                  <w:tcW w:w="1990" w:type="dxa"/>
                  <w:vAlign w:val="center"/>
                </w:tcPr>
                <w:p w14:paraId="11A82FA0" w14:textId="77777777" w:rsidR="009C44B9" w:rsidRDefault="009C44B9" w:rsidP="004F6977">
                  <w:pPr>
                    <w:spacing w:line="240" w:lineRule="auto"/>
                    <w:rPr>
                      <w:color w:val="000000" w:themeColor="text1"/>
                      <w:sz w:val="24"/>
                      <w:szCs w:val="24"/>
                    </w:rPr>
                  </w:pPr>
                  <w:r>
                    <w:rPr>
                      <w:color w:val="000000" w:themeColor="text1"/>
                      <w:sz w:val="24"/>
                      <w:szCs w:val="24"/>
                    </w:rPr>
                    <w:t>BD Biosciences</w:t>
                  </w:r>
                </w:p>
              </w:tc>
              <w:tc>
                <w:tcPr>
                  <w:tcW w:w="4036" w:type="dxa"/>
                  <w:vAlign w:val="center"/>
                </w:tcPr>
                <w:p w14:paraId="7C37BCC7" w14:textId="77777777" w:rsidR="009C44B9" w:rsidRDefault="009C44B9" w:rsidP="004F6977">
                  <w:pPr>
                    <w:spacing w:line="240" w:lineRule="auto"/>
                    <w:rPr>
                      <w:color w:val="000000" w:themeColor="text1"/>
                      <w:sz w:val="24"/>
                      <w:szCs w:val="24"/>
                    </w:rPr>
                  </w:pPr>
                  <w:r>
                    <w:rPr>
                      <w:color w:val="000000" w:themeColor="text1"/>
                      <w:sz w:val="24"/>
                      <w:szCs w:val="24"/>
                    </w:rPr>
                    <w:t>Cat# 750891</w:t>
                  </w:r>
                  <w:r>
                    <w:rPr>
                      <w:rFonts w:hint="eastAsia"/>
                      <w:color w:val="000000" w:themeColor="text1"/>
                      <w:sz w:val="24"/>
                      <w:szCs w:val="24"/>
                    </w:rPr>
                    <w:t>,</w:t>
                  </w:r>
                  <w:r>
                    <w:rPr>
                      <w:color w:val="000000" w:themeColor="text1"/>
                    </w:rPr>
                    <w:t xml:space="preserve"> </w:t>
                  </w:r>
                  <w:r>
                    <w:rPr>
                      <w:color w:val="000000" w:themeColor="text1"/>
                      <w:sz w:val="24"/>
                      <w:szCs w:val="24"/>
                    </w:rPr>
                    <w:t>RRID: AB_2874987</w:t>
                  </w:r>
                </w:p>
              </w:tc>
            </w:tr>
            <w:tr w:rsidR="009C44B9" w14:paraId="69BB23C3" w14:textId="77777777" w:rsidTr="004F6977">
              <w:trPr>
                <w:trHeight w:val="324"/>
              </w:trPr>
              <w:tc>
                <w:tcPr>
                  <w:tcW w:w="4039" w:type="dxa"/>
                  <w:vAlign w:val="center"/>
                </w:tcPr>
                <w:p w14:paraId="43AB5F70" w14:textId="77777777" w:rsidR="009C44B9" w:rsidRDefault="009C44B9" w:rsidP="004F6977">
                  <w:pPr>
                    <w:spacing w:line="240" w:lineRule="auto"/>
                    <w:rPr>
                      <w:color w:val="000000" w:themeColor="text1"/>
                      <w:sz w:val="24"/>
                      <w:szCs w:val="24"/>
                    </w:rPr>
                  </w:pPr>
                  <w:r>
                    <w:rPr>
                      <w:color w:val="000000" w:themeColor="text1"/>
                      <w:sz w:val="24"/>
                      <w:szCs w:val="24"/>
                    </w:rPr>
                    <w:t>PE/Dazzle™ 594 anti-mouse CD127 (IL-7Rα) Antibody (A7R34)</w:t>
                  </w:r>
                </w:p>
              </w:tc>
              <w:tc>
                <w:tcPr>
                  <w:tcW w:w="1990" w:type="dxa"/>
                  <w:vAlign w:val="center"/>
                </w:tcPr>
                <w:p w14:paraId="20793424"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64D20FF5" w14:textId="77777777" w:rsidR="009C44B9" w:rsidRDefault="009C44B9" w:rsidP="004F6977">
                  <w:pPr>
                    <w:spacing w:line="240" w:lineRule="auto"/>
                    <w:rPr>
                      <w:color w:val="000000" w:themeColor="text1"/>
                      <w:sz w:val="24"/>
                      <w:szCs w:val="24"/>
                    </w:rPr>
                  </w:pPr>
                  <w:r>
                    <w:rPr>
                      <w:color w:val="000000" w:themeColor="text1"/>
                      <w:sz w:val="24"/>
                      <w:szCs w:val="24"/>
                    </w:rPr>
                    <w:t>Cat# 135032, RRID: AB_2564217</w:t>
                  </w:r>
                </w:p>
              </w:tc>
            </w:tr>
            <w:tr w:rsidR="009C44B9" w14:paraId="5F34BD3C" w14:textId="77777777" w:rsidTr="004F6977">
              <w:trPr>
                <w:trHeight w:val="324"/>
              </w:trPr>
              <w:tc>
                <w:tcPr>
                  <w:tcW w:w="4039" w:type="dxa"/>
                  <w:vAlign w:val="center"/>
                </w:tcPr>
                <w:p w14:paraId="4B57D00C" w14:textId="77777777" w:rsidR="009C44B9" w:rsidRDefault="009C44B9" w:rsidP="004F6977">
                  <w:pPr>
                    <w:spacing w:line="240" w:lineRule="auto"/>
                    <w:rPr>
                      <w:color w:val="000000" w:themeColor="text1"/>
                      <w:sz w:val="24"/>
                      <w:szCs w:val="24"/>
                    </w:rPr>
                  </w:pPr>
                  <w:r>
                    <w:rPr>
                      <w:color w:val="000000" w:themeColor="text1"/>
                      <w:sz w:val="24"/>
                      <w:szCs w:val="24"/>
                    </w:rPr>
                    <w:t>Brilliant Violet 421™ anti-mouse CD45 Antibody (30-F11)</w:t>
                  </w:r>
                </w:p>
              </w:tc>
              <w:tc>
                <w:tcPr>
                  <w:tcW w:w="1990" w:type="dxa"/>
                  <w:vAlign w:val="center"/>
                </w:tcPr>
                <w:p w14:paraId="02D53EE5"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49DA8532" w14:textId="77777777" w:rsidR="009C44B9" w:rsidRDefault="009C44B9" w:rsidP="004F6977">
                  <w:pPr>
                    <w:spacing w:line="240" w:lineRule="auto"/>
                    <w:rPr>
                      <w:color w:val="000000" w:themeColor="text1"/>
                      <w:sz w:val="24"/>
                      <w:szCs w:val="24"/>
                    </w:rPr>
                  </w:pPr>
                  <w:r>
                    <w:rPr>
                      <w:color w:val="000000" w:themeColor="text1"/>
                      <w:sz w:val="24"/>
                      <w:szCs w:val="24"/>
                    </w:rPr>
                    <w:t>Cat# 103134, RRID: AB_2562559</w:t>
                  </w:r>
                </w:p>
              </w:tc>
            </w:tr>
            <w:tr w:rsidR="009C44B9" w14:paraId="35190365" w14:textId="77777777" w:rsidTr="004F6977">
              <w:trPr>
                <w:trHeight w:val="324"/>
              </w:trPr>
              <w:tc>
                <w:tcPr>
                  <w:tcW w:w="4039" w:type="dxa"/>
                  <w:vAlign w:val="center"/>
                </w:tcPr>
                <w:p w14:paraId="054C9120" w14:textId="77777777" w:rsidR="009C44B9" w:rsidRDefault="009C44B9" w:rsidP="004F6977">
                  <w:pPr>
                    <w:spacing w:line="240" w:lineRule="auto"/>
                    <w:rPr>
                      <w:color w:val="000000" w:themeColor="text1"/>
                      <w:sz w:val="24"/>
                      <w:szCs w:val="24"/>
                    </w:rPr>
                  </w:pPr>
                  <w:r>
                    <w:rPr>
                      <w:color w:val="000000" w:themeColor="text1"/>
                      <w:sz w:val="24"/>
                      <w:szCs w:val="24"/>
                    </w:rPr>
                    <w:t>APC-Cy™7 anti-Mouse CD45</w:t>
                  </w:r>
                  <w:r>
                    <w:rPr>
                      <w:rFonts w:hint="eastAsia"/>
                      <w:color w:val="000000" w:themeColor="text1"/>
                      <w:sz w:val="24"/>
                      <w:szCs w:val="24"/>
                    </w:rPr>
                    <w:t xml:space="preserve"> </w:t>
                  </w:r>
                  <w:r>
                    <w:rPr>
                      <w:color w:val="000000" w:themeColor="text1"/>
                      <w:sz w:val="24"/>
                      <w:szCs w:val="24"/>
                    </w:rPr>
                    <w:t>Antibody</w:t>
                  </w:r>
                </w:p>
              </w:tc>
              <w:tc>
                <w:tcPr>
                  <w:tcW w:w="1990" w:type="dxa"/>
                  <w:vAlign w:val="center"/>
                </w:tcPr>
                <w:p w14:paraId="6568226F" w14:textId="77777777" w:rsidR="009C44B9" w:rsidRDefault="009C44B9" w:rsidP="004F6977">
                  <w:pPr>
                    <w:spacing w:line="240" w:lineRule="auto"/>
                    <w:rPr>
                      <w:color w:val="000000" w:themeColor="text1"/>
                      <w:sz w:val="24"/>
                      <w:szCs w:val="24"/>
                    </w:rPr>
                  </w:pPr>
                  <w:r>
                    <w:rPr>
                      <w:color w:val="000000" w:themeColor="text1"/>
                      <w:sz w:val="24"/>
                      <w:szCs w:val="24"/>
                    </w:rPr>
                    <w:t>BD Biosciences</w:t>
                  </w:r>
                </w:p>
              </w:tc>
              <w:tc>
                <w:tcPr>
                  <w:tcW w:w="4036" w:type="dxa"/>
                  <w:vAlign w:val="center"/>
                </w:tcPr>
                <w:p w14:paraId="66FDE3CC" w14:textId="77777777" w:rsidR="009C44B9" w:rsidRDefault="009C44B9" w:rsidP="004F6977">
                  <w:pPr>
                    <w:spacing w:line="240" w:lineRule="auto"/>
                    <w:rPr>
                      <w:color w:val="000000" w:themeColor="text1"/>
                      <w:sz w:val="24"/>
                      <w:szCs w:val="24"/>
                    </w:rPr>
                  </w:pPr>
                  <w:r>
                    <w:rPr>
                      <w:color w:val="000000" w:themeColor="text1"/>
                      <w:sz w:val="24"/>
                      <w:szCs w:val="24"/>
                    </w:rPr>
                    <w:t xml:space="preserve">Cat# </w:t>
                  </w:r>
                  <w:r>
                    <w:rPr>
                      <w:rFonts w:hint="eastAsia"/>
                      <w:color w:val="000000" w:themeColor="text1"/>
                      <w:sz w:val="24"/>
                      <w:szCs w:val="24"/>
                    </w:rPr>
                    <w:t>557659</w:t>
                  </w:r>
                  <w:r>
                    <w:rPr>
                      <w:color w:val="000000" w:themeColor="text1"/>
                      <w:sz w:val="24"/>
                      <w:szCs w:val="24"/>
                    </w:rPr>
                    <w:t>, RRID: AB_396774</w:t>
                  </w:r>
                </w:p>
              </w:tc>
            </w:tr>
            <w:tr w:rsidR="009C44B9" w14:paraId="52E1A2EF" w14:textId="77777777" w:rsidTr="004F6977">
              <w:trPr>
                <w:trHeight w:val="324"/>
              </w:trPr>
              <w:tc>
                <w:tcPr>
                  <w:tcW w:w="4039" w:type="dxa"/>
                  <w:vAlign w:val="center"/>
                </w:tcPr>
                <w:p w14:paraId="1BA3FDF4" w14:textId="77777777" w:rsidR="009C44B9" w:rsidRDefault="009C44B9" w:rsidP="004F6977">
                  <w:pPr>
                    <w:spacing w:line="240" w:lineRule="auto"/>
                    <w:rPr>
                      <w:color w:val="000000" w:themeColor="text1"/>
                      <w:sz w:val="24"/>
                      <w:szCs w:val="24"/>
                    </w:rPr>
                  </w:pPr>
                  <w:r>
                    <w:rPr>
                      <w:color w:val="000000" w:themeColor="text1"/>
                      <w:sz w:val="24"/>
                      <w:szCs w:val="24"/>
                    </w:rPr>
                    <w:t>Brilliant Violet 510™ anti-mouse/human CD11b Antibody (M1/70)</w:t>
                  </w:r>
                </w:p>
              </w:tc>
              <w:tc>
                <w:tcPr>
                  <w:tcW w:w="1990" w:type="dxa"/>
                  <w:vAlign w:val="center"/>
                </w:tcPr>
                <w:p w14:paraId="7D523F52"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57542A25" w14:textId="77777777" w:rsidR="009C44B9" w:rsidRDefault="009C44B9" w:rsidP="004F6977">
                  <w:pPr>
                    <w:spacing w:line="240" w:lineRule="auto"/>
                    <w:rPr>
                      <w:color w:val="000000" w:themeColor="text1"/>
                      <w:sz w:val="24"/>
                      <w:szCs w:val="24"/>
                    </w:rPr>
                  </w:pPr>
                  <w:r>
                    <w:rPr>
                      <w:color w:val="000000" w:themeColor="text1"/>
                      <w:sz w:val="24"/>
                      <w:szCs w:val="24"/>
                    </w:rPr>
                    <w:t>Cat# 101263, RRID: AB_2629529</w:t>
                  </w:r>
                </w:p>
              </w:tc>
            </w:tr>
            <w:tr w:rsidR="009C44B9" w14:paraId="616B0D13" w14:textId="77777777" w:rsidTr="004F6977">
              <w:trPr>
                <w:trHeight w:val="324"/>
              </w:trPr>
              <w:tc>
                <w:tcPr>
                  <w:tcW w:w="4039" w:type="dxa"/>
                  <w:vAlign w:val="center"/>
                </w:tcPr>
                <w:p w14:paraId="35348E54" w14:textId="77777777" w:rsidR="009C44B9" w:rsidRDefault="009C44B9" w:rsidP="004F6977">
                  <w:pPr>
                    <w:spacing w:line="240" w:lineRule="auto"/>
                    <w:rPr>
                      <w:color w:val="000000" w:themeColor="text1"/>
                      <w:sz w:val="24"/>
                      <w:szCs w:val="24"/>
                    </w:rPr>
                  </w:pPr>
                  <w:r>
                    <w:rPr>
                      <w:color w:val="000000" w:themeColor="text1"/>
                      <w:sz w:val="24"/>
                      <w:szCs w:val="24"/>
                    </w:rPr>
                    <w:t>PE/Cyanine7 anti-mouse/human CD11b</w:t>
                  </w:r>
                  <w:r>
                    <w:rPr>
                      <w:rFonts w:hint="eastAsia"/>
                      <w:color w:val="000000" w:themeColor="text1"/>
                      <w:sz w:val="24"/>
                      <w:szCs w:val="24"/>
                    </w:rPr>
                    <w:t xml:space="preserve"> </w:t>
                  </w:r>
                  <w:r>
                    <w:rPr>
                      <w:color w:val="000000" w:themeColor="text1"/>
                      <w:sz w:val="24"/>
                      <w:szCs w:val="24"/>
                    </w:rPr>
                    <w:t>Antibody</w:t>
                  </w:r>
                </w:p>
              </w:tc>
              <w:tc>
                <w:tcPr>
                  <w:tcW w:w="1990" w:type="dxa"/>
                  <w:vAlign w:val="center"/>
                </w:tcPr>
                <w:p w14:paraId="3C450EBF"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4053943F" w14:textId="77777777" w:rsidR="009C44B9" w:rsidRDefault="009C44B9" w:rsidP="004F6977">
                  <w:pPr>
                    <w:spacing w:line="240" w:lineRule="auto"/>
                    <w:rPr>
                      <w:color w:val="000000" w:themeColor="text1"/>
                      <w:sz w:val="24"/>
                      <w:szCs w:val="24"/>
                    </w:rPr>
                  </w:pPr>
                  <w:r>
                    <w:rPr>
                      <w:color w:val="000000" w:themeColor="text1"/>
                      <w:sz w:val="24"/>
                      <w:szCs w:val="24"/>
                    </w:rPr>
                    <w:t>Cat# 101216, RRID: AB_312799</w:t>
                  </w:r>
                </w:p>
              </w:tc>
            </w:tr>
            <w:tr w:rsidR="009C44B9" w14:paraId="4E15A86F" w14:textId="77777777" w:rsidTr="004F6977">
              <w:trPr>
                <w:trHeight w:val="324"/>
              </w:trPr>
              <w:tc>
                <w:tcPr>
                  <w:tcW w:w="4039" w:type="dxa"/>
                  <w:vAlign w:val="center"/>
                </w:tcPr>
                <w:p w14:paraId="62E18A16" w14:textId="77777777" w:rsidR="009C44B9" w:rsidRDefault="009C44B9" w:rsidP="004F6977">
                  <w:pPr>
                    <w:spacing w:line="240" w:lineRule="auto"/>
                    <w:rPr>
                      <w:color w:val="000000" w:themeColor="text1"/>
                      <w:sz w:val="24"/>
                      <w:szCs w:val="24"/>
                    </w:rPr>
                  </w:pPr>
                  <w:r>
                    <w:rPr>
                      <w:color w:val="000000" w:themeColor="text1"/>
                      <w:sz w:val="24"/>
                      <w:szCs w:val="24"/>
                    </w:rPr>
                    <w:t>APC anti-mouse F4/80 Antibody (BM8)</w:t>
                  </w:r>
                </w:p>
              </w:tc>
              <w:tc>
                <w:tcPr>
                  <w:tcW w:w="1990" w:type="dxa"/>
                  <w:vAlign w:val="center"/>
                </w:tcPr>
                <w:p w14:paraId="017B5553"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7384F0C5" w14:textId="77777777" w:rsidR="009C44B9" w:rsidRDefault="009C44B9" w:rsidP="004F6977">
                  <w:pPr>
                    <w:spacing w:line="240" w:lineRule="auto"/>
                    <w:rPr>
                      <w:color w:val="000000" w:themeColor="text1"/>
                      <w:sz w:val="24"/>
                      <w:szCs w:val="24"/>
                    </w:rPr>
                  </w:pPr>
                  <w:r>
                    <w:rPr>
                      <w:color w:val="000000" w:themeColor="text1"/>
                      <w:sz w:val="24"/>
                      <w:szCs w:val="24"/>
                    </w:rPr>
                    <w:t>Cat# 123116, RRID: AB_893481</w:t>
                  </w:r>
                </w:p>
              </w:tc>
            </w:tr>
            <w:tr w:rsidR="009C44B9" w14:paraId="12AEC75B" w14:textId="77777777" w:rsidTr="004F6977">
              <w:trPr>
                <w:trHeight w:val="324"/>
              </w:trPr>
              <w:tc>
                <w:tcPr>
                  <w:tcW w:w="4039" w:type="dxa"/>
                  <w:vAlign w:val="center"/>
                </w:tcPr>
                <w:p w14:paraId="2FEB7AE0" w14:textId="77777777" w:rsidR="009C44B9" w:rsidRDefault="009C44B9" w:rsidP="004F6977">
                  <w:pPr>
                    <w:spacing w:line="240" w:lineRule="auto"/>
                    <w:rPr>
                      <w:color w:val="000000" w:themeColor="text1"/>
                      <w:sz w:val="24"/>
                      <w:szCs w:val="24"/>
                    </w:rPr>
                  </w:pPr>
                  <w:r>
                    <w:rPr>
                      <w:color w:val="000000" w:themeColor="text1"/>
                      <w:sz w:val="24"/>
                      <w:szCs w:val="24"/>
                    </w:rPr>
                    <w:t>FITC anti-mouse Ly-6G Antibody (1A8)</w:t>
                  </w:r>
                </w:p>
              </w:tc>
              <w:tc>
                <w:tcPr>
                  <w:tcW w:w="1990" w:type="dxa"/>
                  <w:vAlign w:val="center"/>
                </w:tcPr>
                <w:p w14:paraId="77D5A0F7"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598D0968" w14:textId="77777777" w:rsidR="009C44B9" w:rsidRDefault="009C44B9" w:rsidP="004F6977">
                  <w:pPr>
                    <w:spacing w:line="240" w:lineRule="auto"/>
                    <w:rPr>
                      <w:color w:val="000000" w:themeColor="text1"/>
                      <w:sz w:val="24"/>
                      <w:szCs w:val="24"/>
                    </w:rPr>
                  </w:pPr>
                  <w:r>
                    <w:rPr>
                      <w:color w:val="000000" w:themeColor="text1"/>
                      <w:sz w:val="24"/>
                      <w:szCs w:val="24"/>
                    </w:rPr>
                    <w:t>Cat# 127606, RRID: AB_1236494</w:t>
                  </w:r>
                </w:p>
              </w:tc>
            </w:tr>
            <w:tr w:rsidR="009C44B9" w14:paraId="70140FC1" w14:textId="77777777" w:rsidTr="004F6977">
              <w:trPr>
                <w:trHeight w:val="324"/>
              </w:trPr>
              <w:tc>
                <w:tcPr>
                  <w:tcW w:w="4039" w:type="dxa"/>
                  <w:vAlign w:val="center"/>
                </w:tcPr>
                <w:p w14:paraId="5622A91A" w14:textId="77777777" w:rsidR="009C44B9" w:rsidRDefault="009C44B9" w:rsidP="004F6977">
                  <w:pPr>
                    <w:spacing w:line="240" w:lineRule="auto"/>
                    <w:rPr>
                      <w:color w:val="000000" w:themeColor="text1"/>
                      <w:sz w:val="24"/>
                      <w:szCs w:val="24"/>
                    </w:rPr>
                  </w:pPr>
                  <w:r>
                    <w:rPr>
                      <w:color w:val="000000" w:themeColor="text1"/>
                      <w:sz w:val="24"/>
                      <w:szCs w:val="24"/>
                    </w:rPr>
                    <w:t>PE anti-mouse Ly-6C Antibody (HK1.4)</w:t>
                  </w:r>
                </w:p>
              </w:tc>
              <w:tc>
                <w:tcPr>
                  <w:tcW w:w="1990" w:type="dxa"/>
                  <w:vAlign w:val="center"/>
                </w:tcPr>
                <w:p w14:paraId="0ABE2962"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3C464D66" w14:textId="77777777" w:rsidR="009C44B9" w:rsidRDefault="009C44B9" w:rsidP="004F6977">
                  <w:pPr>
                    <w:spacing w:line="240" w:lineRule="auto"/>
                    <w:rPr>
                      <w:color w:val="000000" w:themeColor="text1"/>
                      <w:sz w:val="24"/>
                      <w:szCs w:val="24"/>
                    </w:rPr>
                  </w:pPr>
                  <w:r>
                    <w:rPr>
                      <w:color w:val="000000" w:themeColor="text1"/>
                      <w:sz w:val="24"/>
                      <w:szCs w:val="24"/>
                    </w:rPr>
                    <w:t>Cat# 128008, RRID: AB_1186132</w:t>
                  </w:r>
                </w:p>
              </w:tc>
            </w:tr>
            <w:tr w:rsidR="009C44B9" w14:paraId="6D4FEDE0" w14:textId="77777777" w:rsidTr="004F6977">
              <w:trPr>
                <w:trHeight w:val="324"/>
              </w:trPr>
              <w:tc>
                <w:tcPr>
                  <w:tcW w:w="4039" w:type="dxa"/>
                  <w:vAlign w:val="center"/>
                </w:tcPr>
                <w:p w14:paraId="4CAD46D0" w14:textId="77777777" w:rsidR="009C44B9" w:rsidRDefault="009C44B9" w:rsidP="004F6977">
                  <w:pPr>
                    <w:spacing w:line="240" w:lineRule="auto"/>
                    <w:rPr>
                      <w:color w:val="000000" w:themeColor="text1"/>
                      <w:sz w:val="24"/>
                      <w:szCs w:val="24"/>
                    </w:rPr>
                  </w:pPr>
                  <w:r>
                    <w:rPr>
                      <w:color w:val="000000" w:themeColor="text1"/>
                      <w:sz w:val="24"/>
                      <w:szCs w:val="24"/>
                    </w:rPr>
                    <w:t>Brilliant Violet 510™ anti-mouse CD3 Antibody (17A2)</w:t>
                  </w:r>
                </w:p>
              </w:tc>
              <w:tc>
                <w:tcPr>
                  <w:tcW w:w="1990" w:type="dxa"/>
                  <w:vAlign w:val="center"/>
                </w:tcPr>
                <w:p w14:paraId="2E828263"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5FD0EE39" w14:textId="77777777" w:rsidR="009C44B9" w:rsidRDefault="009C44B9" w:rsidP="004F6977">
                  <w:pPr>
                    <w:spacing w:line="240" w:lineRule="auto"/>
                    <w:rPr>
                      <w:color w:val="000000" w:themeColor="text1"/>
                      <w:sz w:val="24"/>
                      <w:szCs w:val="24"/>
                    </w:rPr>
                  </w:pPr>
                  <w:r>
                    <w:rPr>
                      <w:color w:val="000000" w:themeColor="text1"/>
                      <w:sz w:val="24"/>
                      <w:szCs w:val="24"/>
                    </w:rPr>
                    <w:t>Cat# 100234, RRID: AB_2562555</w:t>
                  </w:r>
                </w:p>
              </w:tc>
            </w:tr>
            <w:tr w:rsidR="009C44B9" w14:paraId="650D1C32" w14:textId="77777777" w:rsidTr="004F6977">
              <w:trPr>
                <w:trHeight w:val="324"/>
              </w:trPr>
              <w:tc>
                <w:tcPr>
                  <w:tcW w:w="4039" w:type="dxa"/>
                  <w:vAlign w:val="center"/>
                </w:tcPr>
                <w:p w14:paraId="2E659D2B" w14:textId="77777777" w:rsidR="009C44B9" w:rsidRDefault="009C44B9" w:rsidP="004F6977">
                  <w:pPr>
                    <w:spacing w:line="240" w:lineRule="auto"/>
                    <w:rPr>
                      <w:color w:val="000000" w:themeColor="text1"/>
                      <w:sz w:val="24"/>
                      <w:szCs w:val="24"/>
                    </w:rPr>
                  </w:pPr>
                  <w:r>
                    <w:rPr>
                      <w:color w:val="000000" w:themeColor="text1"/>
                      <w:sz w:val="24"/>
                      <w:szCs w:val="24"/>
                    </w:rPr>
                    <w:t>Brilliant Violet 785™ anti-mouse CD3</w:t>
                  </w:r>
                  <w:r>
                    <w:rPr>
                      <w:rFonts w:hint="eastAsia"/>
                      <w:color w:val="000000" w:themeColor="text1"/>
                      <w:sz w:val="24"/>
                      <w:szCs w:val="24"/>
                    </w:rPr>
                    <w:t xml:space="preserve"> </w:t>
                  </w:r>
                  <w:r>
                    <w:rPr>
                      <w:color w:val="000000" w:themeColor="text1"/>
                      <w:sz w:val="24"/>
                      <w:szCs w:val="24"/>
                    </w:rPr>
                    <w:t>Antibody</w:t>
                  </w:r>
                </w:p>
              </w:tc>
              <w:tc>
                <w:tcPr>
                  <w:tcW w:w="1990" w:type="dxa"/>
                  <w:vAlign w:val="center"/>
                </w:tcPr>
                <w:p w14:paraId="0B4B3897"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5FC6B4A6" w14:textId="77777777" w:rsidR="009C44B9" w:rsidRDefault="009C44B9" w:rsidP="004F6977">
                  <w:pPr>
                    <w:spacing w:line="240" w:lineRule="auto"/>
                    <w:rPr>
                      <w:color w:val="000000" w:themeColor="text1"/>
                      <w:sz w:val="24"/>
                      <w:szCs w:val="24"/>
                    </w:rPr>
                  </w:pPr>
                  <w:r>
                    <w:rPr>
                      <w:color w:val="000000" w:themeColor="text1"/>
                      <w:sz w:val="24"/>
                      <w:szCs w:val="24"/>
                    </w:rPr>
                    <w:t xml:space="preserve">Cat# </w:t>
                  </w:r>
                  <w:r>
                    <w:rPr>
                      <w:rFonts w:hint="eastAsia"/>
                      <w:color w:val="000000" w:themeColor="text1"/>
                      <w:sz w:val="24"/>
                      <w:szCs w:val="24"/>
                    </w:rPr>
                    <w:t>100232</w:t>
                  </w:r>
                  <w:r>
                    <w:rPr>
                      <w:color w:val="000000" w:themeColor="text1"/>
                      <w:sz w:val="24"/>
                      <w:szCs w:val="24"/>
                    </w:rPr>
                    <w:t>, RRID:</w:t>
                  </w:r>
                  <w:r>
                    <w:rPr>
                      <w:color w:val="000000" w:themeColor="text1"/>
                    </w:rPr>
                    <w:t xml:space="preserve"> </w:t>
                  </w:r>
                  <w:r>
                    <w:rPr>
                      <w:color w:val="000000" w:themeColor="text1"/>
                      <w:sz w:val="24"/>
                      <w:szCs w:val="24"/>
                    </w:rPr>
                    <w:t>AB_2562554</w:t>
                  </w:r>
                </w:p>
              </w:tc>
            </w:tr>
            <w:tr w:rsidR="009C44B9" w14:paraId="09F4EE51" w14:textId="77777777" w:rsidTr="004F6977">
              <w:trPr>
                <w:trHeight w:val="324"/>
              </w:trPr>
              <w:tc>
                <w:tcPr>
                  <w:tcW w:w="4039" w:type="dxa"/>
                  <w:vAlign w:val="center"/>
                </w:tcPr>
                <w:p w14:paraId="42FF867A" w14:textId="77777777" w:rsidR="009C44B9" w:rsidRDefault="009C44B9" w:rsidP="004F6977">
                  <w:pPr>
                    <w:spacing w:line="240" w:lineRule="auto"/>
                    <w:rPr>
                      <w:color w:val="000000" w:themeColor="text1"/>
                      <w:sz w:val="24"/>
                      <w:szCs w:val="24"/>
                    </w:rPr>
                  </w:pPr>
                  <w:r>
                    <w:rPr>
                      <w:color w:val="000000" w:themeColor="text1"/>
                      <w:sz w:val="24"/>
                      <w:szCs w:val="24"/>
                    </w:rPr>
                    <w:t>PE anti-mouse CD4 Antibody (GK1.5)</w:t>
                  </w:r>
                </w:p>
              </w:tc>
              <w:tc>
                <w:tcPr>
                  <w:tcW w:w="1990" w:type="dxa"/>
                  <w:vAlign w:val="center"/>
                </w:tcPr>
                <w:p w14:paraId="5FD6C7C4"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4DBA950D" w14:textId="77777777" w:rsidR="009C44B9" w:rsidRDefault="009C44B9" w:rsidP="004F6977">
                  <w:pPr>
                    <w:spacing w:line="240" w:lineRule="auto"/>
                    <w:rPr>
                      <w:color w:val="000000" w:themeColor="text1"/>
                      <w:sz w:val="24"/>
                      <w:szCs w:val="24"/>
                    </w:rPr>
                  </w:pPr>
                  <w:r>
                    <w:rPr>
                      <w:color w:val="000000" w:themeColor="text1"/>
                      <w:sz w:val="24"/>
                      <w:szCs w:val="24"/>
                    </w:rPr>
                    <w:t>Cat# 100408, RRID: AB_312693</w:t>
                  </w:r>
                </w:p>
              </w:tc>
            </w:tr>
            <w:tr w:rsidR="009C44B9" w14:paraId="09279AF4" w14:textId="77777777" w:rsidTr="004F6977">
              <w:trPr>
                <w:trHeight w:val="324"/>
              </w:trPr>
              <w:tc>
                <w:tcPr>
                  <w:tcW w:w="4039" w:type="dxa"/>
                  <w:vAlign w:val="center"/>
                </w:tcPr>
                <w:p w14:paraId="14673DB2" w14:textId="77777777" w:rsidR="009C44B9" w:rsidRDefault="009C44B9" w:rsidP="004F6977">
                  <w:pPr>
                    <w:spacing w:line="240" w:lineRule="auto"/>
                    <w:rPr>
                      <w:color w:val="000000" w:themeColor="text1"/>
                      <w:sz w:val="24"/>
                      <w:szCs w:val="24"/>
                    </w:rPr>
                  </w:pPr>
                  <w:r>
                    <w:rPr>
                      <w:color w:val="000000" w:themeColor="text1"/>
                      <w:sz w:val="24"/>
                      <w:szCs w:val="24"/>
                    </w:rPr>
                    <w:t>FITC anti-mouse CD8a Recombinant Antibody (QA17A07)</w:t>
                  </w:r>
                </w:p>
              </w:tc>
              <w:tc>
                <w:tcPr>
                  <w:tcW w:w="1990" w:type="dxa"/>
                  <w:vAlign w:val="center"/>
                </w:tcPr>
                <w:p w14:paraId="57B685D8"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10398172" w14:textId="77777777" w:rsidR="009C44B9" w:rsidRDefault="009C44B9" w:rsidP="004F6977">
                  <w:pPr>
                    <w:spacing w:line="240" w:lineRule="auto"/>
                    <w:rPr>
                      <w:color w:val="000000" w:themeColor="text1"/>
                      <w:sz w:val="24"/>
                      <w:szCs w:val="24"/>
                    </w:rPr>
                  </w:pPr>
                  <w:r>
                    <w:rPr>
                      <w:color w:val="000000" w:themeColor="text1"/>
                      <w:sz w:val="24"/>
                      <w:szCs w:val="24"/>
                    </w:rPr>
                    <w:t>Cat# 155004, RRID: AB_2750211</w:t>
                  </w:r>
                </w:p>
              </w:tc>
            </w:tr>
            <w:tr w:rsidR="009C44B9" w14:paraId="5436A5F7" w14:textId="77777777" w:rsidTr="004F6977">
              <w:trPr>
                <w:trHeight w:val="324"/>
              </w:trPr>
              <w:tc>
                <w:tcPr>
                  <w:tcW w:w="4039" w:type="dxa"/>
                  <w:vAlign w:val="center"/>
                </w:tcPr>
                <w:p w14:paraId="4F704062" w14:textId="77777777" w:rsidR="009C44B9" w:rsidRDefault="009C44B9" w:rsidP="004F6977">
                  <w:pPr>
                    <w:spacing w:line="240" w:lineRule="auto"/>
                    <w:rPr>
                      <w:color w:val="000000" w:themeColor="text1"/>
                      <w:sz w:val="24"/>
                      <w:szCs w:val="24"/>
                    </w:rPr>
                  </w:pPr>
                  <w:r>
                    <w:rPr>
                      <w:color w:val="000000" w:themeColor="text1"/>
                      <w:sz w:val="24"/>
                      <w:szCs w:val="24"/>
                    </w:rPr>
                    <w:lastRenderedPageBreak/>
                    <w:t>Brilliant Violet 605™ anti-mouse CD19 Antibody (6D5)</w:t>
                  </w:r>
                </w:p>
              </w:tc>
              <w:tc>
                <w:tcPr>
                  <w:tcW w:w="1990" w:type="dxa"/>
                  <w:vAlign w:val="center"/>
                </w:tcPr>
                <w:p w14:paraId="2062BCDB"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06F3DB74" w14:textId="77777777" w:rsidR="009C44B9" w:rsidRDefault="009C44B9" w:rsidP="004F6977">
                  <w:pPr>
                    <w:spacing w:line="240" w:lineRule="auto"/>
                    <w:rPr>
                      <w:color w:val="000000" w:themeColor="text1"/>
                      <w:sz w:val="24"/>
                      <w:szCs w:val="24"/>
                    </w:rPr>
                  </w:pPr>
                  <w:r>
                    <w:rPr>
                      <w:color w:val="000000" w:themeColor="text1"/>
                      <w:sz w:val="24"/>
                      <w:szCs w:val="24"/>
                    </w:rPr>
                    <w:t>Cat# 115540, RRID: AB_2563067</w:t>
                  </w:r>
                </w:p>
              </w:tc>
            </w:tr>
            <w:tr w:rsidR="009C44B9" w14:paraId="073B6A7C" w14:textId="77777777" w:rsidTr="004F6977">
              <w:trPr>
                <w:trHeight w:val="324"/>
              </w:trPr>
              <w:tc>
                <w:tcPr>
                  <w:tcW w:w="4039" w:type="dxa"/>
                  <w:vAlign w:val="center"/>
                </w:tcPr>
                <w:p w14:paraId="4F89D0BE" w14:textId="77777777" w:rsidR="009C44B9" w:rsidRDefault="009C44B9" w:rsidP="004F6977">
                  <w:pPr>
                    <w:spacing w:line="240" w:lineRule="auto"/>
                    <w:rPr>
                      <w:color w:val="000000" w:themeColor="text1"/>
                      <w:sz w:val="24"/>
                      <w:szCs w:val="24"/>
                    </w:rPr>
                  </w:pPr>
                  <w:r>
                    <w:rPr>
                      <w:color w:val="000000" w:themeColor="text1"/>
                      <w:sz w:val="24"/>
                      <w:szCs w:val="24"/>
                    </w:rPr>
                    <w:t>FITC anti-</w:t>
                  </w:r>
                  <w:r>
                    <w:rPr>
                      <w:rFonts w:hint="eastAsia"/>
                      <w:color w:val="000000" w:themeColor="text1"/>
                      <w:sz w:val="24"/>
                      <w:szCs w:val="24"/>
                    </w:rPr>
                    <w:t>m</w:t>
                  </w:r>
                  <w:r>
                    <w:rPr>
                      <w:color w:val="000000" w:themeColor="text1"/>
                      <w:sz w:val="24"/>
                      <w:szCs w:val="24"/>
                    </w:rPr>
                    <w:t>ouse CD19 Antibody</w:t>
                  </w:r>
                </w:p>
              </w:tc>
              <w:tc>
                <w:tcPr>
                  <w:tcW w:w="1990" w:type="dxa"/>
                  <w:vAlign w:val="center"/>
                </w:tcPr>
                <w:p w14:paraId="7519E4F5" w14:textId="77777777" w:rsidR="009C44B9" w:rsidRDefault="009C44B9" w:rsidP="004F6977">
                  <w:pPr>
                    <w:spacing w:line="240" w:lineRule="auto"/>
                    <w:rPr>
                      <w:color w:val="000000" w:themeColor="text1"/>
                      <w:sz w:val="24"/>
                      <w:szCs w:val="24"/>
                    </w:rPr>
                  </w:pPr>
                  <w:r>
                    <w:rPr>
                      <w:color w:val="000000" w:themeColor="text1"/>
                      <w:sz w:val="24"/>
                      <w:szCs w:val="24"/>
                    </w:rPr>
                    <w:t>BD Biosciences</w:t>
                  </w:r>
                </w:p>
              </w:tc>
              <w:tc>
                <w:tcPr>
                  <w:tcW w:w="4036" w:type="dxa"/>
                  <w:vAlign w:val="center"/>
                </w:tcPr>
                <w:p w14:paraId="7D718655" w14:textId="77777777" w:rsidR="009C44B9" w:rsidRDefault="009C44B9" w:rsidP="004F6977">
                  <w:pPr>
                    <w:spacing w:line="240" w:lineRule="auto"/>
                    <w:rPr>
                      <w:color w:val="000000" w:themeColor="text1"/>
                      <w:sz w:val="24"/>
                      <w:szCs w:val="24"/>
                    </w:rPr>
                  </w:pPr>
                  <w:bookmarkStart w:id="14" w:name="OLE_LINK7"/>
                  <w:r>
                    <w:rPr>
                      <w:color w:val="000000" w:themeColor="text1"/>
                      <w:sz w:val="24"/>
                      <w:szCs w:val="24"/>
                    </w:rPr>
                    <w:t>Cat# 557398, RRID: AB_396681</w:t>
                  </w:r>
                  <w:bookmarkEnd w:id="14"/>
                </w:p>
              </w:tc>
            </w:tr>
            <w:tr w:rsidR="009C44B9" w14:paraId="2351C318" w14:textId="77777777" w:rsidTr="004F6977">
              <w:trPr>
                <w:trHeight w:val="324"/>
              </w:trPr>
              <w:tc>
                <w:tcPr>
                  <w:tcW w:w="4039" w:type="dxa"/>
                  <w:vAlign w:val="center"/>
                </w:tcPr>
                <w:p w14:paraId="0D70D76A" w14:textId="77777777" w:rsidR="009C44B9" w:rsidRDefault="009C44B9" w:rsidP="004F6977">
                  <w:pPr>
                    <w:spacing w:line="240" w:lineRule="auto"/>
                    <w:rPr>
                      <w:color w:val="000000" w:themeColor="text1"/>
                      <w:sz w:val="24"/>
                      <w:szCs w:val="24"/>
                    </w:rPr>
                  </w:pPr>
                  <w:r>
                    <w:rPr>
                      <w:color w:val="000000" w:themeColor="text1"/>
                      <w:sz w:val="24"/>
                      <w:szCs w:val="24"/>
                    </w:rPr>
                    <w:t>PE anti-mouse CD19 Antibody</w:t>
                  </w:r>
                </w:p>
              </w:tc>
              <w:tc>
                <w:tcPr>
                  <w:tcW w:w="1990" w:type="dxa"/>
                  <w:vAlign w:val="center"/>
                </w:tcPr>
                <w:p w14:paraId="3D04B21C"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7831A347" w14:textId="77777777" w:rsidR="009C44B9" w:rsidRDefault="009C44B9" w:rsidP="004F6977">
                  <w:pPr>
                    <w:spacing w:line="240" w:lineRule="auto"/>
                    <w:rPr>
                      <w:color w:val="000000" w:themeColor="text1"/>
                      <w:sz w:val="24"/>
                      <w:szCs w:val="24"/>
                    </w:rPr>
                  </w:pPr>
                  <w:r>
                    <w:rPr>
                      <w:color w:val="000000" w:themeColor="text1"/>
                      <w:sz w:val="24"/>
                      <w:szCs w:val="24"/>
                    </w:rPr>
                    <w:t>Cat# 152408, RRID: AB_2629817</w:t>
                  </w:r>
                </w:p>
              </w:tc>
            </w:tr>
            <w:tr w:rsidR="009C44B9" w14:paraId="6A38533F" w14:textId="77777777" w:rsidTr="004F6977">
              <w:trPr>
                <w:trHeight w:val="324"/>
              </w:trPr>
              <w:tc>
                <w:tcPr>
                  <w:tcW w:w="4039" w:type="dxa"/>
                  <w:vAlign w:val="center"/>
                </w:tcPr>
                <w:p w14:paraId="12B64391" w14:textId="77777777" w:rsidR="009C44B9" w:rsidRDefault="009C44B9" w:rsidP="004F6977">
                  <w:pPr>
                    <w:spacing w:line="240" w:lineRule="auto"/>
                    <w:rPr>
                      <w:color w:val="000000" w:themeColor="text1"/>
                      <w:sz w:val="24"/>
                      <w:szCs w:val="24"/>
                    </w:rPr>
                  </w:pPr>
                  <w:r>
                    <w:rPr>
                      <w:color w:val="000000" w:themeColor="text1"/>
                      <w:sz w:val="24"/>
                      <w:szCs w:val="24"/>
                    </w:rPr>
                    <w:t>APC anti-mouse NK-1.1 Antibody (PK136)</w:t>
                  </w:r>
                </w:p>
              </w:tc>
              <w:tc>
                <w:tcPr>
                  <w:tcW w:w="1990" w:type="dxa"/>
                  <w:vAlign w:val="center"/>
                </w:tcPr>
                <w:p w14:paraId="754ACEF7"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51F2C9E6" w14:textId="77777777" w:rsidR="009C44B9" w:rsidRDefault="009C44B9" w:rsidP="004F6977">
                  <w:pPr>
                    <w:spacing w:line="240" w:lineRule="auto"/>
                    <w:rPr>
                      <w:color w:val="000000" w:themeColor="text1"/>
                      <w:sz w:val="24"/>
                      <w:szCs w:val="24"/>
                    </w:rPr>
                  </w:pPr>
                  <w:r>
                    <w:rPr>
                      <w:color w:val="000000" w:themeColor="text1"/>
                      <w:sz w:val="24"/>
                      <w:szCs w:val="24"/>
                    </w:rPr>
                    <w:t>Cat# 108710, RRID: AB_313397</w:t>
                  </w:r>
                </w:p>
              </w:tc>
            </w:tr>
            <w:tr w:rsidR="009C44B9" w14:paraId="63D224A8" w14:textId="77777777" w:rsidTr="004F6977">
              <w:trPr>
                <w:trHeight w:val="324"/>
              </w:trPr>
              <w:tc>
                <w:tcPr>
                  <w:tcW w:w="4039" w:type="dxa"/>
                  <w:vAlign w:val="center"/>
                </w:tcPr>
                <w:p w14:paraId="0DDE77CC" w14:textId="77777777" w:rsidR="009C44B9" w:rsidRDefault="009C44B9" w:rsidP="004F6977">
                  <w:pPr>
                    <w:spacing w:line="240" w:lineRule="auto"/>
                    <w:rPr>
                      <w:color w:val="000000" w:themeColor="text1"/>
                      <w:sz w:val="24"/>
                      <w:szCs w:val="24"/>
                    </w:rPr>
                  </w:pPr>
                  <w:r>
                    <w:rPr>
                      <w:color w:val="000000" w:themeColor="text1"/>
                      <w:sz w:val="24"/>
                      <w:szCs w:val="24"/>
                    </w:rPr>
                    <w:t>Alexa Fluor 700 anti-mouse CD21/CD35 (CR2/CR1) Antibody (7E9)</w:t>
                  </w:r>
                </w:p>
              </w:tc>
              <w:tc>
                <w:tcPr>
                  <w:tcW w:w="1990" w:type="dxa"/>
                  <w:vAlign w:val="center"/>
                </w:tcPr>
                <w:p w14:paraId="2AA693C5"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537FAB0E" w14:textId="77777777" w:rsidR="009C44B9" w:rsidRDefault="009C44B9" w:rsidP="004F6977">
                  <w:pPr>
                    <w:spacing w:line="240" w:lineRule="auto"/>
                    <w:rPr>
                      <w:color w:val="000000" w:themeColor="text1"/>
                      <w:sz w:val="24"/>
                      <w:szCs w:val="24"/>
                    </w:rPr>
                  </w:pPr>
                  <w:r>
                    <w:rPr>
                      <w:color w:val="000000" w:themeColor="text1"/>
                      <w:sz w:val="24"/>
                      <w:szCs w:val="24"/>
                    </w:rPr>
                    <w:t>Cat# 123432, RRID: AB_2860650</w:t>
                  </w:r>
                </w:p>
              </w:tc>
            </w:tr>
            <w:tr w:rsidR="009C44B9" w14:paraId="093D9E97" w14:textId="77777777" w:rsidTr="004F6977">
              <w:trPr>
                <w:trHeight w:val="324"/>
              </w:trPr>
              <w:tc>
                <w:tcPr>
                  <w:tcW w:w="4039" w:type="dxa"/>
                  <w:vAlign w:val="center"/>
                </w:tcPr>
                <w:p w14:paraId="0FD52271" w14:textId="77777777" w:rsidR="009C44B9" w:rsidRDefault="009C44B9" w:rsidP="004F6977">
                  <w:pPr>
                    <w:spacing w:line="240" w:lineRule="auto"/>
                    <w:rPr>
                      <w:color w:val="000000" w:themeColor="text1"/>
                      <w:sz w:val="24"/>
                      <w:szCs w:val="24"/>
                    </w:rPr>
                  </w:pPr>
                  <w:r>
                    <w:rPr>
                      <w:color w:val="000000" w:themeColor="text1"/>
                      <w:sz w:val="24"/>
                      <w:szCs w:val="24"/>
                    </w:rPr>
                    <w:t>Brilliant Violet 421™ anti-mouse CD21/CD35 (CR2/CR1)</w:t>
                  </w:r>
                  <w:r>
                    <w:rPr>
                      <w:rFonts w:hint="eastAsia"/>
                      <w:color w:val="000000" w:themeColor="text1"/>
                      <w:sz w:val="24"/>
                      <w:szCs w:val="24"/>
                    </w:rPr>
                    <w:t xml:space="preserve"> </w:t>
                  </w:r>
                  <w:r>
                    <w:rPr>
                      <w:color w:val="000000" w:themeColor="text1"/>
                      <w:sz w:val="24"/>
                      <w:szCs w:val="24"/>
                    </w:rPr>
                    <w:t>Antibody</w:t>
                  </w:r>
                </w:p>
              </w:tc>
              <w:tc>
                <w:tcPr>
                  <w:tcW w:w="1990" w:type="dxa"/>
                  <w:vAlign w:val="center"/>
                </w:tcPr>
                <w:p w14:paraId="7E97019E"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02260FED" w14:textId="77777777" w:rsidR="009C44B9" w:rsidRDefault="009C44B9" w:rsidP="004F6977">
                  <w:pPr>
                    <w:spacing w:line="240" w:lineRule="auto"/>
                    <w:rPr>
                      <w:color w:val="000000" w:themeColor="text1"/>
                      <w:sz w:val="24"/>
                      <w:szCs w:val="24"/>
                    </w:rPr>
                  </w:pPr>
                  <w:r>
                    <w:rPr>
                      <w:color w:val="000000" w:themeColor="text1"/>
                      <w:sz w:val="24"/>
                      <w:szCs w:val="24"/>
                    </w:rPr>
                    <w:t xml:space="preserve">Cat# </w:t>
                  </w:r>
                  <w:r>
                    <w:rPr>
                      <w:rFonts w:hint="eastAsia"/>
                      <w:color w:val="000000" w:themeColor="text1"/>
                      <w:sz w:val="24"/>
                      <w:szCs w:val="24"/>
                    </w:rPr>
                    <w:t>123422</w:t>
                  </w:r>
                  <w:r>
                    <w:rPr>
                      <w:color w:val="000000" w:themeColor="text1"/>
                      <w:sz w:val="24"/>
                      <w:szCs w:val="24"/>
                    </w:rPr>
                    <w:t>, RRID:</w:t>
                  </w:r>
                  <w:r>
                    <w:rPr>
                      <w:rFonts w:ascii="Helvetica" w:hAnsi="Helvetica"/>
                      <w:color w:val="000000" w:themeColor="text1"/>
                      <w:shd w:val="clear" w:color="auto" w:fill="FFFFFF"/>
                    </w:rPr>
                    <w:t xml:space="preserve"> </w:t>
                  </w:r>
                  <w:r>
                    <w:rPr>
                      <w:color w:val="000000" w:themeColor="text1"/>
                      <w:sz w:val="24"/>
                      <w:szCs w:val="24"/>
                    </w:rPr>
                    <w:t>AB_2650891</w:t>
                  </w:r>
                </w:p>
              </w:tc>
            </w:tr>
            <w:tr w:rsidR="009C44B9" w14:paraId="6B4FA5D0" w14:textId="77777777" w:rsidTr="004F6977">
              <w:trPr>
                <w:trHeight w:val="324"/>
              </w:trPr>
              <w:tc>
                <w:tcPr>
                  <w:tcW w:w="4039" w:type="dxa"/>
                  <w:vAlign w:val="center"/>
                </w:tcPr>
                <w:p w14:paraId="1BF9AFC5" w14:textId="77777777" w:rsidR="009C44B9" w:rsidRDefault="009C44B9" w:rsidP="004F6977">
                  <w:pPr>
                    <w:spacing w:line="240" w:lineRule="auto"/>
                    <w:rPr>
                      <w:color w:val="000000" w:themeColor="text1"/>
                      <w:sz w:val="24"/>
                      <w:szCs w:val="24"/>
                    </w:rPr>
                  </w:pPr>
                  <w:r>
                    <w:rPr>
                      <w:color w:val="000000" w:themeColor="text1"/>
                      <w:sz w:val="24"/>
                      <w:szCs w:val="24"/>
                    </w:rPr>
                    <w:t>PE/Dazzl</w:t>
                  </w:r>
                  <w:r>
                    <w:rPr>
                      <w:rFonts w:hint="eastAsia"/>
                      <w:color w:val="000000" w:themeColor="text1"/>
                      <w:sz w:val="24"/>
                      <w:szCs w:val="24"/>
                    </w:rPr>
                    <w:t>e</w:t>
                  </w:r>
                  <w:r>
                    <w:rPr>
                      <w:color w:val="000000" w:themeColor="text1"/>
                      <w:sz w:val="24"/>
                      <w:szCs w:val="24"/>
                    </w:rPr>
                    <w:t xml:space="preserve"> 594 anti-mouse CD23 Antibody (B3B4)</w:t>
                  </w:r>
                </w:p>
              </w:tc>
              <w:tc>
                <w:tcPr>
                  <w:tcW w:w="1990" w:type="dxa"/>
                  <w:vAlign w:val="center"/>
                </w:tcPr>
                <w:p w14:paraId="54D8E9C7"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208D645A" w14:textId="77777777" w:rsidR="009C44B9" w:rsidRDefault="009C44B9" w:rsidP="004F6977">
                  <w:pPr>
                    <w:spacing w:line="240" w:lineRule="auto"/>
                    <w:rPr>
                      <w:color w:val="000000" w:themeColor="text1"/>
                      <w:sz w:val="24"/>
                      <w:szCs w:val="24"/>
                    </w:rPr>
                  </w:pPr>
                  <w:r>
                    <w:rPr>
                      <w:color w:val="000000" w:themeColor="text1"/>
                      <w:sz w:val="24"/>
                      <w:szCs w:val="24"/>
                    </w:rPr>
                    <w:t>Cat# 101634, RRID: AB_2687194</w:t>
                  </w:r>
                </w:p>
              </w:tc>
            </w:tr>
            <w:tr w:rsidR="009C44B9" w14:paraId="044D1132" w14:textId="77777777" w:rsidTr="004F6977">
              <w:trPr>
                <w:trHeight w:val="324"/>
              </w:trPr>
              <w:tc>
                <w:tcPr>
                  <w:tcW w:w="4039" w:type="dxa"/>
                  <w:vAlign w:val="center"/>
                </w:tcPr>
                <w:p w14:paraId="69990396" w14:textId="77777777" w:rsidR="009C44B9" w:rsidRDefault="009C44B9" w:rsidP="004F6977">
                  <w:pPr>
                    <w:spacing w:line="240" w:lineRule="auto"/>
                    <w:rPr>
                      <w:color w:val="000000" w:themeColor="text1"/>
                      <w:sz w:val="24"/>
                      <w:szCs w:val="24"/>
                    </w:rPr>
                  </w:pPr>
                  <w:r>
                    <w:rPr>
                      <w:color w:val="000000" w:themeColor="text1"/>
                      <w:sz w:val="24"/>
                      <w:szCs w:val="24"/>
                    </w:rPr>
                    <w:t>Brilliant Violet 605™ anti-mouse CD23 Antibody</w:t>
                  </w:r>
                </w:p>
              </w:tc>
              <w:tc>
                <w:tcPr>
                  <w:tcW w:w="1990" w:type="dxa"/>
                  <w:vAlign w:val="center"/>
                </w:tcPr>
                <w:p w14:paraId="2E2B8868"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571CBB5F" w14:textId="77777777" w:rsidR="009C44B9" w:rsidRDefault="009C44B9" w:rsidP="004F6977">
                  <w:pPr>
                    <w:spacing w:line="240" w:lineRule="auto"/>
                    <w:rPr>
                      <w:color w:val="000000" w:themeColor="text1"/>
                      <w:sz w:val="24"/>
                      <w:szCs w:val="24"/>
                    </w:rPr>
                  </w:pPr>
                  <w:r>
                    <w:rPr>
                      <w:color w:val="000000" w:themeColor="text1"/>
                      <w:sz w:val="24"/>
                      <w:szCs w:val="24"/>
                    </w:rPr>
                    <w:t xml:space="preserve">Cat# </w:t>
                  </w:r>
                  <w:r>
                    <w:rPr>
                      <w:rFonts w:hint="eastAsia"/>
                      <w:color w:val="000000" w:themeColor="text1"/>
                      <w:sz w:val="24"/>
                      <w:szCs w:val="24"/>
                    </w:rPr>
                    <w:t>101637</w:t>
                  </w:r>
                  <w:r>
                    <w:rPr>
                      <w:color w:val="000000" w:themeColor="text1"/>
                      <w:sz w:val="24"/>
                      <w:szCs w:val="24"/>
                    </w:rPr>
                    <w:t>, RRID:</w:t>
                  </w:r>
                  <w:r>
                    <w:rPr>
                      <w:rFonts w:ascii="Helvetica" w:hAnsi="Helvetica"/>
                      <w:color w:val="000000" w:themeColor="text1"/>
                      <w:shd w:val="clear" w:color="auto" w:fill="FFFFFF"/>
                    </w:rPr>
                    <w:t xml:space="preserve"> </w:t>
                  </w:r>
                  <w:r>
                    <w:rPr>
                      <w:color w:val="000000" w:themeColor="text1"/>
                      <w:sz w:val="24"/>
                      <w:szCs w:val="24"/>
                    </w:rPr>
                    <w:t>AB_2832279</w:t>
                  </w:r>
                </w:p>
              </w:tc>
            </w:tr>
            <w:tr w:rsidR="009C44B9" w14:paraId="7FE1CF79" w14:textId="77777777" w:rsidTr="004F6977">
              <w:trPr>
                <w:trHeight w:val="324"/>
              </w:trPr>
              <w:tc>
                <w:tcPr>
                  <w:tcW w:w="4039" w:type="dxa"/>
                  <w:vAlign w:val="center"/>
                </w:tcPr>
                <w:p w14:paraId="1B994AF0" w14:textId="77777777" w:rsidR="009C44B9" w:rsidRDefault="009C44B9" w:rsidP="004F6977">
                  <w:pPr>
                    <w:spacing w:line="240" w:lineRule="auto"/>
                    <w:rPr>
                      <w:color w:val="000000" w:themeColor="text1"/>
                      <w:sz w:val="24"/>
                      <w:szCs w:val="24"/>
                    </w:rPr>
                  </w:pPr>
                  <w:r>
                    <w:rPr>
                      <w:color w:val="000000" w:themeColor="text1"/>
                      <w:sz w:val="24"/>
                      <w:szCs w:val="24"/>
                    </w:rPr>
                    <w:t>APC/Cyanine7 anti-mouse/human CD11b Antibody (M1/70)</w:t>
                  </w:r>
                </w:p>
              </w:tc>
              <w:tc>
                <w:tcPr>
                  <w:tcW w:w="1990" w:type="dxa"/>
                  <w:vAlign w:val="center"/>
                </w:tcPr>
                <w:p w14:paraId="62DC8D43"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42242665" w14:textId="77777777" w:rsidR="009C44B9" w:rsidRDefault="009C44B9" w:rsidP="004F6977">
                  <w:pPr>
                    <w:spacing w:line="240" w:lineRule="auto"/>
                    <w:rPr>
                      <w:color w:val="000000" w:themeColor="text1"/>
                      <w:sz w:val="24"/>
                      <w:szCs w:val="24"/>
                    </w:rPr>
                  </w:pPr>
                  <w:r>
                    <w:rPr>
                      <w:color w:val="000000" w:themeColor="text1"/>
                      <w:sz w:val="24"/>
                      <w:szCs w:val="24"/>
                    </w:rPr>
                    <w:t>Cat# 101226, RRID: AB_830642</w:t>
                  </w:r>
                </w:p>
              </w:tc>
            </w:tr>
            <w:tr w:rsidR="009C44B9" w14:paraId="6A9EE615" w14:textId="77777777" w:rsidTr="004F6977">
              <w:trPr>
                <w:trHeight w:val="324"/>
              </w:trPr>
              <w:tc>
                <w:tcPr>
                  <w:tcW w:w="4039" w:type="dxa"/>
                  <w:vAlign w:val="center"/>
                </w:tcPr>
                <w:p w14:paraId="14E14C8C"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PerCP</w:t>
                  </w:r>
                  <w:proofErr w:type="spellEnd"/>
                  <w:r>
                    <w:rPr>
                      <w:color w:val="000000" w:themeColor="text1"/>
                      <w:sz w:val="24"/>
                      <w:szCs w:val="24"/>
                    </w:rPr>
                    <w:t>/Cyanine5.5 anti-mouse CD11c Antibody</w:t>
                  </w:r>
                </w:p>
              </w:tc>
              <w:tc>
                <w:tcPr>
                  <w:tcW w:w="1990" w:type="dxa"/>
                  <w:vAlign w:val="center"/>
                </w:tcPr>
                <w:p w14:paraId="22424671"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63951DA3" w14:textId="77777777" w:rsidR="009C44B9" w:rsidRDefault="009C44B9" w:rsidP="004F6977">
                  <w:pPr>
                    <w:spacing w:line="240" w:lineRule="auto"/>
                    <w:rPr>
                      <w:color w:val="000000" w:themeColor="text1"/>
                      <w:sz w:val="24"/>
                      <w:szCs w:val="24"/>
                    </w:rPr>
                  </w:pPr>
                  <w:r>
                    <w:rPr>
                      <w:color w:val="000000" w:themeColor="text1"/>
                      <w:sz w:val="24"/>
                      <w:szCs w:val="24"/>
                    </w:rPr>
                    <w:t xml:space="preserve">Cat# </w:t>
                  </w:r>
                  <w:r>
                    <w:rPr>
                      <w:rFonts w:hint="eastAsia"/>
                      <w:color w:val="000000" w:themeColor="text1"/>
                      <w:sz w:val="24"/>
                      <w:szCs w:val="24"/>
                    </w:rPr>
                    <w:t>117328</w:t>
                  </w:r>
                  <w:r>
                    <w:rPr>
                      <w:color w:val="000000" w:themeColor="text1"/>
                      <w:sz w:val="24"/>
                      <w:szCs w:val="24"/>
                    </w:rPr>
                    <w:t>, RRID:</w:t>
                  </w:r>
                  <w:r>
                    <w:rPr>
                      <w:rFonts w:ascii="Helvetica" w:hAnsi="Helvetica"/>
                      <w:color w:val="000000" w:themeColor="text1"/>
                      <w:shd w:val="clear" w:color="auto" w:fill="FFFFFF"/>
                    </w:rPr>
                    <w:t xml:space="preserve"> </w:t>
                  </w:r>
                  <w:r>
                    <w:rPr>
                      <w:color w:val="000000" w:themeColor="text1"/>
                      <w:sz w:val="24"/>
                      <w:szCs w:val="24"/>
                    </w:rPr>
                    <w:t>AB_2129641</w:t>
                  </w:r>
                </w:p>
              </w:tc>
            </w:tr>
            <w:tr w:rsidR="009C44B9" w14:paraId="072C0290" w14:textId="77777777" w:rsidTr="004F6977">
              <w:trPr>
                <w:trHeight w:val="324"/>
              </w:trPr>
              <w:tc>
                <w:tcPr>
                  <w:tcW w:w="4039" w:type="dxa"/>
                  <w:vAlign w:val="center"/>
                </w:tcPr>
                <w:p w14:paraId="6CED94BC" w14:textId="77777777" w:rsidR="009C44B9" w:rsidRDefault="009C44B9" w:rsidP="004F6977">
                  <w:pPr>
                    <w:spacing w:line="240" w:lineRule="auto"/>
                    <w:rPr>
                      <w:color w:val="000000" w:themeColor="text1"/>
                      <w:sz w:val="24"/>
                      <w:szCs w:val="24"/>
                    </w:rPr>
                  </w:pPr>
                  <w:r>
                    <w:rPr>
                      <w:color w:val="000000" w:themeColor="text1"/>
                      <w:sz w:val="24"/>
                      <w:szCs w:val="24"/>
                    </w:rPr>
                    <w:t>PE anti-mouse CD11c Antibody (N418)</w:t>
                  </w:r>
                </w:p>
              </w:tc>
              <w:tc>
                <w:tcPr>
                  <w:tcW w:w="1990" w:type="dxa"/>
                  <w:vAlign w:val="center"/>
                </w:tcPr>
                <w:p w14:paraId="716FD9B8"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6B00578F" w14:textId="77777777" w:rsidR="009C44B9" w:rsidRDefault="009C44B9" w:rsidP="004F6977">
                  <w:pPr>
                    <w:spacing w:line="240" w:lineRule="auto"/>
                    <w:rPr>
                      <w:color w:val="000000" w:themeColor="text1"/>
                      <w:sz w:val="24"/>
                      <w:szCs w:val="24"/>
                    </w:rPr>
                  </w:pPr>
                  <w:r>
                    <w:rPr>
                      <w:color w:val="000000" w:themeColor="text1"/>
                      <w:sz w:val="24"/>
                      <w:szCs w:val="24"/>
                    </w:rPr>
                    <w:t>Cat# 117308, RRID: AB_313777</w:t>
                  </w:r>
                </w:p>
              </w:tc>
            </w:tr>
            <w:tr w:rsidR="009C44B9" w14:paraId="4F58C045" w14:textId="77777777" w:rsidTr="004F6977">
              <w:trPr>
                <w:trHeight w:val="324"/>
              </w:trPr>
              <w:tc>
                <w:tcPr>
                  <w:tcW w:w="4039" w:type="dxa"/>
                  <w:vAlign w:val="center"/>
                </w:tcPr>
                <w:p w14:paraId="3E6AFA4C" w14:textId="77777777" w:rsidR="009C44B9" w:rsidRDefault="009C44B9" w:rsidP="004F6977">
                  <w:pPr>
                    <w:spacing w:line="240" w:lineRule="auto"/>
                    <w:rPr>
                      <w:color w:val="000000" w:themeColor="text1"/>
                      <w:sz w:val="24"/>
                      <w:szCs w:val="24"/>
                    </w:rPr>
                  </w:pPr>
                  <w:r>
                    <w:rPr>
                      <w:color w:val="000000" w:themeColor="text1"/>
                      <w:sz w:val="24"/>
                      <w:szCs w:val="24"/>
                    </w:rPr>
                    <w:t>7-AAD Viability Staining Solution</w:t>
                  </w:r>
                </w:p>
              </w:tc>
              <w:tc>
                <w:tcPr>
                  <w:tcW w:w="1990" w:type="dxa"/>
                  <w:vAlign w:val="center"/>
                </w:tcPr>
                <w:p w14:paraId="291100FD"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0C5FB96A" w14:textId="77777777" w:rsidR="009C44B9" w:rsidRDefault="009C44B9" w:rsidP="004F6977">
                  <w:pPr>
                    <w:spacing w:line="240" w:lineRule="auto"/>
                    <w:rPr>
                      <w:color w:val="000000" w:themeColor="text1"/>
                      <w:sz w:val="24"/>
                      <w:szCs w:val="24"/>
                    </w:rPr>
                  </w:pPr>
                  <w:r>
                    <w:rPr>
                      <w:color w:val="000000" w:themeColor="text1"/>
                      <w:sz w:val="24"/>
                      <w:szCs w:val="24"/>
                    </w:rPr>
                    <w:t>Cat# 420404</w:t>
                  </w:r>
                </w:p>
              </w:tc>
            </w:tr>
            <w:tr w:rsidR="009C44B9" w14:paraId="6B251CBD" w14:textId="77777777" w:rsidTr="004F6977">
              <w:trPr>
                <w:trHeight w:val="324"/>
              </w:trPr>
              <w:tc>
                <w:tcPr>
                  <w:tcW w:w="4039" w:type="dxa"/>
                  <w:vAlign w:val="center"/>
                </w:tcPr>
                <w:p w14:paraId="1AD4E9B7" w14:textId="77777777" w:rsidR="009C44B9" w:rsidRDefault="009C44B9" w:rsidP="004F6977">
                  <w:pPr>
                    <w:spacing w:line="240" w:lineRule="auto"/>
                    <w:rPr>
                      <w:color w:val="000000" w:themeColor="text1"/>
                      <w:sz w:val="24"/>
                      <w:szCs w:val="24"/>
                    </w:rPr>
                  </w:pPr>
                  <w:r>
                    <w:rPr>
                      <w:color w:val="000000" w:themeColor="text1"/>
                      <w:sz w:val="24"/>
                      <w:szCs w:val="24"/>
                    </w:rPr>
                    <w:t xml:space="preserve">Brilliant Violet 650™ anti Ki-67 </w:t>
                  </w:r>
                  <w:r>
                    <w:rPr>
                      <w:rFonts w:hint="eastAsia"/>
                      <w:color w:val="000000" w:themeColor="text1"/>
                      <w:sz w:val="24"/>
                      <w:szCs w:val="24"/>
                    </w:rPr>
                    <w:t>A</w:t>
                  </w:r>
                  <w:r>
                    <w:rPr>
                      <w:color w:val="000000" w:themeColor="text1"/>
                      <w:sz w:val="24"/>
                      <w:szCs w:val="24"/>
                    </w:rPr>
                    <w:t>ntibody (B56)</w:t>
                  </w:r>
                </w:p>
              </w:tc>
              <w:tc>
                <w:tcPr>
                  <w:tcW w:w="1990" w:type="dxa"/>
                  <w:vAlign w:val="center"/>
                </w:tcPr>
                <w:p w14:paraId="7516D25E" w14:textId="77777777" w:rsidR="009C44B9" w:rsidRDefault="009C44B9" w:rsidP="004F6977">
                  <w:pPr>
                    <w:spacing w:line="240" w:lineRule="auto"/>
                    <w:rPr>
                      <w:color w:val="000000" w:themeColor="text1"/>
                      <w:sz w:val="24"/>
                      <w:szCs w:val="24"/>
                    </w:rPr>
                  </w:pPr>
                  <w:r>
                    <w:rPr>
                      <w:color w:val="000000" w:themeColor="text1"/>
                      <w:sz w:val="24"/>
                      <w:szCs w:val="24"/>
                    </w:rPr>
                    <w:t>BD Biosciences</w:t>
                  </w:r>
                </w:p>
              </w:tc>
              <w:tc>
                <w:tcPr>
                  <w:tcW w:w="4036" w:type="dxa"/>
                  <w:vAlign w:val="center"/>
                </w:tcPr>
                <w:p w14:paraId="07914588" w14:textId="77777777" w:rsidR="009C44B9" w:rsidRDefault="009C44B9" w:rsidP="004F6977">
                  <w:pPr>
                    <w:spacing w:line="240" w:lineRule="auto"/>
                    <w:rPr>
                      <w:color w:val="000000" w:themeColor="text1"/>
                      <w:sz w:val="24"/>
                      <w:szCs w:val="24"/>
                    </w:rPr>
                  </w:pPr>
                  <w:r>
                    <w:rPr>
                      <w:color w:val="000000" w:themeColor="text1"/>
                      <w:sz w:val="24"/>
                      <w:szCs w:val="24"/>
                    </w:rPr>
                    <w:t>Cat# 563757</w:t>
                  </w:r>
                  <w:r>
                    <w:rPr>
                      <w:rFonts w:hint="eastAsia"/>
                      <w:color w:val="000000" w:themeColor="text1"/>
                      <w:sz w:val="24"/>
                      <w:szCs w:val="24"/>
                    </w:rPr>
                    <w:t>,</w:t>
                  </w:r>
                  <w:r>
                    <w:rPr>
                      <w:color w:val="000000" w:themeColor="text1"/>
                      <w:sz w:val="24"/>
                      <w:szCs w:val="24"/>
                    </w:rPr>
                    <w:t xml:space="preserve"> RRID: AB_2688008</w:t>
                  </w:r>
                </w:p>
              </w:tc>
            </w:tr>
            <w:tr w:rsidR="009C44B9" w14:paraId="407F8731" w14:textId="77777777" w:rsidTr="004F6977">
              <w:trPr>
                <w:trHeight w:val="324"/>
              </w:trPr>
              <w:tc>
                <w:tcPr>
                  <w:tcW w:w="4039" w:type="dxa"/>
                  <w:vAlign w:val="center"/>
                </w:tcPr>
                <w:p w14:paraId="09CC708E" w14:textId="77777777" w:rsidR="009C44B9" w:rsidRDefault="009C44B9" w:rsidP="004F6977">
                  <w:pPr>
                    <w:spacing w:line="240" w:lineRule="auto"/>
                    <w:rPr>
                      <w:color w:val="000000" w:themeColor="text1"/>
                      <w:sz w:val="24"/>
                      <w:szCs w:val="24"/>
                    </w:rPr>
                  </w:pPr>
                  <w:r>
                    <w:rPr>
                      <w:color w:val="000000" w:themeColor="text1"/>
                      <w:sz w:val="24"/>
                      <w:szCs w:val="24"/>
                    </w:rPr>
                    <w:t>APC anti-Mouse CD138</w:t>
                  </w:r>
                  <w:r>
                    <w:rPr>
                      <w:rFonts w:hint="eastAsia"/>
                      <w:color w:val="000000" w:themeColor="text1"/>
                      <w:sz w:val="24"/>
                      <w:szCs w:val="24"/>
                    </w:rPr>
                    <w:t xml:space="preserve"> A</w:t>
                  </w:r>
                  <w:r>
                    <w:rPr>
                      <w:color w:val="000000" w:themeColor="text1"/>
                      <w:sz w:val="24"/>
                      <w:szCs w:val="24"/>
                    </w:rPr>
                    <w:t>ntibody</w:t>
                  </w:r>
                </w:p>
              </w:tc>
              <w:tc>
                <w:tcPr>
                  <w:tcW w:w="1990" w:type="dxa"/>
                  <w:vAlign w:val="center"/>
                </w:tcPr>
                <w:p w14:paraId="0306AEAA" w14:textId="77777777" w:rsidR="009C44B9" w:rsidRDefault="009C44B9" w:rsidP="004F6977">
                  <w:pPr>
                    <w:spacing w:line="240" w:lineRule="auto"/>
                    <w:rPr>
                      <w:color w:val="000000" w:themeColor="text1"/>
                      <w:sz w:val="24"/>
                      <w:szCs w:val="24"/>
                    </w:rPr>
                  </w:pPr>
                  <w:r>
                    <w:rPr>
                      <w:color w:val="000000" w:themeColor="text1"/>
                      <w:sz w:val="24"/>
                      <w:szCs w:val="24"/>
                    </w:rPr>
                    <w:t>BD Biosciences</w:t>
                  </w:r>
                </w:p>
              </w:tc>
              <w:tc>
                <w:tcPr>
                  <w:tcW w:w="4036" w:type="dxa"/>
                  <w:vAlign w:val="center"/>
                </w:tcPr>
                <w:p w14:paraId="32675047" w14:textId="77777777" w:rsidR="009C44B9" w:rsidRDefault="009C44B9" w:rsidP="004F6977">
                  <w:pPr>
                    <w:spacing w:line="240" w:lineRule="auto"/>
                    <w:rPr>
                      <w:color w:val="000000" w:themeColor="text1"/>
                      <w:sz w:val="24"/>
                      <w:szCs w:val="24"/>
                    </w:rPr>
                  </w:pPr>
                  <w:r>
                    <w:rPr>
                      <w:color w:val="000000" w:themeColor="text1"/>
                      <w:sz w:val="24"/>
                      <w:szCs w:val="24"/>
                    </w:rPr>
                    <w:t>Cat# 558626, RRID: AB_1645216</w:t>
                  </w:r>
                </w:p>
              </w:tc>
            </w:tr>
            <w:tr w:rsidR="009C44B9" w14:paraId="0A34B24B" w14:textId="77777777" w:rsidTr="004F6977">
              <w:trPr>
                <w:trHeight w:val="324"/>
              </w:trPr>
              <w:tc>
                <w:tcPr>
                  <w:tcW w:w="4039" w:type="dxa"/>
                  <w:vAlign w:val="center"/>
                </w:tcPr>
                <w:p w14:paraId="777233A5" w14:textId="77777777" w:rsidR="009C44B9" w:rsidRDefault="009C44B9" w:rsidP="004F6977">
                  <w:pPr>
                    <w:spacing w:line="240" w:lineRule="auto"/>
                    <w:rPr>
                      <w:color w:val="000000" w:themeColor="text1"/>
                      <w:sz w:val="24"/>
                      <w:szCs w:val="24"/>
                    </w:rPr>
                  </w:pPr>
                  <w:r>
                    <w:rPr>
                      <w:color w:val="000000" w:themeColor="text1"/>
                      <w:sz w:val="24"/>
                      <w:szCs w:val="24"/>
                    </w:rPr>
                    <w:t>Alexa Fluor® 700 anti-mouse CD5 Antibody</w:t>
                  </w:r>
                </w:p>
              </w:tc>
              <w:tc>
                <w:tcPr>
                  <w:tcW w:w="1990" w:type="dxa"/>
                  <w:vAlign w:val="center"/>
                </w:tcPr>
                <w:p w14:paraId="733440C4"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36A59AE9" w14:textId="77777777" w:rsidR="009C44B9" w:rsidRDefault="009C44B9" w:rsidP="004F6977">
                  <w:pPr>
                    <w:spacing w:line="240" w:lineRule="auto"/>
                    <w:rPr>
                      <w:color w:val="000000" w:themeColor="text1"/>
                      <w:sz w:val="24"/>
                      <w:szCs w:val="24"/>
                    </w:rPr>
                  </w:pPr>
                  <w:r>
                    <w:rPr>
                      <w:color w:val="000000" w:themeColor="text1"/>
                      <w:sz w:val="24"/>
                      <w:szCs w:val="24"/>
                    </w:rPr>
                    <w:t xml:space="preserve">Cat# </w:t>
                  </w:r>
                  <w:r>
                    <w:rPr>
                      <w:rFonts w:hint="eastAsia"/>
                      <w:color w:val="000000" w:themeColor="text1"/>
                      <w:sz w:val="24"/>
                      <w:szCs w:val="24"/>
                    </w:rPr>
                    <w:t>100636</w:t>
                  </w:r>
                  <w:r>
                    <w:rPr>
                      <w:color w:val="000000" w:themeColor="text1"/>
                      <w:sz w:val="24"/>
                      <w:szCs w:val="24"/>
                    </w:rPr>
                    <w:t>, RRID:</w:t>
                  </w:r>
                  <w:r>
                    <w:rPr>
                      <w:rFonts w:hint="eastAsia"/>
                      <w:color w:val="000000" w:themeColor="text1"/>
                      <w:sz w:val="24"/>
                      <w:szCs w:val="24"/>
                    </w:rPr>
                    <w:t xml:space="preserve"> </w:t>
                  </w:r>
                  <w:r>
                    <w:rPr>
                      <w:color w:val="000000" w:themeColor="text1"/>
                      <w:sz w:val="24"/>
                      <w:szCs w:val="24"/>
                    </w:rPr>
                    <w:t>AB_2687002</w:t>
                  </w:r>
                </w:p>
              </w:tc>
            </w:tr>
            <w:tr w:rsidR="009C44B9" w14:paraId="651A1144" w14:textId="77777777" w:rsidTr="004F6977">
              <w:trPr>
                <w:trHeight w:val="324"/>
              </w:trPr>
              <w:tc>
                <w:tcPr>
                  <w:tcW w:w="4039" w:type="dxa"/>
                  <w:vAlign w:val="center"/>
                </w:tcPr>
                <w:p w14:paraId="22A88BF7" w14:textId="77777777" w:rsidR="009C44B9" w:rsidRDefault="009C44B9" w:rsidP="004F6977">
                  <w:pPr>
                    <w:spacing w:line="240" w:lineRule="auto"/>
                    <w:rPr>
                      <w:color w:val="000000" w:themeColor="text1"/>
                      <w:sz w:val="24"/>
                      <w:szCs w:val="24"/>
                    </w:rPr>
                  </w:pPr>
                  <w:r>
                    <w:rPr>
                      <w:rFonts w:hint="eastAsia"/>
                      <w:color w:val="000000" w:themeColor="text1"/>
                      <w:sz w:val="24"/>
                      <w:szCs w:val="24"/>
                    </w:rPr>
                    <w:t>PE-SIP1/ZEB2 (E-11) A</w:t>
                  </w:r>
                  <w:r>
                    <w:rPr>
                      <w:color w:val="000000" w:themeColor="text1"/>
                      <w:sz w:val="24"/>
                      <w:szCs w:val="24"/>
                    </w:rPr>
                    <w:t>ntibody</w:t>
                  </w:r>
                </w:p>
              </w:tc>
              <w:tc>
                <w:tcPr>
                  <w:tcW w:w="1990" w:type="dxa"/>
                  <w:vAlign w:val="center"/>
                </w:tcPr>
                <w:p w14:paraId="370E365B" w14:textId="77777777" w:rsidR="009C44B9" w:rsidRDefault="009C44B9" w:rsidP="004F6977">
                  <w:pPr>
                    <w:spacing w:line="240" w:lineRule="auto"/>
                    <w:rPr>
                      <w:color w:val="000000" w:themeColor="text1"/>
                      <w:sz w:val="24"/>
                      <w:szCs w:val="24"/>
                    </w:rPr>
                  </w:pPr>
                  <w:r>
                    <w:rPr>
                      <w:color w:val="000000" w:themeColor="text1"/>
                      <w:sz w:val="24"/>
                      <w:szCs w:val="24"/>
                    </w:rPr>
                    <w:t>Santa</w:t>
                  </w:r>
                </w:p>
              </w:tc>
              <w:tc>
                <w:tcPr>
                  <w:tcW w:w="4036" w:type="dxa"/>
                  <w:vAlign w:val="center"/>
                </w:tcPr>
                <w:p w14:paraId="374820AB" w14:textId="77777777" w:rsidR="009C44B9" w:rsidRDefault="009C44B9" w:rsidP="004F6977">
                  <w:pPr>
                    <w:spacing w:line="240" w:lineRule="auto"/>
                    <w:rPr>
                      <w:color w:val="000000" w:themeColor="text1"/>
                      <w:sz w:val="24"/>
                      <w:szCs w:val="24"/>
                    </w:rPr>
                  </w:pPr>
                  <w:r>
                    <w:rPr>
                      <w:rFonts w:hint="eastAsia"/>
                      <w:color w:val="000000" w:themeColor="text1"/>
                      <w:sz w:val="24"/>
                      <w:szCs w:val="24"/>
                    </w:rPr>
                    <w:t xml:space="preserve">Cat# </w:t>
                  </w:r>
                  <w:r>
                    <w:rPr>
                      <w:color w:val="000000" w:themeColor="text1"/>
                      <w:sz w:val="24"/>
                      <w:szCs w:val="24"/>
                    </w:rPr>
                    <w:t>sc-271984PE</w:t>
                  </w:r>
                </w:p>
              </w:tc>
            </w:tr>
            <w:tr w:rsidR="009C44B9" w14:paraId="73F3E3BA" w14:textId="77777777" w:rsidTr="004F6977">
              <w:trPr>
                <w:trHeight w:val="324"/>
              </w:trPr>
              <w:tc>
                <w:tcPr>
                  <w:tcW w:w="4039" w:type="dxa"/>
                  <w:vAlign w:val="center"/>
                </w:tcPr>
                <w:p w14:paraId="3415530B" w14:textId="77777777" w:rsidR="009C44B9" w:rsidRDefault="009C44B9" w:rsidP="004F6977">
                  <w:pPr>
                    <w:spacing w:line="240" w:lineRule="auto"/>
                    <w:rPr>
                      <w:color w:val="000000" w:themeColor="text1"/>
                      <w:sz w:val="24"/>
                      <w:szCs w:val="24"/>
                    </w:rPr>
                  </w:pPr>
                  <w:r>
                    <w:rPr>
                      <w:color w:val="000000" w:themeColor="text1"/>
                      <w:sz w:val="24"/>
                      <w:szCs w:val="24"/>
                    </w:rPr>
                    <w:t>BV786 anti-mouse T-bet</w:t>
                  </w:r>
                  <w:r>
                    <w:rPr>
                      <w:rFonts w:hint="eastAsia"/>
                      <w:color w:val="000000" w:themeColor="text1"/>
                      <w:sz w:val="24"/>
                      <w:szCs w:val="24"/>
                    </w:rPr>
                    <w:t xml:space="preserve"> Antibody</w:t>
                  </w:r>
                </w:p>
              </w:tc>
              <w:tc>
                <w:tcPr>
                  <w:tcW w:w="1990" w:type="dxa"/>
                  <w:vAlign w:val="center"/>
                </w:tcPr>
                <w:p w14:paraId="311F91B5" w14:textId="77777777" w:rsidR="009C44B9" w:rsidRDefault="009C44B9" w:rsidP="004F6977">
                  <w:pPr>
                    <w:spacing w:line="240" w:lineRule="auto"/>
                    <w:rPr>
                      <w:color w:val="000000" w:themeColor="text1"/>
                      <w:sz w:val="24"/>
                      <w:szCs w:val="24"/>
                    </w:rPr>
                  </w:pPr>
                  <w:r>
                    <w:rPr>
                      <w:color w:val="000000" w:themeColor="text1"/>
                      <w:sz w:val="24"/>
                      <w:szCs w:val="24"/>
                    </w:rPr>
                    <w:t>BD Biosciences</w:t>
                  </w:r>
                </w:p>
              </w:tc>
              <w:tc>
                <w:tcPr>
                  <w:tcW w:w="4036" w:type="dxa"/>
                  <w:vAlign w:val="center"/>
                </w:tcPr>
                <w:p w14:paraId="232595E3" w14:textId="77777777" w:rsidR="009C44B9" w:rsidRDefault="009C44B9" w:rsidP="004F6977">
                  <w:pPr>
                    <w:spacing w:line="240" w:lineRule="auto"/>
                    <w:rPr>
                      <w:color w:val="000000" w:themeColor="text1"/>
                      <w:sz w:val="24"/>
                      <w:szCs w:val="24"/>
                    </w:rPr>
                  </w:pPr>
                  <w:r>
                    <w:rPr>
                      <w:color w:val="000000" w:themeColor="text1"/>
                      <w:sz w:val="24"/>
                      <w:szCs w:val="24"/>
                    </w:rPr>
                    <w:t xml:space="preserve">Cat# </w:t>
                  </w:r>
                  <w:r>
                    <w:rPr>
                      <w:rFonts w:hint="eastAsia"/>
                      <w:color w:val="000000" w:themeColor="text1"/>
                      <w:sz w:val="24"/>
                      <w:szCs w:val="24"/>
                    </w:rPr>
                    <w:t>564141</w:t>
                  </w:r>
                </w:p>
              </w:tc>
            </w:tr>
            <w:tr w:rsidR="009C44B9" w14:paraId="2C5A3B51" w14:textId="77777777" w:rsidTr="004F6977">
              <w:trPr>
                <w:trHeight w:val="324"/>
              </w:trPr>
              <w:tc>
                <w:tcPr>
                  <w:tcW w:w="4039" w:type="dxa"/>
                  <w:vAlign w:val="center"/>
                </w:tcPr>
                <w:p w14:paraId="6E745499" w14:textId="77777777" w:rsidR="009C44B9" w:rsidRDefault="009C44B9" w:rsidP="004F6977">
                  <w:pPr>
                    <w:spacing w:line="240" w:lineRule="auto"/>
                    <w:rPr>
                      <w:color w:val="000000" w:themeColor="text1"/>
                      <w:sz w:val="24"/>
                      <w:szCs w:val="24"/>
                    </w:rPr>
                  </w:pPr>
                  <w:r>
                    <w:rPr>
                      <w:color w:val="000000" w:themeColor="text1"/>
                      <w:sz w:val="24"/>
                      <w:szCs w:val="24"/>
                    </w:rPr>
                    <w:t>Fixable Viability Stain 510</w:t>
                  </w:r>
                </w:p>
              </w:tc>
              <w:tc>
                <w:tcPr>
                  <w:tcW w:w="1990" w:type="dxa"/>
                  <w:vAlign w:val="center"/>
                </w:tcPr>
                <w:p w14:paraId="7FDE5F80" w14:textId="77777777" w:rsidR="009C44B9" w:rsidRDefault="009C44B9" w:rsidP="004F6977">
                  <w:pPr>
                    <w:spacing w:line="240" w:lineRule="auto"/>
                    <w:rPr>
                      <w:color w:val="000000" w:themeColor="text1"/>
                      <w:sz w:val="24"/>
                      <w:szCs w:val="24"/>
                    </w:rPr>
                  </w:pPr>
                  <w:r>
                    <w:rPr>
                      <w:color w:val="000000" w:themeColor="text1"/>
                      <w:sz w:val="24"/>
                      <w:szCs w:val="24"/>
                    </w:rPr>
                    <w:t>BD Biosciences</w:t>
                  </w:r>
                </w:p>
              </w:tc>
              <w:tc>
                <w:tcPr>
                  <w:tcW w:w="4036" w:type="dxa"/>
                  <w:vAlign w:val="center"/>
                </w:tcPr>
                <w:p w14:paraId="11029D53" w14:textId="77777777" w:rsidR="009C44B9" w:rsidRDefault="009C44B9" w:rsidP="004F6977">
                  <w:pPr>
                    <w:spacing w:line="240" w:lineRule="auto"/>
                    <w:rPr>
                      <w:color w:val="000000" w:themeColor="text1"/>
                      <w:sz w:val="24"/>
                      <w:szCs w:val="24"/>
                    </w:rPr>
                  </w:pPr>
                  <w:r>
                    <w:rPr>
                      <w:color w:val="000000" w:themeColor="text1"/>
                      <w:sz w:val="24"/>
                      <w:szCs w:val="24"/>
                    </w:rPr>
                    <w:t>Cat# 564406, RRID:</w:t>
                  </w:r>
                  <w:r>
                    <w:rPr>
                      <w:rFonts w:hint="eastAsia"/>
                      <w:color w:val="000000" w:themeColor="text1"/>
                      <w:sz w:val="24"/>
                      <w:szCs w:val="24"/>
                    </w:rPr>
                    <w:t xml:space="preserve"> </w:t>
                  </w:r>
                  <w:r>
                    <w:rPr>
                      <w:color w:val="000000" w:themeColor="text1"/>
                      <w:sz w:val="24"/>
                      <w:szCs w:val="24"/>
                    </w:rPr>
                    <w:t>AB_2869572</w:t>
                  </w:r>
                </w:p>
              </w:tc>
            </w:tr>
            <w:tr w:rsidR="009C44B9" w14:paraId="2DAC6977" w14:textId="77777777" w:rsidTr="004F6977">
              <w:trPr>
                <w:trHeight w:val="324"/>
              </w:trPr>
              <w:tc>
                <w:tcPr>
                  <w:tcW w:w="4039" w:type="dxa"/>
                  <w:vAlign w:val="center"/>
                </w:tcPr>
                <w:p w14:paraId="1CA254D1" w14:textId="77777777" w:rsidR="009C44B9" w:rsidRDefault="009C44B9" w:rsidP="004F6977">
                  <w:pPr>
                    <w:spacing w:line="240" w:lineRule="auto"/>
                    <w:rPr>
                      <w:color w:val="000000" w:themeColor="text1"/>
                      <w:sz w:val="24"/>
                      <w:szCs w:val="24"/>
                    </w:rPr>
                  </w:pPr>
                  <w:r>
                    <w:rPr>
                      <w:color w:val="000000" w:themeColor="text1"/>
                      <w:sz w:val="24"/>
                      <w:szCs w:val="24"/>
                    </w:rPr>
                    <w:t>CD19 microbeads, mouse</w:t>
                  </w:r>
                </w:p>
              </w:tc>
              <w:tc>
                <w:tcPr>
                  <w:tcW w:w="1990" w:type="dxa"/>
                  <w:vAlign w:val="center"/>
                </w:tcPr>
                <w:p w14:paraId="1A9C86DB"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Milteny</w:t>
                  </w:r>
                  <w:proofErr w:type="spellEnd"/>
                  <w:r>
                    <w:rPr>
                      <w:color w:val="000000" w:themeColor="text1"/>
                      <w:sz w:val="24"/>
                      <w:szCs w:val="24"/>
                    </w:rPr>
                    <w:t xml:space="preserve"> Biotec</w:t>
                  </w:r>
                </w:p>
              </w:tc>
              <w:tc>
                <w:tcPr>
                  <w:tcW w:w="4036" w:type="dxa"/>
                  <w:vAlign w:val="center"/>
                </w:tcPr>
                <w:p w14:paraId="01EE4A7E" w14:textId="77777777" w:rsidR="009C44B9" w:rsidRDefault="009C44B9" w:rsidP="004F6977">
                  <w:pPr>
                    <w:spacing w:line="240" w:lineRule="auto"/>
                    <w:rPr>
                      <w:color w:val="000000" w:themeColor="text1"/>
                      <w:sz w:val="24"/>
                      <w:szCs w:val="24"/>
                    </w:rPr>
                  </w:pPr>
                  <w:r>
                    <w:rPr>
                      <w:color w:val="000000" w:themeColor="text1"/>
                      <w:sz w:val="24"/>
                      <w:szCs w:val="24"/>
                    </w:rPr>
                    <w:t>130-121-301</w:t>
                  </w:r>
                </w:p>
              </w:tc>
            </w:tr>
            <w:tr w:rsidR="009C44B9" w14:paraId="50F29A8F" w14:textId="77777777" w:rsidTr="004F6977">
              <w:trPr>
                <w:trHeight w:val="324"/>
              </w:trPr>
              <w:tc>
                <w:tcPr>
                  <w:tcW w:w="4039" w:type="dxa"/>
                  <w:vAlign w:val="center"/>
                </w:tcPr>
                <w:p w14:paraId="4A56BBB8" w14:textId="77777777" w:rsidR="009C44B9" w:rsidRDefault="009C44B9" w:rsidP="004F6977">
                  <w:pPr>
                    <w:spacing w:line="240" w:lineRule="auto"/>
                    <w:rPr>
                      <w:color w:val="000000" w:themeColor="text1"/>
                      <w:sz w:val="24"/>
                      <w:szCs w:val="24"/>
                    </w:rPr>
                  </w:pPr>
                  <w:r>
                    <w:rPr>
                      <w:color w:val="000000" w:themeColor="text1"/>
                      <w:sz w:val="24"/>
                      <w:szCs w:val="24"/>
                    </w:rPr>
                    <w:t>CD11c microbeads, mouse</w:t>
                  </w:r>
                </w:p>
              </w:tc>
              <w:tc>
                <w:tcPr>
                  <w:tcW w:w="1990" w:type="dxa"/>
                  <w:vAlign w:val="center"/>
                </w:tcPr>
                <w:p w14:paraId="7C6C693E"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Milteny</w:t>
                  </w:r>
                  <w:proofErr w:type="spellEnd"/>
                  <w:r>
                    <w:rPr>
                      <w:color w:val="000000" w:themeColor="text1"/>
                      <w:sz w:val="24"/>
                      <w:szCs w:val="24"/>
                    </w:rPr>
                    <w:t xml:space="preserve"> Biotec</w:t>
                  </w:r>
                </w:p>
              </w:tc>
              <w:tc>
                <w:tcPr>
                  <w:tcW w:w="4036" w:type="dxa"/>
                  <w:vAlign w:val="center"/>
                </w:tcPr>
                <w:p w14:paraId="660E62D6" w14:textId="77777777" w:rsidR="009C44B9" w:rsidRDefault="009C44B9" w:rsidP="004F6977">
                  <w:pPr>
                    <w:spacing w:line="240" w:lineRule="auto"/>
                    <w:rPr>
                      <w:color w:val="000000" w:themeColor="text1"/>
                      <w:sz w:val="24"/>
                      <w:szCs w:val="24"/>
                    </w:rPr>
                  </w:pPr>
                  <w:r>
                    <w:rPr>
                      <w:color w:val="000000" w:themeColor="text1"/>
                      <w:sz w:val="24"/>
                      <w:szCs w:val="24"/>
                    </w:rPr>
                    <w:t>130-125-835</w:t>
                  </w:r>
                </w:p>
              </w:tc>
            </w:tr>
            <w:tr w:rsidR="009C44B9" w14:paraId="7F1DDFA8" w14:textId="77777777" w:rsidTr="004F6977">
              <w:trPr>
                <w:trHeight w:val="324"/>
              </w:trPr>
              <w:tc>
                <w:tcPr>
                  <w:tcW w:w="4039" w:type="dxa"/>
                  <w:vAlign w:val="center"/>
                </w:tcPr>
                <w:p w14:paraId="06205298" w14:textId="77777777" w:rsidR="009C44B9" w:rsidRDefault="009C44B9" w:rsidP="004F6977">
                  <w:pPr>
                    <w:spacing w:line="240" w:lineRule="auto"/>
                    <w:rPr>
                      <w:color w:val="000000" w:themeColor="text1"/>
                      <w:sz w:val="24"/>
                      <w:szCs w:val="24"/>
                    </w:rPr>
                  </w:pPr>
                  <w:r>
                    <w:rPr>
                      <w:color w:val="000000" w:themeColor="text1"/>
                      <w:sz w:val="24"/>
                      <w:szCs w:val="24"/>
                    </w:rPr>
                    <w:t>CD11b microbeads, mouse</w:t>
                  </w:r>
                </w:p>
              </w:tc>
              <w:tc>
                <w:tcPr>
                  <w:tcW w:w="1990" w:type="dxa"/>
                  <w:vAlign w:val="center"/>
                </w:tcPr>
                <w:p w14:paraId="210D4140" w14:textId="77777777" w:rsidR="009C44B9" w:rsidRDefault="009C44B9" w:rsidP="004F6977">
                  <w:pPr>
                    <w:spacing w:line="240" w:lineRule="auto"/>
                    <w:rPr>
                      <w:color w:val="000000" w:themeColor="text1"/>
                      <w:sz w:val="24"/>
                      <w:szCs w:val="24"/>
                    </w:rPr>
                  </w:pPr>
                  <w:bookmarkStart w:id="15" w:name="OLE_LINK5"/>
                  <w:proofErr w:type="spellStart"/>
                  <w:r>
                    <w:rPr>
                      <w:color w:val="000000" w:themeColor="text1"/>
                      <w:sz w:val="24"/>
                      <w:szCs w:val="24"/>
                    </w:rPr>
                    <w:t>Milteny</w:t>
                  </w:r>
                  <w:proofErr w:type="spellEnd"/>
                  <w:r>
                    <w:rPr>
                      <w:color w:val="000000" w:themeColor="text1"/>
                      <w:sz w:val="24"/>
                      <w:szCs w:val="24"/>
                    </w:rPr>
                    <w:t xml:space="preserve"> Biotec</w:t>
                  </w:r>
                  <w:bookmarkEnd w:id="15"/>
                </w:p>
              </w:tc>
              <w:tc>
                <w:tcPr>
                  <w:tcW w:w="4036" w:type="dxa"/>
                  <w:vAlign w:val="center"/>
                </w:tcPr>
                <w:p w14:paraId="148CF84A" w14:textId="77777777" w:rsidR="009C44B9" w:rsidRDefault="009C44B9" w:rsidP="004F6977">
                  <w:pPr>
                    <w:spacing w:line="240" w:lineRule="auto"/>
                    <w:rPr>
                      <w:color w:val="000000" w:themeColor="text1"/>
                      <w:sz w:val="24"/>
                      <w:szCs w:val="24"/>
                    </w:rPr>
                  </w:pPr>
                  <w:r>
                    <w:rPr>
                      <w:color w:val="000000" w:themeColor="text1"/>
                      <w:sz w:val="24"/>
                      <w:szCs w:val="24"/>
                    </w:rPr>
                    <w:t>130-093-634</w:t>
                  </w:r>
                </w:p>
              </w:tc>
            </w:tr>
            <w:tr w:rsidR="009C44B9" w14:paraId="753BAA4D" w14:textId="77777777" w:rsidTr="004F6977">
              <w:trPr>
                <w:trHeight w:val="324"/>
              </w:trPr>
              <w:tc>
                <w:tcPr>
                  <w:tcW w:w="4039" w:type="dxa"/>
                  <w:vAlign w:val="center"/>
                </w:tcPr>
                <w:p w14:paraId="381A39C0" w14:textId="77777777" w:rsidR="009C44B9" w:rsidRDefault="009C44B9" w:rsidP="004F6977">
                  <w:pPr>
                    <w:spacing w:line="240" w:lineRule="auto"/>
                    <w:rPr>
                      <w:color w:val="000000" w:themeColor="text1"/>
                      <w:sz w:val="24"/>
                      <w:szCs w:val="24"/>
                    </w:rPr>
                  </w:pPr>
                  <w:r>
                    <w:rPr>
                      <w:color w:val="000000" w:themeColor="text1"/>
                      <w:sz w:val="24"/>
                      <w:szCs w:val="24"/>
                    </w:rPr>
                    <w:t xml:space="preserve">Anti-PE </w:t>
                  </w:r>
                  <w:proofErr w:type="spellStart"/>
                  <w:r>
                    <w:rPr>
                      <w:color w:val="000000" w:themeColor="text1"/>
                      <w:sz w:val="24"/>
                      <w:szCs w:val="24"/>
                    </w:rPr>
                    <w:t>MultiSort</w:t>
                  </w:r>
                  <w:proofErr w:type="spellEnd"/>
                  <w:r>
                    <w:rPr>
                      <w:color w:val="000000" w:themeColor="text1"/>
                      <w:sz w:val="24"/>
                      <w:szCs w:val="24"/>
                    </w:rPr>
                    <w:t xml:space="preserve"> Kit</w:t>
                  </w:r>
                </w:p>
              </w:tc>
              <w:tc>
                <w:tcPr>
                  <w:tcW w:w="1990" w:type="dxa"/>
                  <w:vAlign w:val="center"/>
                </w:tcPr>
                <w:p w14:paraId="61264F31"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Milteny</w:t>
                  </w:r>
                  <w:proofErr w:type="spellEnd"/>
                  <w:r>
                    <w:rPr>
                      <w:color w:val="000000" w:themeColor="text1"/>
                      <w:sz w:val="24"/>
                      <w:szCs w:val="24"/>
                    </w:rPr>
                    <w:t xml:space="preserve"> Biotec</w:t>
                  </w:r>
                </w:p>
              </w:tc>
              <w:tc>
                <w:tcPr>
                  <w:tcW w:w="4036" w:type="dxa"/>
                  <w:vAlign w:val="center"/>
                </w:tcPr>
                <w:p w14:paraId="15B8FFD7" w14:textId="77777777" w:rsidR="009C44B9" w:rsidRDefault="009C44B9" w:rsidP="004F6977">
                  <w:pPr>
                    <w:spacing w:line="240" w:lineRule="auto"/>
                    <w:rPr>
                      <w:color w:val="000000" w:themeColor="text1"/>
                      <w:sz w:val="24"/>
                      <w:szCs w:val="24"/>
                    </w:rPr>
                  </w:pPr>
                  <w:r>
                    <w:rPr>
                      <w:color w:val="000000" w:themeColor="text1"/>
                      <w:sz w:val="24"/>
                      <w:szCs w:val="24"/>
                    </w:rPr>
                    <w:t>130-090-757</w:t>
                  </w:r>
                </w:p>
              </w:tc>
            </w:tr>
            <w:tr w:rsidR="009C44B9" w14:paraId="75E8EFDE" w14:textId="77777777" w:rsidTr="004F6977">
              <w:trPr>
                <w:trHeight w:val="324"/>
              </w:trPr>
              <w:tc>
                <w:tcPr>
                  <w:tcW w:w="4039" w:type="dxa"/>
                  <w:vAlign w:val="center"/>
                </w:tcPr>
                <w:p w14:paraId="0D014BF4" w14:textId="77777777" w:rsidR="009C44B9" w:rsidRDefault="009C44B9" w:rsidP="004F6977">
                  <w:pPr>
                    <w:spacing w:line="240" w:lineRule="auto"/>
                    <w:rPr>
                      <w:color w:val="000000" w:themeColor="text1"/>
                      <w:sz w:val="24"/>
                      <w:szCs w:val="24"/>
                    </w:rPr>
                  </w:pPr>
                  <w:r>
                    <w:rPr>
                      <w:color w:val="000000" w:themeColor="text1"/>
                      <w:sz w:val="24"/>
                      <w:szCs w:val="24"/>
                    </w:rPr>
                    <w:t xml:space="preserve">Anti-Iba1 </w:t>
                  </w:r>
                  <w:r>
                    <w:rPr>
                      <w:rFonts w:hint="eastAsia"/>
                      <w:color w:val="000000" w:themeColor="text1"/>
                      <w:sz w:val="24"/>
                      <w:szCs w:val="24"/>
                    </w:rPr>
                    <w:t>A</w:t>
                  </w:r>
                  <w:r>
                    <w:rPr>
                      <w:color w:val="000000" w:themeColor="text1"/>
                      <w:sz w:val="24"/>
                      <w:szCs w:val="24"/>
                    </w:rPr>
                    <w:t>ntibody</w:t>
                  </w:r>
                </w:p>
              </w:tc>
              <w:tc>
                <w:tcPr>
                  <w:tcW w:w="1990" w:type="dxa"/>
                  <w:vAlign w:val="center"/>
                </w:tcPr>
                <w:p w14:paraId="05CB8C69" w14:textId="77777777" w:rsidR="009C44B9" w:rsidRDefault="009C44B9" w:rsidP="004F6977">
                  <w:pPr>
                    <w:spacing w:line="240" w:lineRule="auto"/>
                    <w:rPr>
                      <w:color w:val="000000" w:themeColor="text1"/>
                      <w:sz w:val="24"/>
                      <w:szCs w:val="24"/>
                    </w:rPr>
                  </w:pPr>
                  <w:r>
                    <w:rPr>
                      <w:color w:val="000000" w:themeColor="text1"/>
                      <w:sz w:val="24"/>
                      <w:szCs w:val="24"/>
                    </w:rPr>
                    <w:t>Abcam</w:t>
                  </w:r>
                </w:p>
              </w:tc>
              <w:tc>
                <w:tcPr>
                  <w:tcW w:w="4036" w:type="dxa"/>
                  <w:vAlign w:val="center"/>
                </w:tcPr>
                <w:p w14:paraId="6CD65788" w14:textId="77777777" w:rsidR="009C44B9" w:rsidRDefault="009C44B9" w:rsidP="004F6977">
                  <w:pPr>
                    <w:spacing w:line="240" w:lineRule="auto"/>
                    <w:rPr>
                      <w:color w:val="000000" w:themeColor="text1"/>
                      <w:sz w:val="24"/>
                      <w:szCs w:val="24"/>
                    </w:rPr>
                  </w:pPr>
                  <w:r>
                    <w:rPr>
                      <w:color w:val="000000" w:themeColor="text1"/>
                      <w:sz w:val="24"/>
                      <w:szCs w:val="24"/>
                    </w:rPr>
                    <w:t>ab178846</w:t>
                  </w:r>
                </w:p>
              </w:tc>
            </w:tr>
            <w:tr w:rsidR="009C44B9" w14:paraId="2D71036C" w14:textId="77777777" w:rsidTr="004F6977">
              <w:trPr>
                <w:trHeight w:val="324"/>
              </w:trPr>
              <w:tc>
                <w:tcPr>
                  <w:tcW w:w="4039" w:type="dxa"/>
                  <w:vAlign w:val="center"/>
                </w:tcPr>
                <w:p w14:paraId="04471468" w14:textId="77777777" w:rsidR="009C44B9" w:rsidRDefault="009C44B9" w:rsidP="004F6977">
                  <w:pPr>
                    <w:spacing w:line="240" w:lineRule="auto"/>
                    <w:rPr>
                      <w:color w:val="000000" w:themeColor="text1"/>
                      <w:sz w:val="24"/>
                      <w:szCs w:val="24"/>
                    </w:rPr>
                  </w:pPr>
                  <w:r>
                    <w:rPr>
                      <w:color w:val="000000" w:themeColor="text1"/>
                      <w:sz w:val="24"/>
                      <w:szCs w:val="24"/>
                    </w:rPr>
                    <w:t>Purified anti-β-Amyloid, 1-16 Antibody</w:t>
                  </w:r>
                </w:p>
              </w:tc>
              <w:tc>
                <w:tcPr>
                  <w:tcW w:w="1990" w:type="dxa"/>
                  <w:vAlign w:val="center"/>
                </w:tcPr>
                <w:p w14:paraId="35E69DE4"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6B4411F0" w14:textId="77777777" w:rsidR="009C44B9" w:rsidRDefault="009C44B9" w:rsidP="004F6977">
                  <w:pPr>
                    <w:spacing w:line="240" w:lineRule="auto"/>
                    <w:rPr>
                      <w:color w:val="000000" w:themeColor="text1"/>
                      <w:sz w:val="24"/>
                      <w:szCs w:val="24"/>
                    </w:rPr>
                  </w:pPr>
                  <w:r>
                    <w:rPr>
                      <w:color w:val="000000" w:themeColor="text1"/>
                      <w:sz w:val="24"/>
                      <w:szCs w:val="24"/>
                    </w:rPr>
                    <w:t>803001</w:t>
                  </w:r>
                </w:p>
              </w:tc>
            </w:tr>
            <w:tr w:rsidR="009C44B9" w14:paraId="7CB1662E" w14:textId="77777777" w:rsidTr="004F6977">
              <w:trPr>
                <w:trHeight w:val="324"/>
              </w:trPr>
              <w:tc>
                <w:tcPr>
                  <w:tcW w:w="4039" w:type="dxa"/>
                  <w:vAlign w:val="center"/>
                </w:tcPr>
                <w:p w14:paraId="639D1AFA" w14:textId="77777777" w:rsidR="009C44B9" w:rsidRDefault="009C44B9" w:rsidP="004F6977">
                  <w:pPr>
                    <w:spacing w:line="240" w:lineRule="auto"/>
                    <w:rPr>
                      <w:color w:val="000000" w:themeColor="text1"/>
                      <w:sz w:val="24"/>
                      <w:szCs w:val="24"/>
                    </w:rPr>
                  </w:pPr>
                  <w:r>
                    <w:rPr>
                      <w:color w:val="000000" w:themeColor="text1"/>
                      <w:sz w:val="24"/>
                      <w:szCs w:val="24"/>
                    </w:rPr>
                    <w:t>Purified anti-mouse P2RY12 Antibody</w:t>
                  </w:r>
                </w:p>
              </w:tc>
              <w:tc>
                <w:tcPr>
                  <w:tcW w:w="1990" w:type="dxa"/>
                  <w:vAlign w:val="center"/>
                </w:tcPr>
                <w:p w14:paraId="1D20D35F"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Biolegend</w:t>
                  </w:r>
                  <w:proofErr w:type="spellEnd"/>
                </w:p>
              </w:tc>
              <w:tc>
                <w:tcPr>
                  <w:tcW w:w="4036" w:type="dxa"/>
                  <w:vAlign w:val="center"/>
                </w:tcPr>
                <w:p w14:paraId="0F59A23B" w14:textId="77777777" w:rsidR="009C44B9" w:rsidRDefault="009C44B9" w:rsidP="004F6977">
                  <w:pPr>
                    <w:spacing w:line="240" w:lineRule="auto"/>
                    <w:rPr>
                      <w:color w:val="000000" w:themeColor="text1"/>
                      <w:sz w:val="24"/>
                      <w:szCs w:val="24"/>
                    </w:rPr>
                  </w:pPr>
                  <w:r>
                    <w:rPr>
                      <w:color w:val="000000" w:themeColor="text1"/>
                      <w:sz w:val="24"/>
                      <w:szCs w:val="24"/>
                    </w:rPr>
                    <w:t>848002</w:t>
                  </w:r>
                </w:p>
              </w:tc>
            </w:tr>
            <w:tr w:rsidR="009C44B9" w14:paraId="15562716" w14:textId="77777777" w:rsidTr="004F6977">
              <w:trPr>
                <w:trHeight w:val="324"/>
              </w:trPr>
              <w:tc>
                <w:tcPr>
                  <w:tcW w:w="4039" w:type="dxa"/>
                  <w:vAlign w:val="center"/>
                </w:tcPr>
                <w:p w14:paraId="3CA9EE1E" w14:textId="77777777" w:rsidR="009C44B9" w:rsidRDefault="009C44B9" w:rsidP="004F6977">
                  <w:pPr>
                    <w:spacing w:line="240" w:lineRule="auto"/>
                    <w:rPr>
                      <w:color w:val="000000" w:themeColor="text1"/>
                      <w:sz w:val="24"/>
                      <w:szCs w:val="24"/>
                    </w:rPr>
                  </w:pPr>
                  <w:r>
                    <w:rPr>
                      <w:color w:val="000000" w:themeColor="text1"/>
                      <w:sz w:val="24"/>
                      <w:szCs w:val="24"/>
                    </w:rPr>
                    <w:t xml:space="preserve">CD11c (D1V9Y) Rabbit </w:t>
                  </w:r>
                  <w:proofErr w:type="spellStart"/>
                  <w:r>
                    <w:rPr>
                      <w:color w:val="000000" w:themeColor="text1"/>
                      <w:sz w:val="24"/>
                      <w:szCs w:val="24"/>
                    </w:rPr>
                    <w:t>mAb</w:t>
                  </w:r>
                  <w:proofErr w:type="spellEnd"/>
                </w:p>
              </w:tc>
              <w:tc>
                <w:tcPr>
                  <w:tcW w:w="1990" w:type="dxa"/>
                  <w:vAlign w:val="center"/>
                </w:tcPr>
                <w:p w14:paraId="5E20D508" w14:textId="77777777" w:rsidR="009C44B9" w:rsidRDefault="009C44B9" w:rsidP="004F6977">
                  <w:pPr>
                    <w:spacing w:line="240" w:lineRule="auto"/>
                    <w:rPr>
                      <w:color w:val="000000" w:themeColor="text1"/>
                      <w:sz w:val="24"/>
                      <w:szCs w:val="24"/>
                    </w:rPr>
                  </w:pPr>
                  <w:r>
                    <w:rPr>
                      <w:color w:val="000000" w:themeColor="text1"/>
                      <w:sz w:val="24"/>
                      <w:szCs w:val="24"/>
                    </w:rPr>
                    <w:t>Cell signaling</w:t>
                  </w:r>
                  <w:r>
                    <w:rPr>
                      <w:rFonts w:hint="eastAsia"/>
                      <w:color w:val="000000" w:themeColor="text1"/>
                      <w:sz w:val="24"/>
                      <w:szCs w:val="24"/>
                    </w:rPr>
                    <w:t xml:space="preserve"> technology</w:t>
                  </w:r>
                </w:p>
              </w:tc>
              <w:tc>
                <w:tcPr>
                  <w:tcW w:w="4036" w:type="dxa"/>
                  <w:vAlign w:val="center"/>
                </w:tcPr>
                <w:p w14:paraId="2C996F78" w14:textId="77777777" w:rsidR="009C44B9" w:rsidRDefault="009C44B9" w:rsidP="004F6977">
                  <w:pPr>
                    <w:spacing w:line="240" w:lineRule="auto"/>
                    <w:rPr>
                      <w:color w:val="000000" w:themeColor="text1"/>
                      <w:sz w:val="24"/>
                      <w:szCs w:val="24"/>
                    </w:rPr>
                  </w:pPr>
                  <w:r>
                    <w:rPr>
                      <w:rFonts w:hint="eastAsia"/>
                      <w:color w:val="000000" w:themeColor="text1"/>
                      <w:sz w:val="24"/>
                      <w:szCs w:val="24"/>
                    </w:rPr>
                    <w:t>9</w:t>
                  </w:r>
                  <w:r>
                    <w:rPr>
                      <w:color w:val="000000" w:themeColor="text1"/>
                      <w:sz w:val="24"/>
                      <w:szCs w:val="24"/>
                    </w:rPr>
                    <w:t>7585</w:t>
                  </w:r>
                </w:p>
              </w:tc>
            </w:tr>
            <w:tr w:rsidR="009C44B9" w14:paraId="6C00D5AD" w14:textId="77777777" w:rsidTr="004F6977">
              <w:trPr>
                <w:trHeight w:val="324"/>
              </w:trPr>
              <w:tc>
                <w:tcPr>
                  <w:tcW w:w="4039" w:type="dxa"/>
                  <w:vAlign w:val="center"/>
                </w:tcPr>
                <w:p w14:paraId="25263E53" w14:textId="77777777" w:rsidR="009C44B9" w:rsidRDefault="009C44B9" w:rsidP="004F6977">
                  <w:pPr>
                    <w:spacing w:line="240" w:lineRule="auto"/>
                    <w:rPr>
                      <w:color w:val="000000" w:themeColor="text1"/>
                      <w:sz w:val="24"/>
                      <w:szCs w:val="24"/>
                    </w:rPr>
                  </w:pPr>
                  <w:r>
                    <w:rPr>
                      <w:rFonts w:hint="eastAsia"/>
                      <w:color w:val="000000" w:themeColor="text1"/>
                      <w:sz w:val="24"/>
                      <w:szCs w:val="24"/>
                    </w:rPr>
                    <w:t>CD19 Monoclonal Antibody (6OMP31)</w:t>
                  </w:r>
                </w:p>
              </w:tc>
              <w:tc>
                <w:tcPr>
                  <w:tcW w:w="1990" w:type="dxa"/>
                  <w:vAlign w:val="center"/>
                </w:tcPr>
                <w:p w14:paraId="4731CCFE" w14:textId="77777777" w:rsidR="009C44B9" w:rsidRDefault="009C44B9" w:rsidP="004F6977">
                  <w:pPr>
                    <w:spacing w:line="240" w:lineRule="auto"/>
                    <w:rPr>
                      <w:color w:val="000000" w:themeColor="text1"/>
                      <w:sz w:val="24"/>
                      <w:szCs w:val="24"/>
                    </w:rPr>
                  </w:pPr>
                  <w:r>
                    <w:rPr>
                      <w:color w:val="000000" w:themeColor="text1"/>
                      <w:sz w:val="24"/>
                      <w:szCs w:val="24"/>
                    </w:rPr>
                    <w:t>Invitrogen</w:t>
                  </w:r>
                </w:p>
              </w:tc>
              <w:tc>
                <w:tcPr>
                  <w:tcW w:w="4036" w:type="dxa"/>
                  <w:vAlign w:val="center"/>
                </w:tcPr>
                <w:p w14:paraId="5C921A1E" w14:textId="77777777" w:rsidR="009C44B9" w:rsidRDefault="009C44B9" w:rsidP="004F6977">
                  <w:pPr>
                    <w:spacing w:line="240" w:lineRule="auto"/>
                    <w:rPr>
                      <w:color w:val="000000" w:themeColor="text1"/>
                      <w:sz w:val="24"/>
                      <w:szCs w:val="24"/>
                    </w:rPr>
                  </w:pPr>
                  <w:r>
                    <w:rPr>
                      <w:color w:val="000000" w:themeColor="text1"/>
                      <w:sz w:val="24"/>
                      <w:szCs w:val="24"/>
                    </w:rPr>
                    <w:t xml:space="preserve">Cat# </w:t>
                  </w:r>
                  <w:r>
                    <w:rPr>
                      <w:rFonts w:hint="eastAsia"/>
                      <w:color w:val="000000" w:themeColor="text1"/>
                      <w:sz w:val="24"/>
                      <w:szCs w:val="24"/>
                    </w:rPr>
                    <w:t>14-0194-82</w:t>
                  </w:r>
                  <w:r>
                    <w:rPr>
                      <w:color w:val="000000" w:themeColor="text1"/>
                      <w:sz w:val="24"/>
                      <w:szCs w:val="24"/>
                    </w:rPr>
                    <w:t>, RRID:</w:t>
                  </w:r>
                  <w:r>
                    <w:rPr>
                      <w:rFonts w:hint="eastAsia"/>
                      <w:color w:val="000000" w:themeColor="text1"/>
                      <w:sz w:val="24"/>
                      <w:szCs w:val="24"/>
                    </w:rPr>
                    <w:t xml:space="preserve"> </w:t>
                  </w:r>
                  <w:r>
                    <w:rPr>
                      <w:color w:val="000000" w:themeColor="text1"/>
                      <w:sz w:val="24"/>
                      <w:szCs w:val="24"/>
                    </w:rPr>
                    <w:t>AB_26</w:t>
                  </w:r>
                  <w:r>
                    <w:rPr>
                      <w:rFonts w:hint="eastAsia"/>
                      <w:color w:val="000000" w:themeColor="text1"/>
                      <w:sz w:val="24"/>
                      <w:szCs w:val="24"/>
                    </w:rPr>
                    <w:t>37171</w:t>
                  </w:r>
                </w:p>
              </w:tc>
            </w:tr>
            <w:tr w:rsidR="009C44B9" w14:paraId="546991BE" w14:textId="77777777" w:rsidTr="004F6977">
              <w:trPr>
                <w:trHeight w:val="324"/>
              </w:trPr>
              <w:tc>
                <w:tcPr>
                  <w:tcW w:w="4039" w:type="dxa"/>
                  <w:vAlign w:val="center"/>
                </w:tcPr>
                <w:p w14:paraId="77123373" w14:textId="77777777" w:rsidR="009C44B9" w:rsidRDefault="009C44B9" w:rsidP="004F6977">
                  <w:pPr>
                    <w:spacing w:line="240" w:lineRule="auto"/>
                    <w:rPr>
                      <w:color w:val="000000" w:themeColor="text1"/>
                      <w:sz w:val="24"/>
                      <w:szCs w:val="24"/>
                    </w:rPr>
                  </w:pPr>
                  <w:r>
                    <w:rPr>
                      <w:color w:val="000000" w:themeColor="text1"/>
                      <w:sz w:val="24"/>
                      <w:szCs w:val="24"/>
                    </w:rPr>
                    <w:t>Alexa Fluor 488-conjugated donkey anti-rabbit IgG</w:t>
                  </w:r>
                </w:p>
              </w:tc>
              <w:tc>
                <w:tcPr>
                  <w:tcW w:w="1990" w:type="dxa"/>
                  <w:vAlign w:val="center"/>
                </w:tcPr>
                <w:p w14:paraId="104CA84F" w14:textId="77777777" w:rsidR="009C44B9" w:rsidRDefault="009C44B9" w:rsidP="004F6977">
                  <w:pPr>
                    <w:spacing w:line="240" w:lineRule="auto"/>
                    <w:rPr>
                      <w:color w:val="000000" w:themeColor="text1"/>
                      <w:sz w:val="24"/>
                      <w:szCs w:val="24"/>
                    </w:rPr>
                  </w:pPr>
                  <w:r>
                    <w:rPr>
                      <w:color w:val="000000" w:themeColor="text1"/>
                      <w:sz w:val="24"/>
                      <w:szCs w:val="24"/>
                    </w:rPr>
                    <w:t>Invitrogen</w:t>
                  </w:r>
                </w:p>
              </w:tc>
              <w:tc>
                <w:tcPr>
                  <w:tcW w:w="4036" w:type="dxa"/>
                  <w:vAlign w:val="center"/>
                </w:tcPr>
                <w:p w14:paraId="67E196F8" w14:textId="77777777" w:rsidR="009C44B9" w:rsidRDefault="009C44B9" w:rsidP="004F6977">
                  <w:pPr>
                    <w:spacing w:line="240" w:lineRule="auto"/>
                    <w:rPr>
                      <w:color w:val="000000" w:themeColor="text1"/>
                      <w:sz w:val="24"/>
                      <w:szCs w:val="24"/>
                    </w:rPr>
                  </w:pPr>
                  <w:r>
                    <w:rPr>
                      <w:color w:val="000000" w:themeColor="text1"/>
                      <w:sz w:val="24"/>
                      <w:szCs w:val="24"/>
                    </w:rPr>
                    <w:t>A21206</w:t>
                  </w:r>
                </w:p>
              </w:tc>
            </w:tr>
            <w:tr w:rsidR="009C44B9" w14:paraId="11B00EAF" w14:textId="77777777" w:rsidTr="004F6977">
              <w:trPr>
                <w:trHeight w:val="324"/>
              </w:trPr>
              <w:tc>
                <w:tcPr>
                  <w:tcW w:w="4039" w:type="dxa"/>
                  <w:vAlign w:val="center"/>
                </w:tcPr>
                <w:p w14:paraId="71090435" w14:textId="77777777" w:rsidR="009C44B9" w:rsidRDefault="009C44B9" w:rsidP="004F6977">
                  <w:pPr>
                    <w:spacing w:line="240" w:lineRule="auto"/>
                    <w:rPr>
                      <w:color w:val="000000" w:themeColor="text1"/>
                      <w:sz w:val="24"/>
                      <w:szCs w:val="24"/>
                    </w:rPr>
                  </w:pPr>
                  <w:r>
                    <w:rPr>
                      <w:color w:val="000000" w:themeColor="text1"/>
                      <w:sz w:val="24"/>
                      <w:szCs w:val="24"/>
                    </w:rPr>
                    <w:t>Alexa Fluor, 594-conjugated donkey anti-mouse IgG</w:t>
                  </w:r>
                </w:p>
              </w:tc>
              <w:tc>
                <w:tcPr>
                  <w:tcW w:w="1990" w:type="dxa"/>
                  <w:vAlign w:val="center"/>
                </w:tcPr>
                <w:p w14:paraId="01F34B76" w14:textId="77777777" w:rsidR="009C44B9" w:rsidRDefault="009C44B9" w:rsidP="004F6977">
                  <w:pPr>
                    <w:spacing w:line="240" w:lineRule="auto"/>
                    <w:rPr>
                      <w:color w:val="000000" w:themeColor="text1"/>
                      <w:sz w:val="24"/>
                      <w:szCs w:val="24"/>
                    </w:rPr>
                  </w:pPr>
                  <w:r>
                    <w:rPr>
                      <w:color w:val="000000" w:themeColor="text1"/>
                      <w:sz w:val="24"/>
                      <w:szCs w:val="24"/>
                    </w:rPr>
                    <w:t>Invitrogen</w:t>
                  </w:r>
                </w:p>
              </w:tc>
              <w:tc>
                <w:tcPr>
                  <w:tcW w:w="4036" w:type="dxa"/>
                  <w:vAlign w:val="center"/>
                </w:tcPr>
                <w:p w14:paraId="6DA2980D" w14:textId="77777777" w:rsidR="009C44B9" w:rsidRDefault="009C44B9" w:rsidP="004F6977">
                  <w:pPr>
                    <w:spacing w:line="240" w:lineRule="auto"/>
                    <w:rPr>
                      <w:color w:val="000000" w:themeColor="text1"/>
                      <w:sz w:val="24"/>
                      <w:szCs w:val="24"/>
                    </w:rPr>
                  </w:pPr>
                  <w:r>
                    <w:rPr>
                      <w:color w:val="000000" w:themeColor="text1"/>
                      <w:sz w:val="24"/>
                      <w:szCs w:val="24"/>
                    </w:rPr>
                    <w:t>A21203</w:t>
                  </w:r>
                </w:p>
              </w:tc>
            </w:tr>
            <w:tr w:rsidR="009C44B9" w14:paraId="0E6DA159" w14:textId="77777777" w:rsidTr="004F6977">
              <w:trPr>
                <w:trHeight w:val="324"/>
              </w:trPr>
              <w:tc>
                <w:tcPr>
                  <w:tcW w:w="10065" w:type="dxa"/>
                  <w:gridSpan w:val="3"/>
                  <w:vAlign w:val="center"/>
                </w:tcPr>
                <w:p w14:paraId="2A2FFF9B" w14:textId="77777777" w:rsidR="009C44B9" w:rsidRDefault="009C44B9" w:rsidP="004F6977">
                  <w:pPr>
                    <w:spacing w:line="240" w:lineRule="auto"/>
                    <w:rPr>
                      <w:b/>
                      <w:bCs/>
                      <w:color w:val="000000" w:themeColor="text1"/>
                      <w:sz w:val="24"/>
                      <w:szCs w:val="24"/>
                    </w:rPr>
                  </w:pPr>
                  <w:r>
                    <w:rPr>
                      <w:b/>
                      <w:bCs/>
                      <w:color w:val="000000" w:themeColor="text1"/>
                      <w:sz w:val="24"/>
                      <w:szCs w:val="24"/>
                    </w:rPr>
                    <w:t>Chemicals, peptides, and recombinant proteins</w:t>
                  </w:r>
                </w:p>
              </w:tc>
            </w:tr>
            <w:tr w:rsidR="009C44B9" w14:paraId="0B824E59" w14:textId="77777777" w:rsidTr="004F6977">
              <w:trPr>
                <w:trHeight w:val="324"/>
              </w:trPr>
              <w:tc>
                <w:tcPr>
                  <w:tcW w:w="4039" w:type="dxa"/>
                </w:tcPr>
                <w:p w14:paraId="1ED3841D" w14:textId="77777777" w:rsidR="009C44B9" w:rsidRDefault="009C44B9" w:rsidP="004F6977">
                  <w:pPr>
                    <w:spacing w:line="240" w:lineRule="auto"/>
                    <w:rPr>
                      <w:color w:val="000000" w:themeColor="text1"/>
                      <w:sz w:val="24"/>
                      <w:szCs w:val="24"/>
                    </w:rPr>
                  </w:pPr>
                  <w:r>
                    <w:rPr>
                      <w:color w:val="000000" w:themeColor="text1"/>
                      <w:sz w:val="24"/>
                      <w:szCs w:val="24"/>
                    </w:rPr>
                    <w:lastRenderedPageBreak/>
                    <w:t>Thioflavin S</w:t>
                  </w:r>
                </w:p>
              </w:tc>
              <w:tc>
                <w:tcPr>
                  <w:tcW w:w="1990" w:type="dxa"/>
                </w:tcPr>
                <w:p w14:paraId="33800987" w14:textId="77777777" w:rsidR="009C44B9" w:rsidRDefault="009C44B9" w:rsidP="004F6977">
                  <w:pPr>
                    <w:spacing w:line="240" w:lineRule="auto"/>
                    <w:rPr>
                      <w:color w:val="000000" w:themeColor="text1"/>
                      <w:sz w:val="24"/>
                      <w:szCs w:val="24"/>
                    </w:rPr>
                  </w:pPr>
                  <w:r>
                    <w:rPr>
                      <w:color w:val="000000" w:themeColor="text1"/>
                      <w:sz w:val="24"/>
                      <w:szCs w:val="24"/>
                    </w:rPr>
                    <w:t>Sigma‒Aldrich</w:t>
                  </w:r>
                </w:p>
              </w:tc>
              <w:tc>
                <w:tcPr>
                  <w:tcW w:w="4036" w:type="dxa"/>
                </w:tcPr>
                <w:p w14:paraId="51FA5456" w14:textId="77777777" w:rsidR="009C44B9" w:rsidRDefault="009C44B9" w:rsidP="004F6977">
                  <w:pPr>
                    <w:spacing w:line="240" w:lineRule="auto"/>
                    <w:rPr>
                      <w:color w:val="000000" w:themeColor="text1"/>
                      <w:sz w:val="24"/>
                      <w:szCs w:val="24"/>
                    </w:rPr>
                  </w:pPr>
                  <w:r>
                    <w:rPr>
                      <w:color w:val="000000" w:themeColor="text1"/>
                      <w:sz w:val="24"/>
                      <w:szCs w:val="24"/>
                    </w:rPr>
                    <w:t>Cat# T1892-25G</w:t>
                  </w:r>
                </w:p>
              </w:tc>
            </w:tr>
            <w:tr w:rsidR="009C44B9" w14:paraId="282FCC28" w14:textId="77777777" w:rsidTr="004F6977">
              <w:trPr>
                <w:trHeight w:val="324"/>
              </w:trPr>
              <w:tc>
                <w:tcPr>
                  <w:tcW w:w="4039" w:type="dxa"/>
                </w:tcPr>
                <w:p w14:paraId="21045D6A" w14:textId="77777777" w:rsidR="009C44B9" w:rsidRDefault="009C44B9" w:rsidP="004F6977">
                  <w:pPr>
                    <w:spacing w:line="240" w:lineRule="auto"/>
                    <w:rPr>
                      <w:color w:val="000000" w:themeColor="text1"/>
                      <w:sz w:val="24"/>
                      <w:szCs w:val="24"/>
                    </w:rPr>
                  </w:pPr>
                  <w:r>
                    <w:rPr>
                      <w:color w:val="000000" w:themeColor="text1"/>
                      <w:sz w:val="24"/>
                      <w:szCs w:val="24"/>
                    </w:rPr>
                    <w:t>Human Aβ</w:t>
                  </w:r>
                  <w:r>
                    <w:rPr>
                      <w:color w:val="000000" w:themeColor="text1"/>
                      <w:sz w:val="24"/>
                      <w:szCs w:val="24"/>
                      <w:vertAlign w:val="subscript"/>
                    </w:rPr>
                    <w:t>1-42</w:t>
                  </w:r>
                  <w:r>
                    <w:rPr>
                      <w:color w:val="000000" w:themeColor="text1"/>
                      <w:sz w:val="24"/>
                      <w:szCs w:val="24"/>
                    </w:rPr>
                    <w:t> peptides</w:t>
                  </w:r>
                </w:p>
              </w:tc>
              <w:tc>
                <w:tcPr>
                  <w:tcW w:w="1990" w:type="dxa"/>
                </w:tcPr>
                <w:p w14:paraId="3F805E03"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AnaSpec</w:t>
                  </w:r>
                  <w:proofErr w:type="spellEnd"/>
                </w:p>
              </w:tc>
              <w:tc>
                <w:tcPr>
                  <w:tcW w:w="4036" w:type="dxa"/>
                </w:tcPr>
                <w:p w14:paraId="3AA35CE7" w14:textId="77777777" w:rsidR="009C44B9" w:rsidRDefault="009C44B9" w:rsidP="004F6977">
                  <w:pPr>
                    <w:spacing w:line="240" w:lineRule="auto"/>
                    <w:rPr>
                      <w:color w:val="000000" w:themeColor="text1"/>
                      <w:sz w:val="24"/>
                      <w:szCs w:val="24"/>
                    </w:rPr>
                  </w:pPr>
                  <w:r>
                    <w:rPr>
                      <w:color w:val="000000" w:themeColor="text1"/>
                      <w:sz w:val="24"/>
                      <w:szCs w:val="24"/>
                    </w:rPr>
                    <w:t>Cat# AS-20276</w:t>
                  </w:r>
                </w:p>
              </w:tc>
            </w:tr>
            <w:tr w:rsidR="009C44B9" w14:paraId="15674CDA" w14:textId="77777777" w:rsidTr="004F6977">
              <w:trPr>
                <w:trHeight w:val="324"/>
              </w:trPr>
              <w:tc>
                <w:tcPr>
                  <w:tcW w:w="4039" w:type="dxa"/>
                </w:tcPr>
                <w:p w14:paraId="4CB7E3E3" w14:textId="77777777" w:rsidR="009C44B9" w:rsidRDefault="009C44B9" w:rsidP="004F6977">
                  <w:pPr>
                    <w:spacing w:line="240" w:lineRule="auto"/>
                    <w:rPr>
                      <w:color w:val="000000" w:themeColor="text1"/>
                      <w:sz w:val="24"/>
                      <w:szCs w:val="24"/>
                    </w:rPr>
                  </w:pPr>
                  <w:r>
                    <w:rPr>
                      <w:color w:val="000000" w:themeColor="text1"/>
                      <w:sz w:val="24"/>
                      <w:szCs w:val="24"/>
                    </w:rPr>
                    <w:t>Scrambled Aβ</w:t>
                  </w:r>
                  <w:r>
                    <w:rPr>
                      <w:color w:val="000000" w:themeColor="text1"/>
                      <w:sz w:val="24"/>
                      <w:szCs w:val="24"/>
                      <w:vertAlign w:val="subscript"/>
                    </w:rPr>
                    <w:t>1-42</w:t>
                  </w:r>
                  <w:r>
                    <w:rPr>
                      <w:color w:val="000000" w:themeColor="text1"/>
                      <w:sz w:val="24"/>
                      <w:szCs w:val="24"/>
                    </w:rPr>
                    <w:t> peptides</w:t>
                  </w:r>
                </w:p>
              </w:tc>
              <w:tc>
                <w:tcPr>
                  <w:tcW w:w="1990" w:type="dxa"/>
                </w:tcPr>
                <w:p w14:paraId="45AE4EA3"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AnaSpec</w:t>
                  </w:r>
                  <w:proofErr w:type="spellEnd"/>
                </w:p>
              </w:tc>
              <w:tc>
                <w:tcPr>
                  <w:tcW w:w="4036" w:type="dxa"/>
                </w:tcPr>
                <w:p w14:paraId="4B0B8E84" w14:textId="77777777" w:rsidR="009C44B9" w:rsidRDefault="009C44B9" w:rsidP="004F6977">
                  <w:pPr>
                    <w:spacing w:line="240" w:lineRule="auto"/>
                    <w:rPr>
                      <w:color w:val="000000" w:themeColor="text1"/>
                      <w:sz w:val="24"/>
                      <w:szCs w:val="24"/>
                    </w:rPr>
                  </w:pPr>
                  <w:r>
                    <w:rPr>
                      <w:color w:val="000000" w:themeColor="text1"/>
                      <w:sz w:val="24"/>
                      <w:szCs w:val="24"/>
                    </w:rPr>
                    <w:t>Cat# AS-25382</w:t>
                  </w:r>
                </w:p>
              </w:tc>
            </w:tr>
            <w:tr w:rsidR="009C44B9" w14:paraId="4E77EF31" w14:textId="77777777" w:rsidTr="004F6977">
              <w:trPr>
                <w:trHeight w:val="324"/>
              </w:trPr>
              <w:tc>
                <w:tcPr>
                  <w:tcW w:w="4039" w:type="dxa"/>
                </w:tcPr>
                <w:p w14:paraId="36FBF414" w14:textId="77777777" w:rsidR="009C44B9" w:rsidRDefault="009C44B9" w:rsidP="004F6977">
                  <w:pPr>
                    <w:spacing w:line="240" w:lineRule="auto"/>
                    <w:rPr>
                      <w:color w:val="000000" w:themeColor="text1"/>
                      <w:sz w:val="24"/>
                      <w:szCs w:val="24"/>
                    </w:rPr>
                  </w:pPr>
                  <w:r>
                    <w:rPr>
                      <w:color w:val="000000" w:themeColor="text1"/>
                      <w:sz w:val="24"/>
                      <w:szCs w:val="24"/>
                    </w:rPr>
                    <w:t xml:space="preserve">Deep red </w:t>
                  </w:r>
                  <w:proofErr w:type="spellStart"/>
                  <w:r>
                    <w:rPr>
                      <w:color w:val="000000" w:themeColor="text1"/>
                      <w:sz w:val="24"/>
                      <w:szCs w:val="24"/>
                    </w:rPr>
                    <w:t>CellTracker</w:t>
                  </w:r>
                  <w:proofErr w:type="spellEnd"/>
                  <w:r>
                    <w:rPr>
                      <w:color w:val="000000" w:themeColor="text1"/>
                      <w:sz w:val="24"/>
                      <w:szCs w:val="24"/>
                    </w:rPr>
                    <w:t>™ dye</w:t>
                  </w:r>
                </w:p>
              </w:tc>
              <w:tc>
                <w:tcPr>
                  <w:tcW w:w="1990" w:type="dxa"/>
                </w:tcPr>
                <w:p w14:paraId="7ACF7589" w14:textId="77777777" w:rsidR="009C44B9" w:rsidRDefault="009C44B9" w:rsidP="004F6977">
                  <w:pPr>
                    <w:spacing w:line="240" w:lineRule="auto"/>
                    <w:rPr>
                      <w:color w:val="000000" w:themeColor="text1"/>
                      <w:sz w:val="24"/>
                      <w:szCs w:val="24"/>
                    </w:rPr>
                  </w:pPr>
                  <w:r>
                    <w:rPr>
                      <w:color w:val="000000" w:themeColor="text1"/>
                      <w:sz w:val="24"/>
                      <w:szCs w:val="24"/>
                    </w:rPr>
                    <w:t>Molecular Probes</w:t>
                  </w:r>
                </w:p>
              </w:tc>
              <w:tc>
                <w:tcPr>
                  <w:tcW w:w="4036" w:type="dxa"/>
                </w:tcPr>
                <w:p w14:paraId="03DCF38C" w14:textId="77777777" w:rsidR="009C44B9" w:rsidRDefault="009C44B9" w:rsidP="004F6977">
                  <w:pPr>
                    <w:spacing w:line="240" w:lineRule="auto"/>
                    <w:rPr>
                      <w:color w:val="000000" w:themeColor="text1"/>
                      <w:sz w:val="24"/>
                      <w:szCs w:val="24"/>
                    </w:rPr>
                  </w:pPr>
                  <w:hyperlink r:id="rId22" w:history="1">
                    <w:r>
                      <w:rPr>
                        <w:rStyle w:val="af1"/>
                        <w:color w:val="000000" w:themeColor="text1"/>
                        <w:sz w:val="24"/>
                        <w:szCs w:val="24"/>
                      </w:rPr>
                      <w:t>C34565</w:t>
                    </w:r>
                  </w:hyperlink>
                </w:p>
              </w:tc>
            </w:tr>
            <w:tr w:rsidR="009C44B9" w14:paraId="3A3437A7" w14:textId="77777777" w:rsidTr="004F6977">
              <w:trPr>
                <w:trHeight w:val="324"/>
              </w:trPr>
              <w:tc>
                <w:tcPr>
                  <w:tcW w:w="4039" w:type="dxa"/>
                </w:tcPr>
                <w:p w14:paraId="6A200084" w14:textId="77777777" w:rsidR="009C44B9" w:rsidRDefault="009C44B9" w:rsidP="004F6977">
                  <w:pPr>
                    <w:spacing w:line="240" w:lineRule="auto"/>
                    <w:rPr>
                      <w:color w:val="000000" w:themeColor="text1"/>
                      <w:sz w:val="24"/>
                      <w:szCs w:val="24"/>
                    </w:rPr>
                  </w:pPr>
                  <w:r>
                    <w:rPr>
                      <w:color w:val="000000" w:themeColor="text1"/>
                      <w:sz w:val="24"/>
                      <w:szCs w:val="24"/>
                    </w:rPr>
                    <w:t xml:space="preserve">CMFDA (green) </w:t>
                  </w:r>
                  <w:proofErr w:type="spellStart"/>
                  <w:r>
                    <w:rPr>
                      <w:color w:val="000000" w:themeColor="text1"/>
                      <w:sz w:val="24"/>
                      <w:szCs w:val="24"/>
                    </w:rPr>
                    <w:t>CellTracker</w:t>
                  </w:r>
                  <w:proofErr w:type="spellEnd"/>
                  <w:r>
                    <w:rPr>
                      <w:color w:val="000000" w:themeColor="text1"/>
                      <w:sz w:val="24"/>
                      <w:szCs w:val="24"/>
                    </w:rPr>
                    <w:t>™ dye</w:t>
                  </w:r>
                </w:p>
              </w:tc>
              <w:tc>
                <w:tcPr>
                  <w:tcW w:w="1990" w:type="dxa"/>
                </w:tcPr>
                <w:p w14:paraId="68C0C05C" w14:textId="77777777" w:rsidR="009C44B9" w:rsidRDefault="009C44B9" w:rsidP="004F6977">
                  <w:pPr>
                    <w:spacing w:line="240" w:lineRule="auto"/>
                    <w:rPr>
                      <w:color w:val="000000" w:themeColor="text1"/>
                      <w:sz w:val="24"/>
                      <w:szCs w:val="24"/>
                    </w:rPr>
                  </w:pPr>
                  <w:r>
                    <w:rPr>
                      <w:color w:val="000000" w:themeColor="text1"/>
                      <w:sz w:val="24"/>
                      <w:szCs w:val="24"/>
                    </w:rPr>
                    <w:t>Molecular Probes</w:t>
                  </w:r>
                </w:p>
              </w:tc>
              <w:tc>
                <w:tcPr>
                  <w:tcW w:w="4036" w:type="dxa"/>
                </w:tcPr>
                <w:p w14:paraId="45A085A7" w14:textId="77777777" w:rsidR="009C44B9" w:rsidRDefault="009C44B9" w:rsidP="004F6977">
                  <w:pPr>
                    <w:spacing w:line="240" w:lineRule="auto"/>
                    <w:rPr>
                      <w:color w:val="000000" w:themeColor="text1"/>
                      <w:sz w:val="24"/>
                      <w:szCs w:val="24"/>
                    </w:rPr>
                  </w:pPr>
                  <w:r>
                    <w:rPr>
                      <w:color w:val="000000" w:themeColor="text1"/>
                      <w:sz w:val="24"/>
                      <w:szCs w:val="24"/>
                    </w:rPr>
                    <w:t>C7025</w:t>
                  </w:r>
                </w:p>
              </w:tc>
            </w:tr>
            <w:tr w:rsidR="009C44B9" w14:paraId="65A11279" w14:textId="77777777" w:rsidTr="004F6977">
              <w:trPr>
                <w:trHeight w:val="324"/>
              </w:trPr>
              <w:tc>
                <w:tcPr>
                  <w:tcW w:w="4039" w:type="dxa"/>
                </w:tcPr>
                <w:p w14:paraId="0047CF4C" w14:textId="77777777" w:rsidR="009C44B9" w:rsidRDefault="009C44B9" w:rsidP="004F6977">
                  <w:pPr>
                    <w:spacing w:line="240" w:lineRule="auto"/>
                    <w:rPr>
                      <w:color w:val="000000" w:themeColor="text1"/>
                      <w:sz w:val="24"/>
                      <w:szCs w:val="24"/>
                    </w:rPr>
                  </w:pPr>
                  <w:r>
                    <w:rPr>
                      <w:color w:val="000000" w:themeColor="text1"/>
                      <w:sz w:val="24"/>
                      <w:szCs w:val="24"/>
                    </w:rPr>
                    <w:t>Tocilizumab</w:t>
                  </w:r>
                </w:p>
              </w:tc>
              <w:tc>
                <w:tcPr>
                  <w:tcW w:w="1990" w:type="dxa"/>
                </w:tcPr>
                <w:p w14:paraId="5DE850FA" w14:textId="77777777" w:rsidR="009C44B9" w:rsidRDefault="009C44B9" w:rsidP="004F6977">
                  <w:pPr>
                    <w:spacing w:line="240" w:lineRule="auto"/>
                    <w:rPr>
                      <w:color w:val="000000" w:themeColor="text1"/>
                      <w:sz w:val="24"/>
                      <w:szCs w:val="24"/>
                    </w:rPr>
                  </w:pPr>
                  <w:r>
                    <w:rPr>
                      <w:color w:val="000000" w:themeColor="text1"/>
                      <w:sz w:val="24"/>
                      <w:szCs w:val="24"/>
                    </w:rPr>
                    <w:t>Roche</w:t>
                  </w:r>
                </w:p>
              </w:tc>
              <w:tc>
                <w:tcPr>
                  <w:tcW w:w="4036" w:type="dxa"/>
                </w:tcPr>
                <w:p w14:paraId="347773C5" w14:textId="77777777" w:rsidR="009C44B9" w:rsidRDefault="009C44B9" w:rsidP="004F6977">
                  <w:pPr>
                    <w:spacing w:line="240" w:lineRule="auto"/>
                    <w:rPr>
                      <w:color w:val="000000" w:themeColor="text1"/>
                      <w:sz w:val="24"/>
                      <w:szCs w:val="24"/>
                    </w:rPr>
                  </w:pPr>
                  <w:r>
                    <w:rPr>
                      <w:color w:val="000000" w:themeColor="text1"/>
                      <w:sz w:val="24"/>
                      <w:szCs w:val="24"/>
                    </w:rPr>
                    <w:t>N/A</w:t>
                  </w:r>
                </w:p>
              </w:tc>
            </w:tr>
            <w:tr w:rsidR="009C44B9" w14:paraId="4D3B9952" w14:textId="77777777" w:rsidTr="004F6977">
              <w:trPr>
                <w:trHeight w:val="324"/>
              </w:trPr>
              <w:tc>
                <w:tcPr>
                  <w:tcW w:w="4039" w:type="dxa"/>
                </w:tcPr>
                <w:p w14:paraId="6F4E97DA" w14:textId="77777777" w:rsidR="009C44B9" w:rsidRDefault="009C44B9" w:rsidP="004F6977">
                  <w:pPr>
                    <w:spacing w:line="240" w:lineRule="auto"/>
                    <w:rPr>
                      <w:color w:val="000000" w:themeColor="text1"/>
                      <w:sz w:val="24"/>
                      <w:szCs w:val="24"/>
                    </w:rPr>
                  </w:pPr>
                  <w:r>
                    <w:rPr>
                      <w:rFonts w:hint="eastAsia"/>
                      <w:color w:val="000000" w:themeColor="text1"/>
                      <w:sz w:val="24"/>
                      <w:szCs w:val="24"/>
                    </w:rPr>
                    <w:t>I</w:t>
                  </w:r>
                  <w:r>
                    <w:rPr>
                      <w:color w:val="000000" w:themeColor="text1"/>
                      <w:sz w:val="24"/>
                      <w:szCs w:val="24"/>
                    </w:rPr>
                    <w:t>gG isotype control</w:t>
                  </w:r>
                </w:p>
              </w:tc>
              <w:tc>
                <w:tcPr>
                  <w:tcW w:w="1990" w:type="dxa"/>
                </w:tcPr>
                <w:p w14:paraId="3524759D" w14:textId="77777777" w:rsidR="009C44B9" w:rsidRDefault="009C44B9" w:rsidP="004F6977">
                  <w:pPr>
                    <w:spacing w:line="240" w:lineRule="auto"/>
                    <w:rPr>
                      <w:color w:val="000000" w:themeColor="text1"/>
                      <w:sz w:val="24"/>
                      <w:szCs w:val="24"/>
                    </w:rPr>
                  </w:pPr>
                  <w:proofErr w:type="spellStart"/>
                  <w:r>
                    <w:rPr>
                      <w:rFonts w:hint="eastAsia"/>
                      <w:color w:val="000000" w:themeColor="text1"/>
                      <w:sz w:val="24"/>
                      <w:szCs w:val="24"/>
                    </w:rPr>
                    <w:t>B</w:t>
                  </w:r>
                  <w:r>
                    <w:rPr>
                      <w:color w:val="000000" w:themeColor="text1"/>
                      <w:sz w:val="24"/>
                      <w:szCs w:val="24"/>
                    </w:rPr>
                    <w:t>ioXCell</w:t>
                  </w:r>
                  <w:proofErr w:type="spellEnd"/>
                </w:p>
              </w:tc>
              <w:tc>
                <w:tcPr>
                  <w:tcW w:w="4036" w:type="dxa"/>
                </w:tcPr>
                <w:p w14:paraId="52C0E5C5" w14:textId="77777777" w:rsidR="009C44B9" w:rsidRDefault="009C44B9" w:rsidP="004F6977">
                  <w:pPr>
                    <w:spacing w:line="240" w:lineRule="auto"/>
                    <w:rPr>
                      <w:color w:val="000000" w:themeColor="text1"/>
                      <w:sz w:val="24"/>
                      <w:szCs w:val="24"/>
                    </w:rPr>
                  </w:pPr>
                  <w:r>
                    <w:rPr>
                      <w:rFonts w:hint="eastAsia"/>
                      <w:color w:val="000000" w:themeColor="text1"/>
                      <w:sz w:val="24"/>
                      <w:szCs w:val="24"/>
                    </w:rPr>
                    <w:t>B</w:t>
                  </w:r>
                  <w:r>
                    <w:rPr>
                      <w:color w:val="000000" w:themeColor="text1"/>
                      <w:sz w:val="24"/>
                      <w:szCs w:val="24"/>
                    </w:rPr>
                    <w:t>P0297</w:t>
                  </w:r>
                </w:p>
              </w:tc>
            </w:tr>
            <w:tr w:rsidR="009C44B9" w14:paraId="3AD33F85" w14:textId="77777777" w:rsidTr="004F6977">
              <w:trPr>
                <w:trHeight w:val="324"/>
              </w:trPr>
              <w:tc>
                <w:tcPr>
                  <w:tcW w:w="4039" w:type="dxa"/>
                </w:tcPr>
                <w:p w14:paraId="0275C811" w14:textId="77777777" w:rsidR="009C44B9" w:rsidRDefault="009C44B9" w:rsidP="004F6977">
                  <w:pPr>
                    <w:spacing w:line="240" w:lineRule="auto"/>
                    <w:rPr>
                      <w:color w:val="000000" w:themeColor="text1"/>
                      <w:sz w:val="24"/>
                      <w:szCs w:val="24"/>
                    </w:rPr>
                  </w:pPr>
                  <w:r>
                    <w:rPr>
                      <w:color w:val="000000" w:themeColor="text1"/>
                      <w:sz w:val="24"/>
                      <w:szCs w:val="24"/>
                    </w:rPr>
                    <w:t>IL-6 Protein, Mouse</w:t>
                  </w:r>
                </w:p>
              </w:tc>
              <w:tc>
                <w:tcPr>
                  <w:tcW w:w="1990" w:type="dxa"/>
                </w:tcPr>
                <w:p w14:paraId="7B88EF84"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MedChemExpress</w:t>
                  </w:r>
                  <w:proofErr w:type="spellEnd"/>
                </w:p>
              </w:tc>
              <w:tc>
                <w:tcPr>
                  <w:tcW w:w="4036" w:type="dxa"/>
                </w:tcPr>
                <w:p w14:paraId="4F5995C3" w14:textId="77777777" w:rsidR="009C44B9" w:rsidRDefault="009C44B9" w:rsidP="004F6977">
                  <w:pPr>
                    <w:spacing w:line="240" w:lineRule="auto"/>
                    <w:rPr>
                      <w:color w:val="000000" w:themeColor="text1"/>
                      <w:sz w:val="24"/>
                      <w:szCs w:val="24"/>
                    </w:rPr>
                  </w:pPr>
                  <w:r>
                    <w:rPr>
                      <w:color w:val="000000" w:themeColor="text1"/>
                      <w:sz w:val="24"/>
                      <w:szCs w:val="24"/>
                    </w:rPr>
                    <w:t>HY-P7063</w:t>
                  </w:r>
                </w:p>
              </w:tc>
            </w:tr>
            <w:tr w:rsidR="009C44B9" w14:paraId="54916E34" w14:textId="77777777" w:rsidTr="004F6977">
              <w:trPr>
                <w:trHeight w:val="324"/>
              </w:trPr>
              <w:tc>
                <w:tcPr>
                  <w:tcW w:w="4039" w:type="dxa"/>
                </w:tcPr>
                <w:p w14:paraId="55389773" w14:textId="77777777" w:rsidR="009C44B9" w:rsidRDefault="009C44B9" w:rsidP="004F6977">
                  <w:pPr>
                    <w:spacing w:line="240" w:lineRule="auto"/>
                    <w:rPr>
                      <w:color w:val="000000" w:themeColor="text1"/>
                      <w:sz w:val="24"/>
                      <w:szCs w:val="24"/>
                    </w:rPr>
                  </w:pPr>
                  <w:r>
                    <w:rPr>
                      <w:color w:val="000000" w:themeColor="text1"/>
                      <w:sz w:val="24"/>
                      <w:szCs w:val="24"/>
                    </w:rPr>
                    <w:t xml:space="preserve">BD Pharmingen™ Leukocyte Activation Cocktail, with BD </w:t>
                  </w:r>
                  <w:proofErr w:type="spellStart"/>
                  <w:r>
                    <w:rPr>
                      <w:color w:val="000000" w:themeColor="text1"/>
                      <w:sz w:val="24"/>
                      <w:szCs w:val="24"/>
                    </w:rPr>
                    <w:t>GolgiPlug</w:t>
                  </w:r>
                  <w:proofErr w:type="spellEnd"/>
                  <w:r>
                    <w:rPr>
                      <w:color w:val="000000" w:themeColor="text1"/>
                      <w:sz w:val="24"/>
                      <w:szCs w:val="24"/>
                    </w:rPr>
                    <w:t>™</w:t>
                  </w:r>
                </w:p>
              </w:tc>
              <w:tc>
                <w:tcPr>
                  <w:tcW w:w="1990" w:type="dxa"/>
                  <w:vAlign w:val="center"/>
                </w:tcPr>
                <w:p w14:paraId="7716F136" w14:textId="77777777" w:rsidR="009C44B9" w:rsidRDefault="009C44B9" w:rsidP="004F6977">
                  <w:pPr>
                    <w:spacing w:line="240" w:lineRule="auto"/>
                    <w:rPr>
                      <w:color w:val="000000" w:themeColor="text1"/>
                      <w:sz w:val="24"/>
                      <w:szCs w:val="24"/>
                    </w:rPr>
                  </w:pPr>
                  <w:r>
                    <w:rPr>
                      <w:color w:val="000000" w:themeColor="text1"/>
                      <w:sz w:val="24"/>
                      <w:szCs w:val="24"/>
                    </w:rPr>
                    <w:t>BD Biosciences</w:t>
                  </w:r>
                </w:p>
              </w:tc>
              <w:tc>
                <w:tcPr>
                  <w:tcW w:w="4036" w:type="dxa"/>
                </w:tcPr>
                <w:p w14:paraId="4630AE09" w14:textId="77777777" w:rsidR="009C44B9" w:rsidRDefault="009C44B9" w:rsidP="004F6977">
                  <w:pPr>
                    <w:spacing w:line="240" w:lineRule="auto"/>
                    <w:rPr>
                      <w:color w:val="000000" w:themeColor="text1"/>
                      <w:sz w:val="24"/>
                      <w:szCs w:val="24"/>
                    </w:rPr>
                  </w:pPr>
                  <w:r>
                    <w:rPr>
                      <w:color w:val="000000" w:themeColor="text1"/>
                      <w:sz w:val="24"/>
                      <w:szCs w:val="24"/>
                    </w:rPr>
                    <w:t>Cat#</w:t>
                  </w:r>
                  <w:r>
                    <w:rPr>
                      <w:rFonts w:hint="eastAsia"/>
                      <w:color w:val="000000" w:themeColor="text1"/>
                      <w:sz w:val="24"/>
                      <w:szCs w:val="24"/>
                    </w:rPr>
                    <w:t xml:space="preserve"> </w:t>
                  </w:r>
                  <w:r>
                    <w:rPr>
                      <w:color w:val="000000" w:themeColor="text1"/>
                      <w:sz w:val="24"/>
                      <w:szCs w:val="24"/>
                    </w:rPr>
                    <w:t>550583</w:t>
                  </w:r>
                  <w:r>
                    <w:rPr>
                      <w:rFonts w:hint="eastAsia"/>
                      <w:color w:val="000000" w:themeColor="text1"/>
                      <w:sz w:val="24"/>
                      <w:szCs w:val="24"/>
                    </w:rPr>
                    <w:t xml:space="preserve">, </w:t>
                  </w:r>
                  <w:r>
                    <w:rPr>
                      <w:color w:val="000000" w:themeColor="text1"/>
                      <w:sz w:val="24"/>
                      <w:szCs w:val="24"/>
                    </w:rPr>
                    <w:t>RRID:</w:t>
                  </w:r>
                  <w:r>
                    <w:rPr>
                      <w:rFonts w:hint="eastAsia"/>
                      <w:color w:val="000000" w:themeColor="text1"/>
                      <w:sz w:val="24"/>
                      <w:szCs w:val="24"/>
                    </w:rPr>
                    <w:t xml:space="preserve"> </w:t>
                  </w:r>
                  <w:r>
                    <w:rPr>
                      <w:color w:val="000000" w:themeColor="text1"/>
                      <w:sz w:val="24"/>
                      <w:szCs w:val="24"/>
                    </w:rPr>
                    <w:t>AB_2868893</w:t>
                  </w:r>
                </w:p>
              </w:tc>
            </w:tr>
            <w:tr w:rsidR="009C44B9" w14:paraId="408E97A6" w14:textId="77777777" w:rsidTr="004F6977">
              <w:trPr>
                <w:trHeight w:val="324"/>
              </w:trPr>
              <w:tc>
                <w:tcPr>
                  <w:tcW w:w="4039" w:type="dxa"/>
                </w:tcPr>
                <w:p w14:paraId="6A3DA00C" w14:textId="77777777" w:rsidR="009C44B9" w:rsidRDefault="009C44B9" w:rsidP="004F6977">
                  <w:pPr>
                    <w:spacing w:line="240" w:lineRule="auto"/>
                    <w:rPr>
                      <w:color w:val="000000" w:themeColor="text1"/>
                      <w:sz w:val="24"/>
                      <w:szCs w:val="24"/>
                    </w:rPr>
                  </w:pPr>
                  <w:r>
                    <w:rPr>
                      <w:color w:val="000000" w:themeColor="text1"/>
                      <w:sz w:val="24"/>
                      <w:szCs w:val="24"/>
                    </w:rPr>
                    <w:t xml:space="preserve">Beta-Amyloid (1-42), </w:t>
                  </w:r>
                  <w:proofErr w:type="spellStart"/>
                  <w:r>
                    <w:rPr>
                      <w:color w:val="000000" w:themeColor="text1"/>
                      <w:sz w:val="24"/>
                      <w:szCs w:val="24"/>
                    </w:rPr>
                    <w:t>HiLyte</w:t>
                  </w:r>
                  <w:proofErr w:type="spellEnd"/>
                  <w:r>
                    <w:rPr>
                      <w:color w:val="000000" w:themeColor="text1"/>
                      <w:sz w:val="24"/>
                      <w:szCs w:val="24"/>
                    </w:rPr>
                    <w:t>™ Fluor 555</w:t>
                  </w:r>
                </w:p>
              </w:tc>
              <w:tc>
                <w:tcPr>
                  <w:tcW w:w="1990" w:type="dxa"/>
                  <w:vAlign w:val="center"/>
                </w:tcPr>
                <w:p w14:paraId="5931E06C" w14:textId="77777777" w:rsidR="009C44B9" w:rsidRDefault="009C44B9" w:rsidP="004F6977">
                  <w:pPr>
                    <w:spacing w:line="240" w:lineRule="auto"/>
                    <w:rPr>
                      <w:color w:val="000000" w:themeColor="text1"/>
                      <w:sz w:val="24"/>
                      <w:szCs w:val="24"/>
                    </w:rPr>
                  </w:pPr>
                  <w:proofErr w:type="spellStart"/>
                  <w:r>
                    <w:rPr>
                      <w:rFonts w:hint="eastAsia"/>
                      <w:color w:val="000000" w:themeColor="text1"/>
                      <w:sz w:val="24"/>
                      <w:szCs w:val="24"/>
                    </w:rPr>
                    <w:t>A</w:t>
                  </w:r>
                  <w:r>
                    <w:rPr>
                      <w:color w:val="000000" w:themeColor="text1"/>
                      <w:sz w:val="24"/>
                      <w:szCs w:val="24"/>
                    </w:rPr>
                    <w:t>na</w:t>
                  </w:r>
                  <w:r>
                    <w:rPr>
                      <w:rFonts w:hint="eastAsia"/>
                      <w:color w:val="000000" w:themeColor="text1"/>
                      <w:sz w:val="24"/>
                      <w:szCs w:val="24"/>
                    </w:rPr>
                    <w:t>S</w:t>
                  </w:r>
                  <w:r>
                    <w:rPr>
                      <w:color w:val="000000" w:themeColor="text1"/>
                      <w:sz w:val="24"/>
                      <w:szCs w:val="24"/>
                    </w:rPr>
                    <w:t>pec</w:t>
                  </w:r>
                  <w:proofErr w:type="spellEnd"/>
                </w:p>
              </w:tc>
              <w:tc>
                <w:tcPr>
                  <w:tcW w:w="4036" w:type="dxa"/>
                </w:tcPr>
                <w:p w14:paraId="697B76EF" w14:textId="77777777" w:rsidR="009C44B9" w:rsidRDefault="009C44B9" w:rsidP="004F6977">
                  <w:pPr>
                    <w:spacing w:line="240" w:lineRule="auto"/>
                    <w:rPr>
                      <w:color w:val="000000" w:themeColor="text1"/>
                      <w:sz w:val="24"/>
                      <w:szCs w:val="24"/>
                    </w:rPr>
                  </w:pPr>
                  <w:r>
                    <w:rPr>
                      <w:color w:val="000000" w:themeColor="text1"/>
                      <w:sz w:val="24"/>
                      <w:szCs w:val="24"/>
                    </w:rPr>
                    <w:t>AS-60480-01</w:t>
                  </w:r>
                </w:p>
              </w:tc>
            </w:tr>
            <w:tr w:rsidR="009C44B9" w14:paraId="307C167C" w14:textId="77777777" w:rsidTr="004F6977">
              <w:trPr>
                <w:trHeight w:val="324"/>
              </w:trPr>
              <w:tc>
                <w:tcPr>
                  <w:tcW w:w="10065" w:type="dxa"/>
                  <w:gridSpan w:val="3"/>
                </w:tcPr>
                <w:p w14:paraId="395C9991" w14:textId="77777777" w:rsidR="009C44B9" w:rsidRDefault="009C44B9" w:rsidP="004F6977">
                  <w:pPr>
                    <w:spacing w:line="240" w:lineRule="auto"/>
                    <w:rPr>
                      <w:b/>
                      <w:bCs/>
                      <w:color w:val="000000" w:themeColor="text1"/>
                      <w:sz w:val="24"/>
                      <w:szCs w:val="24"/>
                    </w:rPr>
                  </w:pPr>
                  <w:r>
                    <w:rPr>
                      <w:b/>
                      <w:bCs/>
                      <w:color w:val="000000" w:themeColor="text1"/>
                      <w:sz w:val="24"/>
                      <w:szCs w:val="24"/>
                    </w:rPr>
                    <w:t>Critical commercial assays</w:t>
                  </w:r>
                </w:p>
              </w:tc>
            </w:tr>
            <w:tr w:rsidR="009C44B9" w14:paraId="69509FBD" w14:textId="77777777" w:rsidTr="004F6977">
              <w:trPr>
                <w:trHeight w:val="324"/>
              </w:trPr>
              <w:tc>
                <w:tcPr>
                  <w:tcW w:w="4039" w:type="dxa"/>
                </w:tcPr>
                <w:p w14:paraId="23775F7A" w14:textId="77777777" w:rsidR="009C44B9" w:rsidRDefault="009C44B9" w:rsidP="004F6977">
                  <w:pPr>
                    <w:spacing w:line="240" w:lineRule="auto"/>
                    <w:rPr>
                      <w:color w:val="000000" w:themeColor="text1"/>
                      <w:sz w:val="24"/>
                      <w:szCs w:val="24"/>
                    </w:rPr>
                  </w:pPr>
                  <w:r>
                    <w:rPr>
                      <w:color w:val="000000" w:themeColor="text1"/>
                      <w:sz w:val="24"/>
                      <w:szCs w:val="24"/>
                    </w:rPr>
                    <w:t>Human Aβ</w:t>
                  </w:r>
                  <w:r>
                    <w:rPr>
                      <w:color w:val="000000" w:themeColor="text1"/>
                      <w:sz w:val="24"/>
                      <w:szCs w:val="24"/>
                      <w:vertAlign w:val="subscript"/>
                    </w:rPr>
                    <w:t>1-42</w:t>
                  </w:r>
                  <w:r>
                    <w:rPr>
                      <w:color w:val="000000" w:themeColor="text1"/>
                      <w:sz w:val="24"/>
                      <w:szCs w:val="24"/>
                    </w:rPr>
                    <w:t xml:space="preserve"> ultrasensitive ELISA kit</w:t>
                  </w:r>
                </w:p>
              </w:tc>
              <w:tc>
                <w:tcPr>
                  <w:tcW w:w="1990" w:type="dxa"/>
                </w:tcPr>
                <w:p w14:paraId="35968949" w14:textId="77777777" w:rsidR="009C44B9" w:rsidRDefault="009C44B9" w:rsidP="004F6977">
                  <w:pPr>
                    <w:spacing w:line="240" w:lineRule="auto"/>
                    <w:rPr>
                      <w:color w:val="000000" w:themeColor="text1"/>
                      <w:sz w:val="24"/>
                      <w:szCs w:val="24"/>
                    </w:rPr>
                  </w:pPr>
                  <w:r>
                    <w:rPr>
                      <w:color w:val="000000" w:themeColor="text1"/>
                      <w:sz w:val="24"/>
                      <w:szCs w:val="24"/>
                    </w:rPr>
                    <w:t>Invitrogen</w:t>
                  </w:r>
                </w:p>
              </w:tc>
              <w:tc>
                <w:tcPr>
                  <w:tcW w:w="4036" w:type="dxa"/>
                </w:tcPr>
                <w:p w14:paraId="6B1D97AC" w14:textId="77777777" w:rsidR="009C44B9" w:rsidRDefault="009C44B9" w:rsidP="004F6977">
                  <w:pPr>
                    <w:spacing w:line="240" w:lineRule="auto"/>
                    <w:rPr>
                      <w:color w:val="000000" w:themeColor="text1"/>
                      <w:sz w:val="24"/>
                      <w:szCs w:val="24"/>
                    </w:rPr>
                  </w:pPr>
                  <w:r>
                    <w:rPr>
                      <w:color w:val="000000" w:themeColor="text1"/>
                      <w:sz w:val="24"/>
                      <w:szCs w:val="24"/>
                    </w:rPr>
                    <w:t>KHB3544</w:t>
                  </w:r>
                </w:p>
              </w:tc>
            </w:tr>
            <w:tr w:rsidR="009C44B9" w14:paraId="712C9011" w14:textId="77777777" w:rsidTr="004F6977">
              <w:trPr>
                <w:trHeight w:val="324"/>
              </w:trPr>
              <w:tc>
                <w:tcPr>
                  <w:tcW w:w="4039" w:type="dxa"/>
                </w:tcPr>
                <w:p w14:paraId="550CF20C" w14:textId="77777777" w:rsidR="009C44B9" w:rsidRDefault="009C44B9" w:rsidP="004F6977">
                  <w:pPr>
                    <w:spacing w:line="240" w:lineRule="auto"/>
                    <w:rPr>
                      <w:color w:val="000000" w:themeColor="text1"/>
                      <w:sz w:val="24"/>
                      <w:szCs w:val="24"/>
                    </w:rPr>
                  </w:pPr>
                  <w:r>
                    <w:rPr>
                      <w:color w:val="000000" w:themeColor="text1"/>
                      <w:sz w:val="24"/>
                      <w:szCs w:val="24"/>
                    </w:rPr>
                    <w:t>Human Aβ</w:t>
                  </w:r>
                  <w:r>
                    <w:rPr>
                      <w:color w:val="000000" w:themeColor="text1"/>
                      <w:sz w:val="24"/>
                      <w:szCs w:val="24"/>
                      <w:vertAlign w:val="subscript"/>
                    </w:rPr>
                    <w:t>1-42</w:t>
                  </w:r>
                  <w:r>
                    <w:rPr>
                      <w:color w:val="000000" w:themeColor="text1"/>
                      <w:sz w:val="24"/>
                      <w:szCs w:val="24"/>
                    </w:rPr>
                    <w:t xml:space="preserve"> ELISA kit</w:t>
                  </w:r>
                </w:p>
              </w:tc>
              <w:tc>
                <w:tcPr>
                  <w:tcW w:w="1990" w:type="dxa"/>
                </w:tcPr>
                <w:p w14:paraId="6CAE8EC6" w14:textId="77777777" w:rsidR="009C44B9" w:rsidRDefault="009C44B9" w:rsidP="004F6977">
                  <w:pPr>
                    <w:spacing w:line="240" w:lineRule="auto"/>
                    <w:rPr>
                      <w:color w:val="000000" w:themeColor="text1"/>
                      <w:sz w:val="24"/>
                      <w:szCs w:val="24"/>
                    </w:rPr>
                  </w:pPr>
                  <w:r>
                    <w:rPr>
                      <w:color w:val="000000" w:themeColor="text1"/>
                      <w:sz w:val="24"/>
                      <w:szCs w:val="24"/>
                    </w:rPr>
                    <w:t>Invitrogen</w:t>
                  </w:r>
                </w:p>
              </w:tc>
              <w:tc>
                <w:tcPr>
                  <w:tcW w:w="4036" w:type="dxa"/>
                </w:tcPr>
                <w:p w14:paraId="7FA828A7" w14:textId="77777777" w:rsidR="009C44B9" w:rsidRDefault="009C44B9" w:rsidP="004F6977">
                  <w:pPr>
                    <w:spacing w:line="240" w:lineRule="auto"/>
                    <w:rPr>
                      <w:color w:val="000000" w:themeColor="text1"/>
                      <w:sz w:val="24"/>
                      <w:szCs w:val="24"/>
                    </w:rPr>
                  </w:pPr>
                  <w:r>
                    <w:rPr>
                      <w:color w:val="000000" w:themeColor="text1"/>
                      <w:sz w:val="24"/>
                      <w:szCs w:val="24"/>
                    </w:rPr>
                    <w:t>KHB3441</w:t>
                  </w:r>
                </w:p>
              </w:tc>
            </w:tr>
            <w:tr w:rsidR="009C44B9" w14:paraId="0230DBE8" w14:textId="77777777" w:rsidTr="004F6977">
              <w:trPr>
                <w:trHeight w:val="324"/>
              </w:trPr>
              <w:tc>
                <w:tcPr>
                  <w:tcW w:w="4039" w:type="dxa"/>
                </w:tcPr>
                <w:p w14:paraId="559FD0B0" w14:textId="77777777" w:rsidR="009C44B9" w:rsidRDefault="009C44B9" w:rsidP="004F6977">
                  <w:pPr>
                    <w:spacing w:line="240" w:lineRule="auto"/>
                    <w:rPr>
                      <w:color w:val="000000" w:themeColor="text1"/>
                      <w:sz w:val="24"/>
                      <w:szCs w:val="24"/>
                    </w:rPr>
                  </w:pPr>
                  <w:r>
                    <w:rPr>
                      <w:rFonts w:hint="eastAsia"/>
                      <w:color w:val="000000" w:themeColor="text1"/>
                      <w:sz w:val="24"/>
                      <w:szCs w:val="24"/>
                    </w:rPr>
                    <w:t>I</w:t>
                  </w:r>
                  <w:r>
                    <w:rPr>
                      <w:color w:val="000000" w:themeColor="text1"/>
                      <w:sz w:val="24"/>
                      <w:szCs w:val="24"/>
                    </w:rPr>
                    <w:t>L-6</w:t>
                  </w:r>
                  <w:r>
                    <w:rPr>
                      <w:rFonts w:hint="eastAsia"/>
                      <w:color w:val="000000" w:themeColor="text1"/>
                      <w:sz w:val="24"/>
                      <w:szCs w:val="24"/>
                    </w:rPr>
                    <w:t xml:space="preserve"> </w:t>
                  </w:r>
                  <w:r>
                    <w:rPr>
                      <w:color w:val="000000" w:themeColor="text1"/>
                      <w:sz w:val="24"/>
                      <w:szCs w:val="24"/>
                    </w:rPr>
                    <w:t>EL</w:t>
                  </w:r>
                  <w:r>
                    <w:rPr>
                      <w:rFonts w:hint="eastAsia"/>
                      <w:color w:val="000000" w:themeColor="text1"/>
                      <w:sz w:val="24"/>
                      <w:szCs w:val="24"/>
                    </w:rPr>
                    <w:t>I</w:t>
                  </w:r>
                  <w:r>
                    <w:rPr>
                      <w:color w:val="000000" w:themeColor="text1"/>
                      <w:sz w:val="24"/>
                      <w:szCs w:val="24"/>
                    </w:rPr>
                    <w:t>SA kit</w:t>
                  </w:r>
                </w:p>
              </w:tc>
              <w:tc>
                <w:tcPr>
                  <w:tcW w:w="1990" w:type="dxa"/>
                </w:tcPr>
                <w:p w14:paraId="6F15DB28"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Ruixinbio</w:t>
                  </w:r>
                  <w:proofErr w:type="spellEnd"/>
                </w:p>
              </w:tc>
              <w:tc>
                <w:tcPr>
                  <w:tcW w:w="4036" w:type="dxa"/>
                </w:tcPr>
                <w:p w14:paraId="34858AF6" w14:textId="77777777" w:rsidR="009C44B9" w:rsidRDefault="009C44B9" w:rsidP="004F6977">
                  <w:pPr>
                    <w:spacing w:line="240" w:lineRule="auto"/>
                    <w:rPr>
                      <w:color w:val="000000" w:themeColor="text1"/>
                      <w:sz w:val="24"/>
                      <w:szCs w:val="24"/>
                    </w:rPr>
                  </w:pPr>
                  <w:r>
                    <w:rPr>
                      <w:color w:val="000000" w:themeColor="text1"/>
                      <w:sz w:val="24"/>
                      <w:szCs w:val="24"/>
                    </w:rPr>
                    <w:t>RX203049M</w:t>
                  </w:r>
                </w:p>
              </w:tc>
            </w:tr>
            <w:tr w:rsidR="009C44B9" w14:paraId="3CCAB78C" w14:textId="77777777" w:rsidTr="004F6977">
              <w:trPr>
                <w:trHeight w:val="324"/>
              </w:trPr>
              <w:tc>
                <w:tcPr>
                  <w:tcW w:w="4039" w:type="dxa"/>
                </w:tcPr>
                <w:p w14:paraId="27711346" w14:textId="77777777" w:rsidR="009C44B9" w:rsidRDefault="009C44B9" w:rsidP="004F6977">
                  <w:pPr>
                    <w:spacing w:line="240" w:lineRule="auto"/>
                    <w:rPr>
                      <w:color w:val="000000" w:themeColor="text1"/>
                      <w:sz w:val="24"/>
                      <w:szCs w:val="24"/>
                    </w:rPr>
                  </w:pPr>
                  <w:r>
                    <w:rPr>
                      <w:color w:val="000000" w:themeColor="text1"/>
                      <w:sz w:val="24"/>
                      <w:szCs w:val="24"/>
                    </w:rPr>
                    <w:t>Mouse IgG</w:t>
                  </w:r>
                  <w:r>
                    <w:rPr>
                      <w:rFonts w:hint="eastAsia"/>
                      <w:color w:val="000000" w:themeColor="text1"/>
                      <w:sz w:val="24"/>
                      <w:szCs w:val="24"/>
                    </w:rPr>
                    <w:t xml:space="preserve"> </w:t>
                  </w:r>
                  <w:r>
                    <w:rPr>
                      <w:color w:val="000000" w:themeColor="text1"/>
                      <w:sz w:val="24"/>
                      <w:szCs w:val="24"/>
                    </w:rPr>
                    <w:t>(Immunoglobulin G) ELISA Kit</w:t>
                  </w:r>
                </w:p>
              </w:tc>
              <w:tc>
                <w:tcPr>
                  <w:tcW w:w="1990" w:type="dxa"/>
                </w:tcPr>
                <w:p w14:paraId="37FD1C8E"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elabscience</w:t>
                  </w:r>
                  <w:proofErr w:type="spellEnd"/>
                </w:p>
              </w:tc>
              <w:tc>
                <w:tcPr>
                  <w:tcW w:w="4036" w:type="dxa"/>
                </w:tcPr>
                <w:p w14:paraId="043D3FF1" w14:textId="77777777" w:rsidR="009C44B9" w:rsidRDefault="009C44B9" w:rsidP="004F6977">
                  <w:pPr>
                    <w:spacing w:line="240" w:lineRule="auto"/>
                    <w:rPr>
                      <w:color w:val="000000" w:themeColor="text1"/>
                      <w:sz w:val="24"/>
                      <w:szCs w:val="24"/>
                    </w:rPr>
                  </w:pPr>
                  <w:r>
                    <w:rPr>
                      <w:color w:val="000000" w:themeColor="text1"/>
                      <w:sz w:val="24"/>
                      <w:szCs w:val="24"/>
                    </w:rPr>
                    <w:t>E-EL-M0692</w:t>
                  </w:r>
                </w:p>
              </w:tc>
            </w:tr>
            <w:tr w:rsidR="009C44B9" w14:paraId="3427A3D5" w14:textId="77777777" w:rsidTr="004F6977">
              <w:trPr>
                <w:trHeight w:val="324"/>
              </w:trPr>
              <w:tc>
                <w:tcPr>
                  <w:tcW w:w="4039" w:type="dxa"/>
                </w:tcPr>
                <w:p w14:paraId="47F05C23" w14:textId="77777777" w:rsidR="009C44B9" w:rsidRDefault="009C44B9" w:rsidP="004F6977">
                  <w:pPr>
                    <w:spacing w:line="240" w:lineRule="auto"/>
                    <w:rPr>
                      <w:color w:val="000000" w:themeColor="text1"/>
                      <w:sz w:val="24"/>
                      <w:szCs w:val="24"/>
                    </w:rPr>
                  </w:pPr>
                  <w:r>
                    <w:rPr>
                      <w:color w:val="000000" w:themeColor="text1"/>
                      <w:sz w:val="24"/>
                      <w:szCs w:val="24"/>
                    </w:rPr>
                    <w:t>Mouse IgA</w:t>
                  </w:r>
                  <w:r>
                    <w:rPr>
                      <w:rFonts w:hint="eastAsia"/>
                      <w:color w:val="000000" w:themeColor="text1"/>
                      <w:sz w:val="24"/>
                      <w:szCs w:val="24"/>
                    </w:rPr>
                    <w:t xml:space="preserve"> </w:t>
                  </w:r>
                  <w:r>
                    <w:rPr>
                      <w:color w:val="000000" w:themeColor="text1"/>
                      <w:sz w:val="24"/>
                      <w:szCs w:val="24"/>
                    </w:rPr>
                    <w:t>(Immunoglobulin A) ELISA Kit</w:t>
                  </w:r>
                </w:p>
              </w:tc>
              <w:tc>
                <w:tcPr>
                  <w:tcW w:w="1990" w:type="dxa"/>
                </w:tcPr>
                <w:p w14:paraId="6B0B823B"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elabscience</w:t>
                  </w:r>
                  <w:proofErr w:type="spellEnd"/>
                </w:p>
              </w:tc>
              <w:tc>
                <w:tcPr>
                  <w:tcW w:w="4036" w:type="dxa"/>
                </w:tcPr>
                <w:p w14:paraId="338FF145" w14:textId="77777777" w:rsidR="009C44B9" w:rsidRDefault="009C44B9" w:rsidP="004F6977">
                  <w:pPr>
                    <w:spacing w:line="240" w:lineRule="auto"/>
                    <w:rPr>
                      <w:color w:val="000000" w:themeColor="text1"/>
                      <w:sz w:val="24"/>
                      <w:szCs w:val="24"/>
                    </w:rPr>
                  </w:pPr>
                  <w:r>
                    <w:rPr>
                      <w:color w:val="000000" w:themeColor="text1"/>
                      <w:sz w:val="24"/>
                      <w:szCs w:val="24"/>
                    </w:rPr>
                    <w:t>E-EL-M0690</w:t>
                  </w:r>
                </w:p>
              </w:tc>
            </w:tr>
            <w:tr w:rsidR="009C44B9" w14:paraId="208CCCA4" w14:textId="77777777" w:rsidTr="004F6977">
              <w:trPr>
                <w:trHeight w:val="324"/>
              </w:trPr>
              <w:tc>
                <w:tcPr>
                  <w:tcW w:w="4039" w:type="dxa"/>
                </w:tcPr>
                <w:p w14:paraId="6FC4EBF5" w14:textId="77777777" w:rsidR="009C44B9" w:rsidRDefault="009C44B9" w:rsidP="004F6977">
                  <w:pPr>
                    <w:spacing w:line="240" w:lineRule="auto"/>
                    <w:rPr>
                      <w:color w:val="000000" w:themeColor="text1"/>
                      <w:sz w:val="24"/>
                      <w:szCs w:val="24"/>
                    </w:rPr>
                  </w:pPr>
                  <w:r>
                    <w:rPr>
                      <w:color w:val="000000" w:themeColor="text1"/>
                      <w:sz w:val="24"/>
                      <w:szCs w:val="24"/>
                    </w:rPr>
                    <w:t>Mouse IgM</w:t>
                  </w:r>
                  <w:r>
                    <w:rPr>
                      <w:rFonts w:hint="eastAsia"/>
                      <w:color w:val="000000" w:themeColor="text1"/>
                      <w:sz w:val="24"/>
                      <w:szCs w:val="24"/>
                    </w:rPr>
                    <w:t xml:space="preserve"> </w:t>
                  </w:r>
                  <w:r>
                    <w:rPr>
                      <w:color w:val="000000" w:themeColor="text1"/>
                      <w:sz w:val="24"/>
                      <w:szCs w:val="24"/>
                    </w:rPr>
                    <w:t>(Immunoglobulin M) ELISA Kit</w:t>
                  </w:r>
                </w:p>
              </w:tc>
              <w:tc>
                <w:tcPr>
                  <w:tcW w:w="1990" w:type="dxa"/>
                </w:tcPr>
                <w:p w14:paraId="709CFE14" w14:textId="77777777" w:rsidR="009C44B9" w:rsidRDefault="009C44B9" w:rsidP="004F6977">
                  <w:pPr>
                    <w:spacing w:line="240" w:lineRule="auto"/>
                    <w:rPr>
                      <w:color w:val="000000" w:themeColor="text1"/>
                      <w:sz w:val="24"/>
                      <w:szCs w:val="24"/>
                    </w:rPr>
                  </w:pPr>
                  <w:proofErr w:type="spellStart"/>
                  <w:r>
                    <w:rPr>
                      <w:color w:val="000000" w:themeColor="text1"/>
                      <w:sz w:val="24"/>
                      <w:szCs w:val="24"/>
                    </w:rPr>
                    <w:t>elabscience</w:t>
                  </w:r>
                  <w:proofErr w:type="spellEnd"/>
                </w:p>
              </w:tc>
              <w:tc>
                <w:tcPr>
                  <w:tcW w:w="4036" w:type="dxa"/>
                </w:tcPr>
                <w:p w14:paraId="51CC2AA5" w14:textId="77777777" w:rsidR="009C44B9" w:rsidRDefault="009C44B9" w:rsidP="004F6977">
                  <w:pPr>
                    <w:spacing w:line="240" w:lineRule="auto"/>
                    <w:rPr>
                      <w:color w:val="000000" w:themeColor="text1"/>
                      <w:sz w:val="24"/>
                      <w:szCs w:val="24"/>
                    </w:rPr>
                  </w:pPr>
                  <w:r>
                    <w:rPr>
                      <w:color w:val="000000" w:themeColor="text1"/>
                      <w:sz w:val="24"/>
                      <w:szCs w:val="24"/>
                    </w:rPr>
                    <w:t>E-EL-M3036</w:t>
                  </w:r>
                </w:p>
              </w:tc>
            </w:tr>
            <w:tr w:rsidR="009C44B9" w14:paraId="38E6983F" w14:textId="77777777" w:rsidTr="004F6977">
              <w:trPr>
                <w:trHeight w:val="324"/>
              </w:trPr>
              <w:tc>
                <w:tcPr>
                  <w:tcW w:w="10065" w:type="dxa"/>
                  <w:gridSpan w:val="3"/>
                </w:tcPr>
                <w:p w14:paraId="54937B1B" w14:textId="77777777" w:rsidR="009C44B9" w:rsidRDefault="009C44B9" w:rsidP="004F6977">
                  <w:pPr>
                    <w:spacing w:line="240" w:lineRule="auto"/>
                    <w:rPr>
                      <w:b/>
                      <w:bCs/>
                      <w:color w:val="000000" w:themeColor="text1"/>
                      <w:sz w:val="24"/>
                      <w:szCs w:val="24"/>
                    </w:rPr>
                  </w:pPr>
                  <w:r>
                    <w:rPr>
                      <w:b/>
                      <w:bCs/>
                      <w:color w:val="000000" w:themeColor="text1"/>
                      <w:sz w:val="24"/>
                      <w:szCs w:val="24"/>
                    </w:rPr>
                    <w:t>Experimental models: Organisms/strains</w:t>
                  </w:r>
                </w:p>
              </w:tc>
            </w:tr>
            <w:tr w:rsidR="009C44B9" w14:paraId="104AE170" w14:textId="77777777" w:rsidTr="004F6977">
              <w:trPr>
                <w:trHeight w:val="324"/>
              </w:trPr>
              <w:tc>
                <w:tcPr>
                  <w:tcW w:w="4039" w:type="dxa"/>
                </w:tcPr>
                <w:p w14:paraId="016B6FC6" w14:textId="77777777" w:rsidR="009C44B9" w:rsidRDefault="009C44B9" w:rsidP="004F6977">
                  <w:pPr>
                    <w:spacing w:line="240" w:lineRule="auto"/>
                    <w:rPr>
                      <w:color w:val="000000" w:themeColor="text1"/>
                      <w:sz w:val="24"/>
                      <w:szCs w:val="24"/>
                    </w:rPr>
                  </w:pPr>
                  <w:r>
                    <w:rPr>
                      <w:color w:val="000000" w:themeColor="text1"/>
                      <w:sz w:val="24"/>
                      <w:szCs w:val="24"/>
                    </w:rPr>
                    <w:t>Mouse: 5</w:t>
                  </w:r>
                  <w:r>
                    <w:rPr>
                      <w:rFonts w:hint="eastAsia"/>
                      <w:color w:val="000000" w:themeColor="text1"/>
                      <w:sz w:val="24"/>
                      <w:szCs w:val="24"/>
                    </w:rPr>
                    <w:t>×</w:t>
                  </w:r>
                  <w:r>
                    <w:rPr>
                      <w:color w:val="000000" w:themeColor="text1"/>
                      <w:sz w:val="24"/>
                      <w:szCs w:val="24"/>
                    </w:rPr>
                    <w:t>FAD</w:t>
                  </w:r>
                </w:p>
              </w:tc>
              <w:tc>
                <w:tcPr>
                  <w:tcW w:w="1990" w:type="dxa"/>
                </w:tcPr>
                <w:p w14:paraId="11ABABF7" w14:textId="77777777" w:rsidR="009C44B9" w:rsidRDefault="009C44B9" w:rsidP="004F6977">
                  <w:pPr>
                    <w:spacing w:line="240" w:lineRule="auto"/>
                    <w:rPr>
                      <w:color w:val="000000" w:themeColor="text1"/>
                      <w:sz w:val="24"/>
                      <w:szCs w:val="24"/>
                    </w:rPr>
                  </w:pPr>
                  <w:r>
                    <w:rPr>
                      <w:color w:val="000000" w:themeColor="text1"/>
                      <w:sz w:val="24"/>
                      <w:szCs w:val="24"/>
                    </w:rPr>
                    <w:t>Inhouse breeding</w:t>
                  </w:r>
                </w:p>
              </w:tc>
              <w:tc>
                <w:tcPr>
                  <w:tcW w:w="4036" w:type="dxa"/>
                </w:tcPr>
                <w:p w14:paraId="01F0DC95" w14:textId="77777777" w:rsidR="009C44B9" w:rsidRDefault="009C44B9" w:rsidP="004F6977">
                  <w:pPr>
                    <w:spacing w:line="240" w:lineRule="auto"/>
                    <w:rPr>
                      <w:color w:val="000000" w:themeColor="text1"/>
                      <w:sz w:val="24"/>
                      <w:szCs w:val="24"/>
                    </w:rPr>
                  </w:pPr>
                  <w:r>
                    <w:rPr>
                      <w:color w:val="000000" w:themeColor="text1"/>
                      <w:sz w:val="24"/>
                      <w:szCs w:val="24"/>
                    </w:rPr>
                    <w:t>N/A</w:t>
                  </w:r>
                </w:p>
              </w:tc>
            </w:tr>
            <w:tr w:rsidR="009C44B9" w14:paraId="557D86BB" w14:textId="77777777" w:rsidTr="004F6977">
              <w:trPr>
                <w:trHeight w:val="324"/>
              </w:trPr>
              <w:tc>
                <w:tcPr>
                  <w:tcW w:w="4039" w:type="dxa"/>
                </w:tcPr>
                <w:p w14:paraId="23B74259" w14:textId="77777777" w:rsidR="009C44B9" w:rsidRDefault="009C44B9" w:rsidP="004F6977">
                  <w:pPr>
                    <w:spacing w:line="240" w:lineRule="auto"/>
                    <w:rPr>
                      <w:color w:val="000000" w:themeColor="text1"/>
                      <w:sz w:val="24"/>
                      <w:szCs w:val="24"/>
                    </w:rPr>
                  </w:pPr>
                  <w:r>
                    <w:rPr>
                      <w:color w:val="000000" w:themeColor="text1"/>
                      <w:sz w:val="24"/>
                      <w:szCs w:val="24"/>
                    </w:rPr>
                    <w:t xml:space="preserve">Mouse: </w:t>
                  </w:r>
                  <w:r>
                    <w:rPr>
                      <w:rFonts w:hint="eastAsia"/>
                      <w:color w:val="000000" w:themeColor="text1"/>
                      <w:sz w:val="24"/>
                      <w:szCs w:val="24"/>
                    </w:rPr>
                    <w:t>APP/PS1</w:t>
                  </w:r>
                </w:p>
              </w:tc>
              <w:tc>
                <w:tcPr>
                  <w:tcW w:w="1990" w:type="dxa"/>
                </w:tcPr>
                <w:p w14:paraId="48790917" w14:textId="77777777" w:rsidR="009C44B9" w:rsidRDefault="009C44B9" w:rsidP="004F6977">
                  <w:pPr>
                    <w:spacing w:line="240" w:lineRule="auto"/>
                    <w:rPr>
                      <w:color w:val="000000" w:themeColor="text1"/>
                      <w:sz w:val="24"/>
                      <w:szCs w:val="24"/>
                    </w:rPr>
                  </w:pPr>
                  <w:r>
                    <w:rPr>
                      <w:color w:val="000000" w:themeColor="text1"/>
                      <w:sz w:val="24"/>
                      <w:szCs w:val="24"/>
                    </w:rPr>
                    <w:t>Inhouse breeding</w:t>
                  </w:r>
                </w:p>
              </w:tc>
              <w:tc>
                <w:tcPr>
                  <w:tcW w:w="4036" w:type="dxa"/>
                </w:tcPr>
                <w:p w14:paraId="665E94C0" w14:textId="77777777" w:rsidR="009C44B9" w:rsidRDefault="009C44B9" w:rsidP="004F6977">
                  <w:pPr>
                    <w:spacing w:line="240" w:lineRule="auto"/>
                    <w:rPr>
                      <w:color w:val="000000" w:themeColor="text1"/>
                      <w:sz w:val="24"/>
                      <w:szCs w:val="24"/>
                    </w:rPr>
                  </w:pPr>
                  <w:r>
                    <w:rPr>
                      <w:color w:val="000000" w:themeColor="text1"/>
                      <w:sz w:val="24"/>
                      <w:szCs w:val="24"/>
                    </w:rPr>
                    <w:t>N/A</w:t>
                  </w:r>
                </w:p>
              </w:tc>
            </w:tr>
            <w:tr w:rsidR="009C44B9" w14:paraId="69CEEE08" w14:textId="77777777" w:rsidTr="004F6977">
              <w:trPr>
                <w:trHeight w:val="324"/>
              </w:trPr>
              <w:tc>
                <w:tcPr>
                  <w:tcW w:w="4039" w:type="dxa"/>
                </w:tcPr>
                <w:p w14:paraId="4BA68CE0" w14:textId="77777777" w:rsidR="009C44B9" w:rsidRDefault="009C44B9" w:rsidP="004F6977">
                  <w:pPr>
                    <w:spacing w:line="240" w:lineRule="auto"/>
                    <w:rPr>
                      <w:color w:val="000000" w:themeColor="text1"/>
                      <w:sz w:val="24"/>
                      <w:szCs w:val="24"/>
                    </w:rPr>
                  </w:pPr>
                  <w:r>
                    <w:rPr>
                      <w:color w:val="000000" w:themeColor="text1"/>
                      <w:sz w:val="24"/>
                      <w:szCs w:val="24"/>
                    </w:rPr>
                    <w:t>Mouse: C57BL/6J</w:t>
                  </w:r>
                </w:p>
              </w:tc>
              <w:tc>
                <w:tcPr>
                  <w:tcW w:w="1990" w:type="dxa"/>
                </w:tcPr>
                <w:p w14:paraId="4F773827" w14:textId="77777777" w:rsidR="009C44B9" w:rsidRDefault="009C44B9" w:rsidP="004F6977">
                  <w:pPr>
                    <w:spacing w:line="240" w:lineRule="auto"/>
                    <w:rPr>
                      <w:color w:val="000000" w:themeColor="text1"/>
                      <w:sz w:val="24"/>
                      <w:szCs w:val="24"/>
                    </w:rPr>
                  </w:pPr>
                </w:p>
              </w:tc>
              <w:tc>
                <w:tcPr>
                  <w:tcW w:w="4036" w:type="dxa"/>
                </w:tcPr>
                <w:p w14:paraId="2BB214A6" w14:textId="77777777" w:rsidR="009C44B9" w:rsidRDefault="009C44B9" w:rsidP="004F6977">
                  <w:pPr>
                    <w:spacing w:line="240" w:lineRule="auto"/>
                    <w:rPr>
                      <w:color w:val="000000" w:themeColor="text1"/>
                      <w:sz w:val="24"/>
                      <w:szCs w:val="24"/>
                    </w:rPr>
                  </w:pPr>
                  <w:r>
                    <w:rPr>
                      <w:color w:val="000000" w:themeColor="text1"/>
                      <w:sz w:val="24"/>
                      <w:szCs w:val="24"/>
                    </w:rPr>
                    <w:t>N/A</w:t>
                  </w:r>
                </w:p>
              </w:tc>
            </w:tr>
            <w:tr w:rsidR="009C44B9" w14:paraId="089DCDA6" w14:textId="77777777" w:rsidTr="004F6977">
              <w:trPr>
                <w:trHeight w:val="324"/>
              </w:trPr>
              <w:tc>
                <w:tcPr>
                  <w:tcW w:w="4039" w:type="dxa"/>
                </w:tcPr>
                <w:p w14:paraId="428E9EEB" w14:textId="77777777" w:rsidR="009C44B9" w:rsidRDefault="009C44B9" w:rsidP="004F6977">
                  <w:pPr>
                    <w:spacing w:line="240" w:lineRule="auto"/>
                    <w:rPr>
                      <w:color w:val="000000" w:themeColor="text1"/>
                      <w:sz w:val="24"/>
                      <w:szCs w:val="24"/>
                    </w:rPr>
                  </w:pPr>
                  <w:r>
                    <w:rPr>
                      <w:color w:val="000000" w:themeColor="text1"/>
                      <w:sz w:val="24"/>
                      <w:szCs w:val="24"/>
                    </w:rPr>
                    <w:t>Mouse: IL-6 knock out</w:t>
                  </w:r>
                </w:p>
              </w:tc>
              <w:tc>
                <w:tcPr>
                  <w:tcW w:w="1990" w:type="dxa"/>
                </w:tcPr>
                <w:p w14:paraId="74737A6E" w14:textId="77777777" w:rsidR="009C44B9" w:rsidRDefault="009C44B9" w:rsidP="004F6977">
                  <w:pPr>
                    <w:spacing w:line="240" w:lineRule="auto"/>
                    <w:rPr>
                      <w:color w:val="000000" w:themeColor="text1"/>
                      <w:sz w:val="24"/>
                      <w:szCs w:val="24"/>
                    </w:rPr>
                  </w:pPr>
                  <w:r>
                    <w:rPr>
                      <w:color w:val="000000" w:themeColor="text1"/>
                      <w:sz w:val="24"/>
                      <w:szCs w:val="24"/>
                    </w:rPr>
                    <w:t>Inhouse breeding</w:t>
                  </w:r>
                </w:p>
              </w:tc>
              <w:tc>
                <w:tcPr>
                  <w:tcW w:w="4036" w:type="dxa"/>
                </w:tcPr>
                <w:p w14:paraId="0D2CBEBB" w14:textId="77777777" w:rsidR="009C44B9" w:rsidRDefault="009C44B9" w:rsidP="004F6977">
                  <w:pPr>
                    <w:spacing w:line="240" w:lineRule="auto"/>
                    <w:rPr>
                      <w:color w:val="000000" w:themeColor="text1"/>
                      <w:sz w:val="24"/>
                      <w:szCs w:val="24"/>
                    </w:rPr>
                  </w:pPr>
                  <w:r>
                    <w:rPr>
                      <w:color w:val="000000" w:themeColor="text1"/>
                      <w:sz w:val="24"/>
                      <w:szCs w:val="24"/>
                    </w:rPr>
                    <w:t>N/A</w:t>
                  </w:r>
                </w:p>
              </w:tc>
            </w:tr>
            <w:tr w:rsidR="009C44B9" w14:paraId="4499F28B" w14:textId="77777777" w:rsidTr="004F6977">
              <w:trPr>
                <w:trHeight w:val="324"/>
              </w:trPr>
              <w:tc>
                <w:tcPr>
                  <w:tcW w:w="10065" w:type="dxa"/>
                  <w:gridSpan w:val="3"/>
                </w:tcPr>
                <w:p w14:paraId="28E7183F" w14:textId="77777777" w:rsidR="009C44B9" w:rsidRDefault="009C44B9" w:rsidP="004F6977">
                  <w:pPr>
                    <w:spacing w:line="240" w:lineRule="auto"/>
                    <w:rPr>
                      <w:b/>
                      <w:bCs/>
                      <w:color w:val="000000" w:themeColor="text1"/>
                      <w:sz w:val="24"/>
                      <w:szCs w:val="24"/>
                    </w:rPr>
                  </w:pPr>
                  <w:r>
                    <w:rPr>
                      <w:b/>
                      <w:bCs/>
                      <w:color w:val="000000" w:themeColor="text1"/>
                      <w:sz w:val="24"/>
                      <w:szCs w:val="24"/>
                    </w:rPr>
                    <w:t>Software and algorithms</w:t>
                  </w:r>
                </w:p>
              </w:tc>
            </w:tr>
            <w:tr w:rsidR="009C44B9" w14:paraId="25B3A6D9" w14:textId="77777777" w:rsidTr="004F6977">
              <w:trPr>
                <w:trHeight w:val="324"/>
              </w:trPr>
              <w:tc>
                <w:tcPr>
                  <w:tcW w:w="4039" w:type="dxa"/>
                </w:tcPr>
                <w:p w14:paraId="60FA872D" w14:textId="77777777" w:rsidR="009C44B9" w:rsidRDefault="009C44B9" w:rsidP="004F6977">
                  <w:pPr>
                    <w:spacing w:line="240" w:lineRule="auto"/>
                    <w:rPr>
                      <w:color w:val="000000" w:themeColor="text1"/>
                      <w:sz w:val="24"/>
                      <w:szCs w:val="24"/>
                    </w:rPr>
                  </w:pPr>
                  <w:r>
                    <w:rPr>
                      <w:color w:val="000000" w:themeColor="text1"/>
                      <w:sz w:val="24"/>
                      <w:szCs w:val="24"/>
                    </w:rPr>
                    <w:t>EthoVision XT</w:t>
                  </w:r>
                </w:p>
              </w:tc>
              <w:tc>
                <w:tcPr>
                  <w:tcW w:w="1990" w:type="dxa"/>
                </w:tcPr>
                <w:p w14:paraId="0620AA89" w14:textId="77777777" w:rsidR="009C44B9" w:rsidRDefault="009C44B9" w:rsidP="004F6977">
                  <w:pPr>
                    <w:spacing w:line="240" w:lineRule="auto"/>
                    <w:rPr>
                      <w:color w:val="000000" w:themeColor="text1"/>
                      <w:sz w:val="24"/>
                      <w:szCs w:val="24"/>
                    </w:rPr>
                  </w:pPr>
                  <w:r>
                    <w:rPr>
                      <w:color w:val="000000" w:themeColor="text1"/>
                      <w:sz w:val="24"/>
                      <w:szCs w:val="24"/>
                    </w:rPr>
                    <w:t>Noldus</w:t>
                  </w:r>
                </w:p>
              </w:tc>
              <w:tc>
                <w:tcPr>
                  <w:tcW w:w="4036" w:type="dxa"/>
                </w:tcPr>
                <w:p w14:paraId="2E3AED70" w14:textId="77777777" w:rsidR="009C44B9" w:rsidRDefault="009C44B9" w:rsidP="004F6977">
                  <w:pPr>
                    <w:spacing w:line="240" w:lineRule="auto"/>
                    <w:rPr>
                      <w:color w:val="000000" w:themeColor="text1"/>
                      <w:sz w:val="24"/>
                      <w:szCs w:val="24"/>
                    </w:rPr>
                  </w:pPr>
                  <w:hyperlink r:id="rId23" w:history="1">
                    <w:r>
                      <w:rPr>
                        <w:rStyle w:val="af1"/>
                        <w:color w:val="000000" w:themeColor="text1"/>
                        <w:sz w:val="24"/>
                        <w:szCs w:val="24"/>
                      </w:rPr>
                      <w:t>https://www.noldus.com</w:t>
                    </w:r>
                  </w:hyperlink>
                </w:p>
              </w:tc>
            </w:tr>
            <w:tr w:rsidR="009C44B9" w14:paraId="6F7E66F0" w14:textId="77777777" w:rsidTr="004F6977">
              <w:trPr>
                <w:trHeight w:val="324"/>
              </w:trPr>
              <w:tc>
                <w:tcPr>
                  <w:tcW w:w="4039" w:type="dxa"/>
                </w:tcPr>
                <w:p w14:paraId="78149F68" w14:textId="77777777" w:rsidR="009C44B9" w:rsidRDefault="009C44B9" w:rsidP="004F6977">
                  <w:pPr>
                    <w:spacing w:line="240" w:lineRule="auto"/>
                    <w:rPr>
                      <w:color w:val="000000" w:themeColor="text1"/>
                      <w:sz w:val="24"/>
                      <w:szCs w:val="24"/>
                    </w:rPr>
                  </w:pPr>
                  <w:r>
                    <w:rPr>
                      <w:color w:val="000000" w:themeColor="text1"/>
                      <w:sz w:val="24"/>
                      <w:szCs w:val="24"/>
                    </w:rPr>
                    <w:t>GraphPad Prism version 8.0</w:t>
                  </w:r>
                </w:p>
              </w:tc>
              <w:tc>
                <w:tcPr>
                  <w:tcW w:w="1990" w:type="dxa"/>
                </w:tcPr>
                <w:p w14:paraId="4A344B0C" w14:textId="77777777" w:rsidR="009C44B9" w:rsidRDefault="009C44B9" w:rsidP="004F6977">
                  <w:pPr>
                    <w:spacing w:line="240" w:lineRule="auto"/>
                    <w:rPr>
                      <w:color w:val="000000" w:themeColor="text1"/>
                      <w:sz w:val="24"/>
                      <w:szCs w:val="24"/>
                    </w:rPr>
                  </w:pPr>
                  <w:r>
                    <w:rPr>
                      <w:color w:val="000000" w:themeColor="text1"/>
                      <w:sz w:val="24"/>
                      <w:szCs w:val="24"/>
                    </w:rPr>
                    <w:t>GraphPad Software</w:t>
                  </w:r>
                </w:p>
              </w:tc>
              <w:tc>
                <w:tcPr>
                  <w:tcW w:w="4036" w:type="dxa"/>
                </w:tcPr>
                <w:p w14:paraId="532FE559" w14:textId="77777777" w:rsidR="009C44B9" w:rsidRDefault="009C44B9" w:rsidP="004F6977">
                  <w:pPr>
                    <w:spacing w:line="240" w:lineRule="auto"/>
                    <w:rPr>
                      <w:color w:val="000000" w:themeColor="text1"/>
                      <w:sz w:val="24"/>
                      <w:szCs w:val="24"/>
                    </w:rPr>
                  </w:pPr>
                  <w:hyperlink r:id="rId24" w:tgtFrame="_blank" w:history="1">
                    <w:r>
                      <w:rPr>
                        <w:rStyle w:val="af1"/>
                        <w:color w:val="000000" w:themeColor="text1"/>
                        <w:sz w:val="24"/>
                        <w:szCs w:val="24"/>
                      </w:rPr>
                      <w:t>https://www.graphpad.com</w:t>
                    </w:r>
                  </w:hyperlink>
                </w:p>
              </w:tc>
            </w:tr>
            <w:tr w:rsidR="009C44B9" w14:paraId="47C188EC" w14:textId="77777777" w:rsidTr="004F6977">
              <w:trPr>
                <w:trHeight w:val="324"/>
              </w:trPr>
              <w:tc>
                <w:tcPr>
                  <w:tcW w:w="4039" w:type="dxa"/>
                </w:tcPr>
                <w:p w14:paraId="5F3FFCB2" w14:textId="77777777" w:rsidR="009C44B9" w:rsidRDefault="009C44B9" w:rsidP="004F6977">
                  <w:pPr>
                    <w:spacing w:line="240" w:lineRule="auto"/>
                    <w:rPr>
                      <w:color w:val="000000" w:themeColor="text1"/>
                      <w:sz w:val="24"/>
                      <w:szCs w:val="24"/>
                    </w:rPr>
                  </w:pPr>
                  <w:r>
                    <w:rPr>
                      <w:color w:val="000000" w:themeColor="text1"/>
                      <w:sz w:val="24"/>
                      <w:szCs w:val="24"/>
                    </w:rPr>
                    <w:t>ImageJ</w:t>
                  </w:r>
                </w:p>
              </w:tc>
              <w:tc>
                <w:tcPr>
                  <w:tcW w:w="1990" w:type="dxa"/>
                </w:tcPr>
                <w:p w14:paraId="34CE2E14" w14:textId="77777777" w:rsidR="009C44B9" w:rsidRDefault="009C44B9" w:rsidP="004F6977">
                  <w:pPr>
                    <w:spacing w:line="240" w:lineRule="auto"/>
                    <w:rPr>
                      <w:color w:val="000000" w:themeColor="text1"/>
                      <w:sz w:val="24"/>
                      <w:szCs w:val="24"/>
                    </w:rPr>
                  </w:pPr>
                  <w:r>
                    <w:rPr>
                      <w:color w:val="000000" w:themeColor="text1"/>
                      <w:sz w:val="24"/>
                      <w:szCs w:val="24"/>
                    </w:rPr>
                    <w:t>National Institutes of Health</w:t>
                  </w:r>
                </w:p>
              </w:tc>
              <w:tc>
                <w:tcPr>
                  <w:tcW w:w="4036" w:type="dxa"/>
                </w:tcPr>
                <w:p w14:paraId="64CA80F1" w14:textId="77777777" w:rsidR="009C44B9" w:rsidRDefault="009C44B9" w:rsidP="004F6977">
                  <w:pPr>
                    <w:spacing w:line="240" w:lineRule="auto"/>
                    <w:rPr>
                      <w:color w:val="000000" w:themeColor="text1"/>
                      <w:sz w:val="24"/>
                      <w:szCs w:val="24"/>
                    </w:rPr>
                  </w:pPr>
                  <w:hyperlink r:id="rId25" w:tgtFrame="_blank" w:history="1">
                    <w:r>
                      <w:rPr>
                        <w:rStyle w:val="af1"/>
                        <w:color w:val="000000" w:themeColor="text1"/>
                        <w:sz w:val="24"/>
                        <w:szCs w:val="24"/>
                      </w:rPr>
                      <w:t>https://imagej.nih.gov/ij/download.html</w:t>
                    </w:r>
                  </w:hyperlink>
                </w:p>
              </w:tc>
            </w:tr>
            <w:tr w:rsidR="009C44B9" w14:paraId="55D8E8CE" w14:textId="77777777" w:rsidTr="004F6977">
              <w:trPr>
                <w:trHeight w:val="324"/>
              </w:trPr>
              <w:tc>
                <w:tcPr>
                  <w:tcW w:w="10065" w:type="dxa"/>
                  <w:gridSpan w:val="3"/>
                </w:tcPr>
                <w:p w14:paraId="66AEAABC" w14:textId="77777777" w:rsidR="009C44B9" w:rsidRDefault="009C44B9" w:rsidP="004F6977">
                  <w:pPr>
                    <w:spacing w:line="240" w:lineRule="auto"/>
                    <w:rPr>
                      <w:b/>
                      <w:bCs/>
                      <w:color w:val="000000" w:themeColor="text1"/>
                    </w:rPr>
                  </w:pPr>
                  <w:r>
                    <w:rPr>
                      <w:b/>
                      <w:bCs/>
                      <w:color w:val="000000" w:themeColor="text1"/>
                      <w:sz w:val="24"/>
                      <w:szCs w:val="24"/>
                    </w:rPr>
                    <w:t>Other</w:t>
                  </w:r>
                </w:p>
              </w:tc>
            </w:tr>
            <w:tr w:rsidR="009C44B9" w14:paraId="16A77507" w14:textId="77777777" w:rsidTr="004F6977">
              <w:trPr>
                <w:trHeight w:val="324"/>
              </w:trPr>
              <w:tc>
                <w:tcPr>
                  <w:tcW w:w="4039" w:type="dxa"/>
                </w:tcPr>
                <w:p w14:paraId="7D67FFFF" w14:textId="77777777" w:rsidR="009C44B9" w:rsidRDefault="009C44B9" w:rsidP="004F6977">
                  <w:pPr>
                    <w:spacing w:line="240" w:lineRule="auto"/>
                    <w:rPr>
                      <w:color w:val="000000" w:themeColor="text1"/>
                      <w:sz w:val="24"/>
                      <w:szCs w:val="24"/>
                    </w:rPr>
                  </w:pPr>
                  <w:r>
                    <w:rPr>
                      <w:color w:val="000000" w:themeColor="text1"/>
                      <w:sz w:val="24"/>
                      <w:szCs w:val="24"/>
                    </w:rPr>
                    <w:t>Guide cannula</w:t>
                  </w:r>
                </w:p>
              </w:tc>
              <w:tc>
                <w:tcPr>
                  <w:tcW w:w="1990" w:type="dxa"/>
                </w:tcPr>
                <w:p w14:paraId="19D4DFB0" w14:textId="77777777" w:rsidR="009C44B9" w:rsidRDefault="009C44B9" w:rsidP="004F6977">
                  <w:pPr>
                    <w:spacing w:line="240" w:lineRule="auto"/>
                    <w:rPr>
                      <w:color w:val="000000" w:themeColor="text1"/>
                      <w:sz w:val="24"/>
                      <w:szCs w:val="24"/>
                    </w:rPr>
                  </w:pPr>
                  <w:r>
                    <w:rPr>
                      <w:color w:val="000000" w:themeColor="text1"/>
                      <w:sz w:val="24"/>
                      <w:szCs w:val="24"/>
                    </w:rPr>
                    <w:t>RWD</w:t>
                  </w:r>
                </w:p>
              </w:tc>
              <w:tc>
                <w:tcPr>
                  <w:tcW w:w="4036" w:type="dxa"/>
                </w:tcPr>
                <w:p w14:paraId="169614C5" w14:textId="77777777" w:rsidR="009C44B9" w:rsidRDefault="009C44B9" w:rsidP="004F6977">
                  <w:pPr>
                    <w:spacing w:line="240" w:lineRule="auto"/>
                    <w:rPr>
                      <w:color w:val="000000" w:themeColor="text1"/>
                    </w:rPr>
                  </w:pPr>
                  <w:r>
                    <w:rPr>
                      <w:color w:val="000000" w:themeColor="text1"/>
                      <w:sz w:val="24"/>
                      <w:szCs w:val="24"/>
                    </w:rPr>
                    <w:t>Cat# 62070</w:t>
                  </w:r>
                </w:p>
              </w:tc>
            </w:tr>
            <w:tr w:rsidR="009C44B9" w14:paraId="6C06CD32" w14:textId="77777777" w:rsidTr="004F6977">
              <w:trPr>
                <w:trHeight w:val="324"/>
              </w:trPr>
              <w:tc>
                <w:tcPr>
                  <w:tcW w:w="4039" w:type="dxa"/>
                </w:tcPr>
                <w:p w14:paraId="31414E82" w14:textId="77777777" w:rsidR="009C44B9" w:rsidRDefault="009C44B9" w:rsidP="004F6977">
                  <w:pPr>
                    <w:spacing w:line="240" w:lineRule="auto"/>
                    <w:rPr>
                      <w:color w:val="000000" w:themeColor="text1"/>
                      <w:sz w:val="24"/>
                      <w:szCs w:val="24"/>
                    </w:rPr>
                  </w:pPr>
                  <w:r>
                    <w:rPr>
                      <w:color w:val="000000" w:themeColor="text1"/>
                      <w:sz w:val="24"/>
                      <w:szCs w:val="24"/>
                    </w:rPr>
                    <w:t>Stainless-steel cap</w:t>
                  </w:r>
                </w:p>
              </w:tc>
              <w:tc>
                <w:tcPr>
                  <w:tcW w:w="1990" w:type="dxa"/>
                </w:tcPr>
                <w:p w14:paraId="316D9736" w14:textId="77777777" w:rsidR="009C44B9" w:rsidRDefault="009C44B9" w:rsidP="004F6977">
                  <w:pPr>
                    <w:spacing w:line="240" w:lineRule="auto"/>
                    <w:rPr>
                      <w:color w:val="000000" w:themeColor="text1"/>
                      <w:sz w:val="24"/>
                      <w:szCs w:val="24"/>
                    </w:rPr>
                  </w:pPr>
                  <w:r>
                    <w:rPr>
                      <w:color w:val="000000" w:themeColor="text1"/>
                      <w:sz w:val="24"/>
                      <w:szCs w:val="24"/>
                    </w:rPr>
                    <w:t>RWD</w:t>
                  </w:r>
                </w:p>
              </w:tc>
              <w:tc>
                <w:tcPr>
                  <w:tcW w:w="4036" w:type="dxa"/>
                </w:tcPr>
                <w:p w14:paraId="544EBF1E" w14:textId="77777777" w:rsidR="009C44B9" w:rsidRDefault="009C44B9" w:rsidP="004F6977">
                  <w:pPr>
                    <w:spacing w:line="240" w:lineRule="auto"/>
                    <w:rPr>
                      <w:color w:val="000000" w:themeColor="text1"/>
                    </w:rPr>
                  </w:pPr>
                  <w:r>
                    <w:rPr>
                      <w:color w:val="000000" w:themeColor="text1"/>
                      <w:sz w:val="24"/>
                      <w:szCs w:val="24"/>
                    </w:rPr>
                    <w:t>Cat# 62170</w:t>
                  </w:r>
                </w:p>
              </w:tc>
            </w:tr>
          </w:tbl>
          <w:p w14:paraId="5BFAD533" w14:textId="77777777" w:rsidR="009C44B9" w:rsidRDefault="009C44B9" w:rsidP="004F6977">
            <w:pPr>
              <w:spacing w:line="240" w:lineRule="auto"/>
              <w:rPr>
                <w:color w:val="000000" w:themeColor="text1"/>
                <w:sz w:val="24"/>
                <w:szCs w:val="24"/>
              </w:rPr>
            </w:pPr>
          </w:p>
        </w:tc>
      </w:tr>
    </w:tbl>
    <w:p w14:paraId="401289AC" w14:textId="77777777" w:rsidR="006C1408" w:rsidRDefault="006C1408">
      <w:r>
        <w:lastRenderedPageBreak/>
        <w:br w:type="page"/>
      </w:r>
    </w:p>
    <w:p w14:paraId="4EF057F7" w14:textId="77777777" w:rsidR="006C1408" w:rsidRDefault="006C1408" w:rsidP="006C1408">
      <w:pPr>
        <w:spacing w:line="480" w:lineRule="auto"/>
        <w:rPr>
          <w:b/>
          <w:bCs/>
          <w:sz w:val="24"/>
          <w:szCs w:val="24"/>
        </w:rPr>
      </w:pPr>
      <w:r>
        <w:rPr>
          <w:rFonts w:hint="eastAsia"/>
          <w:b/>
          <w:bCs/>
          <w:sz w:val="24"/>
          <w:szCs w:val="24"/>
        </w:rPr>
        <w:lastRenderedPageBreak/>
        <w:t>REFERENCES</w:t>
      </w:r>
    </w:p>
    <w:p w14:paraId="756B7352" w14:textId="77777777" w:rsidR="006C1408" w:rsidRDefault="006C1408" w:rsidP="006C1408">
      <w:pPr>
        <w:ind w:left="340" w:hanging="340"/>
        <w:rPr>
          <w:sz w:val="24"/>
          <w:szCs w:val="24"/>
        </w:rPr>
      </w:pPr>
      <w:r>
        <w:rPr>
          <w:rFonts w:eastAsia="Times New Roman"/>
          <w:color w:val="000000"/>
          <w:sz w:val="20"/>
          <w:szCs w:val="24"/>
        </w:rPr>
        <w:t xml:space="preserve"> 1. </w:t>
      </w:r>
      <w:bookmarkStart w:id="16" w:name="_nebE9B346A8_0DD2_4FD1_BB7F_D9891FB9A899"/>
      <w:r>
        <w:rPr>
          <w:rFonts w:eastAsia="Times New Roman"/>
          <w:color w:val="000000"/>
          <w:sz w:val="20"/>
          <w:szCs w:val="24"/>
        </w:rPr>
        <w:t xml:space="preserve">Oakley, H. et al. Intraneuronal Beta-Amyloid Aggregates, Neurodegeneration, and Neuron Loss in Transgenic Mice with Five Familial Alzheimer's Disease Mutations: Potential Factors in Amyloid Plaque Formation. </w:t>
      </w:r>
      <w:r>
        <w:rPr>
          <w:rFonts w:eastAsia="Times New Roman"/>
          <w:i/>
          <w:color w:val="000000"/>
          <w:sz w:val="20"/>
          <w:szCs w:val="24"/>
        </w:rPr>
        <w:t xml:space="preserve">J. </w:t>
      </w:r>
      <w:proofErr w:type="spellStart"/>
      <w:r>
        <w:rPr>
          <w:rFonts w:eastAsia="Times New Roman"/>
          <w:i/>
          <w:color w:val="000000"/>
          <w:sz w:val="20"/>
          <w:szCs w:val="24"/>
        </w:rPr>
        <w:t>Neurosci</w:t>
      </w:r>
      <w:proofErr w:type="spellEnd"/>
      <w:r>
        <w:rPr>
          <w:rFonts w:eastAsia="Times New Roman"/>
          <w:i/>
          <w:color w:val="000000"/>
          <w:sz w:val="20"/>
          <w:szCs w:val="24"/>
        </w:rPr>
        <w:t>.</w:t>
      </w:r>
      <w:r>
        <w:rPr>
          <w:rFonts w:eastAsia="Times New Roman"/>
          <w:color w:val="000000"/>
          <w:sz w:val="20"/>
          <w:szCs w:val="24"/>
        </w:rPr>
        <w:t xml:space="preserve"> </w:t>
      </w:r>
      <w:r>
        <w:rPr>
          <w:rFonts w:eastAsia="Times New Roman"/>
          <w:b/>
          <w:color w:val="000000"/>
          <w:sz w:val="20"/>
          <w:szCs w:val="24"/>
        </w:rPr>
        <w:t>26</w:t>
      </w:r>
      <w:r>
        <w:rPr>
          <w:rFonts w:eastAsia="Times New Roman"/>
          <w:color w:val="000000"/>
          <w:sz w:val="20"/>
          <w:szCs w:val="24"/>
        </w:rPr>
        <w:t>, 10129-10140 (2006).</w:t>
      </w:r>
      <w:bookmarkEnd w:id="16"/>
    </w:p>
    <w:p w14:paraId="363413C4" w14:textId="77777777" w:rsidR="006C1408" w:rsidRDefault="006C1408" w:rsidP="006C1408">
      <w:pPr>
        <w:ind w:left="340" w:hanging="340"/>
        <w:rPr>
          <w:sz w:val="24"/>
          <w:szCs w:val="24"/>
        </w:rPr>
      </w:pPr>
      <w:r>
        <w:rPr>
          <w:rFonts w:eastAsia="Times New Roman"/>
          <w:color w:val="000000"/>
          <w:sz w:val="20"/>
          <w:szCs w:val="24"/>
        </w:rPr>
        <w:t xml:space="preserve"> 2. </w:t>
      </w:r>
      <w:bookmarkStart w:id="17" w:name="_nebE8476B29_B6B4_43DE_8CB9_BF10D806B78B"/>
      <w:r>
        <w:rPr>
          <w:rFonts w:eastAsia="Times New Roman"/>
          <w:color w:val="000000"/>
          <w:sz w:val="20"/>
          <w:szCs w:val="24"/>
        </w:rPr>
        <w:t xml:space="preserve">Zheng, K. et al. Curcumin Ameliorates Memory Decline Via Inhibiting Bace1 Expression and Beta-Amyloid Pathology in 5Xfad Transgenic Mice. </w:t>
      </w:r>
      <w:r>
        <w:rPr>
          <w:rFonts w:eastAsia="Times New Roman"/>
          <w:i/>
          <w:color w:val="000000"/>
          <w:sz w:val="20"/>
          <w:szCs w:val="24"/>
        </w:rPr>
        <w:t xml:space="preserve">Mol. </w:t>
      </w:r>
      <w:proofErr w:type="spellStart"/>
      <w:r>
        <w:rPr>
          <w:rFonts w:eastAsia="Times New Roman"/>
          <w:i/>
          <w:color w:val="000000"/>
          <w:sz w:val="20"/>
          <w:szCs w:val="24"/>
        </w:rPr>
        <w:t>Neurobiol</w:t>
      </w:r>
      <w:proofErr w:type="spellEnd"/>
      <w:r>
        <w:rPr>
          <w:rFonts w:eastAsia="Times New Roman"/>
          <w:i/>
          <w:color w:val="000000"/>
          <w:sz w:val="20"/>
          <w:szCs w:val="24"/>
        </w:rPr>
        <w:t>.</w:t>
      </w:r>
      <w:r>
        <w:rPr>
          <w:rFonts w:eastAsia="Times New Roman"/>
          <w:color w:val="000000"/>
          <w:sz w:val="20"/>
          <w:szCs w:val="24"/>
        </w:rPr>
        <w:t xml:space="preserve"> </w:t>
      </w:r>
      <w:r>
        <w:rPr>
          <w:rFonts w:eastAsia="Times New Roman"/>
          <w:b/>
          <w:color w:val="000000"/>
          <w:sz w:val="20"/>
          <w:szCs w:val="24"/>
        </w:rPr>
        <w:t>54</w:t>
      </w:r>
      <w:r>
        <w:rPr>
          <w:rFonts w:eastAsia="Times New Roman"/>
          <w:color w:val="000000"/>
          <w:sz w:val="20"/>
          <w:szCs w:val="24"/>
        </w:rPr>
        <w:t>, 1967-1977 (2017).</w:t>
      </w:r>
      <w:bookmarkEnd w:id="17"/>
    </w:p>
    <w:p w14:paraId="06E70D2A" w14:textId="77777777" w:rsidR="006C1408" w:rsidRDefault="006C1408" w:rsidP="006C1408">
      <w:pPr>
        <w:ind w:left="340" w:hanging="340"/>
        <w:rPr>
          <w:sz w:val="24"/>
          <w:szCs w:val="24"/>
        </w:rPr>
      </w:pPr>
      <w:r>
        <w:rPr>
          <w:rFonts w:eastAsia="Times New Roman"/>
          <w:color w:val="000000"/>
          <w:sz w:val="20"/>
          <w:szCs w:val="24"/>
        </w:rPr>
        <w:t xml:space="preserve"> 3. </w:t>
      </w:r>
      <w:bookmarkStart w:id="18" w:name="_neb5B946B1A_30C3_4441_93E3_45FED2F959E5"/>
      <w:r>
        <w:rPr>
          <w:rFonts w:eastAsia="Times New Roman"/>
          <w:color w:val="000000"/>
          <w:sz w:val="20"/>
          <w:szCs w:val="24"/>
        </w:rPr>
        <w:t xml:space="preserve">Hammers, A. et al. Three-Dimensional Maximum Probability Atlas of the Human Brain, with Particular Reference to the Temporal Lobe. </w:t>
      </w:r>
      <w:r>
        <w:rPr>
          <w:rFonts w:eastAsia="Times New Roman"/>
          <w:i/>
          <w:color w:val="000000"/>
          <w:sz w:val="20"/>
          <w:szCs w:val="24"/>
        </w:rPr>
        <w:t>Hum. Brain Mapp.</w:t>
      </w:r>
      <w:r>
        <w:rPr>
          <w:rFonts w:eastAsia="Times New Roman"/>
          <w:color w:val="000000"/>
          <w:sz w:val="20"/>
          <w:szCs w:val="24"/>
        </w:rPr>
        <w:t xml:space="preserve"> </w:t>
      </w:r>
      <w:r>
        <w:rPr>
          <w:rFonts w:eastAsia="Times New Roman"/>
          <w:b/>
          <w:color w:val="000000"/>
          <w:sz w:val="20"/>
          <w:szCs w:val="24"/>
        </w:rPr>
        <w:t>19</w:t>
      </w:r>
      <w:r>
        <w:rPr>
          <w:rFonts w:eastAsia="Times New Roman"/>
          <w:color w:val="000000"/>
          <w:sz w:val="20"/>
          <w:szCs w:val="24"/>
        </w:rPr>
        <w:t>, 224-247 (2003).</w:t>
      </w:r>
      <w:bookmarkEnd w:id="18"/>
    </w:p>
    <w:p w14:paraId="68F0B842" w14:textId="77777777" w:rsidR="006C1408" w:rsidRDefault="006C1408" w:rsidP="006C1408">
      <w:pPr>
        <w:ind w:left="340" w:hanging="340"/>
        <w:rPr>
          <w:sz w:val="24"/>
          <w:szCs w:val="24"/>
        </w:rPr>
      </w:pPr>
      <w:r>
        <w:rPr>
          <w:rFonts w:eastAsia="Times New Roman"/>
          <w:color w:val="000000"/>
          <w:sz w:val="20"/>
          <w:szCs w:val="24"/>
        </w:rPr>
        <w:t xml:space="preserve"> 4. </w:t>
      </w:r>
      <w:bookmarkStart w:id="19" w:name="_neb9D667BFC_78E2_4279_976E_B38FF1E5B01B"/>
      <w:proofErr w:type="spellStart"/>
      <w:r>
        <w:rPr>
          <w:rFonts w:eastAsia="Times New Roman"/>
          <w:color w:val="000000"/>
          <w:sz w:val="20"/>
          <w:szCs w:val="24"/>
        </w:rPr>
        <w:t>Bullich</w:t>
      </w:r>
      <w:proofErr w:type="spellEnd"/>
      <w:r>
        <w:rPr>
          <w:rFonts w:eastAsia="Times New Roman"/>
          <w:color w:val="000000"/>
          <w:sz w:val="20"/>
          <w:szCs w:val="24"/>
        </w:rPr>
        <w:t>, S. et al. Optimized Classification of (18)F-</w:t>
      </w:r>
      <w:proofErr w:type="spellStart"/>
      <w:r>
        <w:rPr>
          <w:rFonts w:eastAsia="Times New Roman"/>
          <w:color w:val="000000"/>
          <w:sz w:val="20"/>
          <w:szCs w:val="24"/>
        </w:rPr>
        <w:t>Florbetaben</w:t>
      </w:r>
      <w:proofErr w:type="spellEnd"/>
      <w:r>
        <w:rPr>
          <w:rFonts w:eastAsia="Times New Roman"/>
          <w:color w:val="000000"/>
          <w:sz w:val="20"/>
          <w:szCs w:val="24"/>
        </w:rPr>
        <w:t xml:space="preserve"> Pet Scans as Positive and Negative Using an </w:t>
      </w:r>
      <w:proofErr w:type="spellStart"/>
      <w:r>
        <w:rPr>
          <w:rFonts w:eastAsia="Times New Roman"/>
          <w:color w:val="000000"/>
          <w:sz w:val="20"/>
          <w:szCs w:val="24"/>
        </w:rPr>
        <w:t>Suvr</w:t>
      </w:r>
      <w:proofErr w:type="spellEnd"/>
      <w:r>
        <w:rPr>
          <w:rFonts w:eastAsia="Times New Roman"/>
          <w:color w:val="000000"/>
          <w:sz w:val="20"/>
          <w:szCs w:val="24"/>
        </w:rPr>
        <w:t xml:space="preserve"> Quantitative Approach and Comparison to Visual Assessment. </w:t>
      </w:r>
      <w:r>
        <w:rPr>
          <w:rFonts w:eastAsia="Times New Roman"/>
          <w:i/>
          <w:color w:val="000000"/>
          <w:sz w:val="20"/>
          <w:szCs w:val="24"/>
        </w:rPr>
        <w:t>Neuroimage Clin.</w:t>
      </w:r>
      <w:r>
        <w:rPr>
          <w:rFonts w:eastAsia="Times New Roman"/>
          <w:color w:val="000000"/>
          <w:sz w:val="20"/>
          <w:szCs w:val="24"/>
        </w:rPr>
        <w:t xml:space="preserve"> </w:t>
      </w:r>
      <w:r>
        <w:rPr>
          <w:rFonts w:eastAsia="Times New Roman"/>
          <w:b/>
          <w:color w:val="000000"/>
          <w:sz w:val="20"/>
          <w:szCs w:val="24"/>
        </w:rPr>
        <w:t>15</w:t>
      </w:r>
      <w:r>
        <w:rPr>
          <w:rFonts w:eastAsia="Times New Roman"/>
          <w:color w:val="000000"/>
          <w:sz w:val="20"/>
          <w:szCs w:val="24"/>
        </w:rPr>
        <w:t>, 325-332 (2017).</w:t>
      </w:r>
      <w:bookmarkEnd w:id="19"/>
    </w:p>
    <w:p w14:paraId="75D9980F" w14:textId="77777777" w:rsidR="006C1408" w:rsidRDefault="006C1408" w:rsidP="006C1408">
      <w:pPr>
        <w:ind w:left="340" w:hanging="340"/>
        <w:rPr>
          <w:sz w:val="24"/>
          <w:szCs w:val="24"/>
        </w:rPr>
      </w:pPr>
      <w:r>
        <w:rPr>
          <w:rFonts w:eastAsia="Times New Roman"/>
          <w:color w:val="000000"/>
          <w:sz w:val="20"/>
          <w:szCs w:val="24"/>
        </w:rPr>
        <w:t xml:space="preserve"> 5. </w:t>
      </w:r>
      <w:bookmarkStart w:id="20" w:name="_nebFCF5DB4C_2568_4E93_9C40_6DDAF42AA8CC"/>
      <w:r>
        <w:rPr>
          <w:rFonts w:eastAsia="Times New Roman"/>
          <w:color w:val="000000"/>
          <w:sz w:val="20"/>
          <w:szCs w:val="24"/>
        </w:rPr>
        <w:t xml:space="preserve">Shi, K. et al. Bone Marrow Hematopoiesis Drives Multiple Sclerosis Progression. </w:t>
      </w:r>
      <w:r>
        <w:rPr>
          <w:rFonts w:eastAsia="Times New Roman"/>
          <w:i/>
          <w:color w:val="000000"/>
          <w:sz w:val="20"/>
          <w:szCs w:val="24"/>
        </w:rPr>
        <w:t>Cell</w:t>
      </w:r>
      <w:r>
        <w:rPr>
          <w:rFonts w:eastAsia="Times New Roman"/>
          <w:color w:val="000000"/>
          <w:sz w:val="20"/>
          <w:szCs w:val="24"/>
        </w:rPr>
        <w:t xml:space="preserve">. </w:t>
      </w:r>
      <w:r>
        <w:rPr>
          <w:rFonts w:eastAsia="Times New Roman"/>
          <w:b/>
          <w:color w:val="000000"/>
          <w:sz w:val="20"/>
          <w:szCs w:val="24"/>
        </w:rPr>
        <w:t>185</w:t>
      </w:r>
      <w:r>
        <w:rPr>
          <w:rFonts w:eastAsia="Times New Roman"/>
          <w:color w:val="000000"/>
          <w:sz w:val="20"/>
          <w:szCs w:val="24"/>
        </w:rPr>
        <w:t>, 2234-2247 (2022).</w:t>
      </w:r>
      <w:bookmarkEnd w:id="20"/>
    </w:p>
    <w:p w14:paraId="37AB80B8" w14:textId="77777777" w:rsidR="006C1408" w:rsidRDefault="006C1408" w:rsidP="006C1408">
      <w:pPr>
        <w:ind w:left="340" w:hanging="340"/>
        <w:rPr>
          <w:sz w:val="24"/>
          <w:szCs w:val="24"/>
        </w:rPr>
      </w:pPr>
      <w:r>
        <w:rPr>
          <w:rFonts w:eastAsia="Times New Roman"/>
          <w:color w:val="000000"/>
          <w:sz w:val="20"/>
          <w:szCs w:val="24"/>
        </w:rPr>
        <w:t xml:space="preserve"> 6. </w:t>
      </w:r>
      <w:bookmarkStart w:id="21" w:name="_neb2CC87708_DCD3_414C_AFE6_F3D3951EDDA4"/>
      <w:proofErr w:type="spellStart"/>
      <w:r>
        <w:rPr>
          <w:rFonts w:eastAsia="Times New Roman"/>
          <w:color w:val="000000"/>
          <w:sz w:val="20"/>
          <w:szCs w:val="24"/>
        </w:rPr>
        <w:t>Herisson</w:t>
      </w:r>
      <w:proofErr w:type="spellEnd"/>
      <w:r>
        <w:rPr>
          <w:rFonts w:eastAsia="Times New Roman"/>
          <w:color w:val="000000"/>
          <w:sz w:val="20"/>
          <w:szCs w:val="24"/>
        </w:rPr>
        <w:t xml:space="preserve">, F. et al. Direct Vascular Channels Connect Skull Bone Marrow and the Brain Surface Enabling Myeloid Cell Migration. </w:t>
      </w:r>
      <w:r>
        <w:rPr>
          <w:rFonts w:eastAsia="Times New Roman"/>
          <w:i/>
          <w:color w:val="000000"/>
          <w:sz w:val="20"/>
          <w:szCs w:val="24"/>
        </w:rPr>
        <w:t xml:space="preserve">Nat. </w:t>
      </w:r>
      <w:proofErr w:type="spellStart"/>
      <w:r>
        <w:rPr>
          <w:rFonts w:eastAsia="Times New Roman"/>
          <w:i/>
          <w:color w:val="000000"/>
          <w:sz w:val="20"/>
          <w:szCs w:val="24"/>
        </w:rPr>
        <w:t>Neurosci</w:t>
      </w:r>
      <w:proofErr w:type="spellEnd"/>
      <w:r>
        <w:rPr>
          <w:rFonts w:eastAsia="Times New Roman"/>
          <w:i/>
          <w:color w:val="000000"/>
          <w:sz w:val="20"/>
          <w:szCs w:val="24"/>
        </w:rPr>
        <w:t>.</w:t>
      </w:r>
      <w:r>
        <w:rPr>
          <w:rFonts w:eastAsia="Times New Roman"/>
          <w:color w:val="000000"/>
          <w:sz w:val="20"/>
          <w:szCs w:val="24"/>
        </w:rPr>
        <w:t xml:space="preserve"> </w:t>
      </w:r>
      <w:r>
        <w:rPr>
          <w:rFonts w:eastAsia="Times New Roman"/>
          <w:b/>
          <w:color w:val="000000"/>
          <w:sz w:val="20"/>
          <w:szCs w:val="24"/>
        </w:rPr>
        <w:t>21</w:t>
      </w:r>
      <w:r>
        <w:rPr>
          <w:rFonts w:eastAsia="Times New Roman"/>
          <w:color w:val="000000"/>
          <w:sz w:val="20"/>
          <w:szCs w:val="24"/>
        </w:rPr>
        <w:t>, 1209-1217 (2018).</w:t>
      </w:r>
      <w:bookmarkEnd w:id="21"/>
    </w:p>
    <w:p w14:paraId="4975E3B1" w14:textId="77777777" w:rsidR="006C1408" w:rsidRDefault="006C1408" w:rsidP="006C1408">
      <w:pPr>
        <w:ind w:left="340" w:hanging="340"/>
        <w:rPr>
          <w:sz w:val="24"/>
          <w:szCs w:val="24"/>
        </w:rPr>
      </w:pPr>
      <w:r>
        <w:rPr>
          <w:rFonts w:eastAsia="Times New Roman"/>
          <w:color w:val="000000"/>
          <w:sz w:val="20"/>
          <w:szCs w:val="24"/>
        </w:rPr>
        <w:t xml:space="preserve"> 7. </w:t>
      </w:r>
      <w:bookmarkStart w:id="22" w:name="_nebC67CAC71_4665_4332_8BA1_8827CDAF8807"/>
      <w:r>
        <w:rPr>
          <w:rFonts w:eastAsia="Times New Roman"/>
          <w:color w:val="000000"/>
          <w:sz w:val="20"/>
          <w:szCs w:val="24"/>
        </w:rPr>
        <w:t xml:space="preserve">Zheng, Q. et al. Trisomy 21-Induced Dysregulation of Microglial Homeostasis in Alzheimer's Brains is Mediated by Usp25. </w:t>
      </w:r>
      <w:r>
        <w:rPr>
          <w:rFonts w:eastAsia="Times New Roman"/>
          <w:i/>
          <w:color w:val="000000"/>
          <w:sz w:val="20"/>
          <w:szCs w:val="24"/>
        </w:rPr>
        <w:t>Sci. Adv.</w:t>
      </w:r>
      <w:r>
        <w:rPr>
          <w:rFonts w:eastAsia="Times New Roman"/>
          <w:color w:val="000000"/>
          <w:sz w:val="20"/>
          <w:szCs w:val="24"/>
        </w:rPr>
        <w:t xml:space="preserve"> </w:t>
      </w:r>
      <w:r>
        <w:rPr>
          <w:rFonts w:eastAsia="Times New Roman"/>
          <w:b/>
          <w:color w:val="000000"/>
          <w:sz w:val="20"/>
          <w:szCs w:val="24"/>
        </w:rPr>
        <w:t>7</w:t>
      </w:r>
      <w:r>
        <w:rPr>
          <w:rFonts w:eastAsia="Times New Roman"/>
          <w:color w:val="000000"/>
          <w:sz w:val="20"/>
          <w:szCs w:val="24"/>
        </w:rPr>
        <w:t>, (2021).</w:t>
      </w:r>
      <w:bookmarkEnd w:id="22"/>
    </w:p>
    <w:p w14:paraId="4AACD6C4" w14:textId="77777777" w:rsidR="006C1408" w:rsidRDefault="006C1408" w:rsidP="006C1408">
      <w:pPr>
        <w:ind w:left="340" w:hanging="340"/>
        <w:rPr>
          <w:sz w:val="24"/>
          <w:szCs w:val="24"/>
        </w:rPr>
      </w:pPr>
      <w:r>
        <w:rPr>
          <w:rFonts w:eastAsia="Times New Roman"/>
          <w:color w:val="000000"/>
          <w:sz w:val="20"/>
          <w:szCs w:val="24"/>
        </w:rPr>
        <w:t xml:space="preserve"> 8. </w:t>
      </w:r>
      <w:bookmarkStart w:id="23" w:name="_neb18E86A1D_A628_4CC4_BF73_2267309631B3"/>
      <w:r>
        <w:rPr>
          <w:rFonts w:eastAsia="Times New Roman"/>
          <w:color w:val="000000"/>
          <w:sz w:val="20"/>
          <w:szCs w:val="24"/>
        </w:rPr>
        <w:t xml:space="preserve">Vorhees, C. V. &amp; Williams, M. T. Morris Water Maze: Procedures for Assessing Spatial and Related Forms of Learning and Memory. </w:t>
      </w:r>
      <w:r>
        <w:rPr>
          <w:rFonts w:eastAsia="Times New Roman"/>
          <w:i/>
          <w:color w:val="000000"/>
          <w:sz w:val="20"/>
          <w:szCs w:val="24"/>
        </w:rPr>
        <w:t xml:space="preserve">Nat. </w:t>
      </w:r>
      <w:proofErr w:type="spellStart"/>
      <w:r>
        <w:rPr>
          <w:rFonts w:eastAsia="Times New Roman"/>
          <w:i/>
          <w:color w:val="000000"/>
          <w:sz w:val="20"/>
          <w:szCs w:val="24"/>
        </w:rPr>
        <w:t>Protoc</w:t>
      </w:r>
      <w:proofErr w:type="spellEnd"/>
      <w:r>
        <w:rPr>
          <w:rFonts w:eastAsia="Times New Roman"/>
          <w:i/>
          <w:color w:val="000000"/>
          <w:sz w:val="20"/>
          <w:szCs w:val="24"/>
        </w:rPr>
        <w:t>.</w:t>
      </w:r>
      <w:r>
        <w:rPr>
          <w:rFonts w:eastAsia="Times New Roman"/>
          <w:color w:val="000000"/>
          <w:sz w:val="20"/>
          <w:szCs w:val="24"/>
        </w:rPr>
        <w:t xml:space="preserve"> </w:t>
      </w:r>
      <w:r>
        <w:rPr>
          <w:rFonts w:eastAsia="Times New Roman"/>
          <w:b/>
          <w:color w:val="000000"/>
          <w:sz w:val="20"/>
          <w:szCs w:val="24"/>
        </w:rPr>
        <w:t>1</w:t>
      </w:r>
      <w:r>
        <w:rPr>
          <w:rFonts w:eastAsia="Times New Roman"/>
          <w:color w:val="000000"/>
          <w:sz w:val="20"/>
          <w:szCs w:val="24"/>
        </w:rPr>
        <w:t>, 848-858 (2006).</w:t>
      </w:r>
      <w:bookmarkEnd w:id="23"/>
    </w:p>
    <w:p w14:paraId="63B7F265" w14:textId="77777777" w:rsidR="006C1408" w:rsidRDefault="006C1408" w:rsidP="006C1408">
      <w:pPr>
        <w:ind w:left="340" w:hanging="340"/>
        <w:rPr>
          <w:sz w:val="24"/>
          <w:szCs w:val="24"/>
        </w:rPr>
      </w:pPr>
      <w:r>
        <w:rPr>
          <w:rFonts w:eastAsia="Times New Roman"/>
          <w:color w:val="000000"/>
          <w:sz w:val="20"/>
          <w:szCs w:val="24"/>
        </w:rPr>
        <w:t xml:space="preserve"> 9. </w:t>
      </w:r>
      <w:bookmarkStart w:id="24" w:name="_neb5F203A5E_3068_40D4_8050_A1B678A21BF9"/>
      <w:r>
        <w:rPr>
          <w:rFonts w:eastAsia="Times New Roman"/>
          <w:color w:val="000000"/>
          <w:sz w:val="20"/>
          <w:szCs w:val="24"/>
        </w:rPr>
        <w:t xml:space="preserve">Zhong, L. et al. Soluble Trem2 Ameliorates Pathological Phenotypes by Modulating Microglial Functions in an Alzheimer's Disease Model. </w:t>
      </w:r>
      <w:r>
        <w:rPr>
          <w:rFonts w:eastAsia="Times New Roman"/>
          <w:i/>
          <w:color w:val="000000"/>
          <w:sz w:val="20"/>
          <w:szCs w:val="24"/>
        </w:rPr>
        <w:t>Nat. Commun.</w:t>
      </w:r>
      <w:r>
        <w:rPr>
          <w:rFonts w:eastAsia="Times New Roman"/>
          <w:color w:val="000000"/>
          <w:sz w:val="20"/>
          <w:szCs w:val="24"/>
        </w:rPr>
        <w:t xml:space="preserve"> </w:t>
      </w:r>
      <w:r>
        <w:rPr>
          <w:rFonts w:eastAsia="Times New Roman"/>
          <w:b/>
          <w:color w:val="000000"/>
          <w:sz w:val="20"/>
          <w:szCs w:val="24"/>
        </w:rPr>
        <w:t>10</w:t>
      </w:r>
      <w:r>
        <w:rPr>
          <w:rFonts w:eastAsia="Times New Roman"/>
          <w:color w:val="000000"/>
          <w:sz w:val="20"/>
          <w:szCs w:val="24"/>
        </w:rPr>
        <w:t>, 1365 (2019).</w:t>
      </w:r>
      <w:bookmarkEnd w:id="24"/>
    </w:p>
    <w:p w14:paraId="22DAFAB0" w14:textId="77777777" w:rsidR="006C1408" w:rsidRDefault="006C1408" w:rsidP="006C1408">
      <w:pPr>
        <w:ind w:left="340" w:hanging="340"/>
        <w:rPr>
          <w:sz w:val="24"/>
          <w:szCs w:val="24"/>
        </w:rPr>
      </w:pPr>
      <w:r>
        <w:rPr>
          <w:rFonts w:eastAsia="Times New Roman"/>
          <w:color w:val="000000"/>
          <w:sz w:val="20"/>
          <w:szCs w:val="24"/>
        </w:rPr>
        <w:t xml:space="preserve">10. </w:t>
      </w:r>
      <w:bookmarkStart w:id="25" w:name="_neb496CB2C4_C73E_4C63_89CD_D0CF1BD01532"/>
      <w:r>
        <w:rPr>
          <w:rFonts w:eastAsia="Times New Roman"/>
          <w:color w:val="000000"/>
          <w:sz w:val="20"/>
          <w:szCs w:val="24"/>
        </w:rPr>
        <w:t xml:space="preserve">Zhang, J. et al. Aging-Related Changes in Rp3V Kisspeptin Neurons Predate the Reduced Activation of </w:t>
      </w:r>
      <w:proofErr w:type="spellStart"/>
      <w:r>
        <w:rPr>
          <w:rFonts w:eastAsia="Times New Roman"/>
          <w:color w:val="000000"/>
          <w:sz w:val="20"/>
          <w:szCs w:val="24"/>
        </w:rPr>
        <w:t>Gnrh</w:t>
      </w:r>
      <w:proofErr w:type="spellEnd"/>
      <w:r>
        <w:rPr>
          <w:rFonts w:eastAsia="Times New Roman"/>
          <w:color w:val="000000"/>
          <w:sz w:val="20"/>
          <w:szCs w:val="24"/>
        </w:rPr>
        <w:t xml:space="preserve"> Neurons During the Early Reproductive Decline in Female Mice. </w:t>
      </w:r>
      <w:proofErr w:type="spellStart"/>
      <w:r>
        <w:rPr>
          <w:rFonts w:eastAsia="Times New Roman"/>
          <w:i/>
          <w:color w:val="000000"/>
          <w:sz w:val="20"/>
          <w:szCs w:val="24"/>
        </w:rPr>
        <w:t>Neurobiol</w:t>
      </w:r>
      <w:proofErr w:type="spellEnd"/>
      <w:r>
        <w:rPr>
          <w:rFonts w:eastAsia="Times New Roman"/>
          <w:i/>
          <w:color w:val="000000"/>
          <w:sz w:val="20"/>
          <w:szCs w:val="24"/>
        </w:rPr>
        <w:t>. Aging</w:t>
      </w:r>
      <w:r>
        <w:rPr>
          <w:rFonts w:eastAsia="Times New Roman"/>
          <w:color w:val="000000"/>
          <w:sz w:val="20"/>
          <w:szCs w:val="24"/>
        </w:rPr>
        <w:t xml:space="preserve">. </w:t>
      </w:r>
      <w:r>
        <w:rPr>
          <w:rFonts w:eastAsia="Times New Roman"/>
          <w:b/>
          <w:color w:val="000000"/>
          <w:sz w:val="20"/>
          <w:szCs w:val="24"/>
        </w:rPr>
        <w:t>35</w:t>
      </w:r>
      <w:r>
        <w:rPr>
          <w:rFonts w:eastAsia="Times New Roman"/>
          <w:color w:val="000000"/>
          <w:sz w:val="20"/>
          <w:szCs w:val="24"/>
        </w:rPr>
        <w:t>, 655-668 (2014).</w:t>
      </w:r>
      <w:bookmarkEnd w:id="25"/>
    </w:p>
    <w:p w14:paraId="4295A7B4" w14:textId="77777777" w:rsidR="009C44B9" w:rsidRDefault="009C44B9">
      <w:pPr>
        <w:spacing w:line="480" w:lineRule="auto"/>
        <w:rPr>
          <w:rFonts w:hint="eastAsia"/>
          <w:color w:val="000000" w:themeColor="text1"/>
        </w:rPr>
      </w:pPr>
    </w:p>
    <w:sectPr w:rsidR="009C44B9">
      <w:footerReference w:type="default" r:id="rId26"/>
      <w:pgSz w:w="11906" w:h="16838"/>
      <w:pgMar w:top="720" w:right="720" w:bottom="720" w:left="720" w:header="397" w:footer="283"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7D458" w14:textId="77777777" w:rsidR="00ED28DD" w:rsidRDefault="00ED28DD">
      <w:pPr>
        <w:spacing w:line="240" w:lineRule="auto"/>
      </w:pPr>
      <w:r>
        <w:separator/>
      </w:r>
    </w:p>
  </w:endnote>
  <w:endnote w:type="continuationSeparator" w:id="0">
    <w:p w14:paraId="0C874E86" w14:textId="77777777" w:rsidR="00ED28DD" w:rsidRDefault="00ED28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dvPSA183">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863602"/>
    </w:sdtPr>
    <w:sdtContent>
      <w:p w14:paraId="15719A55" w14:textId="77777777" w:rsidR="003B61E9" w:rsidRDefault="00000000">
        <w:pPr>
          <w:pStyle w:val="a7"/>
          <w:jc w:val="center"/>
        </w:pPr>
        <w:r>
          <w:fldChar w:fldCharType="begin"/>
        </w:r>
        <w:r>
          <w:instrText xml:space="preserve"> PAGE   \* MERGEFORMAT </w:instrText>
        </w:r>
        <w:r>
          <w:fldChar w:fldCharType="separate"/>
        </w:r>
        <w:r>
          <w:t>59</w:t>
        </w:r>
        <w:r>
          <w:fldChar w:fldCharType="end"/>
        </w:r>
      </w:p>
    </w:sdtContent>
  </w:sdt>
  <w:p w14:paraId="423A6E0B" w14:textId="77777777" w:rsidR="003B61E9" w:rsidRDefault="003B61E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8C4FD" w14:textId="77777777" w:rsidR="00ED28DD" w:rsidRDefault="00ED28DD">
      <w:r>
        <w:separator/>
      </w:r>
    </w:p>
  </w:footnote>
  <w:footnote w:type="continuationSeparator" w:id="0">
    <w:p w14:paraId="7ED226E9" w14:textId="77777777" w:rsidR="00ED28DD" w:rsidRDefault="00ED28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JjZmM4MzRhNzA1MjRjOGI3MWRlN2Y5Zjg2NjI3NzYifQ=="/>
    <w:docVar w:name="NE.Data.1{1DEB6E42-CDE4-41E4-A6E1-917E0B66560A}" w:val=" ADDIN NE.Ref.{1DEB6E42-CDE4-41E4-A6E1-917E0B66560A}&lt;Citation&gt;&lt;Group&gt;&lt;References&gt;&lt;Item&gt;&lt;ID&gt;1050&lt;/ID&gt;&lt;UID&gt;{53973B2A-F411-46CD-B49D-D221039F5D73}&lt;/UID&gt;&lt;Title&gt;The multiplex model of the genetics of Alzheimer&amp;apos;s disease&lt;/Title&gt;&lt;Template&gt;Journal Article&lt;/Template&gt;&lt;Star&gt;0&lt;/Star&gt;&lt;Tag&gt;0&lt;/Tag&gt;&lt;Author&gt;Sims, R; Hill, M; Williams, J&lt;/Author&gt;&lt;Year&gt;2020&lt;/Year&gt;&lt;Details&gt;&lt;_accessed&gt;65613196&lt;/_accessed&gt;&lt;_accession_num&gt;32112059&lt;/_accession_num&gt;&lt;_author_adr&gt;Division of Psychological Medicine and Clinical Neurosciences, School of  Medicine, Cardiff University, Cardiff, UK.; Division of Psychological Medicine and Clinical Neurosciences, School of  Medicine, Cardiff University, Cardiff, UK.; UK Dementia Research Institute, School of Medicine, Cardiff University, Cardiff,  UK.; Division of Psychological Medicine and Clinical Neurosciences, School of  Medicine, Cardiff University, Cardiff, UK. williamsj@cardiff.ac.uk.; UK Dementia Research Institute, School of Medicine, Cardiff University, Cardiff,  UK. williamsj@cardiff.ac.uk.&lt;/_author_adr&gt;&lt;_collection_scope&gt;SCIE&lt;/_collection_scope&gt;&lt;_created&gt;65613195&lt;/_created&gt;&lt;_date&gt;2020-03-01&lt;/_date&gt;&lt;_date_display&gt;2020 Mar&lt;/_date_display&gt;&lt;_db_updated&gt;PubMed&lt;/_db_updated&gt;&lt;_doi&gt;10.1038/s41593-020-0599-5&lt;/_doi&gt;&lt;_impact_factor&gt;  25.000&lt;/_impact_factor&gt;&lt;_isbn&gt;1546-1726 (Electronic); 1097-6256 (Linking)&lt;/_isbn&gt;&lt;_issue&gt;3&lt;/_issue&gt;&lt;_journal&gt;Nat Neurosci&lt;/_journal&gt;&lt;_language&gt;eng&lt;/_language&gt;&lt;_modified&gt;65613196&lt;/_modified&gt;&lt;_pages&gt;311-322&lt;/_pages&gt;&lt;_social_category&gt;神经科学(1)&lt;/_social_category&gt;&lt;_subject_headings&gt;Alzheimer Disease/*genetics/pathology; Animals; Humans; *Models, Genetic; Signal Transduction/genetics&lt;/_subject_headings&gt;&lt;_tertiary_title&gt;Nature neuroscience&lt;/_tertiary_title&gt;&lt;_type_work&gt;Journal Article; Research Support, Non-U.S. Gov&amp;apos;t; Review&lt;/_type_work&gt;&lt;_url&gt;http://www.ncbi.nlm.nih.gov/entrez/query.fcgi?cmd=Retrieve&amp;amp;db=pubmed&amp;amp;dopt=Abstract&amp;amp;list_uids=32112059&amp;amp;query_hl=1&lt;/_url&gt;&lt;_volume&gt;23&lt;/_volume&gt;&lt;/Details&gt;&lt;Extra&gt;&lt;DBUID&gt;{F96A950B-833F-4880-A151-76DA2D6A2879}&lt;/DBUID&gt;&lt;/Extra&gt;&lt;/Item&gt;&lt;/References&gt;&lt;/Group&gt;&lt;Group&gt;&lt;References&gt;&lt;Item&gt;&lt;ID&gt;1051&lt;/ID&gt;&lt;UID&gt;{B5CF24D6-0C9A-453E-8ACF-B83CE787DB8C}&lt;/UID&gt;&lt;Title&gt;New insights into the genetic etiology of Alzheimer&amp;apos;s disease and related  dementias&lt;/Title&gt;&lt;Template&gt;Journal Article&lt;/Template&gt;&lt;Star&gt;0&lt;/Star&gt;&lt;Tag&gt;0&lt;/Tag&gt;&lt;Author&gt;Bellenguez, C; Kucukali, F; Jansen, I E; Kleineidam, L; Moreno-Grau, S; Amin, N; Naj, A C; Campos-Martin, R; Grenier-Boley, B; Andrade, V; Holmans, P A; Boland, A; Damotte, V; van der Lee, S J; Costa, M R; Kuulasmaa, T; Yang, Q; de Rojas, I; Bis, J C; Yaqub, A; Prokic, I; Chapuis, J; Ahmad, S; Giedraitis, V; Aarsland, D; Garcia-Gonzalez, P; Abdelnour, C; Alarcon-Martin, E; Alcolea, D; Alegret, M; Alvarez, I; Alvarez, V; Armstrong, N J; Tsolaki, A; Antunez, C; Appollonio, I; Arcaro, M; Archetti, S; Pastor, A A; Arosio, B; Athanasiu, L; Bailly, H; Banaj, N; Baquero, M; Barral, S; Beiser, A; Pastor, A B; Below, J E; Benchek, P; Benussi, L; Berr, C; Besse, C; Bessi, V; Binetti, G; Bizarro, A; Blesa, R; Boada, M; Boerwinkle, E; Borroni, B; Boschi, S; Bossu, P; Brathen, G; Bressler, J; Bresner, C; Brodaty, H; Brookes, K J; Brusco, L I; Buiza-Rueda, D; Burger, K; Burholt, V; Bush, W S; Calero, M; Cantwell, L B; Chene, G; Chung, J; Cuccaro, M L; Carracedo, A; Cecchetti, R; Cervera-Carles, L; Charbonnier, C; Chen, H H; Chillotti, C; Ciccone, S; Claassen, JAHR; Clark, C; Conti, E; Corma-Gomez, A; Costantini, E; Custodero, C; Daian, D; Dalmasso, M C; Daniele, A; Dardiotis, E; Dartigues, J F; de Deyn, P P; de Paiva, Lopes K; de Witte, L D; Debette, S; Deckert, J; Del, Ser T; Denning, N; DeStefano, A; Dichgans, M; Diehl-Schmid, J; Diez-Fairen, M; Rossi, P D; Djurovic, S; Duron, E; Duzel, E; Dufouil, C; Eiriksdottir, G; Engelborghs, S; Escott-Price, V; Espinosa, A; Ewers, M; Faber, K M; Fabrizio, T; Nielsen, S F; Fardo, D W; Farotti, L; Fenoglio, C; Fernandez-Fuertes, M; Ferrari, R; Ferreira, C B; Ferri, E; Fin, B; Fischer, P; Fladby, T; Fliessbach, K; Fongang, B; Fornage, M; Fortea, J; Foroud, T M; Fostinelli, S; Fox, N C; Franco-Macias, E; Bullido, M J; Frank-Garcia, A; Froelich, L; Fulton-Howard, B; Galimberti, D; Garcia-Alberca, J M; Garcia-Gonzalez, P; Garcia-Madrona, S; Garcia-Ribas, G; Ghidoni, R; Giegling, I; Giorgio, G; Goate, A M; Goldhardt, O; Gomez-Fonseca, D; Gonzalez-Perez, A; Graff, C; Grande, G; Green, E; Grimmer, T; Grunblatt, E; Grunin, M; Gudnason, V; Guetta-Baranes, T; Haapasalo, A; Hadjigeorgiou, G; Haines, J L; Hamilton-Nelson, K L; Hampel, H; Hanon, O; Hardy, J; Hartmann, A M; Hausner, L; Harwood, J; Heilmann-Heimbach, S; Helisalmi, S; Heneka, M T; Hernandez, I; Herrmann, M J; Hoffmann, P; Holmes, C; Holstege, H; Vilas, R H; Hulsman, M; Humphrey, J; Biessels, G J; Jian, X; Johansson, C; Jun, G R; Kastumata, Y; Kauwe, J; Kehoe, P G; Kilander, L; Stahlbom, A K; Kivipelto, M; Koivisto, A; Kornhuber, J; Kosmidis, M H; Kukull, W A; Kuksa, P P; Kunkle, B W; Kuzma, A B; Lage, C; Laukka, E J; Launer, L; Lauria, A; Lee, C Y; Lehtisalo, J; Lerch, O; Lleo, A; Longstreth, W Jr; Lopez, O; de Munain, A L; Love, S; Lowemark, M; Luckcuck, L; Lunetta, K L; Ma, Y; Macias, J; MacLeod, C A; Maier, W; Mangialasche, F; Spallazzi, M; Marquie, M; Marshall, R; Martin, E R; Montes, A M; Rodriguez, C M; Masullo, C; Mayeux, R; Mead, S; Mecocci, P; Medina, M; Meggy, A; Mehrabian, S; Mendoza, S; Menendez-Gonzalez, M; Mir, P; Moebus, S; Mol, M; Molina-Porcel, L; Montrreal, L; Morelli, L; Moreno, F; Morgan, K; Mosley, T; Nothen, M M; Muchnik, C; Mukherjee, S; Nacmias, B; Ngandu, T; Nicolas, G; Nordestgaard, B G; Olaso, R; Orellana, A; Orsini, M; Ortega, G; Padovani, A; Paolo, C; Papenberg, G; Parnetti, L; Pasquier, F; Pastor, P; Peloso, G; Perez-Cordon, A; Perez-Tur, J; Pericard, P; Peters, O; Pijnenburg, YAL; Pineda, J A; Pinol-Ripoll, G; Pisanu, C; Polak, T; Popp, J; Posthuma, D; Priller, J; Puerta, R; Quenez, O; Quintela, I; Thomassen, J Q; Rabano, A; Rainero, I; Rajabli, F; Ramakers, I; Real, L M; Reinders, MJT; Reitz, C; Reyes-Dumeyer, D; Ridge, P; Riedel-Heller, S; Riederer, P; Roberto, N; Rodriguez-Rodriguez, E; Rongve, A; Allende, I R; Rosende-Roca, M; Royo, J L; Rubino, E; Rujescu, D; Saez, M E; Sakka, P; Saltvedt, I; Sanabria, A; Sanchez-Arjona, M B; Sanchez-Garcia, F; Juan, P S; Sanchez-Valle, R; Sando, S B; Sarnowski, C; Satizabal, C L; Scamosci, M; Scarmeas, N; Scarpini, E; Scheltens, P; Scherbaum, N; Scherer, M; Schmid, M; Schneider, A; Schott, J M; Selbaek, G; Seripa, D; Serrano, M; Sha, J; Shadrin, A A; Skrobot, O; Slifer, S; Snijders, GJL; Soininen, H; Solfrizzi, V; Solomon, A; Song, Y; Sorbi, S; Sotolongo-Grau, O; Spalletta, G; Spottke, A; Squassina, A; Stordal, E; Tartan, J P; Tarraga, L; Tesi, N; Thalamuthu, A; Thomas, T; Tosto, G; Traykov, L; Tremolizzo, L; Tybjaerg-Hansen, A; Uitterlinden, A; Ullgren, A; Ulstein, I; Valero, S; Valladares, O; Broeckhoven, C V; Vance, J; Vardarajan, B N; van der Lugt, A; Dongen, J V; van Rooij, J; van Swieten, J; Vandenberghe, R; Verhey, F; Vidal, J S; Vogelgsang, J; Vyhnalek, M; Wagner, M; Wallon, D; Wang, L S; Wang, R; Weinhold, L; Wiltfang, J; Windle, G; Woods, B; Yannakoulia, M; Zare, H; Zhao, Y; Zhang, X; Zhu, C; Zulaica, M; Farrer, L A; Psaty, B M; Ghanbari, M; Raj, T; Sachdev, P; Mather, K; Jessen, F; Ikram, M A; de Mendonca, A; Hort, J; Tsolaki, M; Pericak-Vance, M A; Amouyel, P; Williams, J; Frikke-Schmidt, R; Clarimon, J; Deleuze, J F; Rossi, G; Seshadri, S; Andreassen, O A; Ingelsson, M; Hiltunen, M; Sleegers, K; Schellenberg, G D; van Duijn, C M; Sims, R; van der Flier, W M; Ruiz, A; Ramirez, A; Lambert, J C&lt;/Author&gt;&lt;Year&gt;2022&lt;/Year&gt;&lt;Details&gt;&lt;_accessed&gt;65613197&lt;/_accessed&gt;&lt;_accession_num&gt;35379992&lt;/_accession_num&gt;&lt;_author_adr&gt;Universite de Lille, INSERM, CHU Lille, Institut Pasteur Lille, U1167-RID-AGE,  Facteurs de risque et determinants moleculaires des maladies liees au  vieillissement, Lille, France. celine.bellenguez@pasteur-lille.fr.; Complex Genetics of Alzheimer&amp;apos;s Disease Group, VIB Center for Molecular  Neurology, VIB, Antwerp, Belgium.; Laboratory of Neurogenetics, Institute Born - Bunge, Antwerp, Belgium.; Department of Biomedical Sciences, University of Antwerp, Antwerp, Belgium.; Alzheimer Center Amsterdam, Department of Neurology, Amsterdam Neuroscience,  Vrije Universiteit Amsterdam, Amsterdam UMC, Amsterdam, the Netherlands.; Department of Complex Trait Genetics, Center for Neurogenomics and Cognitive  Research, Amsterdam Neuroscience, Vrije University, Amsterdam, the Netherlands.; Department of Neurodegenerative Diseases and Geriatric Psychiatry, University  Hospital Bonn, Bonn, Germany.; Division of Neurogenetics and Molecular Psychiatry, Department of Psychiatry and  Psychotherapy, University of Cologne, Medical Faculty, Cologne, Germany.; German Center for Neurodegenerative Diseases (DZNE Bonn), Bonn, Germany.; Research Center and Memory Clinic Fundacio ACE, Institut Catala de Neurociencies  Aplicades, Universitat Internacional de Catalunya, Barcelona, Spain.; CIBERNED, Network Center for Biomedical Research in Neurodegenerative Diseases,  National Institute of Health Carlos III, Madrid, Spain.; Department of Epidemiology, Erasmus MC, Rotterdam, the Netherlands.; Nuffield Department of Population Health, Oxford University, Oxford, UK.; Department of Biostatistics, Epidemiology, and Informatics, Penn  Neurodegeneration Genomics Center, University of Pennsylvania Perelman School of  Medicine, Philadelphia, PA, USA.; Department of Pathology and Laboratory Medicine, University of Pennsylvania  Perelman School of Medicine, Philadelphia, PA, USA.; Division of Neurogenetics and Molecular Psychiatry, Department of Psychiatry and  Psychotherapy, University of Cologne, Medical Faculty, Cologne, Germany.; Universite de Lille, INSERM, CHU Lille, Institut Pasteur Lille, U1167-RID-AGE,  Facteurs de risque et determinants moleculaires des maladies liees au  vieillissement, Lille, France.; Department of Neurodegenerative Diseases and Geriatric Psychiatry, University  Hospital Bonn, Bonn, Germany.; Division of Neurogenetics and Molecular Psychiatry, Department of Psychiatry and  Psychotherapy, University of Cologne, Medical Faculty, Cologne, Germany.; MRC Centre for Neuropsychiatric Genetics and Genomics, Division of Psychological  Medicine and Clinical Neuroscience, School of Medicine, Cardiff University,  Cardiff, UK.; CEA, Centre National de Recherche en Genomique Humaine, Universite Paris-Saclay,  Evry, France.; Universite de Lille, INSERM, CHU Lille, Institut Pasteur Lille, U1167-RID-AGE,  Facteurs de risque et determinants moleculaires des maladies liees au  vieillissement, Lille, France.; Alzheimer Center Amsterdam, Department of Neurology, Amsterdam Neuroscience,  Vrije Universiteit Amsterdam, Amsterdam UMC, Amsterdam, the Netherlands.; Section Genomics of Neurodegenerative Diseases and Aging, Department of Human  Genetics Amsterdam UMC, Vrije Universiteit Amsterdam, Amsterdam UMC, Amsterdam,  the Netherlands.; Universite de Lille, INSERM, CHU Lille, Institut Pasteur Lille, U1167-RID-AGE,  Facteurs de risque et determinants moleculaires des maladies liees au  vieillissement, Lille, France.; Brain Institute, Federal University of Rio Grande do Norte, Natal, Brazil.; Institute of Biomedicine, University of Eastern Finland, Kuopio, Finland.; Department of Biostatistics, Boston University School of Public Health, Boston,  MA, USA.; Framingham Heart Study, Framingham, MA, USA.; Research Center and Memory Clinic Fundacio ACE, Institut Catala de Neurociencies  Aplicades, Universitat Internacional de Catalunya, Barcelona, Spain.; CIBERNED, Network Center for Biomedical Research in Neurodegenerative Diseases,  National Institute of Health Carlos III, Madrid, Spain.; Cardiovascular Health Research Unit, Department of Medicine, University of  Washington, Seattle, WA, USA.; Department of Epidemiology, Erasmus MC, Rotterdam, the Netherlands.; Department of Epidemiology, Erasmus MC, Rotterdam, the Netherlands.; Universite de Lille, INSERM, CHU Lille, Institut Pasteur Lille, U1167-RID-AGE,  Facteurs de risque et determinants moleculaires des maladies liees au  vieillissement, Lille, France.; Department of Epidemiology, Erasmus MC, Rotterdam, the Netherlands.; LACDR, Leiden, the Netherlands.; Department of Public Health and Carins Sciences/Geriatrics, Uppsala University,  Uppsala, Sweden.; Centre of Age-Related Medicine, Stavanger University Hospital, Stavanger, Norway.; Institute of Psychiatry, Psychology &amp;amp; Neuroscience, London, UK.; Research Center and Memory Clinic Fundacio ACE, Institut Catala de Neurociencies  Aplicades, Universitat Internacional de Catalunya, Barcelona, Spain.; CIBERNED, Network Center for Biomedical Research in Neurodegenerative Diseases,  National Institute of Health Carlos III, Madrid, Spain.; Research Center and Memory Clinic Fundacio ACE, Institut Catala de Neurociencies  Aplicades, Universitat Internacional de Catalunya, Barcelona, Spain.; CIBERNED, Network Center for Biomedical Research in Neurodegenerative Diseases,  National Institute of Health Carlos III, Madrid, Spain.; Research Center and Memory Clinic Fundacio ACE, Institut Catala de Neurociencies  Aplicades, Universitat Internacional de Catalunya, Barcelona, Spain.; Department of Surgery, Biochemistry and Molecular Biology, School of Medicine,  University of Malaga, Malaga, Spain.; CIBERNED, Network Center for Biomedical Research in Neurodegenerative Diseases,  National Institute of Health Carlos III, Madrid, Spain.; Department of Neurology, II B Sant Pau, Hospital de la Santa Creu i Sant Pau,  Universitat Autonoma de Barcelona, Barcelona, Spain.; Research Center and Memory Clinic Fundacio ACE, Institut Catala de Neurociencies  Aplicades, Universitat Internacional de Catalunya, Barcelona, Spain.; CIBERNED, Network Center for Biomedical Research in Neurodegenerative Diseases,  National Institute of Health Carlos III, Madrid, Spain.; Fundacio Docencia i Recerca MutuaTerrassa and Movement Disorders Unit, Department  of Neurology, University Hospital MutuaTerrassa, Terrassa, Spain.; Memory Disorders Unit, Department of Neurology, Hospital Universitari Mutua de  Terrassa, Terrassa, Spain.; Laboratorio de Genetica, Hospital Universitario Central de Asturias, Oviedo,  Spain.; Servicio de Neurologia, Hospital Universitario Central de Asturias- Oviedo and  Instituto de Investigacion Biosanitaria del Principado de Asturias, Oviedo,  Spain.; Centre for Healthy Brain Ageing, School of Psychiatry, Faculty of Medicine,  University of New South Wales, Sydney, New South Wales, Australia.; First Department of Neurology, Medical School, Aristotle University of  Thessaloniki, Thessaloniki, Greece.; Alzheimer Hellas, Thessaloniki, Greece.; Unidad de Demencias, Hospital Clinico Universitario Virgen de la Arrixaca,  Murcia, Spain.; School of Medicine and Surgery, University of Milano-Bicocca, Milano, Italy.; Neurology Unit, San Gerardo Hospital, Monza, Italy.; Fondazione IRCCS Ca&amp;apos;Granda, Ospedale Policlinico, Milan, Italy.; Department of Laboratory Diagnostics, III Laboratory of Analysis, Brescia  Hospital, Brescia, Italy.; Unitat Trastorns Cognitius, Hospital Universitari Santa Maria de Lleida, Lleida,  Spain.; Institut de Recerca Biomedica de Lleida (IRBLLeida), Lleida, Spain.; Department of Clinical Sciences and Community Health, University of Milan, Milan,  Italy.; Geriatic Unit, Fondazione Ca Granda, IRCCS Ospedale Maggiore Policlinico, Milan,  Italy.; NORMENT Centre, University of Oslo, Oslo, Norway.; EA 4468, Universite de Paris, APHP, Hopital Broca, Paris, France.; Laboratory of Neuropsychiatry, Department of Clinical and Behavioral Neurology,  IRCCS Santa Lucia Foundation, Rome, Italy.; Servei de Neurologia, Hospital Universitari i Politecnic La Fe, Valencia, Spain.; Taub Institute on Alzheimer&amp;apos;s Disease and the Aging Brain, Department of  Neurology, Columbia University, New York, NY, USA.; Unit of Neurology, University of Parma and AOU, Parma, Italy.; Clinic of Neurology, UH &amp;apos;Alexandrovska&amp;apos;, Medical University - Sofia, Sofia,  Bulgaria.; Institute of Biomedicine, University of Eastern Finland, Kuopio, Finland.; Boston University and the NHLBI&amp;apos;s Framingham Heart Study, Boston, MA, USA.; CIEN Foundation/Queen Sofia Foundation Alzheimer Center, Madrid, Spain.; Vanderbilt Brain Institute, Vanderbilt University, Nashville, TN, USA.; Cleveland Institute for Computational Biology, Case Western Reserve University,  Cleveland, OH, USA.; Department of Population and Quantitative Health Sciences, Case Western Reserve  University, Cleveland, OH, USA.; Molecular Markers Laboratory, IRCCS Istituto Centro San Giovanni di Dio  Fatebenefratelli, Brescia, Italy.; Neuropsychiatry: Epidemiological and Clinical Research, PSNREC, Universite de  Montpellier, INSERM U1061, Montpellier, France.; CEA, Centre National de Recherche en Genomique Humaine, Universite Paris-Saclay,  Evry, France.; Department of Neuroscience, Psychology, Drug Research and Child Health,  University of Florence, Florence, Italy.; Azienda Ospedaliero-Universitaria Careggi, Florence, Italy.; Molecular Markers Laboratory, IRCCS Istituto Centro San Giovanni di Dio  Fatebenefratelli, Brescia, Italy.; MAC - Memory Clinic, IRCCS Istituto Centro San Giovanni di Dio Fatebenefratelli,  Brescia, Italy.; Geriatrics Unit, Fondazione Policlinico A. Gemelli IRCCS, Rome, Italy.; CIBERNED, Network Center for Biomedical Research in Neurodegenerative Diseases,  National Institute of Health Carlos III, Madrid, Spain.; Department of Neurology, II B Sant Pau, Hospital de la Santa Creu i Sant Pau,  Universitat Autonoma de Barcelona, Barcelona, Spain.; Research Center and Memory Clinic Fundacio ACE, Institut Catala de Neurociencies  Aplicades, Universitat Internacional de Catalunya, Barcelona, Spain.; CIBERNED, Network Center for Biomedical Research in Neurodegenerative Diseases,  National Institute of Health Carlos III, Madrid, Spain.; Human Genetics Center, School of Public Health, University of Texas Health  Science Center at Houston, Houston, TX, USA.; Human Genome Sequencing Center, Baylor College of Medicine, Houston, TX, USA.; Centre for Neurodegenerative Disorders, Department of Clinical and Experimental  Sciences, University of Brescia, Brescia, Italy.; Department of Neuroscience &amp;quot;Rita Levi Montalcini&amp;quot;, University of Torino, Torino,  Italy.; Experimental Neuro-psychobiology Laboratory, Department of Clinical and  Behavioral Neurology, IRCCS Santa Lucia Foundation, Rome, Italy.; Department of Neurology and Clinical Neurophysiology, University Hospital of  Trondheim, Trondheim, Norway.; Department of Neuromedicine and Movement Science, Norwegian University of Science  and Technology, Trondheim, Norway.; Human Genetics Center, School of Public Health, University of Texas Health  Science Center at Houston, Houston, TX, USA.; School of Public Health, University of Texas Health Science Center at Houston,  Houston, TX, USA.; MRC Centre for Neuropsychiatric Genetics and Genomics, Division of Psychological  Medicine and Clinical Neuroscience, School of Medicine, Cardiff University,  Cardiff, UK.; Centre for Healthy Brain Ageing, School of Psychiatry, Faculty of Medicine,  University of New South Wales, Sydney, New South Wales, Australia.; Dementia Centre for Research Collaboration, School of Psychiatry, University of  New South Wales, Sydney, New South Wales, Australia.; Biosciences, School of Science and Technology, Nottingham Trent University,  Nottingham, UK.; Centro de Neuropsiquiatria y Neurologia de la Conducta (CENECON), Facultad de  Medicina, Universidad de Buenos Aires (UBA), C.A.B.A., Buenos Aires, Argentina.; Departamento Ciencias Fisiologicas UAII, Facultad de Medicina, UBA, C.A.B.A.,  Buenos Aires, Argentina.; Hospital Interzonal General de Agudos Eva Peron, San Martin, Buenos Aires,  Argentina.; CIBERNED, Network Center for Biomedical Research in Neurodegenerative Diseases,  National Institute of Health Carlos III, Madrid, Spain.; Department of Neurology, Erasmus MC, Rotterdam, the Netherlands.; Institute for Stroke and Dementia Research, Klinikum der Universitat Munchen,  Ludwig Maximilians Universitat (LMU), Munich, Germany.; German Center for Neurodegenerative Diseases (DZNE, Munich), Munich, Germany.; Faculty of Medical &amp;amp; Health Sciences, University of Auckland, Auckland, New  Zealand.; Wales Centre for Ageing &amp;amp; Dementia Research, Swansea University, Wales, New  Zealand.; Department of Population &amp;amp; Quantitative Health Sciences, Case Western Reserve  University, Cleveland, OH, USA.; Research Center and Memory Clinic Fundacio ACE, Institut Catala de Neurociencies  Aplicades, Universitat Internacional de Catalunya, Barcelona, Spain.; CIEN Foundation/Queen Sofia Foundation Alzheimer Center, Madrid, Spain.; UFIEC, Instituto de Salud Carlos III, Madrid, Spain.; Department of Pathology and Laboratory Medicine, University of Pennsylvania,  Philadelphia, PA, USA.; INSERM, Bordeaux Population Health Research Center, UMR 1219, ISPED, CIC 1401-EC,  Universite de Bordeaux, Bordeaux, France.; Pole Sante Publique, CHU de Bordeaux, Bordeaux, France.; Medicine Biomedical Genetics Boston University School of Medicine, Boston, MA,  USA.; Dr. John T. Macdonald Foundation Department of Human Genetics, University of  Miami, Miami, FL, USA.; Grupo de Medicina Xenomica, Centro Nacional de Genotipado (CEGEN-PRB3-ISCIII),  Universidade de Santiago de Compostela, Santiago de Compostela, Spain.; Fundacion Publica Galega de Medicina Xenomica- CIBERER-IDIS, University of  Santiago de Compostela, Santiago de Compostela, Spain.; Institute of Gerontology and Geriatrics, Department of Medicine and Surgery,  University of Perugia, Perugia, Italy.; CIBERNED, Network Center for Biomedical Research in Neurodegenerative Diseases,  National Institute of Health Carlos III, Madrid, Spain.; Department of Neurology, II B Sant Pau, Hospital de la Santa Creu i Sant Pau,  Universitat Autonoma de Barcelona, Barcelona, Spain.; Department of Genetics and CNR-MAJ, Normandie University, UNIROUEN, INSERM U1245,  CHU Rouen, Rouen, France.; Division of Genetic Medicine, Vanderbilt University, Nashville, TN, USA.; Unit of Clinical Pharmacology, University Hospital of Cagliari, Cagliari, Italy.; Geriatic Unit, Fondazione Ca Granda, IRCCS Ospedale Maggiore Policlinico, Milan,  Italy.; Radboudumc Alzheimer Center, Department of Geriatrics, Radboud University Medical  Center, Nijmegen, the Netherlands.; Institute for Regenerative Medicine, University of Zurich, Schlieren,  Switzerland.; School of Medicine and Surgery, University of Milano-Bicocca, Milano, Italy.; Unidad Clinica de Enfermedades Infecciosas y Microbiologia, Hospital  Universitario de Valme, Sevilla, Spain.; Department of Neuroscience, Catholic University of Sacred Heart, Fondazione  Policlinico Universitario A. Gemelli IRCCS, Rome, Italy.; University of Bari, &amp;quot;A. Moro&amp;quot;, Bary, Italy.; CEA, Centre National de Recherche en Genomique Humaine, Universite Paris-Saclay,  Evry, France.; Division of Neurogenetics and Molecular Psychiatry, Department of Psychiatry and  Psychotherapy, University of Cologne, Medical Faculty, Cologne, Germany.; Department of Neuroscience, Catholic University of Sacred Heart, Fondazione  Policlinico Universitario A. Gemelli IRCCS, Rome, Italy.; School of Medicine, University of Thessaly, Larissa, Greece.; Bordeaux Population Health Research Center, University Bordeaux, INSERM,  Bordeaux, France.; Department of Neurology, University Medical Center Groningen, Groningen, the  Netherlands.; Ronald M. Loeb Center for Alzheimer&amp;apos;s Disease, Icahn School of Medicine at Mount  Sinai, New York, NY, USA.; Department of Genetics and Genomic Sciences &amp;amp; Icahn Institute for Data Science  and Genomic Technology, Icahn School of Medicine at Mount Sinai, New York, NY,  USA.; Estelle and Daniel Maggin Department of Neurology, Icahn School of Medicine at  Mount Sinai, New York, NY, USA.; Department of Psychiatry, Icahn School of Medicine at Mount Sinai, New York, NY,  USA.; Department of Psychiatry, Icahn School of Medicine at Mount Sinai, New York, NY,  USA.; Bordeaux Population Health Research Center, University Bordeaux, INSERM,  Bordeaux, France.; Department of Psychiatry, Psychosomatics and Psychotherapy, Center of Mental  Health, University Hospital, Wuerzburg, Germany.; CIEN Foundation/Queen Sofia Foundation Alzheimer Center, Madrid, Spain.; UKDRI@ Cardiff, School of Medicine, Cardiff University, Cardiff, UK.; Institute of Biomedicine, University of Eastern Finland, Kuopio, Finland.; Department of Biostatistics, Boston University School of Public Health, Boston,  MA, USA.; Department of Neurology, Boston University School of Medicine, Boston, MA, USA.; Institute for Stroke and Dementia Research, Klinikum der Universitat Munchen,  Ludwig Maximilians Universitat (LMU), Munich, Germany.; Munich Cluster for Systems Neurology (SyNergy), Munich, Germany.; Klinikum rechts der Isar, Department of Psychiatry and Psychotherapy, Technical  University of Munich, School of Medicine, Munich, Germany.; Fundacio Docencia i Recerca MutuaTerrassa and Movement Disorders Unit, Department  of Neurology, University Hospital MutuaTerrassa, Terrassa, Spain.; Memory Disorders Unit, Department of Neurology, Hospital Universitari Mutua de  Terrassa, Terrassa, Spain.; Geriatic Unit, Fondazione Ca Granda, IRCCS Ospedale Maggiore Policlinico, Milan,  Italy.; NORMENT Centre, University of Oslo, Oslo, Norway.; EA 4468, Universite de Paris, APHP, Hopital Broca, Paris, France.; Institute of Cognitive Neurology and Dementia Research (IKND), Otto-Von-Guericke  University, Magdeburg, Germany.; German Center for Neurodegenerative Diseases (DZNE), Magdeburg, Germany.; INSERM, Bordeaux Population Health Research Center, UMR 1219, ISPED, CIC 1401-EC,  Universite de Bordeaux, Bordeaux, France.; Pole Sante Publique, CHU de Bordeaux, Bordeaux, France.; Icelandic Heart Association, Kopovagur, Iceland.; Center for Neurosciences, Vrije Universiteit Brussel (VUB), Brussels, Belgium.; Reference Center for Biological Markers of Dementia (BIODEM), Institute  Born-Bunge, University of Antwerp, Antwerp, Belgium.; Institute Born-Bunge, University of Antwerp, Antwerp, Belgium.; Department of Neurology, UZ Brussel, Brussels, Belgium.; Department of Pathology and Laboratory Medicine, University of Pennsylvania  Perelman School of Medicine, Philadelphia, PA, USA.; UKDRI@ Cardiff, School of Medicine, Cardiff University, Cardiff, UK.; Research Center and Memory Clinic Fundacio ACE, Institut Catala de Neurociencies  Aplicades, Universitat Internacional de Catalunya, Barcelona, Spain.; CIBERNED, Network Center for Biomedical Research in Neurodegenerative Diseases,  National Institute of Health Carlos III, Madrid, Spain.; Institute for Stroke and Dementia Research, Klinikum der Universitat Munchen,  Ludwig Maximilians Universitat (LMU), Munich, Germany.; German Center for Neurodegenerative Diseases (DZNE, Munich), Munich, Germany.; Department of Medical and Molecular Genetics, Indiana University, Indianapolis,  IN, USA.; Fondazione IRCCS, Istituto Neurologico Carlo Besta, Milan, Italy.; Department of Clinical Biochemistry, Herlev and Gentofte Hospital, Herlev,  Denmark.; Sanders-Brown Center on Aging, Department of Biostatistics, University of  Kentucky, Lexington, KY, USA.; Centre for Memory Disturbances, Lab of Clinical Neurochemistry, Section of  Neurology, University of Perugia, Perugia, Italy.; University of Milan, Milan, Italy.; Unidad Clinica de Enfermedades Infecciosas y Microbiologia, Hospital  Universitario de Valme, Sevilla, Spain.; Laboratory of Neurogenetics, Department of Internal Medicine, Texas Tech  University Health Science Center, Lubbock, TX, USA.; Reta Lila Weston Research Laboratories, Department of Molecular Neuroscience, UCL  Institute of Neurology, London, UK.; Faculty of Medicine, University of Lisbon, Lisbon, Portugal.; Geriatic Unit, Fondazione Ca Granda, IRCCS Ospedale Maggiore Policlinico, Milan,  Italy.; CEA, Centre National de Recherche en Genomique Humaine, Universite Paris-Saclay,  Evry, France.; Department of Psychiatry, Social Medicine Center East- Donauspital, Vienna,  Austria.; Institute of Clinical Medicine, University of Oslo, Oslo, Norway.; Division of Neurogenetics and Molecular Psychiatry, Department of Psychiatry and  Psychotherapy, University of Cologne, Medical Faculty, Cologne, Germany.; German Center for Neurodegenerative Diseases (DZNE Bonn), Bonn, Germany.; Glenn Biggs Institute for Alzheimer&amp;apos;s &amp;amp; Neurodegenerative Diseases, University of  Texas Health Sciences Center, San Antonio, TX, USA.; Department of Neuromedicine and Movement Science, Norwegian University of Science  and Technology, Trondheim, Norway.; School of Public Health, University of Texas Health Science Center at Houston,  Houston, TX, USA.; CIBERNED, Network Center for Biomedical Research in Neurodegenerative Diseases,  National Institute of Health Carlos III, Madrid, Spain.; Department of Neurology, II B Sant Pau, Hospital de la Santa Creu i Sant Pau,  Universitat Autonoma de Barcelona, Barcelona, Spain.; Department of Medical and Molecular Genetics, Indiana University, Indianapolis,  IN, USA.; Molecular Markers Laboratory, IRCCS Istituto Centro San Giovanni di Dio  Fatebenefratelli, Brescia, Italy.; Dementia Research Centre, UCL Queen Square Institute of Neurology, London, UK.; Unidad de Demencias, Servicio de Neurologia y Neurofisiologia. Instituto de  Biomedicina de Sevilla (IBiS), Hospital Universitario Virgen del  Rocio/CSIC/Universidad de Sevilla, Seville, Spain.; CIBERNED, Network Center for Biomedical Research in Neurodegenerative Diseases,  National Institute of Health Carlos III, Madrid, Spain.; Instituto de Investigacion Sanitaria &amp;apos;Hospital la Paz&amp;apos; (IdIPaz), Madrid, Spain.; Centro de Biologia Molecular Severo Ochoa (UAM-CSIC), Madrid, Spain.; CIBERNED, Network Center for Biomedical Research in Neurodegenerative Diseases,  National Institute of Health Carlos III, Madrid, Spain.; Instituto de Investigacion Sanitaria &amp;apos;Hospital la Paz&amp;apos; (IdIPaz), Madrid, Spain.; Hospital Universitario la Paz, Madrid, Spain.; Department of Geriatric Psychiatry, Central Institute for Mental Health,  Mannheim, University of Heidelberg, Heidelberg, Germany.; Department of Genetics and Genomic Sciences, Ronald M. Loeb Center for  Alzheimer&amp;apos;s Disease Icahn School of Medicine at Mount Sinai, New York, NY, USA.; Fondazione IRCCS Ca&amp;apos;Granda, Ospedale Policlinico, Milan, Italy.; University of Milan, Milan, Italy.; CIBERNED, Network Center for Biomedical Research in Neurodegenerative Diseases,  National Institute of Health Carlos III, Madrid, Spain.; Alzheimer Research Center &amp;amp; Memory Clinic, Andalusian Institute for Neuroscience,  Malaga, Spain.; Research Center and Memory Clinic Fundacio ACE, Institut Catala de Neurociencies  Aplicades, Universitat Internacional de Catalunya, Barcelona, Spain.; Hospital Universitario Ramon y Cajal, IRYCIS, Madrid, Spain.; Hospital Universitario Ramon y Cajal, IRYCIS, Madrid, Spain.; Molecular Markers Laboratory, IRCCS Istituto Centro San Giovanni di Dio  Fatebenefratelli, Brescia, Italy.; Department of Psychiatry and Psychotherapy, Medical University of Vienna, Vienna,  Austria.; Fondazione IRCCS, Istituto Neurologico Carlo Besta, Milan, Italy.; Department of Genetics and Genomic Sciences, Ronald M. Loeb Center for  Alzheimer&amp;apos;s Disease Icahn School of Medicine at Mount Sinai, New York, NY, USA.; Klinikum rechts der Isar, Department of Psychiatry and Psychotherapy, Technical  University of Munich, School of Medicine, Munich, Germany.; Department of Biostatistics, Epidemiology, and Informatics Perelman School of  Medicine, University of Pennsylvania, Philadelphia, PA, USA.; CAEBI, Centro Andaluz de Estudios Bioinformaticos, Sevilla, Spain.; Center for Alzheimer Research, Department NVS, Division of Neurogeriatrics,  Karolinska Institutet, Stockholm, Sweden.; Unit for Hereditary Dementias, Karolinska University Hospital-Solna, Stockholm,  Sweden.; Aging Research Center, Department of Neurobiology, Care Sciences and Society,  Karolinska Institutet and Stockholm University, Stockholm, Sweden.; Institute of Public Health, University of Cambridge, Cambridge, UK.; Klinikum rechts der Isar, Department of Psychiatry and Psychotherapy, Technical  University of Munich, School of Medicine, Munich, Germany.; Department of Child and Adolescent Psychiatry and Psychotherapy, University  Hospital of Psychiatry Zurich, University of Zurich, Zurich, Switzerland.; Neuroscience Center Zurich, University of Zurich and ETH Zurich, Zurich,  Switzerland.; Zurich Center for Integrative Human Physiology, University of Zurich, Zurich,  Switzerland.; Department of Population and Quantitative Health Sciences, Case Western Reserve  University, Cleveland, OH, USA.; Icelandic Heart Association, Faculty of Medicine, University of Iceland,  Reykjavik, Iceland.; Human Genetics, School of Life Sciences, Life Sciences Building, University Park,  University of Nottingham, Nottingham, UK.; AI Virtanen Institute for Molecular Sciences, University of Eastern Finland,  Kuopio, Finland.; Department of Neurology, Medical School, University of Cyprus, Nicosia, Cyprus.; Department of Population &amp;amp; Quantitative Health Sciences, Case Western Reserve  University, Cleveland, OH, USA.; The John P. Hussman Institute for Human Genomics, University of Miami, Miami, FL,  USA.; GRC 21, Alzheimer Precision Medicine Initiative (APMI), Sorbonne University,  AP-HP, Pitie-Salpetriere Hospital, Paris, France.; EA 4468, Universite de Paris, APHP, Hopital Broca, Paris, France.; Reta Lila Weston Research Laboratories, Department of Molecular Neuroscience, UCL  Institute of Neurology, London, UK.; Department of Psychiatry and Psychotherapy, Medical University of Vienna, Vienna,  Austria.; Department of Geriatric Psychiatry, Central Institute for Mental Health,  Mannheim, University of Heidelberg, Heidelberg, Germany.; MRC Centre for Neuropsychiatric Genetics and Genomics, Division of Psychological  Medicine and Clinical Neuroscience, School of Medicine, Cardiff University,  Cardiff, UK.; Institute of Human Genetics, University of Bonn, School of Medicine &amp;amp; University  Hospital Bonn, Bonn, Germany.; Institute of Clinical Medicine, Neurology, University of Eastern, Kuopio,  Finland.; Institute of Clinical Medicine, Internal Medicine, University of Eastern Finland,  Kuopio, Finland.; Department of Neurodegenerative Diseases and Geriatric Psychiatry, University  Hospital Bonn, Bonn, Germany.; German Center for Neurodegenerative Diseases (DZNE Bonn), Bonn, Germany.; Research Center and Memory Clinic Fundacio ACE, Institut Catala de Neurociencies  Aplicades, Universitat Internacional de Catalunya, Barcelona, Spain.; CIBERNED, Network Center for Biomedical Research in Neurodegenerative Diseases,  National Institute of Health Carlos III, Madrid, Spain.; Department of Psychiatry, Psychosomatics and Psychotherapy, Center of Mental  Health, University Hospital, Wuerzburg, Germany.; Institute of Human Genetics, University of Bonn, School of Medicine &amp;amp; University  Hospital Bonn, Bonn, Germany.; Clinical and Experimental Science, Faculty of Medicine, University of  Southampton, Southampton, UK.; Alzheimer Center Amsterdam, Department of Neurology, Amsterdam Neuroscience,  Vrije Universiteit Amsterdam, Amsterdam UMC, Amsterdam, the Netherlands.; Section Genomics of Neurodegenerative Diseases and Aging, Department of Human  Genetics Amsterdam UMC, Vrije Universiteit Amsterdam, Amsterdam UMC, Amsterdam,  the Netherlands.; Unitat Trastorns Cognitius, Hospital Universitari Santa Maria de Lleida, Lleida,  Spain.; Institut de Recerca Biomedica de Lleida (IRBLLeida), Lleida, Spain.; Alzheimer Center Amsterdam, Department of Neurology, Amsterdam Neuroscience,  Vrije Universiteit Amsterdam, Amsterdam UMC, Amsterdam, the Netherlands.; Section Genomics of Neurodegenerative Diseases and Aging, Department of Human  Genetics Amsterdam UMC, Vrije Universiteit Amsterdam, Amsterdam UMC, Amsterdam,  the Netherlands.; Ronald M. Loeb Center for Alzheimer&amp;apos;s Disease, Icahn School of Medicine at Mount  Sinai, New York, NY, USA.; Department of Genetics and Genomic Sciences &amp;amp; Icahn Institute for Data Science  and Genomic Technology, Icahn School of Medicine at Mount Sinai, New York, NY,  USA.; Estelle and Daniel Maggin Department of Neurology, Icahn School of Medicine at  Mount Sinai, New York, NY, USA.; Nash Family Department of Neuroscience &amp;amp; Friedman Brain Institute, Icahn School  of Medicine at Mount Sinai, New York, NY, USA.; Department of Neurology, UMC Utrecht Brain Center, Utrecht, the Netherlands.; Glenn Biggs Institute for Alzheimer&amp;apos;s &amp;amp; Neurodegenerative Diseases, University of  Texas Health Sciences Center, San Antonio, TX, USA.; Center for Alzheimer Research, Department NVS, Division of Neurogeriatrics,  Karolinska Institutet, Stockholm, Sweden.; Medicine Biomedical Genetics Boston University School of Medicine, Boston, MA,  USA.; Biostatistics, University of Kentucky College of Public Health, Lexington, KY,  USA.; Department of Biology, Brigham Young University, Provo, UT, USA.; Translational Health Sciences, Bristol Medical School, University of Bristol,  Bristol, UK.; Department of Biostatistics, Boston University School of Public Health, Boston,  MA, USA.; Center for Alzheimer Research, Department NVS, Division of Neurogeriatrics,  Karolinska Institutet, Stockholm, Sweden.; Division of Clinical Geriatrics, Center for Alzheimer Research, Care Sciences and  Society (NVS), Karolinska Institutet, Stockholm, Sweden.; Institute of Public Health and Clinical Nutrition, University of Eastern Finland,  Kuopio, Finland.; Neuroepidemiology and Ageing Research Unit, School of Public Health, Imperial  College London, London, UK.; Research &amp;amp; Development, UnitStockholms Sjukhem, Stockholm, Sweden.; Institute of Clinical Medicine, Neurology, University of Eastern, Kuopio,  Finland.; Department of Neurology, Kuopio University Hospital, Kuopio, Finland.; Department of Neurosciences, University of Helsinki and Department of Geriatrics,  Helsinki University Hospital, Helsinki, Finland.; Department of Psychiatry and Psychotherapy, Universitatsklinikum Erlangen, and  Friedrich-Alexander Universitat Erlangen-Nurnberg, Erlangen, Germany.; Laboratory of Cognitive Neuroscience, School of Psychology, Aristotle University  of Thessaloniki, Thessaloniki, Greece.; Department of Epidemiology, University of Washington, Seattle, WA, USA.; Department of Pathology and Laboratory Medicine, University of Pennsylvania  Perelman School of Medicine, Philadelphia, PA, USA.; Department of Neurology, Medical School, University of Cyprus, Nicosia, Cyprus.; Department of Pathology and Laboratory Medicine, University of Pennsylvania,  Philadelphia, PA, USA.; CIBERNED, Network Center for Biomedical Research in Neurodegenerative Diseases,  National Institute of Health Carlos III, Madrid, Spain.; Neurology Service, Marques de Valdecilla University Hospital (University of  Cantabria and IDIVAL), Santander, Spain.; Aging Research Center, Department of Neurobiology, Care Sciences and Society,  Karolinska Institutet and Stockholm University, Stockholm, Sweden.; Stockholm Gerontology Research Center, Stockholm, Sweden.; Laboratory of Epidemiology, Demography, and Biometry, National Institute of  Aging, The National Institutes of Health, Bethesda, MD, USA.; Intramural Research Program/National Institute on Aging/National Institutes of  Health, Bethesda, MD, USA.; Geriatrics Unit, Fondazione Policlinico A. Gemelli IRCCS, Rome, Italy.; Department of Pathology and Laboratory Medicine, University of Pennsylvania  Perelman School of Medicine, Philadelphia, PA, USA.; Institute of Clinical Medicine, Neurology, University of Eastern, Kuopio,  Finland.; Public Health Promotion Unit, Finnish Institute for Health and Welfare, Helsinki,  Finland.; Memory Clinic, Department of Neurology, Charles University, 2nd Faculty of  Medicine and Motol University Hospital, Praha, Czechia.; International Clinical Research Center, St. Anne&amp;apos;s University Hospital Brno,  Brno, Czechia.; CIBERNED, Network Center for Biomedical Research in Neurodegenerative Diseases,  National Institute of Health Carlos III, Madrid, Spain.; Department of Neurology, II B Sant Pau, Hospital de la Santa Creu i Sant Pau,  Universitat Autonoma de Barcelona, Barcelona, Spain.; Departments of Neurology and Epidemiology, University of Washington, Seattle, WA,  USA.; Framingham Heart Study, Framingham, MA, USA.; CIBERNED, Network Center for Biomedical Research in Neurodegenerative Diseases,  National Institute of Health Carlos III, Madrid, Spain.; Department of Neurology, Hospital Universitario Donostia, OSAKIDETZA-Servicio  Vasco de Salud, San Sebastian, Spain.; Translational Health Sciences, Bristol Medical School, University of Bristol,  Bristol, UK.; Department of Biostatistics, Boston University School of Public Health, Boston,  MA, USA.; MRC Centre for Neuropsychiatric Genetics and Genomics, Division of Psychological  Medicine and Clinical Neuroscience, School of Medicine, Cardiff University,  Cardiff, UK.; Institute of Biomedicine, University of Eastern Finland, Kuopio, Finland.; Section Genomics of Neurodegenerative Diseases and Aging, Department of Human  Genetics Amsterdam UMC, Vrije Universiteit Amsterdam, Amsterdam UMC, Amsterdam,  the Netherlands.; Department of Neurology, Columbia University, New York, NY, USA.; Unidad Clinica de Enfermedades Infecciosas y Microbiologia, Hospital  Universitario de Valme, Sevilla, Spain.; School of Health Sciences, Bangor University, Bangor, UK.; Department of Neurodegenerative Diseases and Geriatric Psychiatry, University  Hospital Bonn, Bonn, Germany.; German Center for Neurodegenerative Diseases (DZNE Bonn), Bonn, Germany.; Division of Clinical Geriatrics, Center for Alzheimer Research, Care Sciences and  Society (NVS), Karolinska Institutet, Stockholm, Sweden.; Unit of Neurology, University of Parma and AOU, Parma, Italy.; Research Center and Memory Clinic Fundacio ACE, Institut Catala de Neurociencies  Aplicades, Universitat Internacional de Catalunya, Barcelona, Spain.; CIBERNED, Network Center for Biomedical Research in Neurodegenerative Diseases,  National Institute of Health Carlos III, Madrid, Spain.; MRC Centre for Neuropsychiatric Genetics and Genomics, Division of Psychological  Medicine and Clinical Neuroscience, School of Medicine, Cardiff University,  Cardiff, UK.; The John P. Hussman Institute for Human Genomics, University of Miami, Miami, FL,  USA.; CIBERNED, Network Center for Biomedical Research in Neurodegenerative Diseases,  National Institute of Health Carlos III, Madrid, Spain.; Instituto de Investigacion Sanitaria &amp;apos;Hospital la Paz&amp;apos; (IdIPaz), Madrid, Spain.; Hospital Universitario la Paz, Madrid, Spain.; Servicio de Neurologia, Hospital Universitario Central de Asturias- Oviedo and  Instituto de Investigacion Biosanitaria del Principado de Asturias, Oviedo,  Spain.; Institute of Neurology, Catholic University of the Sacred Heart, Rome, Italy.; Taub Institute on Alzheimer&amp;apos;s Disease and the Aging Brain, Department of  Neurology, Columbia University, New York, NY, USA.; Gertrude H. Sergievsky Center, Columbia University, New York, NY, USA.; MRC Prion Unit at UCL, UCL Institute of Prion Diseases, London, UK.; Institute of Gerontology and Geriatrics, Department of Medicine and Surgery,  University of Perugia, Perugia, Italy.; CIBERNED, Network Center for Biomedical Research in Neurodegenerative Diseases,  National Institute of Health Carlos III, Madrid, Spain.; CIEN Foundation/Queen Sofia Foundation Alzheimer Center, Madrid, Spain.; UKDRI@ Cardiff, School of Medicine, Cardiff University, Cardiff, UK.; Clinic of Neurology, UH &amp;apos;Alexandrovska&amp;apos;, Medical University - Sofia, Sofia,  Bulgaria.; Alzheimer Research Center &amp;amp; Memory Clinic, Andalusian Institute for Neuroscience,  Malaga, Spain.; Servicio de Neurologia, Hospital Universitario Central de Asturias- Oviedo and  Instituto de Investigacion Biosanitaria del Principado de Asturias, Oviedo,  Spain.; CIBERNED, Network Center for Biomedical Research in Neurodegenerative Diseases,  National Institute of Health Carlos III, Madrid, Spain.; Unidad de Trastornos del Movimiento, Servicio de Neurologia y Neurofisiologia.  Instituto de Biomedicina de Sevilla (IBiS), Hospital Universitario Virgen del  Rocio/CSIC/Universidad de Sevilla, Seville, Spain.; Institute for Urban Public Health, University Hospital of University  Duisburg-Essen, Essen, Germany.; Department of Neurology, Erasmus MC, Rotterdam, the Netherlands.; Neurological Tissue Bank of the Biobanc-Hospital Clinic-IDIBAPS, Institut  d&amp;apos;Investigacions Biomediques August Pi i Sunyer, Barcelona, Spain.; Alzheimer&amp;apos;s Disease and Other Cognitive Disorders Unit, Neurology Department,  Hospital Clinic, Barcelona, Spain.; Research Center and Memory Clinic Fundacio ACE, Institut Catala de Neurociencies  Aplicades, Universitat Internacional de Catalunya, Barcelona, Spain.; Laboratory of Brain Aging and Neurodegeneration, FIL-CONICET, Buenos Aires,  Argentina.; CIBERNED, Network Center for Biomedical Research in Neurodegenerative Diseases,  National Institute of Health Carlos III, Madrid, Spain.; Department of Neurology, Hospital Universitario Donostia, OSAKIDETZA-Servicio  Vasco de Salud, San Sebastian, Spain.; Human Genetics, School of Life Sciences, University of Nottingham, Nottingham,  UK.; Memory Impairment and Neurodegenerative Dementia (MIND) Center, University of  Mississippi Medical Center, Jackson, MS, USA.; Institute of Human Genetics, University of Bonn, School of Medicine &amp;amp; University  Hospital Bonn, Bonn, Germany.; Centro de Neuropsiquiatria y Neurologia de la Conducta (CENECON), Facultad de  Medicina, Universidad de Buenos Aires (UBA), C.A.B.A., Buenos Aires, Argentina.; Laboratorio de Bioquimica Molecular, Facultad de Medicina, Instituto de  Investigaciones Medicas A. Lanari, UBA, C.A.B.A, Buenos Aires, Argentina.; Department of Medicine, University of Washington, Seattle, WA, USA.; Department of Neuroscience, Psychology, Drug Research and Child Health,  University of Florence, Florence, Italy.; IRCCS Fondazione Don Carlo Gnocchi, Florence, Italy.; Public Health Promotion Unit, Finnish Institute for Health and Welfare, Helsinki,  Finland.; Department of Genetics and CNR-MAJ, Normandie University, UNIROUEN, INSERM U1245,  CHU Rouen, Rouen, France.; Department of Clinical Biochemistry, Herlev and Gentofte Hospital, Herlev,  Denmark.; Department of Clinical Medicine, University of Copenhagen, Copenhagen, Denmark.; CEA, Centre National de Recherche en Genomique Humaine, Universite Paris-Saclay,  Evry, France.; Research Center and Memory Clinic Fundacio ACE, Institut Catala de Neurociencies  Aplicades, Universitat Internacional de Catalunya, Barcelona, Spain.; CIBERNED, Network Center for Biomedical Research in Neurodegenerative Diseases,  National Institute of Health Carlos III, Madrid, Spain.; Department of Neuroscience, Catholic University of Sacred Heart, Fondazione  Policlinico Universitario A. Gemelli IRCCS, Rome, Italy.; Research Center and Memory Clinic Fundacio ACE, Institut Catala de Neurociencies  Aplicades, Universitat Internacional de Catalunya, Barcelona, Spain.; CIBERNED, Network Center for Biomedical Research in Neurodegenerative Diseases,  National Institute of Health Carlos III, Madrid, Spain.; Human Genome Sequencing Center, Baylor College of Medicine, Houston, TX, USA.; DIMEC, University of Parma, Parma, Italy.; Aging Research Center, Department of Neurobiology, Care Sciences and Society,  Karolinska Institutet and Stockholm University, Stockholm, Sweden.; Centre for Memory Disturbances, Lab of Clinical Neurochemistry, Section of  Neurology, University of Perugia, Perugia, Italy.; Resources and Research Memory Center (MRRC) of Distalz, LicendUniversity of  Lille, INSERM, CHU Lille, UMR1172, Lille, France.; Fundacio Docencia i Recerca MutuaTerrassa and Movement Disorders Unit, Department  of Neurology, University Hospital MutuaTerrassa, Terrassa, Spain.; Memory Disorders Unit, Department of Neurology, Hospital Universitari Mutua de  Terrassa, Terrassa, Spain.; Institute of Biomedicine, University of Eastern Finland, Kuopio, Finland.; Boston University and the NHLBI&amp;apos;s Framingham Heart Study, Boston, MA, USA.; Research Center and Memory Clinic Fundacio ACE, Institut Catala de Neurociencies  Aplicades, Universitat Internacional de Catalunya, Barcelona, Spain.; CIBERNED, Network Center for Biomedical Research in Neurodegenerative Diseases,  National Institute of Health Carlos III, Madrid, Spain.; Institut de Biomedicina de Valencia-CSIC CIBERNED, Valencia, Spain.; Unitat Mixta de de Neurologia y Genetica, Institut d&amp;apos;Investigacio Sanitaria La  Fe, Valencia, Spain.; US 41-UMS 2014-PLBS, bilille, Universite de Lille, CNRS, INSERM, CHU Lille,  Institut Pasteur de Lille, Lille, France.; Institute of Psychiatry and Psychotherapy, Charite-Universitatsmedizin Berlin,  Freie Universitat Berlin, Humboldt-Universitat Zu Berlin, and Berlin Institute of  Health, Berlin, Germany.; German Center for Neurodegenerative Diseases (DZNE), Berlin, Germany.; Alzheimer Center Amsterdam, Department of Neurology, Amsterdam Neuroscience,  Vrije Universiteit Amsterdam, Amsterdam UMC, Amsterdam, the Netherlands.; Unidad Clinica de Enfermedades Infecciosas y Microbiologia, Hospital  Universitario de Valme, Sevilla, Spain.; Unitat Trastorns Cognitius, Hospital Universitari Santa Maria de Lleida, Lleida,  Spain.; Institut de Recerca Biomedica de Lleida (IRBLLeida), Lleida, Spain.; Department of Biomedical Sciences, University of Cagliari, Cagliari, Italy.; Department of Psychiatry, Psychosomatics and Psychotherapy, Center of Mental  Health, University Hospital, Wuerzburg, Germany.; CHUV, Old Age Psychiatry, Department of Psychiatry, Lausanne, Switzerland.; Old Age Psychiatry, Department of Psychiatry, Lausanne University Hospital,  Lausanne, Switzerland.; Department of Geriatric Psychiatry, University Hospital of Psychiatry Zurich,  Zurich, Switzerland.; Department of Complex Trait Genetics, Center for Neurogenomics and Cognitive  Research, Amsterdam Neuroscience, Vrije University, Amsterdam, the Netherlands.; German Center for Neurodegenerative Diseases (DZNE), Berlin, Germany.; Department of Neuropsychiatry and Laboratory of Molecular Psychiatry, Charite,  Chariteplatz 1, Berlin, Germany.; Research Center and Memory Clinic Fundacio ACE, Institut Catala de Neurociencies  Aplicades, Universitat Internacional de Catalunya, Barcelona, Spain.; Department of Genetics and CNR-MAJ, Normandie University, UNIROUEN, INSERM U1245,  CHU Rouen, Rouen, France.; Grupo de Medicina Xenomica, Centro Nacional de Genotipado (CEGEN-PRB3-ISCIII),  Universidade de Santiago de Compostela, Santiago de Compostela, Spain.; Department of Clinical Biochemistry, Rigshospitalet, Copenhagen, Denmark.; CIBERNED, Network Center for Biomedical Research in Neurodegenerative Diseases,  National Institute of Health Carlos III, Madrid, Spain.; CIEN Foundation/Queen Sofia Foundation Alzheimer Center, Madrid, Spain.; Centre for Neurodegenerative Disorders, Department of Clinical and Experimental  Sciences, University of Brescia, Brescia, Italy.; The John P. Hussman Institute for Human Genomics, University of Miami, Miami, FL,  USA.; Department of Psychiatry &amp;amp; Neuropsychologie, Maastricht University, Alzheimer  Center Limburg, Maastricht, the Netherlands.; Unidad Clinica de Enfermedades Infecciosas y Microbiologia, Hospital  Universitario de Valme, Sevilla, Spain.; Depatamento de Especialidades Quirurgicas Bioquimica e Inmunologia, Facultad de  Medicina, Universidad de Malaga, Malaga, Spain.; Delft Bioinformatics Lab, Delft University of Technology, Delft, the Netherlands.; Gertrude H. Sergievsky Center, Columbia University, New York, NY, USA.; Delft Bioinformatics Lab, Delft University of Technology, Delft, the Netherlands.; Taub Institute, Columbia University, New York, NY, USA.; Department of Neurology, Columbia University, New York, NY, USA.; Taub Institute, Columbia University, New York, NY, USA.; Bioinformatics, College of Life Sciences, Brigham Young University, Provo, UT,  USA.; Institute of Social Medicine, Occupational Health and Public Health, University  of Leipzig, Leipzig, Germany.; Center of Mental Health, Clinic and Policlinic of Psychiatry, Psychosomatics and  Psychotherapy, University Hospital of Wurzburg, Wuerzburg, Germany.; Research Center and Memory Clinic Fundacio ACE, Institut Catala de Neurociencies  Aplicades, Universitat Internacional de Catalunya, Barcelona, Spain.; CIBERNED, Network Center for Biomedical Research in Neurodegenerative Diseases,  National Institute of Health Carlos III, Madrid, Spain.; Neurology Service, Marques de Valdecilla University Hospital (University of  Cantabria and IDIVAL), Santander, Spain.; Department of Research and Innovation, Helse Fonna, Haugesund Hospital,  Haugesund, Norway.; Institute of Clinical Medicine (K1), The University of Bergen, Bergen, Norway.; Laboratorio de Genetica, Hospital Universitario Central de Asturias, Oviedo,  Spain.; Servicio de Neurologia, Hospital Universitario Central de Asturias- Oviedo and  Instituto de Investigacion Biosanitaria del Principado de Asturias, Oviedo,  Spain.; Research Center and Memory Clinic Fundacio ACE, Institut Catala de Neurociencies  Aplicades, Universitat Internacional de Catalunya, Barcelona, Spain.; CIBERNED, Network Center for Biomedical Research in Neurodegenerative Diseases,  National Institute of Health Carlos III, Madrid, Spain.; Departamento de Especialidades Quirurgicas, Bioquimicas e Inmunologia, School of  Medicine, University of Malaga, Malaga, Spain.; Department of Neuroscience and Mental Health, AOU Citta della Salute e della  Scienza di Torino, Torino, Italy.; Department of Psychiatry and Psychotherapy, Medical University of Vienna, Vienna,  Austria.; CAEBI, Centro Andaluz de Estudios Bioinformaticos, Sevilla, Spain.; Athens Association of Alzheimer&amp;apos;s Disease and Related Disorders, Athens, Greece.; Department of Neurology and Clinical Neurophysiology, University Hospital of  Trondheim, Trondheim, Norway.; Department of Geriatrics, St. Olav&amp;apos;s Hospital, Trondheim University Hospital,  Trondheim, Norway.; Research Center and Memory Clinic Fundacio ACE, Institut Catala de Neurociencies  Aplicades, Universitat Internacional de Catalunya, Barcelona, Spain.; CIBERNED, Network Center for Biomedical Research in Neurodegenerative Diseases,  National Institute of Health Carlos III, Madrid, Spain.; Unidad de Demencias, Servicio de Neurologia y Neurofisiologia. Instituto de  Biomedicina de Sevilla (IBiS), Hospital Universitario Virgen del  Rocio/CSIC/Universidad de Sevilla, Seville, Spain.; Department of Immunology, Hospital Universitario Doctor Negrin, Las Palmas de  Gran Canaria, Las Palmas, Spain.; CIBERNED, Network Center for Biomedical Research in Neurodegenerative Diseases,  National Institute of Health Carlos III, Madrid, Spain.; Neurology Service, Marques de Valdecilla University Hospital (University of  Cantabria and IDIVAL), Santander, Spain.; Neurology Department-Hospital Clinic, IDIBAPS, Universitat de Barcelona,  Barcelona, Spain.; Experimental Neuro-psychobiology Laboratory, Department of Clinical and  Behavioral Neurology, IRCCS Santa Lucia Foundation, Rome, Italy.; Department of Neurology and Clinical Neurophysiology, University Hospital of  Trondheim, Trondheim, Norway.; Human Genetics Center, School of Public Health, University of Texas Health  Science Center at Houston, Houston, TX, USA.; Department of Biostatistics, Boston University School of Public Health, Boston,  MA, USA.; Department of Neurology, Boston University School of Medicine, Boston, MA, USA.; Glenn Biggs Institute for Alzheimer&amp;apos;s &amp;amp; Neurodegenerative Diseases, University of  Texas Health Sciences Center, San Antonio, TX, USA.; Institute of Gerontology and Geriatrics, Department of Medicine and Surgery,  University of Perugia, Perugia, Italy.; Taub Institute on Alzheimer&amp;apos;s Disease and the Aging Brain, Department of  Neurology, Columbia University, New York, NY, USA.; First Department of Neurology, Aiginition Hospital, National and Kapodistrian  University of Athens, Medical School, Athens, Greece.; Fondazione IRCCS Ca&amp;apos;Granda, Ospedale Policlinico, Milan, Italy.; University of Milan, Milan, Italy.; Alzheimer Center Amsterdam, Department of Neurology, Amsterdam Neuroscience,  Vrije Universiteit Amsterdam, Amsterdam UMC, Amsterdam, the Netherlands.; LVR-Hospital Essen, Department of Psychiatry and Psychotherapy, Medical Faculty,  University of Duisburg-Essen, Essen, Germany.; Department of Primary Medical Care, University Medical Centre Hamburg-Eppendorf,  Hamburg, Germany.; German Center for Neurodegenerative Diseases (DZNE Bonn), Bonn, Germany.; Institute of Medical Biometry, Informatics and Epidemiology, University Hospital  of Bonn, Bonn, Germany.; Department of Neurodegenerative Diseases and Geriatric Psychiatry, University  Hospital Bonn, Bonn, Germany.; German Center for Neurodegenerative Diseases (DZNE Bonn), Bonn, Germany.; Dementia Research Centre, UCL Queen Square Institute of Neurology, London, UK.; Institute of Clinical Medicine, University of Oslo, Oslo, Norway.; Department of Geriatric Medicine, Oslo University Hospital, Oslo, Norway.; Laboratory for Advanced Hematological Diagnostics, Department of Hematology and  Stem Cell Transplant, Vito Fazzi Hospital, Lecce, Italy.; Centro de Investigacion Biomedica en Red de Diabetes y Enfermedades Metabolicas  Asociadas, CIBERDEM, Hospital Clinico San Carlos, Madrid, Spain.; Department of Biostatistics, Epidemiology, and Informatics, Penn  Neurodegeneration Genomics Center, University of Pennsylvania Perelman School of  Medicine, Philadelphia, PA, USA.; NORMENT Centre, University of Oslo, Oslo, Norway.; Translational Health Sciences, Bristol Medical School, University of Bristol,  Bristol, UK.; The John P. Hussman Institute for Human Genomics, University of Miami, Miami, FL,  USA.; Department of Psychiatry, Icahn School of Medicine at Mount Sinai, New York, NY,  USA.; Institute of Clinical Medicine, Neurology, University of Eastern, Kuopio,  Finland.; University of Bari, &amp;quot;A. Moro&amp;quot;, Bary, Italy.; Institute of Clinical Medicine, Neurology, University of Eastern, Kuopio,  Finland.; Division of Clinical Geriatrics, Center for Alzheimer Research, Care Sciences and  Society (NVS), Karolinska Institutet, Stockholm, Sweden.; Department of Population and Quantitative Health Sciences, Case Western Reserve  University, Cleveland, OH, USA.; Department of Neuroscience, Psychology, Drug Research and Child Health,  University of Florence, Florence, Italy.; IRCCS Fondazione Don Carlo Gnocchi, Florence, Italy.; Research Center and Memory Clinic Fundacio ACE, Institut Catala de Neurociencies  Aplicades, Universitat Internacional de Catalunya, Barcelona, Spain.; Laboratory of Neuropsychiatry, Department of Clinical and Behavioral Neurology,  IRCCS Santa Lucia Foundation, Rome, Italy.; German Center for Neurodegenerative Diseases (DZNE Bonn), Bonn, Germany.; Department of Neurology, University of Bonn, Bonn, Germany.; Department of Biomedical Sciences, Section of Neuroscience and Clinical  Pharmacology, University of Cagliari, Cagliari, Italy.; Department of Psychiatry, Namsos Hospital, Namsos, Norway.; Research Center and Memory Clinic Fundacio ACE, Institut Catala de Neurociencies  Aplicades, Universitat Internacional de Catalunya, Barcelona, Spain.; Research Center and Memory Clinic Fundacio ACE, Institut Catala de Neurociencies  Aplicades, Universitat Internacional de Catalunya, Barcelona, Spain.; CIBERNED, Network Center for Biomedical Research in Neurodegenerative Diseases,  National Institute of Health Carlos III, Madrid, Spain.; Alzheimer Center Amsterdam, Department of Neurology, Amsterdam Neuroscience,  Vrije Universiteit Amsterdam, Amsterdam UMC, Amsterdam, the Netherlands.; Section Genomics of Neurodegenerative Diseases and Aging, Department of Human  Genetics Amsterdam UMC, Vrije Universiteit Amsterdam, Amsterdam UMC, Amsterdam,  the Netherlands.; Centre for Healthy Brain Ageing, School of Psychiatry, Faculty of Medicine,  University of New South Wales, Sydney, New South Wales, Australia.; First Department of Neurology, Medical School, Aristotle University of  Thessaloniki, Thessaloniki, Greece.; Alzheimer Hellas, Thessaloniki, Greece.; Taub Institute on Alzheimer&amp;apos;s Disease and the Aging Brain, Department of  Neurology, Columbia University, New York, NY, USA.; Department of Neurology, Columbia University, New York, NY, USA.; Clinic of Neurology, UH &amp;apos;Alexandrovska&amp;apos;, Medical University - Sofia, Sofia,  Bulgaria.; School of Medicine and Surgery, University of Milano-Bicocca, Milano, Italy.; Neurology Unit, San Gerardo Hospital, Monza, Italy.; Department of Clinical Medicine, University of Copenhagen, Copenhagen, Denmark.; Department of Clinical Biochemistry, Rigshospitalet, Copenhagen, Denmark.; Department of Internal Medicine and Biostatistics, Erasmus MC, Rotterdam, the  Netherlands.; Center for Alzheimer Research, Department NVS, Division of Neurogeriatrics,  Karolinska Institutet, Stockholm, Sweden.; Department of Geriatric Medicine, Oslo University Hospital, Oslo, Norway.; Research Center and Memory Clinic Fundacio ACE, Institut Catala de Neurociencies  Aplicades, Universitat Internacional de Catalunya, Barcelona, Spain.; CIBERNED, Network Center for Biomedical Research in Neurodegenerative Diseases,  National Institute of Health Carlos III, Madrid, Spain.; Department of Pathology and Laboratory Medicine, University of Pennsylvania  Perelman School of Medicine, Philadelphia, PA, USA.; Complex Genetics of Alzheimer&amp;apos;s Disease Group, VIB Center for Molecular  Neurology, VIB, Antwerp, Belgium.; Laboratory of Neurogenetics, Institute Born - Bunge, Antwerp, Belgium.; Neurodegenerative Brain Diseases Group, VIB Center for Molecular Neurology, VIB,  Antwerp, Belgium.; Dr. John T. Macdonald Foundation Department of Human Genetics, University of  Miami, Miami, FL, USA.; Taub Institute on Alzheimer&amp;apos;s Disease and the Aging Brain, Department of  Neurology, Columbia University, New York, NY, USA.; Department of Neurology, ErasmusMC, Rotterdam, the Netherlands.; Complex Genetics of Alzheimer&amp;apos;s Disease Group, VIB Center for Molecular  Neurology, VIB, Antwerp, Belgium.; Laboratory of Neurogenetics, Institute Born - Bunge, Antwerp, Belgium.; Department of Biomedical Sciences, University of Antwerp, Antwerp, Belgium.; Department of Neurology, Erasmus MC, Rotterdam, the Netherlands.; Department of Neurology, ErasmusMC, Rotterdam, the Netherlands.; Department of Neurology, Erasmus MC, Rotterdam, the Netherlands.; Laboratory for Cognitive Neurology, Department of Neurosciences, University of  Leuven, Leuven, Belgium.; Neurology Department, University Hospitals Leuven, Leuven, Belgium.; Department of Psychiatry &amp;amp; Neuropsychologie, Maastricht University, Alzheimer  Center Limburg, Maastricht, the Netherlands.; EA 4468, Universite de Paris, APHP, Hopital Broca, Paris, France.; Department of Psychiatry and Psychotherapy, University Medical Center Goettingen,  Goettingen, Germany.; Department of Psychiatry, Harvard Medical School, McLean Hospital, Belmont, MA,  USA.; Memory Clinic, Department of Neurology, Charles University, 2nd Faculty of  Medicine and Motol University Hospital, Praha, Czechia.; International Clinical Research Center, St. Anne&amp;apos;s University Hospital Brno,  Brno, Czechia.; Department of Neurodegenerative Diseases and Geriatric Psychiatry, University  Hospital Bonn, Bonn, Germany.; German Center for Neurodegenerative Diseases (DZNE Bonn), Bonn, Germany.; Department of Neurology and CNR-MAJ, F 76000, Normandy Center for Genomic and  Personalized Medicine, Normandie University, UNIROUEN, INSERM U1245, CHU Rouen,  Rouen, France.; Department of Pathology and Laboratory Medicine, University of Pennsylvania  Perelman School of Medicine, Philadelphia, PA, USA.; Institute of Biomedicine, University of Eastern Finland, Kuopio, Finland.; Department of Biostatistics, Boston University School of Public Health, Boston,  MA, USA.; Institute of Medical Biometry, Informatics and Epidemiology, University Hospital  of Bonn, Bonn, Germany.; Department of Psychiatry and Psychotherapy, University Medical Center Goettingen,  Goettingen, Germany.; German Center for Neurodegenerative Diseases (DZNE), Goettingen, Germany.; Medical Science Department, iBiMED, Aveiro, Portugal.; School of Health Sciences, Bangor University, Bangor, UK.; School of Health Sciences, Bangor University, Bangor, UK.; Department of Nu"/>
    <w:docVar w:name="NE.Data.1{868C9059-6968-45AF-919C-3002B58C61D3}" w:val=" ADDIN NE.Ref.{868C9059-6968-45AF-919C-3002B58C61D3}&lt;Citation&gt;&lt;Group&gt;&lt;References&gt;&lt;Item&gt;&lt;ID&gt;1053&lt;/ID&gt;&lt;UID&gt;{34A75024-CD9A-42C8-B7A0-BF2D43A6AA0D}&lt;/UID&gt;&lt;Title&gt;New insights into the genetic etiology of Alzheimer&amp;apos;s disease and related  dementias&lt;/Title&gt;&lt;Template&gt;Journal Article&lt;/Template&gt;&lt;Star&gt;0&lt;/Star&gt;&lt;Tag&gt;0&lt;/Tag&gt;&lt;Author&gt;Bellenguez, C; Kucukali, F; Jansen, I E; Kleineidam, L; Moreno-Grau, S; Amin, N; Naj, A C; Campos-Martin, R; Grenier-Boley, B; Andrade, V; Holmans, P A; Boland, A; Damotte, V; van der Lee, S J; Costa, M R; Kuulasmaa, T; Yang, Q; de Rojas, I; Bis, J C; Yaqub, A; Prokic, I; Chapuis, J; Ahmad, S; Giedraitis, V; Aarsland, D; Garcia-Gonzalez, P; Abdelnour, C; Alarcon-Martin, E; Alcolea, D; Alegret, M; Alvarez, I; Alvarez, V; Armstrong, N J; Tsolaki, A; Antunez, C; Appollonio, I; Arcaro, M; Archetti, S; Pastor, A A; Arosio, B; Athanasiu, L; Bailly, H; Banaj, N; Baquero, M; Barral, S; Beiser, A; Pastor, A B; Below, J E; Benchek, P; Benussi, L; Berr, C; Besse, C; Bessi, V; Binetti, G; Bizarro, A; Blesa, R; Boada, M; Boerwinkle, E; Borroni, B; Boschi, S; Bossu, P; Brathen, G; Bressler, J; Bresner, C; Brodaty, H; Brookes, K J; Brusco, L I; Buiza-Rueda, D; Burger, K; Burholt, V; Bush, W S; Calero, M; Cantwell, L B; Chene, G; Chung, J; Cuccaro, M L; Carracedo, A; Cecchetti, R; Cervera-Carles, L; Charbonnier, C; Chen, H H; Chillotti, C; Ciccone, S; Claassen, JAHR; Clark, C; Conti, E; Corma-Gomez, A; Costantini, E; Custodero, C; Daian, D; Dalmasso, M C; Daniele, A; Dardiotis, E; Dartigues, J F; de Deyn, P P; de Paiva, Lopes K; de Witte, L D; Debette, S; Deckert, J; Del, Ser T; Denning, N; DeStefano, A; Dichgans, M; Diehl-Schmid, J; Diez-Fairen, M; Rossi, P D; Djurovic, S; Duron, E; Duzel, E; Dufouil, C; Eiriksdottir, G; Engelborghs, S; Escott-Price, V; Espinosa, A; Ewers, M; Faber, K M; Fabrizio, T; Nielsen, S F; Fardo, D W; Farotti, L; Fenoglio, C; Fernandez-Fuertes, M; Ferrari, R; Ferreira, C B; Ferri, E; Fin, B; Fischer, P; Fladby, T; Fliessbach, K; Fongang, B; Fornage, M; Fortea, J; Foroud, T M; Fostinelli, S; Fox, N C; Franco-Macias, E; Bullido, M J; Frank-Garcia, A; Froelich, L; Fulton-Howard, B; Galimberti, D; Garcia-Alberca, J M; Garcia-Gonzalez, P; Garcia-Madrona, S; Garcia-Ribas, G; Ghidoni, R; Giegling, I; Giorgio, G; Goate, A M; Goldhardt, O; Gomez-Fonseca, D; Gonzalez-Perez, A; Graff, C; Grande, G; Green, E; Grimmer, T; Grunblatt, E; Grunin, M; Gudnason, V; Guetta-Baranes, T; Haapasalo, A; Hadjigeorgiou, G; Haines, J L; Hamilton-Nelson, K L; Hampel, H; Hanon, O; Hardy, J; Hartmann, A M; Hausner, L; Harwood, J; Heilmann-Heimbach, S; Helisalmi, S; Heneka, M T; Hernandez, I; Herrmann, M J; Hoffmann, P; Holmes, C; Holstege, H; Vilas, R H; Hulsman, M; Humphrey, J; Biessels, G J; Jian, X; Johansson, C; Jun, G R; Kastumata, Y; Kauwe, J; Kehoe, P G; Kilander, L; Stahlbom, A K; Kivipelto, M; Koivisto, A; Kornhuber, J; Kosmidis, M H; Kukull, W A; Kuksa, P P; Kunkle, B W; Kuzma, A B; Lage, C; Laukka, E J; Launer, L; Lauria, A; Lee, C Y; Lehtisalo, J; Lerch, O; Lleo, A; Longstreth, W Jr; Lopez, O; de Munain, A L; Love, S; Lowemark, M; Luckcuck, L; Lunetta, K L; Ma, Y; Macias, J; MacLeod, C A; Maier, W; Mangialasche, F; Spallazzi, M; Marquie, M; Marshall, R; Martin, E R; Montes, A M; Rodriguez, C M; Masullo, C; Mayeux, R; Mead, S; Mecocci, P; Medina, M; Meggy, A; Mehrabian, S; Mendoza, S; Menendez-Gonzalez, M; Mir, P; Moebus, S; Mol, M; Molina-Porcel, L; Montrreal, L; Morelli, L; Moreno, F; Morgan, K; Mosley, T; Nothen, M M; Muchnik, C; Mukherjee, S; Nacmias, B; Ngandu, T; Nicolas, G; Nordestgaard, B G; Olaso, R; Orellana, A; Orsini, M; Ortega, G; Padovani, A; Paolo, C; Papenberg, G; Parnetti, L; Pasquier, F; Pastor, P; Peloso, G; Perez-Cordon, A; Perez-Tur, J; Pericard, P; Peters, O; Pijnenburg, YAL; Pineda, J A; Pinol-Ripoll, G; Pisanu, C; Polak, T; Popp, J; Posthuma, D; Priller, J; Puerta, R; Quenez, O; Quintela, I; Thomassen, J Q; Rabano, A; Rainero, I; Rajabli, F; Ramakers, I; Real, L M; Reinders, MJT; Reitz, C; Reyes-Dumeyer, D; Ridge, P; Riedel-Heller, S; Riederer, P; Roberto, N; Rodriguez-Rodriguez, E; Rongve, A; Allende, I R; Rosende-Roca, M; Royo, J L; Rubino, E; Rujescu, D; Saez, M E; Sakka, P; Saltvedt, I; Sanabria, A; Sanchez-Arjona, M B; Sanchez-Garcia, F; Juan, P S; Sanchez-Valle, R; Sando, S B; Sarnowski, C; Satizabal, C L; Scamosci, M; Scarmeas, N; Scarpini, E; Scheltens, P; Scherbaum, N; Scherer, M; Schmid, M; Schneider, A; Schott, J M; Selbaek, G; Seripa, D; Serrano, M; Sha, J; Shadrin, A A; Skrobot, O; Slifer, S; Snijders, GJL; Soininen, H; Solfrizzi, V; Solomon, A; Song, Y; Sorbi, S; Sotolongo-Grau, O; Spalletta, G; Spottke, A; Squassina, A; Stordal, E; Tartan, J P; Tarraga, L; Tesi, N; Thalamuthu, A; Thomas, T; Tosto, G; Traykov, L; Tremolizzo, L; Tybjaerg-Hansen, A; Uitterlinden, A; Ullgren, A; Ulstein, I; Valero, S; Valladares, O; Broeckhoven, C V; Vance, J; Vardarajan, B N; van der Lugt, A; Dongen, J V; van Rooij, J; van Swieten, J; Vandenberghe, R; Verhey, F; Vidal, J S; Vogelgsang, J; Vyhnalek, M; Wagner, M; Wallon, D; Wang, L S; Wang, R; Weinhold, L; Wiltfang, J; Windle, G; Woods, B; Yannakoulia, M; Zare, H; Zhao, Y; Zhang, X; Zhu, C; Zulaica, M; Farrer, L A; Psaty, B M; Ghanbari, M; Raj, T; Sachdev, P; Mather, K; Jessen, F; Ikram, M A; de Mendonca, A; Hort, J; Tsolaki, M; Pericak-Vance, M A; Amouyel, P; Williams, J; Frikke-Schmidt, R; Clarimon, J; Deleuze, J F; Rossi, G; Seshadri, S; Andreassen, O A; Ingelsson, M; Hiltunen, M; Sleegers, K; Schellenberg, G D; van Duijn, C M; Sims, R; van der Flier, W M; Ruiz, A; Ramirez, A; Lambert, J C&lt;/Author&gt;&lt;Year&gt;2022&lt;/Year&gt;&lt;Details&gt;&lt;_accession_num&gt;35379992&lt;/_accession_num&gt;&lt;_author_adr&gt;Universite de Lille, INSERM, CHU Lille, Institut Pasteur Lille, U1167-RID-AGE,  Facteurs de risque et determinants moleculaires des maladies liees au  vieillissement, Lille, France. celine.bellenguez@pasteur-lille.fr.; Complex Genetics of Alzheimer&amp;apos;s Disease Group, VIB Center for Molecular  Neurology, VIB, Antwerp, Belgium.; Laboratory of Neurogenetics, Institute Born - Bunge, Antwerp, Belgium.; Department of Biomedical Sciences, University of Antwerp, Antwerp, Belgium.; Alzheimer Center Amsterdam, Department of Neurology, Amsterdam Neuroscience,  Vrije Universiteit Amsterdam, Amsterdam UMC, Amsterdam, the Netherlands.; Department of Complex Trait Genetics, Center for Neurogenomics and Cognitive  Research, Amsterdam Neuroscience, Vrije University, Amsterdam, the Netherlands.; Department of Neurodegenerative Diseases and Geriatric Psychiatry, University  Hospital Bonn, Bonn, Germany.; Division of Neurogenetics and Molecular Psychiatry, Department of Psychiatry and  Psychotherapy, University of Cologne, Medical Faculty, Cologne, Germany.; German Center for Neurodegenerative Diseases (DZNE Bonn), Bonn, Germany.; Research Center and Memory Clinic Fundacio ACE, Institut Catala de Neurociencies  Aplicades, Universitat Internacional de Catalunya, Barcelona, Spain.; CIBERNED, Network Center for Biomedical Research in Neurodegenerative Diseases,  National Institute of Health Carlos III, Madrid, Spain.; Department of Epidemiology, Erasmus MC, Rotterdam, the Netherlands.; Nuffield Department of Population Health, Oxford University, Oxford, UK.; Department of Biostatistics, Epidemiology, and Informatics, Penn  Neurodegeneration Genomics Center, University of Pennsylvania Perelman School of  Medicine, Philadelphia, PA, USA.; Department of Pathology and Laboratory Medicine, University of Pennsylvania  Perelman School of Medicine, Philadelphia, PA, USA.; Division of Neurogenetics and Molecular Psychiatry, Department of Psychiatry and  Psychotherapy, University of Cologne, Medical Faculty, Cologne, Germany.; Universite de Lille, INSERM, CHU Lille, Institut Pasteur Lille, U1167-RID-AGE,  Facteurs de risque et determinants moleculaires des maladies liees au  vieillissement, Lille, France.; Department of Neurodegenerative Diseases and Geriatric Psychiatry, University  Hospital Bonn, Bonn, Germany.; Division of Neurogenetics and Molecular Psychiatry, Department of Psychiatry and  Psychotherapy, University of Cologne, Medical Faculty, Cologne, Germany.; MRC Centre for Neuropsychiatric Genetics and Genomics, Division of Psychological  Medicine and Clinical Neuroscience, School of Medicine, Cardiff University,  Cardiff, UK.; CEA, Centre National de Recherche en Genomique Humaine, Universite Paris-Saclay,  Evry, France.; Universite de Lille, INSERM, CHU Lille, Institut Pasteur Lille, U1167-RID-AGE,  Facteurs de risque et determinants moleculaires des maladies liees au  vieillissement, Lille, France.; Alzheimer Center Amsterdam, Department of Neurology, Amsterdam Neuroscience,  Vrije Universiteit Amsterdam, Amsterdam UMC, Amsterdam, the Netherlands.; Section Genomics of Neurodegenerative Diseases and Aging, Department of Human  Genetics Amsterdam UMC, Vrije Universiteit Amsterdam, Amsterdam UMC, Amsterdam,  the Netherlands.; Universite de Lille, INSERM, CHU Lille, Institut Pasteur Lille, U1167-RID-AGE,  Facteurs de risque et determinants moleculaires des maladies liees au  vieillissement, Lille, France.; Brain Institute, Federal University of Rio Grande do Norte, Natal, Brazil.; Institute of Biomedicine, University of Eastern Finland, Kuopio, Finland.; Department of Biostatistics, Boston University School of Public Health, Boston,  MA, USA.; Framingham Heart Study, Framingham, MA, USA.; Research Center and Memory Clinic Fundacio ACE, Institut Catala de Neurociencies  Aplicades, Universitat Internacional de Catalunya, Barcelona, Spain.; CIBERNED, Network Center for Biomedical Research in Neurodegenerative Diseases,  National Institute of Health Carlos III, Madrid, Spain.; Cardiovascular Health Research Unit, Department of Medicine, University of  Washington, Seattle, WA, USA.; Department of Epidemiology, Erasmus MC, Rotterdam, the Netherlands.; Department of Epidemiology, Erasmus MC, Rotterdam, the Netherlands.; Universite de Lille, INSERM, CHU Lille, Institut Pasteur Lille, U1167-RID-AGE,  Facteurs de risque et determinants moleculaires des maladies liees au  vieillissement, Lille, France.; Department of Epidemiology, Erasmus MC, Rotterdam, the Netherlands.; LACDR, Leiden, the Netherlands.; Department of Public Health and Carins Sciences/Geriatrics, Uppsala University,  Uppsala, Sweden.; Centre of Age-Related Medicine, Stavanger University Hospital, Stavanger, Norway.; Institute of Psychiatry, Psychology &amp;amp; Neuroscience, London, UK.; Research Center and Memory Clinic Fundacio ACE, Institut Catala de Neurociencies  Aplicades, Universitat Internacional de Catalunya, Barcelona, Spain.; CIBERNED, Network Center for Biomedical Research in Neurodegenerative Diseases,  National Institute of Health Carlos III, Madrid, Spain.; Research Center and Memory Clinic Fundacio ACE, Institut Catala de Neurociencies  Aplicades, Universitat Internacional de Catalunya, Barcelona, Spain.; CIBERNED, Network Center for Biomedical Research in Neurodegenerative Diseases,  National Institute of Health Carlos III, Madrid, Spain.; Research Center and Memory Clinic Fundacio ACE, Institut Catala de Neurociencies  Aplicades, Universitat Internacional de Catalunya, Barcelona, Spain.; Department of Surgery, Biochemistry and Molecular Biology, School of Medicine,  University of Malaga, Malaga, Spain.; CIBERNED, Network Center for Biomedical Research in Neurodegenerative Diseases,  National Institute of Health Carlos III, Madrid, Spain.; Department of Neurology, II B Sant Pau, Hospital de la Santa Creu i Sant Pau,  Universitat Autonoma de Barcelona, Barcelona, Spain.; Research Center and Memory Clinic Fundacio ACE, Institut Catala de Neurociencies  Aplicades, Universitat Internacional de Catalunya, Barcelona, Spain.; CIBERNED, Network Center for Biomedical Research in Neurodegenerative Diseases,  National Institute of Health Carlos III, Madrid, Spain.; Fundacio Docencia i Recerca MutuaTerrassa and Movement Disorders Unit, Department  of Neurology, University Hospital MutuaTerrassa, Terrassa, Spain.; Memory Disorders Unit, Department of Neurology, Hospital Universitari Mutua de  Terrassa, Terrassa, Spain.; Laboratorio de Genetica, Hospital Universitario Central de Asturias, Oviedo,  Spain.; Servicio de Neurologia, Hospital Universitario Central de Asturias- Oviedo and  Instituto de Investigacion Biosanitaria del Principado de Asturias, Oviedo,  Spain.; Centre for Healthy Brain Ageing, School of Psychiatry, Faculty of Medicine,  University of New South Wales, Sydney, New South Wales, Australia.; First Department of Neurology, Medical School, Aristotle University of  Thessaloniki, Thessaloniki, Greece.; Alzheimer Hellas, Thessaloniki, Greece.; Unidad de Demencias, Hospital Clinico Universitario Virgen de la Arrixaca,  Murcia, Spain.; School of Medicine and Surgery, University of Milano-Bicocca, Milano, Italy.; Neurology Unit, San Gerardo Hospital, Monza, Italy.; Fondazione IRCCS Ca&amp;apos;Granda, Ospedale Policlinico, Milan, Italy.; Department of Laboratory Diagnostics, III Laboratory of Analysis, Brescia  Hospital, Brescia, Italy.; Unitat Trastorns Cognitius, Hospital Universitari Santa Maria de Lleida, Lleida,  Spain.; Institut de Recerca Biomedica de Lleida (IRBLLeida), Lleida, Spain.; Department of Clinical Sciences and Community Health, University of Milan, Milan,  Italy.; Geriatic Unit, Fondazione Ca Granda, IRCCS Ospedale Maggiore Policlinico, Milan,  Italy.; NORMENT Centre, University of Oslo, Oslo, Norway.; EA 4468, Universite de Paris, APHP, Hopital Broca, Paris, France.; Laboratory of Neuropsychiatry, Department of Clinical and Behavioral Neurology,  IRCCS Santa Lucia Foundation, Rome, Italy.; Servei de Neurologia, Hospital Universitari i Politecnic La Fe, Valencia, Spain.; Taub Institute on Alzheimer&amp;apos;s Disease and the Aging Brain, Department of  Neurology, Columbia University, New York, NY, USA.; Unit of Neurology, University of Parma and AOU, Parma, Italy.; Clinic of Neurology, UH &amp;apos;Alexandrovska&amp;apos;, Medical University - Sofia, Sofia,  Bulgaria.; Institute of Biomedicine, University of Eastern Finland, Kuopio, Finland.; Boston University and the NHLBI&amp;apos;s Framingham Heart Study, Boston, MA, USA.; CIEN Foundation/Queen Sofia Foundation Alzheimer Center, Madrid, Spain.; Vanderbilt Brain Institute, Vanderbilt University, Nashville, TN, USA.; Cleveland Institute for Computational Biology, Case Western Reserve University,  Cleveland, OH, USA.; Department of Population and Quantitative Health Sciences, Case Western Reserve  University, Cleveland, OH, USA.; Molecular Markers Laboratory, IRCCS Istituto Centro San Giovanni di Dio  Fatebenefratelli, Brescia, Italy.; Neuropsychiatry: Epidemiological and Clinical Research, PSNREC, Universite de  Montpellier, INSERM U1061, Montpellier, France.; CEA, Centre National de Recherche en Genomique Humaine, Universite Paris-Saclay,  Evry, France.; Department of Neuroscience, Psychology, Drug Research and Child Health,  University of Florence, Florence, Italy.; Azienda Ospedaliero-Universitaria Careggi, Florence, Italy.; Molecular Markers Laboratory, IRCCS Istituto Centro San Giovanni di Dio  Fatebenefratelli, Brescia, Italy.; MAC - Memory Clinic, IRCCS Istituto Centro San Giovanni di Dio Fatebenefratelli,  Brescia, Italy.; Geriatrics Unit, Fondazione Policlinico A. Gemelli IRCCS, Rome, Italy.; CIBERNED, Network Center for Biomedical Research in Neurodegenerative Diseases,  National Institute of Health Carlos III, Madrid, Spain.; Department of Neurology, II B Sant Pau, Hospital de la Santa Creu i Sant Pau,  Universitat Autonoma de Barcelona, Barcelona, Spain.; Research Center and Memory Clinic Fundacio ACE, Institut Catala de Neurociencies  Aplicades, Universitat Internacional de Catalunya, Barcelona, Spain.; CIBERNED, Network Center for Biomedical Research in Neurodegenerative Diseases,  National Institute of Health Carlos III, Madrid, Spain.; Human Genetics Center, School of Public Health, University of Texas Health  Science Center at Houston, Houston, TX, USA.; Human Genome Sequencing Center, Baylor College of Medicine, Houston, TX, USA.; Centre for Neurodegenerative Disorders, Department of Clinical and Experimental  Sciences, University of Brescia, Brescia, Italy.; Department of Neuroscience &amp;quot;Rita Levi Montalcini&amp;quot;, University of Torino, Torino,  Italy.; Experimental Neuro-psychobiology Laboratory, Department of Clinical and  Behavioral Neurology, IRCCS Santa Lucia Foundation, Rome, Italy.; Department of Neurology and Clinical Neurophysiology, University Hospital of  Trondheim, Trondheim, Norway.; Department of Neuromedicine and Movement Science, Norwegian University of Science  and Technology, Trondheim, Norway.; Human Genetics Center, School of Public Health, University of Texas Health  Science Center at Houston, Houston, TX, USA.; School of Public Health, University of Texas Health Science Center at Houston,  Houston, TX, USA.; MRC Centre for Neuropsychiatric Genetics and Genomics, Division of Psychological  Medicine and Clinical Neuroscience, School of Medicine, Cardiff University,  Cardiff, UK.; Centre for Healthy Brain Ageing, School of Psychiatry, Faculty of Medicine,  University of New South Wales, Sydney, New South Wales, Australia.; Dementia Centre for Research Collaboration, School of Psychiatry, University of  New South Wales, Sydney, New South Wales, Australia.; Biosciences, School of Science and Technology, Nottingham Trent University,  Nottingham, UK.; Centro de Neuropsiquiatria y Neurologia de la Conducta (CENECON), Facultad de  Medicina, Universidad de Buenos Aires (UBA), C.A.B.A., Buenos Aires, Argentina.; Departamento Ciencias Fisiologicas UAII, Facultad de Medicina, UBA, C.A.B.A.,  Buenos Aires, Argentina.; Hospital Interzonal General de Agudos Eva Peron, San Martin, Buenos Aires,  Argentina.; CIBERNED, Network Center for Biomedical Research in Neurodegenerative Diseases,  National Institute of Health Carlos III, Madrid, Spain.; Department of Neurology, Erasmus MC, Rotterdam, the Netherlands.; Institute for Stroke and Dementia Research, Klinikum der Universitat Munchen,  Ludwig Maximilians Universitat (LMU), Munich, Germany.; German Center for Neurodegenerative Diseases (DZNE, Munich), Munich, Germany.; Faculty of Medical &amp;amp; Health Sciences, University of Auckland, Auckland, New  Zealand.; Wales Centre for Ageing &amp;amp; Dementia Research, Swansea University, Wales, New  Zealand.; Department of Population &amp;amp; Quantitative Health Sciences, Case Western Reserve  University, Cleveland, OH, USA.; Research Center and Memory Clinic Fundacio ACE, Institut Catala de Neurociencies  Aplicades, Universitat Internacional de Catalunya, Barcelona, Spain.; CIEN Foundation/Queen Sofia Foundation Alzheimer Center, Madrid, Spain.; UFIEC, Instituto de Salud Carlos III, Madrid, Spain.; Department of Pathology and Laboratory Medicine, University of Pennsylvania,  Philadelphia, PA, USA.; INSERM, Bordeaux Population Health Research Center, UMR 1219, ISPED, CIC 1401-EC,  Universite de Bordeaux, Bordeaux, France.; Pole Sante Publique, CHU de Bordeaux, Bordeaux, France.; Medicine Biomedical Genetics Boston University School of Medicine, Boston, MA,  USA.; Dr. John T. Macdonald Foundation Department of Human Genetics, University of  Miami, Miami, FL, USA.; Grupo de Medicina Xenomica, Centro Nacional de Genotipado (CEGEN-PRB3-ISCIII),  Universidade de Santiago de Compostela, Santiago de Compostela, Spain.; Fundacion Publica Galega de Medicina Xenomica- CIBERER-IDIS, University of  Santiago de Compostela, Santiago de Compostela, Spain.; Institute of Gerontology and Geriatrics, Department of Medicine and Surgery,  University of Perugia, Perugia, Italy.; CIBERNED, Network Center for Biomedical Research in Neurodegenerative Diseases,  National Institute of Health Carlos III, Madrid, Spain.; Department of Neurology, II B Sant Pau, Hospital de la Santa Creu i Sant Pau,  Universitat Autonoma de Barcelona, Barcelona, Spain.; Department of Genetics and CNR-MAJ, Normandie University, UNIROUEN, INSERM U1245,  CHU Rouen, Rouen, France.; Division of Genetic Medicine, Vanderbilt University, Nashville, TN, USA.; Unit of Clinical Pharmacology, University Hospital of Cagliari, Cagliari, Italy.; Geriatic Unit, Fondazione Ca Granda, IRCCS Ospedale Maggiore Policlinico, Milan,  Italy.; Radboudumc Alzheimer Center, Department of Geriatrics, Radboud University Medical  Center, Nijmegen, the Netherlands.; Institute for Regenerative Medicine, University of Zurich, Schlieren,  Switzerland.; School of Medicine and Surgery, University of Milano-Bicocca, Milano, Italy.; Unidad Clinica de Enfermedades Infecciosas y Microbiologia, Hospital  Universitario de Valme, Sevilla, Spain.; Department of Neuroscience, Catholic University of Sacred Heart, Fondazione  Policlinico Universitario A. Gemelli IRCCS, Rome, Italy.; University of Bari, &amp;quot;A. Moro&amp;quot;, Bary, Italy.; CEA, Centre National de Recherche en Genomique Humaine, Universite Paris-Saclay,  Evry, France.; Division of Neurogenetics and Molecular Psychiatry, Department of Psychiatry and  Psychotherapy, University of Cologne, Medical Faculty, Cologne, Germany.; Department of Neuroscience, Catholic University of Sacred Heart, Fondazione  Policlinico Universitario A. Gemelli IRCCS, Rome, Italy.; School of Medicine, University of Thessaly, Larissa, Greece.; Bordeaux Population Health Research Center, University Bordeaux, INSERM,  Bordeaux, France.; Department of Neurology, University Medical Center Groningen, Groningen, the  Netherlands.; Ronald M. Loeb Center for Alzheimer&amp;apos;s Disease, Icahn School of Medicine at Mount  Sinai, New York, NY, USA.; Department of Genetics and Genomic Sciences &amp;amp; Icahn Institute for Data Science  and Genomic Technology, Icahn School of Medicine at Mount Sinai, New York, NY,  USA.; Estelle and Daniel Maggin Department of Neurology, Icahn School of Medicine at  Mount Sinai, New York, NY, USA.; Department of Psychiatry, Icahn School of Medicine at Mount Sinai, New York, NY,  USA.; Department of Psychiatry, Icahn School of Medicine at Mount Sinai, New York, NY,  USA.; Bordeaux Population Health Research Center, University Bordeaux, INSERM,  Bordeaux, France.; Department of Psychiatry, Psychosomatics and Psychotherapy, Center of Mental  Health, University Hospital, Wuerzburg, Germany.; CIEN Foundation/Queen Sofia Foundation Alzheimer Center, Madrid, Spain.; UKDRI@ Cardiff, School of Medicine, Cardiff University, Cardiff, UK.; Institute of Biomedicine, University of Eastern Finland, Kuopio, Finland.; Department of Biostatistics, Boston University School of Public Health, Boston,  MA, USA.; Department of Neurology, Boston University School of Medicine, Boston, MA, USA.; Institute for Stroke and Dementia Research, Klinikum der Universitat Munchen,  Ludwig Maximilians Universitat (LMU), Munich, Germany.; Munich Cluster for Systems Neurology (SyNergy), Munich, Germany.; Klinikum rechts der Isar, Department of Psychiatry and Psychotherapy, Technical  University of Munich, School of Medicine, Munich, Germany.; Fundacio Docencia i Recerca MutuaTerrassa and Movement Disorders Unit, Department  of Neurology, University Hospital MutuaTerrassa, Terrassa, Spain.; Memory Disorders Unit, Department of Neurology, Hospital Universitari Mutua de  Terrassa, Terrassa, Spain.; Geriatic Unit, Fondazione Ca Granda, IRCCS Ospedale Maggiore Policlinico, Milan,  Italy.; NORMENT Centre, University of Oslo, Oslo, Norway.; EA 4468, Universite de Paris, APHP, Hopital Broca, Paris, France.; Institute of Cognitive Neurology and Dementia Research (IKND), Otto-Von-Guericke  University, Magdeburg, Germany.; German Center for Neurodegenerative Diseases (DZNE), Magdeburg, Germany.; INSERM, Bordeaux Population Health Research Center, UMR 1219, ISPED, CIC 1401-EC,  Universite de Bordeaux, Bordeaux, France.; Pole Sante Publique, CHU de Bordeaux, Bordeaux, France.; Icelandic Heart Association, Kopovagur, Iceland.; Center for Neurosciences, Vrije Universiteit Brussel (VUB), Brussels, Belgium.; Reference Center for Biological Markers of Dementia (BIODEM), Institute  Born-Bunge, University of Antwerp, Antwerp, Belgium.; Institute Born-Bunge, University of Antwerp, Antwerp, Belgium.; Department of Neurology, UZ Brussel, Brussels, Belgium.; Department of Pathology and Laboratory Medicine, University of Pennsylvania  Perelman School of Medicine, Philadelphia, PA, USA.; UKDRI@ Cardiff, School of Medicine, Cardiff University, Cardiff, UK.; Research Center and Memory Clinic Fundacio ACE, Institut Catala de Neurociencies  Aplicades, Universitat Internacional de Catalunya, Barcelona, Spain.; CIBERNED, Network Center for Biomedical Research in Neurodegenerative Diseases,  National Institute of Health Carlos III, Madrid, Spain.; Institute for Stroke and Dementia Research, Klinikum der Universitat Munchen,  Ludwig Maximilians Universitat (LMU), Munich, Germany.; German Center for Neurodegenerative Diseases (DZNE, Munich), Munich, Germany.; Department of Medical and Molecular Genetics, Indiana University, Indianapolis,  IN, USA.; Fondazione IRCCS, Istituto Neurologico Carlo Besta, Milan, Italy.; Department of Clinical Biochemistry, Herlev and Gentofte Hospital, Herlev,  Denmark.; Sanders-Brown Center on Aging, Department of Biostatistics, University of  Kentucky, Lexington, KY, USA.; Centre for Memory Disturbances, Lab of Clinical Neurochemistry, Section of  Neurology, University of Perugia, Perugia, Italy.; University of Milan, Milan, Italy.; Unidad Clinica de Enfermedades Infecciosas y Microbiologia, Hospital  Universitario de Valme, Sevilla, Spain.; Laboratory of Neurogenetics, Department of Internal Medicine, Texas Tech  University Health Science Center, Lubbock, TX, USA.; Reta Lila Weston Research Laboratories, Department of Molecular Neuroscience, UCL  Institute of Neurology, London, UK.; Faculty of Medicine, University of Lisbon, Lisbon, Portugal.; Geriatic Unit, Fondazione Ca Granda, IRCCS Ospedale Maggiore Policlinico, Milan,  Italy.; CEA, Centre National de Recherche en Genomique Humaine, Universite Paris-Saclay,  Evry, France.; Department of Psychiatry, Social Medicine Center East- Donauspital, Vienna,  Austria.; Institute of Clinical Medicine, University of Oslo, Oslo, Norway.; Division of Neurogenetics and Molecular Psychiatry, Department of Psychiatry and  Psychotherapy, University of Cologne, Medical Faculty, Cologne, Germany.; German Center for Neurodegenerative Diseases (DZNE Bonn), Bonn, Germany.; Glenn Biggs Institute for Alzheimer&amp;apos;s &amp;amp; Neurodegenerative Diseases, University of  Texas Health Sciences Center, San Antonio, TX, USA.; Department of Neuromedicine and Movement Science, Norwegian University of Science  and Technology, Trondheim, Norway.; School of Public Health, University of Texas Health Science Center at Houston,  Houston, TX, USA.; CIBERNED, Network Center for Biomedical Research in Neurodegenerative Diseases,  National Institute of Health Carlos III, Madrid, Spain.; Department of Neurology, II B Sant Pau, Hospital de la Santa Creu i Sant Pau,  Universitat Autonoma de Barcelona, Barcelona, Spain.; Department of Medical and Molecular Genetics, Indiana University, Indianapolis,  IN, USA.; Molecular Markers Laboratory, IRCCS Istituto Centro San Giovanni di Dio  Fatebenefratelli, Brescia, Italy.; Dementia Research Centre, UCL Queen Square Institute of Neurology, London, UK.; Unidad de Demencias, Servicio de Neurologia y Neurofisiologia. Instituto de  Biomedicina de Sevilla (IBiS), Hospital Universitario Virgen del  Rocio/CSIC/Universidad de Sevilla, Seville, Spain.; CIBERNED, Network Center for Biomedical Research in Neurodegenerative Diseases,  National Institute of Health Carlos III, Madrid, Spain.; Instituto de Investigacion Sanitaria &amp;apos;Hospital la Paz&amp;apos; (IdIPaz), Madrid, Spain.; Centro de Biologia Molecular Severo Ochoa (UAM-CSIC), Madrid, Spain.; CIBERNED, Network Center for Biomedical Research in Neurodegenerative Diseases,  National Institute of Health Carlos III, Madrid, Spain.; Instituto de Investigacion Sanitaria &amp;apos;Hospital la Paz&amp;apos; (IdIPaz), Madrid, Spain.; Hospital Universitario la Paz, Madrid, Spain.; Department of Geriatric Psychiatry, Central Institute for Mental Health,  Mannheim, University of Heidelberg, Heidelberg, Germany.; Department of Genetics and Genomic Sciences, Ronald M. Loeb Center for  Alzheimer&amp;apos;s Disease Icahn School of Medicine at Mount Sinai, New York, NY, USA.; Fondazione IRCCS Ca&amp;apos;Granda, Ospedale Policlinico, Milan, Italy.; University of Milan, Milan, Italy.; CIBERNED, Network Center for Biomedical Research in Neurodegenerative Diseases,  National Institute of Health Carlos III, Madrid, Spain.; Alzheimer Research Center &amp;amp; Memory Clinic, Andalusian Institute for Neuroscience,  Malaga, Spain.; Research Center and Memory Clinic Fundacio ACE, Institut Catala de Neurociencies  Aplicades, Universitat Internacional de Catalunya, Barcelona, Spain.; Hospital Universitario Ramon y Cajal, IRYCIS, Madrid, Spain.; Hospital Universitario Ramon y Cajal, IRYCIS, Madrid, Spain.; Molecular Markers Laboratory, IRCCS Istituto Centro San Giovanni di Dio  Fatebenefratelli, Brescia, Italy.; Department of Psychiatry and Psychotherapy, Medical University of Vienna, Vienna,  Austria.; Fondazione IRCCS, Istituto Neurologico Carlo Besta, Milan, Italy.; Department of Genetics and Genomic Sciences, Ronald M. Loeb Center for  Alzheimer&amp;apos;s Disease Icahn School of Medicine at Mount Sinai, New York, NY, USA.; Klinikum rechts der Isar, Department of Psychiatry and Psychotherapy, Technical  University of Munich, School of Medicine, Munich, Germany.; Department of Biostatistics, Epidemiology, and Informatics Perelman School of  Medicine, University of Pennsylvania, Philadelphia, PA, USA.; CAEBI, Centro Andaluz de Estudios Bioinformaticos, Sevilla, Spain.; Center for Alzheimer Research, Department NVS, Division of Neurogeriatrics,  Karolinska Institutet, Stockholm, Sweden.; Unit for Hereditary Dementias, Karolinska University Hospital-Solna, Stockholm,  Sweden.; Aging Research Center, Department of Neurobiology, Care Sciences and Society,  Karolinska Institutet and Stockholm University, Stockholm, Sweden.; Institute of Public Health, University of Cambridge, Cambridge, UK.; Klinikum rechts der Isar, Department of Psychiatry and Psychotherapy, Technical  University of Munich, School of Medicine, Munich, Germany.; Department of Child and Adolescent Psychiatry and Psychotherapy, University  Hospital of Psychiatry Zurich, University of Zurich, Zurich, Switzerland.; Neuroscience Center Zurich, University of Zurich and ETH Zurich, Zurich,  Switzerland.; Zurich Center for Integrative Human Physiology, University of Zurich, Zurich,  Switzerland.; Department of Population and Quantitative Health Sciences, Case Western Reserve  University, Cleveland, OH, USA.; Icelandic Heart Association, Faculty of Medicine, University of Iceland,  Reykjavik, Iceland.; Human Genetics, School of Life Sciences, Life Sciences Building, University Park,  University of Nottingham, Nottingham, UK.; AI Virtanen Institute for Molecular Sciences, University of Eastern Finland,  Kuopio, Finland.; Department of Neurology, Medical School, University of Cyprus, Nicosia, Cyprus.; Department of Population &amp;amp; Quantitative Health Sciences, Case Western Reserve  University, Cleveland, OH, USA.; The John P. Hussman Institute for Human Genomics, University of Miami, Miami, FL,  USA.; GRC 21, Alzheimer Precision Medicine Initiative (APMI), Sorbonne University,  AP-HP, Pitie-Salpetriere Hospital, Paris, France.; EA 4468, Universite de Paris, APHP, Hopital Broca, Paris, France.; Reta Lila Weston Research Laboratories, Department of Molecular Neuroscience, UCL  Institute of Neurology, London, UK.; Department of Psychiatry and Psychotherapy, Medical University of Vienna, Vienna,  Austria.; Department of Geriatric Psychiatry, Central Institute for Mental Health,  Mannheim, University of Heidelberg, Heidelberg, Germany.; MRC Centre for Neuropsychiatric Genetics and Genomics, Division of Psychological  Medicine and Clinical Neuroscience, School of Medicine, Cardiff University,  Cardiff, UK.; Institute of Human Genetics, University of Bonn, School of Medicine &amp;amp; University  Hospital Bonn, Bonn, Germany.; Institute of Clinical Medicine, Neurology, University of Eastern, Kuopio,  Finland.; Institute of Clinical Medicine, Internal Medicine, University of Eastern Finland,  Kuopio, Finland.; Department of Neurodegenerative Diseases and Geriatric Psychiatry, University  Hospital Bonn, Bonn, Germany.; German Center for Neurodegenerative Diseases (DZNE Bonn), Bonn, Germany.; Research Center and Memory Clinic Fundacio ACE, Institut Catala de Neurociencies  Aplicades, Universitat Internacional de Catalunya, Barcelona, Spain.; CIBERNED, Network Center for Biomedical Research in Neurodegenerative Diseases,  National Institute of Health Carlos III, Madrid, Spain.; Department of Psychiatry, Psychosomatics and Psychotherapy, Center of Mental  Health, University Hospital, Wuerzburg, Germany.; Institute of Human Genetics, University of Bonn, School of Medicine &amp;amp; University  Hospital Bonn, Bonn, Germany.; Clinical and Experimental Science, Faculty of Medicine, University of  Southampton, Southampton, UK.; Alzheimer Center Amsterdam, Department of Neurology, Amsterdam Neuroscience,  Vrije Universiteit Amsterdam, Amsterdam UMC, Amsterdam, the Netherlands.; Section Genomics of Neurodegenerative Diseases and Aging, Department of Human  Genetics Amsterdam UMC, Vrije Universiteit Amsterdam, Amsterdam UMC, Amsterdam,  the Netherlands.; Unitat Trastorns Cognitius, Hospital Universitari Santa Maria de Lleida, Lleida,  Spain.; Institut de Recerca Biomedica de Lleida (IRBLLeida), Lleida, Spain.; Alzheimer Center Amsterdam, Department of Neurology, Amsterdam Neuroscience,  Vrije Universiteit Amsterdam, Amsterdam UMC, Amsterdam, the Netherlands.; Section Genomics of Neurodegenerative Diseases and Aging, Department of Human  Genetics Amsterdam UMC, Vrije Universiteit Amsterdam, Amsterdam UMC, Amsterdam,  the Netherlands.; Ronald M. Loeb Center for Alzheimer&amp;apos;s Disease, Icahn School of Medicine at Mount  Sinai, New York, NY, USA.; Department of Genetics and Genomic Sciences &amp;amp; Icahn Institute for Data Science  and Genomic Technology, Icahn School of Medicine at Mount Sinai, New York, NY,  USA.; Estelle and Daniel Maggin Department of Neurology, Icahn School of Medicine at  Mount Sinai, New York, NY, USA.; Nash Family Department of Neuroscience &amp;amp; Friedman Brain Institute, Icahn School  of Medicine at Mount Sinai, New York, NY, USA.; Department of Neurology, UMC Utrecht Brain Center, Utrecht, the Netherlands.; Glenn Biggs Institute for Alzheimer&amp;apos;s &amp;amp; Neurodegenerative Diseases, University of  Texas Health Sciences Center, San Antonio, TX, USA.; Center for Alzheimer Research, Department NVS, Division of Neurogeriatrics,  Karolinska Institutet, Stockholm, Sweden.; Medicine Biomedical Genetics Boston University School of Medicine, Boston, MA,  USA.; Biostatistics, University of Kentucky College of Public Health, Lexington, KY,  USA.; Department of Biology, Brigham Young University, Provo, UT, USA.; Translational Health Sciences, Bristol Medical School, University of Bristol,  Bristol, UK.; Department of Biostatistics, Boston University School of Public Health, Boston,  MA, USA.; Center for Alzheimer Research, Department NVS, Division of Neurogeriatrics,  Karolinska Institutet, Stockholm, Sweden.; Division of Clinical Geriatrics, Center for Alzheimer Research, Care Sciences and  Society (NVS), Karolinska Institutet, Stockholm, Sweden.; Institute of Public Health and Clinical Nutrition, University of Eastern Finland,  Kuopio, Finland.; Neuroepidemiology and Ageing Research Unit, School of Public Health, Imperial  College London, London, UK.; Research &amp;amp; Development, UnitStockholms Sjukhem, Stockholm, Sweden.; Institute of Clinical Medicine, Neurology, University of Eastern, Kuopio,  Finland.; Department of Neurology, Kuopio University Hospital, Kuopio, Finland.; Department of Neurosciences, University of Helsinki and Department of Geriatrics,  Helsinki University Hospital, Helsinki, Finland.; Department of Psychiatry and Psychotherapy, Universitatsklinikum Erlangen, and  Friedrich-Alexander Universitat Erlangen-Nurnberg, Erlangen, Germany.; Laboratory of Cognitive Neuroscience, School of Psychology, Aristotle University  of Thessaloniki, Thessaloniki, Greece.; Department of Epidemiology, University of Washington, Seattle, WA, USA.; Department of Pathology and Laboratory Medicine, University of Pennsylvania  Perelman School of Medicine, Philadelphia, PA, USA.; Department of Neurology, Medical School, University of Cyprus, Nicosia, Cyprus.; Department of Pathology and Laboratory Medicine, University of Pennsylvania,  Philadelphia, PA, USA.; CIBERNED, Network Center for Biomedical Research in Neurodegenerative Diseases,  National Institute of Health Carlos III, Madrid, Spain.; Neurology Service, Marques de Valdecilla University Hospital (University of  Cantabria and IDIVAL), Santander, Spain.; Aging Research Center, Department of Neurobiology, Care Sciences and Society,  Karolinska Institutet and Stockholm University, Stockholm, Sweden.; Stockholm Gerontology Research Center, Stockholm, Sweden.; Laboratory of Epidemiology, Demography, and Biometry, National Institute of  Aging, The National Institutes of Health, Bethesda, MD, USA.; Intramural Research Program/National Institute on Aging/National Institutes of  Health, Bethesda, MD, USA.; Geriatrics Unit, Fondazione Policlinico A. Gemelli IRCCS, Rome, Italy.; Department of Pathology and Laboratory Medicine, University of Pennsylvania  Perelman School of Medicine, Philadelphia, PA, USA.; Institute of Clinical Medicine, Neurology, University of Eastern, Kuopio,  Finland.; Public Health Promotion Unit, Finnish Institute for Health and Welfare, Helsinki,  Finland.; Memory Clinic, Department of Neurology, Charles University, 2nd Faculty of  Medicine and Motol University Hospital, Praha, Czechia.; International Clinical Research Center, St. Anne&amp;apos;s University Hospital Brno,  Brno, Czechia.; CIBERNED, Network Center for Biomedical Research in Neurodegenerative Diseases,  National Institute of Health Carlos III, Madrid, Spain.; Department of Neurology, II B Sant Pau, Hospital de la Santa Creu i Sant Pau,  Universitat Autonoma de Barcelona, Barcelona, Spain.; Departments of Neurology and Epidemiology, University of Washington, Seattle, WA,  USA.; Framingham Heart Study, Framingham, MA, USA.; CIBERNED, Network Center for Biomedical Research in Neurodegenerative Diseases,  National Institute of Health Carlos III, Madrid, Spain.; Department of Neurology, Hospital Universitario Donostia, OSAKIDETZA-Servicio  Vasco de Salud, San Sebastian, Spain.; Translational Health Sciences, Bristol Medical School, University of Bristol,  Bristol, UK.; Department of Biostatistics, Boston University School of Public Health, Boston,  MA, USA.; MRC Centre for Neuropsychiatric Genetics and Genomics, Division of Psychological  Medicine and Clinical Neuroscience, School of Medicine, Cardiff University,  Cardiff, UK.; Institute of Biomedicine, University of Eastern Finland, Kuopio, Finland.; Section Genomics of Neurodegenerative Diseases and Aging, Department of Human  Genetics Amsterdam UMC, Vrije Universiteit Amsterdam, Amsterdam UMC, Amsterdam,  the Netherlands.; Department of Neurology, Columbia University, New York, NY, USA.; Unidad Clinica de Enfermedades Infecciosas y Microbiologia, Hospital  Universitario de Valme, Sevilla, Spain.; School of Health Sciences, Bangor University, Bangor, UK.; Department of Neurodegenerative Diseases and Geriatric Psychiatry, University  Hospital Bonn, Bonn, Germany.; German Center for Neurodegenerative Diseases (DZNE Bonn), Bonn, Germany.; Division of Clinical Geriatrics, Center for Alzheimer Research, Care Sciences and  Society (NVS), Karolinska Institutet, Stockholm, Sweden.; Unit of Neurology, University of Parma and AOU, Parma, Italy.; Research Center and Memory Clinic Fundacio ACE, Institut Catala de Neurociencies  Aplicades, Universitat Internacional de Catalunya, Barcelona, Spain.; CIBERNED, Network Center for Biomedical Research in Neurodegenerative Diseases,  National Institute of Health Carlos III, Madrid, Spain.; MRC Centre for Neuropsychiatric Genetics and Genomics, Division of Psychological  Medicine and Clinical Neuroscience, School of Medicine, Cardiff University,  Cardiff, UK.; The John P. Hussman Institute for Human Genomics, University of Miami, Miami, FL,  USA.; CIBERNED, Network Center for Biomedical Research in Neurodegenerative Diseases,  National Institute of Health Carlos III, Madrid, Spain.; Instituto de Investigacion Sanitaria &amp;apos;Hospital la Paz&amp;apos; (IdIPaz), Madrid, Spain.; Hospital Universitario la Paz, Madrid, Spain.; Servicio de Neurologia, Hospital Universitario Central de Asturias- Oviedo and  Instituto de Investigacion Biosanitaria del Principado de Asturias, Oviedo,  Spain.; Institute of Neurology, Catholic University of the Sacred Heart, Rome, Italy.; Taub Institute on Alzheimer&amp;apos;s Disease and the Aging Brain, Department of  Neurology, Columbia University, New York, NY, USA.; Gertrude H. Sergievsky Center, Columbia University, New York, NY, USA.; MRC Prion Unit at UCL, UCL Institute of Prion Diseases, London, UK.; Institute of Gerontology and Geriatrics, Department of Medicine and Surgery,  University of Perugia, Perugia, Italy.; CIBERNED, Network Center for Biomedical Research in Neurodegenerative Diseases,  National Institute of Health Carlos III, Madrid, Spain.; CIEN Foundation/Queen Sofia Foundation Alzheimer Center, Madrid, Spain.; UKDRI@ Cardiff, School of Medicine, Cardiff University, Cardiff, UK.; Clinic of Neurology, UH &amp;apos;Alexandrovska&amp;apos;, Medical University - Sofia, Sofia,  Bulgaria.; Alzheimer Research Center &amp;amp; Memory Clinic, Andalusian Institute for Neuroscience,  Malaga, Spain.; Servicio de Neurologia, Hospital Universitario Central de Asturias- Oviedo and  Instituto de Investigacion Biosanitaria del Principado de Asturias, Oviedo,  Spain.; CIBERNED, Network Center for Biomedical Research in Neurodegenerative Diseases,  National Institute of Health Carlos III, Madrid, Spain.; Unidad de Trastornos del Movimiento, Servicio de Neurologia y Neurofisiologia.  Instituto de Biomedicina de Sevilla (IBiS), Hospital Universitario Virgen del  Rocio/CSIC/Universidad de Sevilla, Seville, Spain.; Institute for Urban Public Health, University Hospital of University  Duisburg-Essen, Essen, Germany.; Department of Neurology, Erasmus MC, Rotterdam, the Netherlands.; Neurological Tissue Bank of the Biobanc-Hospital Clinic-IDIBAPS, Institut  d&amp;apos;Investigacions Biomediques August Pi i Sunyer, Barcelona, Spain.; Alzheimer&amp;apos;s Disease and Other Cognitive Disorders Unit, Neurology Department,  Hospital Clinic, Barcelona, Spain.; Research Center and Memory Clinic Fundacio ACE, Institut Catala de Neurociencies  Aplicades, Universitat Internacional de Catalunya, Barcelona, Spain.; Laboratory of Brain Aging and Neurodegeneration, FIL-CONICET, Buenos Aires,  Argentina.; CIBERNED, Network Center for Biomedical Research in Neurodegenerative Diseases,  National Institute of Health Carlos III, Madrid, Spain.; Department of Neurology, Hospital Universitario Donostia, OSAKIDETZA-Servicio  Vasco de Salud, San Sebastian, Spain.; Human Genetics, School of Life Sciences, University of Nottingham, Nottingham,  UK.; Memory Impairment and Neurodegenerative Dementia (MIND) Center, University of  Mississippi Medical Center, Jackson, MS, USA.; Institute of Human Genetics, University of Bonn, School of Medicine &amp;amp; University  Hospital Bonn, Bonn, Germany.; Centro de Neuropsiquiatria y Neurologia de la Conducta (CENECON), Facultad de  Medicina, Universidad de Buenos Aires (UBA), C.A.B.A., Buenos Aires, Argentina.; Laboratorio de Bioquimica Molecular, Facultad de Medicina, Instituto de  Investigaciones Medicas A. Lanari, UBA, C.A.B.A, Buenos Aires, Argentina.; Department of Medicine, University of Washington, Seattle, WA, USA.; Department of Neuroscience, Psychology, Drug Research and Child Health,  University of Florence, Florence, Italy.; IRCCS Fondazione Don Carlo Gnocchi, Florence, Italy.; Public Health Promotion Unit, Finnish Institute for Health and Welfare, Helsinki,  Finland.; Department of Genetics and CNR-MAJ, Normandie University, UNIROUEN, INSERM U1245,  CHU Rouen, Rouen, France.; Department of Clinical Biochemistry, Herlev and Gentofte Hospital, Herlev,  Denmark.; Department of Clinical Medicine, University of Copenhagen, Copenhagen, Denmark.; CEA, Centre National de Recherche en Genomique Humaine, Universite Paris-Saclay,  Evry, France.; Research Center and Memory Clinic Fundacio ACE, Institut Catala de Neurociencies  Aplicades, Universitat Internacional de Catalunya, Barcelona, Spain.; CIBERNED, Network Center for Biomedical Research in Neurodegenerative Diseases,  National Institute of Health Carlos III, Madrid, Spain.; Department of Neuroscience, Catholic University of Sacred Heart, Fondazione  Policlinico Universitario A. Gemelli IRCCS, Rome, Italy.; Research Center and Memory Clinic Fundacio ACE, Institut Catala de Neurociencies  Aplicades, Universitat Internacional de Catalunya, Barcelona, Spain.; CIBERNED, Network Center for Biomedical Research in Neurodegenerative Diseases,  National Institute of Health Carlos III, Madrid, Spain.; Human Genome Sequencing Center, Baylor College of Medicine, Houston, TX, USA.; DIMEC, University of Parma, Parma, Italy.; Aging Research Center, Department of Neurobiology, Care Sciences and Society,  Karolinska Institutet and Stockholm University, Stockholm, Sweden.; Centre for Memory Disturbances, Lab of Clinical Neurochemistry, Section of  Neurology, University of Perugia, Perugia, Italy.; Resources and Research Memory Center (MRRC) of Distalz, LicendUniversity of  Lille, INSERM, CHU Lille, UMR1172, Lille, France.; Fundacio Docencia i Recerca MutuaTerrassa and Movement Disorders Unit, Department  of Neurology, University Hospital MutuaTerrassa, Terrassa, Spain.; Memory Disorders Unit, Department of Neurology, Hospital Universitari Mutua de  Terrassa, Terrassa, Spain.; Institute of Biomedicine, University of Eastern Finland, Kuopio, Finland.; Boston University and the NHLBI&amp;apos;s Framingham Heart Study, Boston, MA, USA.; Research Center and Memory Clinic Fundacio ACE, Institut Catala de Neurociencies  Aplicades, Universitat Internacional de Catalunya, Barcelona, Spain.; CIBERNED, Network Center for Biomedical Research in Neurodegenerative Diseases,  National Institute of Health Carlos III, Madrid, Spain.; Institut de Biomedicina de Valencia-CSIC CIBERNED, Valencia, Spain.; Unitat Mixta de de Neurologia y Genetica, Institut d&amp;apos;Investigacio Sanitaria La  Fe, Valencia, Spain.; US 41-UMS 2014-PLBS, bilille, Universite de Lille, CNRS, INSERM, CHU Lille,  Institut Pasteur de Lille, Lille, France.; Institute of Psychiatry and Psychotherapy, Charite-Universitatsmedizin Berlin,  Freie Universitat Berlin, Humboldt-Universitat Zu Berlin, and Berlin Institute of  Health, Berlin, Germany.; German Center for Neurodegenerative Diseases (DZNE), Berlin, Germany.; Alzheimer Center Amsterdam, Department of Neurology, Amsterdam Neuroscience,  Vrije Universiteit Amsterdam, Amsterdam UMC, Amsterdam, the Netherlands.; Unidad Clinica de Enfermedades Infecciosas y Microbiologia, Hospital  Universitario de Valme, Sevilla, Spain.; Unitat Trastorns Cognitius, Hospital Universitari Santa Maria de Lleida, Lleida,  Spain.; Institut de Recerca Biomedica de Lleida (IRBLLeida), Lleida, Spain.; Department of Biomedical Sciences, University of Cagliari, Cagliari, Italy.; Department of Psychiatry, Psychosomatics and Psychotherapy, Center of Mental  Health, University Hospital, Wuerzburg, Germany.; CHUV, Old Age Psychiatry, Department of Psychiatry, Lausanne, Switzerland.; Old Age Psychiatry, Department of Psychiatry, Lausanne University Hospital,  Lausanne, Switzerland.; Department of Geriatric Psychiatry, University Hospital of Psychiatry Zurich,  Zurich, Switzerland.; Department of Complex Trait Genetics, Center for Neurogenomics and Cognitive  Research, Amsterdam Neuroscience, Vrije University, Amsterdam, the Netherlands.; German Center for Neurodegenerative Diseases (DZNE), Berlin, Germany.; Department of Neuropsychiatry and Laboratory of Molecular Psychiatry, Charite,  Chariteplatz 1, Berlin, Germany.; Research Center and Memory Clinic Fundacio ACE, Institut Catala de Neurociencies  Aplicades, Universitat Internacional de Catalunya, Barcelona, Spain.; Department of Genetics and CNR-MAJ, Normandie University, UNIROUEN, INSERM U1245,  CHU Rouen, Rouen, France.; Grupo de Medicina Xenomica, Centro Nacional de Genotipado (CEGEN-PRB3-ISCIII),  Universidade de Santiago de Compostela, Santiago de Compostela, Spain.; Department of Clinical Biochemistry, Rigshospitalet, Copenhagen, Denmark.; CIBERNED, Network Center for Biomedical Research in Neurodegenerative Diseases,  National Institute of Health Carlos III, Madrid, Spain.; CIEN Foundation/Queen Sofia Foundation Alzheimer Center, Madrid, Spain.; Centre for Neurodegenerative Disorders, Department of Clinical and Experimental  Sciences, University of Brescia, Brescia, Italy.; The John P. Hussman Institute for Human Genomics, University of Miami, Miami, FL,  USA.; Department of Psychiatry &amp;amp; Neuropsychologie, Maastricht University, Alzheimer  Center Limburg, Maastricht, the Netherlands.; Unidad Clinica de Enfermedades Infecciosas y Microbiologia, Hospital  Universitario de Valme, Sevilla, Spain.; Depatamento de Especialidades Quirurgicas Bioquimica e Inmunologia, Facultad de  Medicina, Universidad de Malaga, Malaga, Spain.; Delft Bioinformatics Lab, Delft University of Technology, Delft, the Netherlands.; Gertrude H. Sergievsky Center, Columbia University, New York, NY, USA.; Delft Bioinformatics Lab, Delft University of Technology, Delft, the Netherlands.; Taub Institute, Columbia University, New York, NY, USA.; Department of Neurology, Columbia University, New York, NY, USA.; Taub Institute, Columbia University, New York, NY, USA.; Bioinformatics, College of Life Sciences, Brigham Young University, Provo, UT,  USA.; Institute of Social Medicine, Occupational Health and Public Health, University  of Leipzig, Leipzig, Germany.; Center of Mental Health, Clinic and Policlinic of Psychiatry, Psychosomatics and  Psychotherapy, University Hospital of Wurzburg, Wuerzburg, Germany.; Research Center and Memory Clinic Fundacio ACE, Institut Catala de Neurociencies  Aplicades, Universitat Internacional de Catalunya, Barcelona, Spain.; CIBERNED, Network Center for Biomedical Research in Neurodegenerative Diseases,  National Institute of Health Carlos III, Madrid, Spain.; Neurology Service, Marques de Valdecilla University Hospital (University of  Cantabria and IDIVAL), Santander, Spain.; Department of Research and Innovation, Helse Fonna, Haugesund Hospital,  Haugesund, Norway.; Institute of Clinical Medicine (K1), The University of Bergen, Bergen, Norway.; Laboratorio de Genetica, Hospital Universitario Central de Asturias, Oviedo,  Spain.; Servicio de Neurologia, Hospital Universitario Central de Asturias- Oviedo and  Instituto de Investigacion Biosanitaria del Principado de Asturias, Oviedo,  Spain.; Research Center and Memory Clinic Fundacio ACE, Institut Catala de Neurociencies  Aplicades, Universitat Internacional de Catalunya, Barcelona, Spain.; CIBERNED, Network Center for Biomedical Research in Neurodegenerative Diseases,  National Institute of Health Carlos III, Madrid, Spain.; Departamento de Especialidades Quirurgicas, Bioquimicas e Inmunologia, School of  Medicine, University of Malaga, Malaga, Spain.; Department of Neuroscience and Mental Health, AOU Citta della Salute e della  Scienza di Torino, Torino, Italy.; Department of Psychiatry and Psychotherapy, Medical University of Vienna, Vienna,  Austria.; CAEBI, Centro Andaluz de Estudios Bioinformaticos, Sevilla, Spain.; Athens Association of Alzheimer&amp;apos;s Disease and Related Disorders, Athens, Greece.; Department of Neurology and Clinical Neurophysiology, University Hospital of  Trondheim, Trondheim, Norway.; Department of Geriatrics, St. Olav&amp;apos;s Hospital, Trondheim University Hospital,  Trondheim, Norway.; Research Center and Memory Clinic Fundacio ACE, Institut Catala de Neurociencies  Aplicades, Universitat Internacional de Catalunya, Barcelona, Spain.; CIBERNED, Network Center for Biomedical Research in Neurodegenerative Diseases,  National Institute of Health Carlos III, Madrid, Spain.; Unidad de Demencias, Servicio de Neurologia y Neurofisiologia. Instituto de  Biomedicina de Sevilla (IBiS), Hospital Universitario Virgen del  Rocio/CSIC/Universidad de Sevilla, Seville, Spain.; Department of Immunology, Hospital Universitario Doctor Negrin, Las Palmas de  Gran Canaria, Las Palmas, Spain.; CIBERNED, Network Center for Biomedical Research in Neurodegenerative Diseases,  National Institute of Health Carlos III, Madrid, Spain.; Neurology Service, Marques de Valdecilla University Hospital (University of  Cantabria and IDIVAL), Santander, Spain.; Neurology Department-Hospital Clinic, IDIBAPS, Universitat de Barcelona,  Barcelona, Spain.; Experimental Neuro-psychobiology Laboratory, Department of Clinical and  Behavioral Neurology, IRCCS Santa Lucia Foundation, Rome, Italy.; Department of Neurology and Clinical Neurophysiology, University Hospital of  Trondheim, Trondheim, Norway.; Human Genetics Center, School of Public Health, University of Texas Health  Science Center at Houston, Houston, TX, USA.; Department of Biostatistics, Boston University School of Public Health, Boston,  MA, USA.; Department of Neurology, Boston University School of Medicine, Boston, MA, USA.; Glenn Biggs Institute for Alzheimer&amp;apos;s &amp;amp; Neurodegenerative Diseases, University of  Texas Health Sciences Center, San Antonio, TX, USA.; Institute of Gerontology and Geriatrics, Department of Medicine and Surgery,  University of Perugia, Perugia, Italy.; Taub Institute on Alzheimer&amp;apos;s Disease and the Aging Brain, Department of  Neurology, Columbia University, New York, NY, USA.; First Department of Neurology, Aiginition Hospital, National and Kapodistrian  University of Athens, Medical School, Athens, Greece.; Fondazione IRCCS Ca&amp;apos;Granda, Ospedale Policlinico, Milan, Italy.; University of Milan, Milan, Italy.; Alzheimer Center Amsterdam, Department of Neurology, Amsterdam Neuroscience,  Vrije Universiteit Amsterdam, Amsterdam UMC, Amsterdam, the Netherlands.; LVR-Hospital Essen, Department of Psychiatry and Psychotherapy, Medical Faculty,  University of Duisburg-Essen, Essen, Germany.; Department of Primary Medical Care, University Medical Centre Hamburg-Eppendorf,  Hamburg, Germany.; German Center for Neurodegenerative Diseases (DZNE Bonn), Bonn, Germany.; Institute of Medical Biometry, Informatics and Epidemiology, University Hospital  of Bonn, Bonn, Germany.; Department of Neurodegenerative Diseases and Geriatric Psychiatry, University  Hospital Bonn, Bonn, Germany.; German Center for Neurodegenerative Diseases (DZNE Bonn), Bonn, Germany.; Dementia Research Centre, UCL Queen Square Institute of Neurology, London, UK.; Institute of Clinical Medicine, University of Oslo, Oslo, Norway.; Department of Geriatric Medicine, Oslo University Hospital, Oslo, Norway.; Laboratory for Advanced Hematological Diagnostics, Department of Hematology and  Stem Cell Transplant, Vito Fazzi Hospital, Lecce, Italy.; Centro de Investigacion Biomedica en Red de Diabetes y Enfermedades Metabolicas  Asociadas, CIBERDEM, Hospital Clinico San Carlos, Madrid, Spain.; Department of Biostatistics, Epidemiology, and Informatics, Penn  Neurodegeneration Genomics Center, University of Pennsylvania Perelman School of  Medicine, Philadelphia, PA, USA.; NORMENT Centre, University of Oslo, Oslo, Norway.; Translational Health Sciences, Bristol Medical School, University of Bristol,  Bristol, UK.; The John P. Hussman Institute for Human Genomics, University of Miami, Miami, FL,  USA.; Department of Psychiatry, Icahn School of Medicine at Mount Sinai, New York, NY,  USA.; Institute of Clinical Medicine, Neurology, University of Eastern, Kuopio,  Finland.; University of Bari, &amp;quot;A. Moro&amp;quot;, Bary, Italy.; Institute of Clinical Medicine, Neurology, University of Eastern, Kuopio,  Finland.; Division of Clinical Geriatrics, Center for Alzheimer Research, Care Sciences and  Society (NVS), Karolinska Institutet, Stockholm, Sweden.; Department of Population and Quantitative Health Sciences, Case Western Reserve  University, Cleveland, OH, USA.; Department of Neuroscience, Psychology, Drug Research and Child Health,  University of Florence, Florence, Italy.; IRCCS Fondazione Don Carlo Gnocchi, Florence, Italy.; Research Center and Memory Clinic Fundacio ACE, Institut Catala de Neurociencies  Aplicades, Universitat Internacional de Catalunya, Barcelona, Spain.; Laboratory of Neuropsychiatry, Department of Clinical and Behavioral Neurology,  IRCCS Santa Lucia Foundation, Rome, Italy.; German Center for Neurodegenerative Diseases (DZNE Bonn), Bonn, Germany.; Department of Neurology, University of Bonn, Bonn, Germany.; Department of Biomedical Sciences, Section of Neuroscience and Clinical  Pharmacology, University of Cagliari, Cagliari, Italy.; Department of Psychiatry, Namsos Hospital, Namsos, Norway.; Research Center and Memory Clinic Fundacio ACE, Institut Catala de Neurociencies  Aplicades, Universitat Internacional de Catalunya, Barcelona, Spain.; Research Center and Memory Clinic Fundacio ACE, Institut Catala de Neurociencies  Aplicades, Universitat Internacional de Catalunya, Barcelona, Spain.; CIBERNED, Network Center for Biomedical Research in Neurodegenerative Diseases,  National Institute of Health Carlos III, Madrid, Spain.; Alzheimer Center Amsterdam, Department of Neurology, Amsterdam Neuroscience,  Vrije Universiteit Amsterdam, Amsterdam UMC, Amsterdam, the Netherlands.; Section Genomics of Neurodegenerative Diseases and Aging, Department of Human  Genetics Amsterdam UMC, Vrije Universiteit Amsterdam, Amsterdam UMC, Amsterdam,  the Netherlands.; Centre for Healthy Brain Ageing, School of Psychiatry, Faculty of Medicine,  University of New South Wales, Sydney, New South Wales, Australia.; First Department of Neurology, Medical School, Aristotle University of  Thessaloniki, Thessaloniki, Greece.; Alzheimer Hellas, Thessaloniki, Greece.; Taub Institute on Alzheimer&amp;apos;s Disease and the Aging Brain, Department of  Neurology, Columbia University, New York, NY, USA.; Department of Neurology, Columbia University, New York, NY, USA.; Clinic of Neurology, UH &amp;apos;Alexandrovska&amp;apos;, Medical University - Sofia, Sofia,  Bulgaria.; School of Medicine and Surgery, University of Milano-Bicocca, Milano, Italy.; Neurology Unit, San Gerardo Hospital, Monza, Italy.; Department of Clinical Medicine, University of Copenhagen, Copenhagen, Denmark.; Department of Clinical Biochemistry, Rigshospitalet, Copenhagen, Denmark.; Department of Internal Medicine and Biostatistics, Erasmus MC, Rotterdam, the  Netherlands.; Center for Alzheimer Research, Department NVS, Division of Neurogeriatrics,  Karolinska Institutet, Stockholm, Sweden.; Department of Geriatric Medicine, Oslo University Hospital, Oslo, Norway.; Research Center and Memory Clinic Fundacio ACE, Institut Catala de Neurociencies  Aplicades, Universitat Internacional de Catalunya, Barcelona, Spain.; CIBERNED, Network Center for Biomedical Research in Neurodegenerative Diseases,  National Institute of Health Carlos III, Madrid, Spain.; Department of Pathology and Laboratory Medicine, University of Pennsylvania  Perelman School of Medicine, Philadelphia, PA, USA.; Complex Genetics of Alzheimer&amp;apos;s Disease Group, VIB Center for Molecular  Neurology, VIB, Antwerp, Belgium.; Laboratory of Neurogenetics, Institute Born - Bunge, Antwerp, Belgium.; Neurodegenerative Brain Diseases Group, VIB Center for Molecular Neurology, VIB,  Antwerp, Belgium.; Dr. John T. Macdonald Foundation Department of Human Genetics, University of  Miami, Miami, FL, USA.; Taub Institute on Alzheimer&amp;apos;s Disease and the Aging Brain, Department of  Neurology, Columbia University, New York, NY, USA.; Department of Neurology, ErasmusMC, Rotterdam, the Netherlands.; Complex Genetics of Alzheimer&amp;apos;s Disease Group, VIB Center for Molecular  Neurology, VIB, Antwerp, Belgium.; Laboratory of Neurogenetics, Institute Born - Bunge, Antwerp, Belgium.; Department of Biomedical Sciences, University of Antwerp, Antwerp, Belgium.; Department of Neurology, Erasmus MC, Rotterdam, the Netherlands.; Department of Neurology, ErasmusMC, Rotterdam, the Netherlands.; Department of Neurology, Erasmus MC, Rotterdam, the Netherlands.; Laboratory for Cognitive Neurology, Department of Neurosciences, University of  Leuven, Leuven, Belgium.; Neurology Department, University Hospitals Leuven, Leuven, Belgium.; Department of Psychiatry &amp;amp; Neuropsychologie, Maastricht University, Alzheimer  Center Limburg, Maastricht, the Netherlands.; EA 4468, Universite de Paris, APHP, Hopital Broca, Paris, France.; Department of Psychiatry and Psychotherapy, University Medical Center Goettingen,  Goettingen, Germany.; Department of Psychiatry, Harvard Medical School, McLean Hospital, Belmont, MA,  USA.; Memory Clinic, Department of Neurology, Charles University, 2nd Faculty of  Medicine and Motol University Hospital, Praha, Czechia.; International Clinical Research Center, St. Anne&amp;apos;s University Hospital Brno,  Brno, Czechia.; Department of Neurodegenerative Diseases and Geriatric Psychiatry, University  Hospital Bonn, Bonn, Germany.; German Center for Neurodegenerative Diseases (DZNE Bonn), Bonn, Germany.; Department of Neurology and CNR-MAJ, F 76000, Normandy Center for Genomic and  Personalized Medicine, Normandie University, UNIROUEN, INSERM U1245, CHU Rouen,  Rouen, France.; Department of Pathology and Laboratory Medicine, University of Pennsylvania  Perelman School of Medicine, Philadelphia, PA, USA.; Institute of Biomedicine, University of Eastern Finland, Kuopio, Finland.; Department of Biostatistics, Boston University School of Public Health, Boston,  MA, USA.; Institute of Medical Biometry, Informatics and Epidemiology, University Hospital  of Bonn, Bonn, Germany.; Department of Psychiatry and Psychotherapy, University Medical Center Goettingen,  Goettingen, Germany.; German Center for Neurodegenerative Diseases (DZNE), Goettingen, Germany.; Medical Science Department, iBiMED, Aveiro, Portugal.; School of Health Sciences, Bangor University, Bangor, UK.; School of Health Sciences, Bangor University, Bangor, UK.; Department of Nutrition and Diatetics, Harokopio University, Athens, Greece.; Glenn Biggs Institute for Alzheimer&amp;apos;s &amp;amp; Neurodegenerative Diseases, University of  Texas Health Sciences Center, San Antonio, TX, USA.; Department of Pathology and Laboratory Medicine, University of Pennsylvania  Perelman School of Medicine, Philadelphia, PA, USA.; Department of Medicine (Biomedical Genetics), Boston University School of  Medicine, Boston, MA, USA.; Department of Medicine (Biomedical Genetics), Boston University School of  Medicine, Boston, MA, USA.; CIBERNED, Network Center for Biomedical Research in Neurodegenerative Diseases,  National Institute of Health Carlos III, Madrid, Spain.; Neurosciences Area, Instituto Biodonostia, San Sebastian, Spain.; Institute of Biomedicine, University of Eastern Finland, Kuopio, Finland.; Medicine Biomedical Genetics Boston University School of Medicine, Boston, MA,  USA.; Department of Neurology, Boston University School of Medicine, Boston, MA, USA.; Framingham Heart Study, Framingham, MA, USA.; Department of Pathology and Laboratory Medicine, University of Pennsylvania,  Philadelphia, PA, USA.; Department of Health Service, University of Washington, Seattle, WA, USA.; Department of Epidemiology, Erasmus MC, Rotterdam, the Netherlands.; Ronald M. Loeb Center for Alzheimer&amp;apos;s Disease, Icahn School of Medicine at Mount  Sinai, New York, NY, USA.; Department of Genetics and Genomic Sciences &amp;amp; Icahn Institute for Data Science  and Genomic Technology, Icahn School of Medicine at Mount Sinai, New York, NY,  USA.; Estelle and Daniel Maggin Department of Neurology, Icahn School of Medicine at  Mount Sinai, New York, NY, USA.; Nash Family Department of Neuroscience &amp;amp; Friedman Brain Institute, Icahn School  of Medicine at Mount Sinai, New York, NY, USA.; Centre for Healthy Brain Ageing, School of Psychiatry, Faculty of Medicine,  University of New South Wales, Sydney, New South Wales, Australia.; Centre for Healthy Brain Ageing, School of Psychiatry, Faculty of Medicine,  Universi"/>
    <w:docVar w:name="NE.Data.2{1DEB6E42-CDE4-41E4-A6E1-917E0B66560A}" w:val="trition and Diatetics, Harokopio University, Athens, Greece.; Glenn Biggs Institute for Alzheimer&amp;apos;s &amp;amp; Neurodegenerative Diseases, University of  Texas Health Sciences Center, San Antonio, TX, USA.; Department of Pathology and Laboratory Medicine, University of Pennsylvania  Perelman School of Medicine, Philadelphia, PA, USA.; Department of Medicine (Biomedical Genetics), Boston University School of  Medicine, Boston, MA, USA.; Department of Medicine (Biomedical Genetics), Boston University School of  Medicine, Boston, MA, USA.; CIBERNED, Network Center for Biomedical Research in Neurodegenerative Diseases,  National Institute of Health Carlos III, Madrid, Spain.; Neurosciences Area, Instituto Biodonostia, San Sebastian, Spain.; Institute of Biomedicine, University of Eastern Finland, Kuopio, Finland.; Medicine Biomedical Genetics Boston University School of Medicine, Boston, MA,  USA.; Department of Neurology, Boston University School of Medicine, Boston, MA, USA.; Framingham Heart Study, Framingham, MA, USA.; Department of Pathology and Laboratory Medicine, University of Pennsylvania,  Philadelphia, PA, USA.; Department of Health Service, University of Washington, Seattle, WA, USA.; Department of Epidemiology, Erasmus MC, Rotterdam, the Netherlands.; Ronald M. Loeb Center for Alzheimer&amp;apos;s Disease, Icahn School of Medicine at Mount  Sinai, New York, NY, USA.; Department of Genetics and Genomic Sciences &amp;amp; Icahn Institute for Data Science  and Genomic Technology, Icahn School of Medicine at Mount Sinai, New York, NY,  USA.; Estelle and Daniel Maggin Department of Neurology, Icahn School of Medicine at  Mount Sinai, New York, NY, USA.; Nash Family Department of Neuroscience &amp;amp; Friedman Brain Institute, Icahn School  of Medicine at Mount Sinai, New York, NY, USA.; Centre for Healthy Brain Ageing, School of Psychiatry, Faculty of Medicine,  University of New South Wales, Sydney, New South Wales, Australia.; Centre for Healthy Brain Ageing, School of Psychiatry, Faculty of Medicine,  University of New South Wales, Sydney, New South Wales, Australia.; Department of Neurodegenerative Diseases and Geriatric Psychiatry, University  Hospital Bonn, Bonn, Germany.; German Center for Neurodegenerative Diseases (DZNE Bonn), Bonn, Germany.; Department of Epidemiology, Erasmus MC, Rotterdam, the Netherlands.; Faculty of Medicine, University of Lisbon, Lisbon, Portugal.; Intramural Research Program/National Institute on Aging/National Institutes of  Health, Bethesda, MD, USA.; Memory Clinic, Department of Neurology, Charles University, 2nd Faculty of  Medicine and Motol University Hospital, Praha, Czechia.; First Department of Neurology, Medical School, Aristotle University of  Thessaloniki, Thessaloniki, Greece.; Alzheimer Hellas, Thessaloniki, Greece.; AI Virtanen Institute for Molecular Sciences, University of Eastern Finland,  Kuopio, Finland.; Universite de Lille, INSERM, CHU Lille, Institut Pasteur Lille, U1167-RID-AGE,  Facteurs de risque et determinants moleculaires des maladies liees au  vieillissement, Lille, France.; MRC Centre for Neuropsychiatric Genetics and Genomics, Division of Psychological  Medicine and Clinical Neuroscience, School of Medicine, Cardiff University,  Cardiff, UK.; UKDRI@ Cardiff, School of Medicine, Cardiff University, Cardiff, UK.; Department of Clinical Medicine, University of Copenhagen, Copenhagen, Denmark.; Department of Clinical Biochemistry, Rigshospitalet, Copenhagen, Denmark.; CIBERNED, Network Center for Biomedical Research in Neurodegenerative Diseases,  National Institute of Health Carlos III, Madrid, Spain.; Department of Neurology, II B Sant Pau, Hospital de la Santa Creu i Sant Pau,  Universitat Autonoma de Barcelona, Barcelona, Spain.; CEA, Centre National de Recherche en Genomique Humaine, Universite Paris-Saclay,  Evry, France.; Fondazione IRCCS, Istituto Neurologico Carlo Besta, Milan, Italy.; Department of Biostatistics, Boston University School of Public Health, Boston,  MA, USA.; Department of Neurology, Boston University School of Medicine, Boston, MA, USA.; Glenn Biggs Institute for Alzheimer&amp;apos;s &amp;amp; Neurodegenerative Diseases, University of  Texas Health Sciences Center, San Antonio, TX, USA.; NORMENT Centre, University of Oslo, Oslo, Norway.; Department of Public Health and Carins Sciences/Geriatrics, Uppsala University,  Uppsala, Sweden.; Brain Institute, Federal University of Rio Grande do Norte, Natal, Brazil.; Complex Genetics of Alzheimer&amp;apos;s Disease Group, VIB Center for Molecular  Neurology, VIB, Antwerp, Belgium.; Laboratory of Neurogenetics, Institute Born - Bunge, Antwerp, Belgium.; Department of Biomedical Sciences, University of Antwerp, Antwerp, Belgium.; Department of Pathology and Laboratory Medicine, University of Pennsylvania  Perelman School of Medicine, Philadelphia, PA, USA.; Department of Epidemiology, Erasmus MC, Rotterdam, the Netherlands.; Nuffield Department of Population Health, Oxford University, Oxford, UK.; MRC Centre for Neuropsychiatric Genetics and Genomics, Division of Psychological  Medicine and Clinical Neuroscience, School of Medicine, Cardiff University,  Cardiff, UK.; Alzheimer Center Amsterdam, Department of Neurology, Amsterdam Neuroscience,  Vrije Universiteit Amsterdam, Amsterdam UMC, Amsterdam, the Netherlands.; Research Center and Memory Clinic Fundacio ACE, Institut Catala de Neurociencies  Aplicades, Universitat Internacional de Catalunya, Barcelona, Spain.; CIBERNED, Network Center for Biomedical Research in Neurodegenerative Diseases,  National Institute of Health Carlos III, Madrid, Spain.; Department of Neurodegenerative Diseases and Geriatric Psychiatry, University  Hospital Bonn, Bonn, Germany.; Division of Neurogenetics and Molecular Psychiatry, Department of Psychiatry and  Psychotherapy, University of Cologne, Medical Faculty, Cologne, Germany.; German Center for Neurodegenerative Diseases (DZNE Bonn), Bonn, Germany.; Glenn Biggs Institute for Alzheimer&amp;apos;s &amp;amp; Neurodegenerative Diseases, University of  Texas Health Sciences Center, San Antonio, TX, USA.; Excellence Cluster on Cellular Stress Responses in Aging-Associated Diseases  (CECAD), University of Cologne, Cologne, Germany.; Universite de Lille, INSERM, CHU Lille, Institut Pasteur Lille, U1167-RID-AGE,  Facteurs de risque et determinants moleculaires des maladies liees au  vieillissement, Lille, France. Jean-Charles.Lambert@pasteur-lille.fr.&lt;/_author_adr&gt;&lt;_collection_scope&gt;SCIE&lt;/_collection_scope&gt;&lt;_created&gt;65613196&lt;/_created&gt;&lt;_date&gt;2022-04-01&lt;/_date&gt;&lt;_date_display&gt;2022 Apr&lt;/_date_display&gt;&lt;_db_updated&gt;PubMed&lt;/_db_updated&gt;&lt;_doi&gt;10.1038/s41588-022-01024-z&lt;/_doi&gt;&lt;_impact_factor&gt;  30.800&lt;/_impact_factor&gt;&lt;_isbn&gt;1546-1718 (Electronic); 1061-4036 (Print); 1061-4036 (Linking)&lt;/_isbn&gt;&lt;_issue&gt;4&lt;/_issue&gt;&lt;_journal&gt;Nat Genet&lt;/_journal&gt;&lt;_language&gt;eng&lt;/_language&gt;&lt;_modified&gt;65613197&lt;/_modified&gt;&lt;_ori_publication&gt;(c) 2022. The Author(s).&lt;/_ori_publication&gt;&lt;_pages&gt;412-436&lt;/_pages&gt;&lt;_social_category&gt;遗传学(1)&lt;/_social_category&gt;&lt;_subject_headings&gt;*Alzheimer Disease/genetics/pathology; *Cognitive Dysfunction/psychology; Genome-Wide Association Study; Humans; tau Proteins/genetics&lt;/_subject_headings&gt;&lt;_tertiary_title&gt;Nature genetics&lt;/_tertiary_title&gt;&lt;_type_work&gt;Journal Article; Research Support, N.I.H., Extramural; Research Support, Non-U.S. Gov&amp;apos;t; Research Support, U.S. Gov&amp;apos;t, Non-P.H.S.&lt;/_type_work&gt;&lt;_url&gt;http://www.ncbi.nlm.nih.gov/entrez/query.fcgi?cmd=Retrieve&amp;amp;db=pubmed&amp;amp;dopt=Abstract&amp;amp;list_uids=35379992&amp;amp;query_hl=1&lt;/_url&gt;&lt;_volume&gt;54&lt;/_volume&gt;&lt;/Details&gt;&lt;Extra&gt;&lt;DBUID&gt;{F96A950B-833F-4880-A151-76DA2D6A2879}&lt;/DBUID&gt;&lt;/Extra&gt;&lt;/Item&gt;&lt;/References&gt;&lt;/Group&gt;&lt;/Citation&gt;_x000a_"/>
    <w:docVar w:name="NE.Data.2{868C9059-6968-45AF-919C-3002B58C61D3}" w:val="ty of New South Wales, Sydney, New South Wales, Australia.; Department of Neurodegenerative Diseases and Geriatric Psychiatry, University  Hospital Bonn, Bonn, Germany.; German Center for Neurodegenerative Diseases (DZNE Bonn), Bonn, Germany.; Department of Epidemiology, Erasmus MC, Rotterdam, the Netherlands.; Faculty of Medicine, University of Lisbon, Lisbon, Portugal.; Intramural Research Program/National Institute on Aging/National Institutes of  Health, Bethesda, MD, USA.; Memory Clinic, Department of Neurology, Charles University, 2nd Faculty of  Medicine and Motol University Hospital, Praha, Czechia.; First Department of Neurology, Medical School, Aristotle University of  Thessaloniki, Thessaloniki, Greece.; Alzheimer Hellas, Thessaloniki, Greece.; AI Virtanen Institute for Molecular Sciences, University of Eastern Finland,  Kuopio, Finland.; Universite de Lille, INSERM, CHU Lille, Institut Pasteur Lille, U1167-RID-AGE,  Facteurs de risque et determinants moleculaires des maladies liees au  vieillissement, Lille, France.; MRC Centre for Neuropsychiatric Genetics and Genomics, Division of Psychological  Medicine and Clinical Neuroscience, School of Medicine, Cardiff University,  Cardiff, UK.; UKDRI@ Cardiff, School of Medicine, Cardiff University, Cardiff, UK.; Department of Clinical Medicine, University of Copenhagen, Copenhagen, Denmark.; Department of Clinical Biochemistry, Rigshospitalet, Copenhagen, Denmark.; CIBERNED, Network Center for Biomedical Research in Neurodegenerative Diseases,  National Institute of Health Carlos III, Madrid, Spain.; Department of Neurology, II B Sant Pau, Hospital de la Santa Creu i Sant Pau,  Universitat Autonoma de Barcelona, Barcelona, Spain.; CEA, Centre National de Recherche en Genomique Humaine, Universite Paris-Saclay,  Evry, France.; Fondazione IRCCS, Istituto Neurologico Carlo Besta, Milan, Italy.; Department of Biostatistics, Boston University School of Public Health, Boston,  MA, USA.; Department of Neurology, Boston University School of Medicine, Boston, MA, USA.; Glenn Biggs Institute for Alzheimer&amp;apos;s &amp;amp; Neurodegenerative Diseases, University of  Texas Health Sciences Center, San Antonio, TX, USA.; NORMENT Centre, University of Oslo, Oslo, Norway.; Department of Public Health and Carins Sciences/Geriatrics, Uppsala University,  Uppsala, Sweden.; Brain Institute, Federal University of Rio Grande do Norte, Natal, Brazil.; Complex Genetics of Alzheimer&amp;apos;s Disease Group, VIB Center for Molecular  Neurology, VIB, Antwerp, Belgium.; Laboratory of Neurogenetics, Institute Born - Bunge, Antwerp, Belgium.; Department of Biomedical Sciences, University of Antwerp, Antwerp, Belgium.; Department of Pathology and Laboratory Medicine, University of Pennsylvania  Perelman School of Medicine, Philadelphia, PA, USA.; Department of Epidemiology, Erasmus MC, Rotterdam, the Netherlands.; Nuffield Department of Population Health, Oxford University, Oxford, UK.; MRC Centre for Neuropsychiatric Genetics and Genomics, Division of Psychological  Medicine and Clinical Neuroscience, School of Medicine, Cardiff University,  Cardiff, UK.; Alzheimer Center Amsterdam, Department of Neurology, Amsterdam Neuroscience,  Vrije Universiteit Amsterdam, Amsterdam UMC, Amsterdam, the Netherlands.; Research Center and Memory Clinic Fundacio ACE, Institut Catala de Neurociencies  Aplicades, Universitat Internacional de Catalunya, Barcelona, Spain.; CIBERNED, Network Center for Biomedical Research in Neurodegenerative Diseases,  National Institute of Health Carlos III, Madrid, Spain.; Department of Neurodegenerative Diseases and Geriatric Psychiatry, University  Hospital Bonn, Bonn, Germany.; Division of Neurogenetics and Molecular Psychiatry, Department of Psychiatry and  Psychotherapy, University of Cologne, Medical Faculty, Cologne, Germany.; German Center for Neurodegenerative Diseases (DZNE Bonn), Bonn, Germany.; Glenn Biggs Institute for Alzheimer&amp;apos;s &amp;amp; Neurodegenerative Diseases, University of  Texas Health Sciences Center, San Antonio, TX, USA.; Excellence Cluster on Cellular Stress Responses in Aging-Associated Diseases  (CECAD), University of Cologne, Cologne, Germany.; Universite de Lille, INSERM, CHU Lille, Institut Pasteur Lille, U1167-RID-AGE,  Facteurs de risque et determinants moleculaires des maladies liees au  vieillissement, Lille, France. Jean-Charles.Lambert@pasteur-lille.fr.&lt;/_author_adr&gt;&lt;_date_display&gt;2022 Apr&lt;/_date_display&gt;&lt;_date&gt;2022-04-01&lt;/_date&gt;&lt;_doi&gt;10.1038/s41588-022-01024-z&lt;/_doi&gt;&lt;_isbn&gt;1546-1718 (Electronic); 1061-4036 (Print); 1061-4036 (Linking)&lt;/_isbn&gt;&lt;_issue&gt;4&lt;/_issue&gt;&lt;_journal&gt;Nat Genet&lt;/_journal&gt;&lt;_language&gt;eng&lt;/_language&gt;&lt;_ori_publication&gt;(c) 2022. The Author(s).&lt;/_ori_publication&gt;&lt;_pages&gt;412-436&lt;/_pages&gt;&lt;_subject_headings&gt;*Alzheimer Disease/genetics/pathology; *Cognitive Dysfunction/psychology; Genome-Wide Association Study; Humans; tau Proteins/genetics&lt;/_subject_headings&gt;&lt;_tertiary_title&gt;Nature genetics&lt;/_tertiary_title&gt;&lt;_type_work&gt;Journal Article; Research Support, N.I.H., Extramural; Research Support, Non-U.S. Gov&amp;apos;t; Research Support, U.S. Gov&amp;apos;t, Non-P.H.S.&lt;/_type_work&gt;&lt;_url&gt;http://www.ncbi.nlm.nih.gov/entrez/query.fcgi?cmd=Retrieve&amp;amp;db=pubmed&amp;amp;dopt=Abstract&amp;amp;list_uids=35379992&amp;amp;query_hl=1&lt;/_url&gt;&lt;_volume&gt;54&lt;/_volume&gt;&lt;_created&gt;65613197&lt;/_created&gt;&lt;_modified&gt;65613197&lt;/_modified&gt;&lt;_db_updated&gt;PubMed&lt;/_db_updated&gt;&lt;_impact_factor&gt;  30.800&lt;/_impact_factor&gt;&lt;_social_category&gt;遗传学(1)&lt;/_social_category&gt;&lt;_collection_scope&gt;SCIE&lt;/_collection_scope&gt;&lt;_accessed&gt;65613198&lt;/_accessed&gt;&lt;/Details&gt;&lt;Extra&gt;&lt;DBUID&gt;{F96A950B-833F-4880-A151-76DA2D6A2879}&lt;/DBUID&gt;&lt;/Extra&gt;&lt;/Item&gt;&lt;/References&gt;&lt;/Group&gt;&lt;/Citation&gt;_x000a_"/>
    <w:docVar w:name="NE.Ref{068482DB-4BFD-44EA-A99E-EDF178CA4648}" w:val=" ADDIN NE.Ref.{068482DB-4BFD-44EA-A99E-EDF178CA4648}&lt;Citation&gt;&lt;Group&gt;&lt;References&gt;&lt;Item&gt;&lt;ID&gt;1056&lt;/ID&gt;&lt;UID&gt;{556BB7BF-360F-4CB5-9BE9-2B12FC807A06}&lt;/UID&gt;&lt;Title&gt;Rescue of Alzheimer&amp;apos;s disease phenotype in a mouse model by transplantation of  wild-type hematopoietic stem and progenitor cells&lt;/Title&gt;&lt;Template&gt;Journal Article&lt;/Template&gt;&lt;Star&gt;0&lt;/Star&gt;&lt;Tag&gt;0&lt;/Tag&gt;&lt;Author&gt;Mishra, P; Silva, A; Sharma, J; Nguyen, J; Pizzo, D P; Hinz, D; Sahoo, D; Cherqui, S&lt;/Author&gt;&lt;Year&gt;2023&lt;/Year&gt;&lt;Details&gt;&lt;_accessed&gt;65613202&lt;/_accessed&gt;&lt;_accession_num&gt;37561625&lt;/_accession_num&gt;&lt;_author_adr&gt;Department of Pediatrics, University of California, San Diego, La Jolla, CA, USA.; Department of Pediatrics, University of California, San Diego, La Jolla, CA, USA.; Department of Pediatrics, University of California, San Diego, La Jolla, CA, USA.; Department of Pediatrics, University of California, San Diego, La Jolla, CA, USA.; Department of Pathology, University of California, San Diego, La Jolla, CA, USA.; Flow Cytometry Core Facility, La Jolla Institute for Immunology, La Jolla, CA,  USA.; Department of Pediatrics, University of California, San Diego, La Jolla, CA, USA;  Department of Computer Science and Engineering, University of California, La  Jolla, La Jolla, CA, USA; Moores Comprehensive Cancer Center, University of  California, La Jolla, La Jolla, CA, USA.; Department of Pediatrics, University of California, San Diego, La Jolla, CA, USA.  Electronic address: scherqui@ucsd.edu.&lt;/_author_adr&gt;&lt;_collection_scope&gt;SCIE&lt;/_collection_scope&gt;&lt;_created&gt;65613202&lt;/_created&gt;&lt;_date&gt;2023-08-29&lt;/_date&gt;&lt;_date_display&gt;2023 Aug 29&lt;/_date_display&gt;&lt;_db_updated&gt;PubMed&lt;/_db_updated&gt;&lt;_doi&gt;10.1016/j.celrep.2023.112956&lt;/_doi&gt;&lt;_impact_factor&gt;   8.800&lt;/_impact_factor&gt;&lt;_isbn&gt;2211-1247 (Electronic)&lt;/_isbn&gt;&lt;_issue&gt;8&lt;/_issue&gt;&lt;_journal&gt;Cell Rep&lt;/_journal&gt;&lt;_keywords&gt;Alzheimer&amp;apos;s disease; CP: Neuroscience; CP: Stem cell research; hematopoietic stem and and progenitor cells; microgliosis; neuroinflammation&lt;/_keywords&gt;&lt;_language&gt;eng&lt;/_language&gt;&lt;_modified&gt;65613202&lt;/_modified&gt;&lt;_ori_publication&gt;Copyright (c) 2023 The Author(s). Published by Elsevier Inc. All rights reserved.&lt;/_ori_publication&gt;&lt;_pages&gt;112956&lt;/_pages&gt;&lt;_social_category&gt;细胞生物学(2)&lt;/_social_category&gt;&lt;_subject_headings&gt;Mice; Animals; *Alzheimer Disease/metabolism; Endothelial Cells/metabolism; Mice, Transgenic; Amyloid beta-Peptides/metabolism; Microglia/metabolism; Phenotype; *Hematopoietic Stem Cell Transplantation; Disease Models, Animal&lt;/_subject_headings&gt;&lt;_tertiary_title&gt;Cell reports&lt;/_tertiary_title&gt;&lt;_type_work&gt;Journal Article; Research Support, N.I.H., Extramural; Research Support, Non-U.S. Gov&amp;apos;t&lt;/_type_work&gt;&lt;_url&gt;http://www.ncbi.nlm.nih.gov/entrez/query.fcgi?cmd=Retrieve&amp;amp;db=pubmed&amp;amp;dopt=Abstract&amp;amp;list_uids=37561625&amp;amp;query_hl=1&lt;/_url&gt;&lt;_volume&gt;42&lt;/_volume&gt;&lt;/Details&gt;&lt;Extra&gt;&lt;DBUID&gt;{F96A950B-833F-4880-A151-76DA2D6A2879}&lt;/DBUID&gt;&lt;/Extra&gt;&lt;/Item&gt;&lt;/References&gt;&lt;/Group&gt;&lt;Group&gt;&lt;References&gt;&lt;Item&gt;&lt;ID&gt;1057&lt;/ID&gt;&lt;UID&gt;{06578E19-4D32-46B5-98A3-3D3EC82E5C99}&lt;/UID&gt;&lt;Title&gt;A cell therapy approach to restore microglial Trem2 function in a mouse model of  Alzheimer&amp;apos;s disease&lt;/Title&gt;&lt;Template&gt;Journal Article&lt;/Template&gt;&lt;Star&gt;0&lt;/Star&gt;&lt;Tag&gt;0&lt;/Tag&gt;&lt;Author&gt;Yoo, Y; Neumayer, G; Shibuya, Y; Mader, M M; Wernig, M&lt;/Author&gt;&lt;Year&gt;2023&lt;/Year&gt;&lt;Details&gt;&lt;_accessed&gt;65613202&lt;/_accessed&gt;&lt;_accession_num&gt;37802040&lt;/_accession_num&gt;&lt;_collection_scope&gt;SCIE&lt;/_collection_scope&gt;&lt;_created&gt;65613202&lt;/_created&gt;&lt;_date&gt;2023-10-05&lt;/_date&gt;&lt;_date_display&gt;2023 Oct 5&lt;/_date_display&gt;&lt;_db_updated&gt;PubMed&lt;/_db_updated&gt;&lt;_doi&gt;10.1016/j.stem.2023.08.011&lt;/_doi&gt;&lt;_impact_factor&gt;  23.900&lt;/_impact_factor&gt;&lt;_isbn&gt;1875-9777 (Electronic); 1875-9777 (Linking)&lt;/_isbn&gt;&lt;_issue&gt;10&lt;/_issue&gt;&lt;_journal&gt;Cell Stem Cell&lt;/_journal&gt;&lt;_language&gt;eng&lt;/_language&gt;&lt;_modified&gt;65613202&lt;/_modified&gt;&lt;_pages&gt;1392&lt;/_pages&gt;&lt;_social_category&gt;细胞与组织工程(1) &amp;amp; 细胞生物学(1)&lt;/_social_category&gt;&lt;_tertiary_title&gt;Cell stem cell&lt;/_tertiary_title&gt;&lt;_type_work&gt;Published Erratum&lt;/_type_work&gt;&lt;_url&gt;http://www.ncbi.nlm.nih.gov/entrez/query.fcgi?cmd=Retrieve&amp;amp;db=pubmed&amp;amp;dopt=Abstract&amp;amp;list_uids=37802040&amp;amp;query_hl=1&lt;/_url&gt;&lt;_volume&gt;30&lt;/_volume&gt;&lt;/Details&gt;&lt;Extra&gt;&lt;DBUID&gt;{F96A950B-833F-4880-A151-76DA2D6A2879}&lt;/DBUID&gt;&lt;/Extra&gt;&lt;/Item&gt;&lt;/References&gt;&lt;/Group&gt;&lt;Group&gt;&lt;References&gt;&lt;Item&gt;&lt;ID&gt;1058&lt;/ID&gt;&lt;UID&gt;{F5527CA6-0970-4E40-84B0-70133F73BE84}&lt;/UID&gt;&lt;Title&gt;Rejuvenation of peripheral immune cells attenuates Alzheimer&amp;apos;s disease-like  pathologies and behavioral deficits in a mouse model&lt;/Title&gt;&lt;Template&gt;Journal Article&lt;/Template&gt;&lt;Star&gt;0&lt;/Star&gt;&lt;Tag&gt;0&lt;/Tag&gt;&lt;Author&gt;Sun, P Y; Liu, J; Hu, J N; Tu, Y F; Jiang, Q; Jia, Y J; Sun, H L; Chen, S H; Xin, J Y; Yu, Z Y; Liu, Z H; Tan, C R; Zeng, G H; Shi, A Y; Liu, Y H; Bu, X L; Wang, Y J; Wang, J&lt;/Author&gt;&lt;Year&gt;2024&lt;/Year&gt;&lt;Details&gt;&lt;_accessed&gt;65613240&lt;/_accessed&gt;&lt;_accession_num&gt;38809977&lt;/_accession_num&gt;&lt;_author_adr&gt;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Shigatse Branch, Xinqiao Hospital, Third Military Medical University, Shigatse,  China.; Department of Neurology, Daping Hospital, Third Military Medical University,  Chongqing, China.; Chongqing Key Laboratory of Aging and Brain Diseases, Chongqing, China.; Department of Neurology, Nanchong Central Hospital, The Second Clinical Medical  School, North Sichuan Medical College, Nancho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Institute of Brain and Intelligence, Third Military Medical University,  Chongqing, China.; Department of Neurology, Daping Hospital, Third Military Medical University,  Chongqing, China.; Chongqing Key Laboratory of Aging and Brain Diseases, Chongqing, China.; Institute of Brain and Intelligence, Third Military Medical University,  Chongqing, China.; Department of Neurology, Daping Hospital, Third Military Medical University,  Chongqing, China.; Chongqing Key Laboratory of Aging and Brain Diseases, Chongqing, China.; Institute of Brain and Intelligence, Third Military Medical University,  Chongqing, China.; Chongqing Institute for Brain and Intelligence, Guangyang Bay Laboratory,  Chongqing, China.; Center for Excellence in Brain Science and Intelligence Technology, Chinese  Academy of Sciences, Shanghai, China.; Department of Neurology, Daping Hospital, Third Military Medical University,  Chongqing, China.; Chongqing Key Laboratory of Aging and Brain Diseases, Chongqing, China.&lt;/_author_adr&gt;&lt;_collection_scope&gt;SCIE;EI&lt;/_collection_scope&gt;&lt;_created&gt;65613202&lt;/_created&gt;&lt;_date&gt;2024-05-31&lt;/_date&gt;&lt;_date_display&gt;2024 May 31&lt;/_date_display&gt;&lt;_db_updated&gt;PubMed&lt;/_db_updated&gt;&lt;_doi&gt;10.1126/sciadv.adl1123&lt;/_doi&gt;&lt;_impact_factor&gt;  13.600&lt;/_impact_factor&gt;&lt;_isbn&gt;2375-2548 (Electronic); 2375-2548 (Linking)&lt;/_isbn&gt;&lt;_issue&gt;22&lt;/_issue&gt;&lt;_journal&gt;Sci Adv&lt;/_journal&gt;&lt;_language&gt;eng&lt;/_language&gt;&lt;_modified&gt;65613240&lt;/_modified&gt;&lt;_pages&gt;eadl1123&lt;/_pages&gt;&lt;_social_category&gt;综合性期刊(1)&lt;/_social_category&gt;&lt;_subject_headings&gt;Animals; *Alzheimer Disease/therapy/metabolism/immunology; *Disease Models, Animal; Mice; *Rejuvenation; Mice, Transgenic; Bone Marrow Transplantation; Behavior, Animal; Amyloid beta-Peptides/metabolism; Monocytes/immunology/metabolism; Plaque, Amyloid/pathology/metabolism; Aging/immunology; Humans&lt;/_subject_headings&gt;&lt;_tertiary_title&gt;Science advances&lt;/_tertiary_title&gt;&lt;_type_work&gt;Journal Article&lt;/_type_work&gt;&lt;_url&gt;http://www.ncbi.nlm.nih.gov/entrez/query.fcgi?cmd=Retrieve&amp;amp;db=pubmed&amp;amp;dopt=Abstract&amp;amp;list_uids=38809977&amp;amp;query_hl=1&lt;/_url&gt;&lt;_volume&gt;10&lt;/_volume&gt;&lt;/Details&gt;&lt;Extra&gt;&lt;DBUID&gt;{F96A950B-833F-4880-A151-76DA2D6A2879}&lt;/DBUID&gt;&lt;/Extra&gt;&lt;/Item&gt;&lt;/References&gt;&lt;/Group&gt;&lt;/Citation&gt;_x000a_"/>
    <w:docVar w:name="NE.Ref{095A1A7F-900D-4E9B-AF0C-B3A79D37EFA7}" w:val=" ADDIN NE.Ref.{095A1A7F-900D-4E9B-AF0C-B3A79D37EFA7}&lt;Citation&gt;&lt;Group&gt;&lt;References&gt;&lt;Item&gt;&lt;ID&gt;954&lt;/ID&gt;&lt;UID&gt;{F685A0C8-0631-41E0-ADC2-E6B4244FCB25}&lt;/UID&gt;&lt;Title&gt;Impact of Training Method on the Robustness of the Visual Assessment of  18F-Florbetaben PET Scans: Results from a Phase-3 Study&lt;/Title&gt;&lt;Template&gt;Journal Article&lt;/Template&gt;&lt;Star&gt;0&lt;/Star&gt;&lt;Tag&gt;0&lt;/Tag&gt;&lt;Author&gt;Seibyl, J; Catafau, A M; Barthel, H; Ishii, K; Rowe, C C; Leverenz, J B; Ghetti, B; Ironside, J W; Takao, M; Akatsu, H; Murayama, S; Bullich, S; Mueller, A; Koglin, N; Schulz-Schaeffer, W J; Hoffmann, A; Sabbagh, M N; Stephens, A W; Sabri, O&lt;/Author&gt;&lt;Year&gt;2016&lt;/Year&gt;&lt;Details&gt;&lt;_accessed&gt;64867572&lt;/_accessed&gt;&lt;_accession_num&gt;26823561&lt;/_accession_num&gt;&lt;_author_adr&gt;Molecular Neuroimaging LLC, New Haven, Connecticut jseibyl@indd.org.; Piramal Imaging GmbH, Berlin, Germany.; Leipzig University, Leipzig, Germany.; Department of Positron Medical Center, Tokyo Metropolitan Institute of  Gerontology, Tokyo, Japan.; Austin Health, University of Melbourne, Melbourne, Victoria, Australia.; Virginia-Puget Sound Health Care System and University of Washington, Seattle,  Washington.; Indiana University School of Medicine, Indianapolis, Indiana.; University of Edinburgh, Edinburgh, Scotland.; Mihara Memorial Hospital, Isesaki, Japan Department of Neurology, Saitama  International Medical Center, Saitama Medical University, Saitama, Japan.; Fukushimura Hospital, Toyohashi, Japan Departments of Community-Based Medicine  and Neurology, Nagoya City University Graduate School of Medical Sciences, Nagoya  City, Aichi, Japan.; Department of Neurology and Neuropathology (the Brain Bank for Aging Research),  Tokyo Metropolitan Geriatric Hospital, Tokyo, Japan Institute of Gerontology,  Tokyo, Japan.; Piramal Imaging GmbH, Berlin, Germany.; Piramal Imaging GmbH, Berlin, Germany.; Piramal Imaging GmbH, Berlin, Germany.; Georg-August University Gottingen, Gottingen, Germany.; Bayer Pharma AG, Berlin, Germany; and.; Alzheimer&amp;apos;s and Memory Disorders Division, Department of Neurology, Barrow  Neurological Institute, Phoenix, Arizona.; Piramal Imaging GmbH, Berlin, Germany.; Leipzig University, Leipzig, Germany.&lt;/_author_adr&gt;&lt;_collection_scope&gt;SCIE&lt;/_collection_scope&gt;&lt;_created&gt;64867571&lt;/_created&gt;&lt;_date&gt;2016-06-01&lt;/_date&gt;&lt;_date_display&gt;2016 Jun&lt;/_date_display&gt;&lt;_db_updated&gt;PubMed&lt;/_db_updated&gt;&lt;_doi&gt;10.2967/jnumed.115.161927&lt;/_doi&gt;&lt;_impact_factor&gt;  11.082&lt;/_impact_factor&gt;&lt;_isbn&gt;1535-5667 (Electronic); 0161-5505 (Linking)&lt;/_isbn&gt;&lt;_issue&gt;6&lt;/_issue&gt;&lt;_journal&gt;J Nucl Med&lt;/_journal&gt;&lt;_keywords&gt;Alzheimer&amp;apos;s disease; florbetaben; positron-emission tomography&lt;/_keywords&gt;&lt;_language&gt;eng&lt;/_language&gt;&lt;_modified&gt;64867572&lt;/_modified&gt;&lt;_ori_publication&gt;(c) 2016 by the Society of Nuclear Medicine and Molecular Imaging, Inc.&lt;/_ori_publication&gt;&lt;_pages&gt;900-6&lt;/_pages&gt;&lt;_social_category&gt;医学(1)&lt;/_social_category&gt;&lt;_subject_headings&gt;Aged; Aged, 80 and over; Amyloid beta-Peptides/metabolism; *Aniline Compounds; Female; Humans; Image Processing, Computer-Assisted/*methods; Male; Middle Aged; Observer Variation; *Positron-Emission Tomography; Sensitivity and Specificity; *Stilbenes&lt;/_subject_headings&gt;&lt;_tertiary_title&gt;Journal of nuclear medicine : official publication, Society of Nuclear Medicine&lt;/_tertiary_title&gt;&lt;_type_work&gt;Clinical Trial, Phase III; Journal Article; Multicenter Study&lt;/_type_work&gt;&lt;_url&gt;http://www.ncbi.nlm.nih.gov/entrez/query.fcgi?cmd=Retrieve&amp;amp;db=pubmed&amp;amp;dopt=Abstract&amp;amp;list_uids=26823561&amp;amp;query_hl=1&lt;/_url&gt;&lt;_volume&gt;57&lt;/_volume&gt;&lt;/Details&gt;&lt;Extra&gt;&lt;DBUID&gt;{F96A950B-833F-4880-A151-76DA2D6A2879}&lt;/DBUID&gt;&lt;/Extra&gt;&lt;/Item&gt;&lt;/References&gt;&lt;/Group&gt;&lt;Group&gt;&lt;References&gt;&lt;Item&gt;&lt;ID&gt;955&lt;/ID&gt;&lt;UID&gt;{121E7E24-0AC7-4EEB-B0CA-219F4C63F8F8}&lt;/UID&gt;&lt;Title&gt;Signs and Artifacts in Amyloid PET&lt;/Title&gt;&lt;Template&gt;Journal Article&lt;/Template&gt;&lt;Star&gt;0&lt;/Star&gt;&lt;Tag&gt;0&lt;/Tag&gt;&lt;Author&gt;Lundeen, T F; Seibyl, J P; Covington, M F; Eshghi, N; Kuo, P H&lt;/Author&gt;&lt;Year&gt;2018&lt;/Year&gt;&lt;Details&gt;&lt;_accessed&gt;64867576&lt;/_accessed&gt;&lt;_accession_num&gt;30422768&lt;/_accession_num&gt;&lt;_author_adr&gt;From the Department of Medical Imaging, University of Arizona/Banner University  Medical Center, 1501 N Campbell Ave, PO Box 245067, Tucson, AZ 85724-5128  (T.F.L., N.E., P.H.K.); Institute for Neurodegenerative Disorders, New Haven,  Conn (J.P.S.); Mallinckrodt Institute of Radiology, Washington University School  of Medicine, St Louis, Mo (M.F.C.); and Departments of Medicine and Biomedical  Engineering, University of Arizona, Tucson, Ariz (P.H.K.).; From the Department of Medical Imaging, University of Arizona/Banner University  Medical Center, 1501 N Campbell Ave, PO Box 245067, Tucson, AZ 85724-5128  (T.F.L., N.E., P.H.K.); Institute for Neurodegenerative Disorders, New Haven,  Conn (J.P.S.); Mallinckrodt Institute of Radiology, Washington University School  of Medicine, St Louis, Mo (M.F.C.); and Departments of Medicine and Biomedical  Engineering, University of Arizona, Tucson, Ariz (P.H.K.).; From the Department of Medical Imaging, University of Arizona/Banner University  Medical Center, 1501 N Campbell Ave, PO Box 245067, Tucson, AZ 85724-5128  (T.F.L., N.E., P.H.K.); Institute for Neurodegenerative Disorders, New Haven,  Conn (J.P.S.); Mallinckrodt Institute of Radiology, Washington University School  of Medicine, St Louis, Mo (M.F.C.); and Departments of Medicine and Biomedical  Engineering, University of Arizona, Tucson, Ariz (P.H.K.).; From the Department of Medical Imaging, University of Arizona/Banner University  Medical Center, 1501 N Campbell Ave, PO Box 245067, Tucson, AZ 85724-5128  (T.F.L., N.E., P.H.K.); Institute for Neurodegenerative Disorders, New Haven,  Conn (J.P.S.); Mallinckrodt Institute of Radiology, Washington University School  of Medicine, St Louis, Mo (M.F.C.); and Departments of Medicine and Biomedical  Engineering, University of Arizona, Tucson, Ariz (P.H.K.).; From the Department of Medical Imaging, University of Arizona/Banner University  Medical Center, 1501 N Campbell Ave, PO Box 245067, Tucson, AZ 85724-5128  (T.F.L., N.E., P.H.K.); Institute for Neurodegenerative Disorders, New Haven,  Conn (J.P.S.); Mallinckrodt Institute of Radiology, Washington University School  of Medicine, St Louis, Mo (M.F.C.); and Departments of Medicine and Biomedical  Engineering, University of Arizona, Tucson, Ariz (P.H.K.).&lt;/_author_adr&gt;&lt;_collection_scope&gt;SCIE&lt;/_collection_scope&gt;&lt;_created&gt;64867572&lt;/_created&gt;&lt;_date&gt;2018-11-01&lt;/_date&gt;&lt;_date_display&gt;2018 Nov-Dec&lt;/_date_display&gt;&lt;_db_updated&gt;PubMed&lt;/_db_updated&gt;&lt;_doi&gt;10.1148/rg.2018180160&lt;/_doi&gt;&lt;_impact_factor&gt;   6.312&lt;/_impact_factor&gt;&lt;_isbn&gt;1527-1323 (Electronic); 0271-5333 (Linking)&lt;/_isbn&gt;&lt;_issue&gt;7&lt;/_issue&gt;&lt;_journal&gt;Radiographics&lt;/_journal&gt;&lt;_language&gt;eng&lt;/_language&gt;&lt;_modified&gt;64867576&lt;/_modified&gt;&lt;_pages&gt;2123-2133&lt;/_pages&gt;&lt;_social_category&gt;医学(2)&lt;/_social_category&gt;&lt;_subject_headings&gt;Algorithms; Alzheimer Disease/*diagnostic imaging; Amyloid beta-Peptides/*analysis; Amyloidosis/*diagnostic imaging; Artifacts; Fluorine Radioisotopes; Humans; Magnetic Resonance Imaging; Positron-Emission Tomography/*methods; Radiopharmaceuticals&lt;/_subject_headings&gt;&lt;_tertiary_title&gt;Radiographics : a review publication of the Radiological Society of North _x000d__x000a_      America, Inc&lt;/_tertiary_title&gt;&lt;_type_work&gt;Journal Article; Review; Video-Audio Media&lt;/_type_work&gt;&lt;_url&gt;http://www.ncbi.nlm.nih.gov/entrez/query.fcgi?cmd=Retrieve&amp;amp;db=pubmed&amp;amp;dopt=Abstract&amp;amp;list_uids=30422768&amp;amp;query_hl=1&lt;/_url&gt;&lt;_volume&gt;38&lt;/_volume&gt;&lt;/Details&gt;&lt;Extra&gt;&lt;DBUID&gt;{F96A950B-833F-4880-A151-76DA2D6A2879}&lt;/DBUID&gt;&lt;/Extra&gt;&lt;/Item&gt;&lt;/References&gt;&lt;/Group&gt;&lt;/Citation&gt;_x000a_"/>
    <w:docVar w:name="NE.Ref{0BB85E18-AF73-4C6D-BEF7-F3378A818761}" w:val=" ADDIN NE.Ref.{0BB85E18-AF73-4C6D-BEF7-F3378A818761}&lt;Citation&gt;&lt;Group&gt;&lt;References&gt;&lt;Item&gt;&lt;ID&gt;979&lt;/ID&gt;&lt;UID&gt;{E8476B29-B6B4-43DE-8CB9-BF10D806B78B}&lt;/UID&gt;&lt;Title&gt;Curcumin Ameliorates Memory Decline via Inhibiting BACE1 Expression and beta-Amyloid  Pathology in 5xFAD Transgenic Mice&lt;/Title&gt;&lt;Template&gt;Journal Article&lt;/Template&gt;&lt;Star&gt;0&lt;/Star&gt;&lt;Tag&gt;0&lt;/Tag&gt;&lt;Author&gt;Zheng, K; Dai, X; Xiao, N; Wu, X; Wei, Z; Fang, W; Zhu, Y; Zhang, J; Chen, X&lt;/Author&gt;&lt;Year&gt;2017&lt;/Year&gt;&lt;Details&gt;&lt;_accessed&gt;64867616&lt;/_accessed&gt;&lt;_accession_num&gt;26910813&lt;/_accession_num&gt;&lt;_author_adr&gt;Department of Neurology and Geriatrics, Fujian Institute of Geriatrics,  Affiliated Union Hospital of Fujian Medical University, 29 Xinquan Road, Fuzhou,  Fujian, 350001, People&amp;apos;s Republic of China.; Key Laboratory of Brain Aging and Neurodegenerative Diseases, Fujian Key  Laboratory of Molecular Neurology, Fujian Medical University, 29 Xinquan Road,  Fuzhou, 350001, China.; Department of Neurology, The First Affiliated Hospital of Xiamen University,  Xiamen, 361000, China.; Department of Neurology and Geriatrics, Fujian Institute of Geriatrics,  Affiliated Union Hospital of Fujian Medical University, 29 Xinquan Road, Fuzhou,  Fujian, 350001, People&amp;apos;s Republic of China.; Key Laboratory of Brain Aging and Neurodegenerative Diseases, Fujian Key  Laboratory of Molecular Neurology, Fujian Medical University, 29 Xinquan Road,  Fuzhou, 350001, China.; Key Laboratory of Brain Aging and Neurodegenerative Diseases, Fujian Key  Laboratory of Molecular Neurology, Fujian Medical University, 29 Xinquan Road,  Fuzhou, 350001, China.; Department of Neurology, The First Affiliated Hospital of Xiamen University,  Xiamen, 361000, China.; Key Laboratory of Brain Aging and Neurodegenerative Diseases, Fujian Key  Laboratory of Molecular Neurology, Fujian Medical University, 29 Xinquan Road,  Fuzhou, 350001, China.; Key Laboratory of Brain Aging and Neurodegenerative Diseases, Fujian Key  Laboratory of Molecular Neurology, Fujian Medical University, 29 Xinquan Road,  Fuzhou, 350001, China.; Key Laboratory of Brain Aging and Neurodegenerative Diseases, Fujian Key  Laboratory of Molecular Neurology, Fujian Medical University, 29 Xinquan Road,  Fuzhou, 350001, China.; Department of Neurology and Geriatrics, Fujian Institute of Geriatrics,  Affiliated Union Hospital of Fujian Medical University, 29 Xinquan Road, Fuzhou,  Fujian, 350001, People&amp;apos;s Republic of China.; Key Laboratory of Brain Aging and Neurodegenerative Diseases, Fujian Key  Laboratory of Molecular Neurology, Fujian Medical University, 29 Xinquan Road,  Fuzhou, 350001, China.; Department of Neurology and Geriatrics, Fujian Institute of Geriatrics,  Affiliated Union Hospital of Fujian Medical University, 29 Xinquan Road, Fuzhou,  Fujian, 350001, People&amp;apos;s Republic of China. drzj@163.com.; Key Laboratory of Brain Aging and Neurodegenerative Diseases, Fujian Key  Laboratory of Molecular Neurology, Fujian Medical University, 29 Xinquan Road,  Fuzhou, 350001, China. drzj@163.com.; Department of Neurology and Geriatrics, Fujian Institute of Geriatrics,  Affiliated Union Hospital of Fujian Medical University, 29 Xinquan Road, Fuzhou,  Fujian, 350001, People&amp;apos;s Republic of China. chenxc998@163.com.; Key Laboratory of Brain Aging and Neurodegenerative Diseases, Fujian Key  Laboratory of Molecular Neurology, Fujian Medical University, 29 Xinquan Road,  Fuzhou, 350001, China. chenxc998@163.com.&lt;/_author_adr&gt;&lt;_collection_scope&gt;SCIE&lt;/_collection_scope&gt;&lt;_created&gt;64867608&lt;/_created&gt;&lt;_date&gt;2017-04-01&lt;/_date&gt;&lt;_date_display&gt;2017 Apr&lt;/_date_display&gt;&lt;_db_updated&gt;PubMed&lt;/_db_updated&gt;&lt;_doi&gt;10.1007/s12035-016-9802-9&lt;/_doi&gt;&lt;_impact_factor&gt;   5.682&lt;/_impact_factor&gt;&lt;_isbn&gt;1559-1182 (Electronic); 0893-7648 (Linking)&lt;/_isbn&gt;&lt;_issue&gt;3&lt;/_issue&gt;&lt;_journal&gt;Mol Neurobiol&lt;/_journal&gt;&lt;_keywords&gt;Alzheimer&amp;apos;s disease (AD); Curcumin; beta-Amyloid protein (Abeta); beta-Site amyloid precursor protein cleavage enzyme 1 (BACE1)&lt;/_keywords&gt;&lt;_language&gt;eng&lt;/_language&gt;&lt;_modified&gt;64867616&lt;/_modified&gt;&lt;_pages&gt;1967-1977&lt;/_pages&gt;&lt;_social_category&gt;医学(2)&lt;/_social_category&gt;&lt;_subject_headings&gt;Amyloid Precursor Protein Secretases/*antagonists &amp;amp; _x000d__x000a_      inhibitors/*biosynthesis/genetics; Amyloid beta-Peptides/*antagonists &amp;amp; inhibitors/*metabolism; Animals; Anti-Inflammatory Agents, Non-Steroidal/pharmacology/therapeutic use; Aspartic Acid Endopeptidases/*antagonists &amp;amp; inhibitors/*biosynthesis/genetics; Curcumin/pharmacology/*therapeutic use; Gene Expression; Male; Memory Disorders/drug therapy/*metabolism/pathology; Mice; Mice, Inbred C57BL; Mice, Transgenic; Peptide Fragments/*antagonists &amp;amp; inhibitors/*metabolism&lt;/_subject_headings&gt;&lt;_tertiary_title&gt;Molecular neurobiology&lt;/_tertiary_title&gt;&lt;_type_work&gt;Journal Article; Research Support, Non-U.S. Gov&amp;apos;t&lt;/_type_work&gt;&lt;_url&gt;http://www.ncbi.nlm.nih.gov/entrez/query.fcgi?cmd=Retrieve&amp;amp;db=pubmed&amp;amp;dopt=Abstract&amp;amp;list_uids=26910813&amp;amp;query_hl=1&lt;/_url&gt;&lt;_volume&gt;54&lt;/_volume&gt;&lt;/Details&gt;&lt;Extra&gt;&lt;DBUID&gt;{F96A950B-833F-4880-A151-76DA2D6A2879}&lt;/DBUID&gt;&lt;/Extra&gt;&lt;/Item&gt;&lt;/References&gt;&lt;/Group&gt;&lt;/Citation&gt;_x000a_"/>
    <w:docVar w:name="NE.Ref{0D9D3D2F-BC0A-4A9C-867F-3972427BC7B9}" w:val=" ADDIN NE.Ref.{0D9D3D2F-BC0A-4A9C-867F-3972427BC7B9}&lt;Citation&gt;&lt;Group&gt;&lt;References&gt;&lt;Item&gt;&lt;ID&gt;956&lt;/ID&gt;&lt;UID&gt;{F63442E3-4EA9-4503-BF6C-B68E4AA4BAF9}&lt;/UID&gt;&lt;Title&gt;Age-Associated B Cells (ABCs) in the Prognosis, Diagnosis and Therapy of Systemic  Lupus Erythematosus (SLE)&lt;/Title&gt;&lt;Template&gt;Journal Article&lt;/Template&gt;&lt;Star&gt;0&lt;/Star&gt;&lt;Tag&gt;0&lt;/Tag&gt;&lt;Author&gt;Sachinidis, A; Xanthopoulos, K; Garyfallos, A&lt;/Author&gt;&lt;Year&gt;2020&lt;/Year&gt;&lt;Details&gt;&lt;_accessed&gt;64867576&lt;/_accessed&gt;&lt;_accession_num&gt;33163863&lt;/_accession_num&gt;&lt;_author_adr&gt;Department of Pharmacognosy-Pharmacology, School of Pharmacy, Aristotle  University of Thessaloniki, Thessaloniki, Greece.; Department of Pharmacognosy-Pharmacology, School of Pharmacy, Aristotle  University of Thessaloniki, Thessaloniki, Greece.; 4 Department of Internal Medicine, Hippokration General Hospital, School of  Medicine, Aristotle University of Thessaloniki, Thessaloniki, Greece.&lt;/_author_adr&gt;&lt;_created&gt;64867576&lt;/_created&gt;&lt;_date&gt;2020-09-01&lt;/_date&gt;&lt;_date_display&gt;2020 Sep&lt;/_date_display&gt;&lt;_db_updated&gt;PubMed&lt;/_db_updated&gt;&lt;_doi&gt;10.31138/mjr.31.3.311&lt;/_doi&gt;&lt;_isbn&gt;2529-198X (Electronic); 2529-198X (Linking)&lt;/_isbn&gt;&lt;_issue&gt;3&lt;/_issue&gt;&lt;_journal&gt;Mediterr J Rheumatol&lt;/_journal&gt;&lt;_keywords&gt;ABCs; DN2; SLE; T-bet; age-associated B cells; autoimmunity&lt;/_keywords&gt;&lt;_language&gt;eng&lt;/_language&gt;&lt;_modified&gt;64867576&lt;/_modified&gt;&lt;_ori_publication&gt;(c) 2020 The Mediterranean Journal of Rheumatology (MJR).&lt;/_ori_publication&gt;&lt;_pages&gt;311-318&lt;/_pages&gt;&lt;_tertiary_title&gt;Mediterranean journal of rheumatology&lt;/_tertiary_title&gt;&lt;_type_work&gt;Journal Article; Review&lt;/_type_work&gt;&lt;_url&gt;http://www.ncbi.nlm.nih.gov/entrez/query.fcgi?cmd=Retrieve&amp;amp;db=pubmed&amp;amp;dopt=Abstract&amp;amp;list_uids=33163863&amp;amp;query_hl=1&lt;/_url&gt;&lt;_volume&gt;31&lt;/_volume&gt;&lt;/Details&gt;&lt;Extra&gt;&lt;DBUID&gt;{F96A950B-833F-4880-A151-76DA2D6A2879}&lt;/DBUID&gt;&lt;/Extra&gt;&lt;/Item&gt;&lt;/References&gt;&lt;/Group&gt;&lt;/Citation&gt;_x000a_"/>
    <w:docVar w:name="NE.Ref{160A2416-2451-43A3-8B0A-E2BA67AE988F}" w:val=" ADDIN NE.Ref.{160A2416-2451-43A3-8B0A-E2BA67AE988F}&lt;Citation&gt;&lt;Group&gt;&lt;References&gt;&lt;Item&gt;&lt;ID&gt;1118&lt;/ID&gt;&lt;UID&gt;{5B946B1A-30C3-4441-93E3-45FED2F959E5}&lt;/UID&gt;&lt;Title&gt;Three-dimensional maximum probability atlas of the human brain, with particular  reference to the temporal lobe&lt;/Title&gt;&lt;Template&gt;Journal Article&lt;/Template&gt;&lt;Star&gt;0&lt;/Star&gt;&lt;Tag&gt;0&lt;/Tag&gt;&lt;Author&gt;Hammers, A; Allom, R; Koepp, M J; Free, S L; Myers, R; Lemieux, L; Mitchell, T N; Brooks, D J; Duncan, J S&lt;/Author&gt;&lt;Year&gt;2003&lt;/Year&gt;&lt;Details&gt;&lt;_accessed&gt;65967822&lt;/_accessed&gt;&lt;_accession_num&gt;12874777&lt;/_accession_num&gt;&lt;_author_adr&gt;MRC Clinical Sciences Centre and Division of Neuroscience, Faculty of Medicine,  Imperial College, Hammersmith Hospital, London, United Kingdom.&lt;/_author_adr&gt;&lt;_collection_scope&gt;SCIE&lt;/_collection_scope&gt;&lt;_created&gt;65967819&lt;/_created&gt;&lt;_date&gt;2003-08-01&lt;/_date&gt;&lt;_date_display&gt;2003 Aug&lt;/_date_display&gt;&lt;_db_updated&gt;PubMed&lt;/_db_updated&gt;&lt;_doi&gt;10.1002/hbm.10123&lt;/_doi&gt;&lt;_impact_factor&gt;   4.800&lt;/_impact_factor&gt;&lt;_isbn&gt;1065-9471 (Print); 1097-0193 (Electronic); 1065-9471 (Linking)&lt;/_isbn&gt;&lt;_issue&gt;4&lt;/_issue&gt;&lt;_journal&gt;Hum Brain Mapp&lt;/_journal&gt;&lt;_language&gt;eng&lt;/_language&gt;&lt;_modified&gt;65967822&lt;/_modified&gt;&lt;_ori_publication&gt;Copyright 2003 Wiley-Liss,Inc.&lt;/_ori_publication&gt;&lt;_pages&gt;224-47&lt;/_pages&gt;&lt;_social_category&gt;神经成像(2) &amp;amp; 神经科学(2) &amp;amp; 核医学(2)&lt;/_social_category&gt;&lt;_subject_headings&gt;Adult; Algorithms; Brain Mapping/*methods; Female; Humans; *Image Interpretation, Computer-Assisted; Magnetic Resonance Imaging/methods; Male; Reference Values; Stereotaxic Techniques; Temporal Lobe/*anatomy &amp;amp; histology&lt;/_subject_headings&gt;&lt;_tertiary_title&gt;Human brain mapping&lt;/_tertiary_title&gt;&lt;_type_work&gt;Journal Article; Research Support, Non-U.S. Gov&amp;apos;t&lt;/_type_work&gt;&lt;_url&gt;http://www.ncbi.nlm.nih.gov/entrez/query.fcgi?cmd=Retrieve&amp;amp;db=pubmed&amp;amp;dopt=Abstract&amp;amp;list_uids=12874777&amp;amp;query_hl=1&lt;/_url&gt;&lt;_volume&gt;19&lt;/_volume&gt;&lt;/Details&gt;&lt;Extra&gt;&lt;DBUID&gt;{F96A950B-833F-4880-A151-76DA2D6A2879}&lt;/DBUID&gt;&lt;/Extra&gt;&lt;/Item&gt;&lt;/References&gt;&lt;/Group&gt;&lt;/Citation&gt;_x000a_"/>
    <w:docVar w:name="NE.Ref{179F337B-C73E-4248-ABB4-7100342380E5}" w:val=" ADDIN NE.Ref.{179F337B-C73E-4248-ABB4-7100342380E5}&lt;Citation&gt;&lt;Group&gt;&lt;References&gt;&lt;Item&gt;&lt;ID&gt;966&lt;/ID&gt;&lt;UID&gt;{AB170943-EAB6-477F-95F2-0F72BAAF8C64}&lt;/UID&gt;&lt;Title&gt;Skull and vertebral bone marrow are myeloid cell reservoirs for the meninges and  CNS parenchyma&lt;/Title&gt;&lt;Template&gt;Journal Article&lt;/Template&gt;&lt;Star&gt;0&lt;/Star&gt;&lt;Tag&gt;0&lt;/Tag&gt;&lt;Author&gt;Cugurra, A; Mamuladze, T; Rustenhoven, J; Dykstra, T; Beroshvili, G; Greenberg, Z J; Baker, W; Papadopoulos, Z; Drieu, A; Blackburn, S; Kanamori, M; Brioschi, S; Herz, J; Schuettpelz, L G; Colonna, M; Smirnov, I; Kipnis, J&lt;/Author&gt;&lt;Year&gt;2021&lt;/Year&gt;&lt;Details&gt;&lt;_accession_num&gt;34083447&lt;/_accession_num&gt;&lt;_author_adr&gt;Gutenberg Research Fellowship Group of Neuroimmunology, Focus Program  Translational Neuroscience (FTN) and Immunotherapy (FZI), Rhine Main Neuroscience  Network (rmn), University Medical Center of the Johannes Gutenberg University  Mainz, Mainz, Germany.; Department of Neuroscience, School of Medicine, University of Virginia,  Charlottesville, VA,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Pathology and Immunology, Washington University in St. Louis, St.  Louis, MO, USA.; Department of Pathology and Immunology, Washington University in St. Louis, St.  Louis, MO, USA.; Gutenberg Research Fellowship Group of Neuroimmunology, Focus Program  Translational Neuroscience (FTN) and Immunotherapy (FZI), Rhine Main Neuroscience  Network (rmn), University Medical Center of the Johannes Gutenberg University  Mainz, Mainz, Germany. kipnis@wustl.edu.;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lt;/_author_adr&gt;&lt;_date_display&gt;2021 Jul 23&lt;/_date_display&gt;&lt;_date&gt;2021-07-23&lt;/_date&gt;&lt;_doi&gt;10.1126/science.abf7844&lt;/_doi&gt;&lt;_isbn&gt;1095-9203 (Electronic); 0036-8075 (Print); 0036-8075 (Linking)&lt;/_isbn&gt;&lt;_issue&gt;6553&lt;/_issue&gt;&lt;_journal&gt;Science&lt;/_journal&gt;&lt;_language&gt;eng&lt;/_language&gt;&lt;_ori_publication&gt;Copyright (c) 2021 The Authors, some rights reserved; exclusive licensee American _x000d__x000a_      Association for the Advancement of Science. No claim to original U.S. Government _x000d__x000a_      Works.&lt;/_ori_publication&gt;&lt;_subject_headings&gt;Animals; Bone Marrow/physiology; Bone Marrow Cells/*physiology; Brain/cytology/immunology/physiology; Cell Movement; Central Nervous System/cytology/*immunology; Central Nervous System Diseases/*immunology/pathology; Dura Mater/cytology/immunology/physiology; Encephalomyelitis, Autoimmune, Experimental/immunology/pathology; Homeostasis; Meninges/cytology/*immunology/physiology; Mice; Monocytes/physiology; Myeloid Cells/*physiology; Neutrophils/physiology; Skull/*anatomy &amp;amp; histology; Spinal Cord/cytology/immunology/physiology; Spinal Cord Injuries/immunology/pathology; Spine/*anatomy &amp;amp; histology&lt;/_subject_headings&gt;&lt;_tertiary_title&gt;Science (New York, N.Y.)&lt;/_tertiary_title&gt;&lt;_type_work&gt;Journal Article; Research Support, N.I.H., Extramural&lt;/_type_work&gt;&lt;_url&gt;http://www.ncbi.nlm.nih.gov/entrez/query.fcgi?cmd=Retrieve&amp;amp;db=pubmed&amp;amp;dopt=Abstract&amp;amp;list_uids=34083447&amp;amp;query_hl=1&lt;/_url&gt;&lt;_volume&gt;373&lt;/_volume&gt;&lt;_created&gt;64867581&lt;/_created&gt;&lt;_modified&gt;64867582&lt;/_modified&gt;&lt;_db_updated&gt;PubMed&lt;/_db_updated&gt;&lt;_impact_factor&gt;  63.714&lt;/_impact_factor&gt;&lt;_social_category&gt;综合性期刊(1)&lt;/_social_category&gt;&lt;_collection_scope&gt;SCIE&lt;/_collection_scope&gt;&lt;_accessed&gt;64867582&lt;/_accessed&gt;&lt;/Details&gt;&lt;Extra&gt;&lt;DBUID&gt;{F96A950B-833F-4880-A151-76DA2D6A2879}&lt;/DBUID&gt;&lt;/Extra&gt;&lt;/Item&gt;&lt;/References&gt;&lt;/Group&gt;&lt;/Citation&gt;_x000a_"/>
    <w:docVar w:name="NE.Ref{1DEB6E42-CDE4-41E4-A6E1-917E0B66560A}" w:val="NE.Data.1{1DEB6E42-CDE4-41E4-A6E1-917E0B66560A}=NE.Data.2{1DEB6E42-CDE4-41E4-A6E1-917E0B66560A}"/>
    <w:docVar w:name="NE.Ref{1E37E214-C3B1-4B78-AEFA-3426E2D8ADB0}" w:val=" ADDIN NE.Ref.{1E37E214-C3B1-4B78-AEFA-3426E2D8ADB0}&lt;Citation&gt;&lt;Group&gt;&lt;References&gt;&lt;Item&gt;&lt;ID&gt;988&lt;/ID&gt;&lt;UID&gt;{838607D8-032B-4526-8283-74FDC73D3555}&lt;/UID&gt;&lt;Title&gt;Age-specific population frequencies of cerebral beta-amyloidosis and  neurodegeneration among people with normal cognitive function aged 50-89 years: a  cross-sectional study&lt;/Title&gt;&lt;Template&gt;Journal Article&lt;/Template&gt;&lt;Star&gt;0&lt;/Star&gt;&lt;Tag&gt;0&lt;/Tag&gt;&lt;Author&gt;Jack, CR Jr; Wiste, H J; Weigand, S D; Rocca, W A; Knopman, D S; Mielke, M M; Lowe, V J; Senjem, M L; Gunter, J L; Preboske, G M; Pankratz, V S; Vemuri, P; Petersen, R C&lt;/Author&gt;&lt;Year&gt;2014&lt;/Year&gt;&lt;Details&gt;&lt;_accession_num&gt;25201514&lt;/_accession_num&gt;&lt;_author_adr&gt;Department of Radiology, Mayo Clinic and Foundation, Rochester, MN, USA.  Electronic address: jack.clifford@mayo.edu.; Department of Health Sciences Research, Mayo Clinic and Foundation, Rochester,  MN, USA.; Department of Health Sciences Research, Mayo Clinic and Foundation, Rochester,  MN, USA.; Department of Health Sciences Research, Mayo Clinic and Foundation, Rochester,  MN, USA; Department of Neurology, Mayo Clinic and Foundation, Rochester, MN, USA.; Department of Neurology, Mayo Clinic and Foundation, Rochester, MN, USA.; Department of Health Sciences Research, Mayo Clinic and Foundation, Rochester,  MN, USA.; Department of Radiology, Mayo Clinic and Foundation, Rochester, MN, USA.; Department of Radiology, Mayo Clinic and Foundation, Rochester, MN, USA.; Department of Radiology, Mayo Clinic and Foundation, Rochester, MN, USA.; Department of Radiology, Mayo Clinic and Foundation, Rochester, MN, USA.; Department of Health Sciences Research, Mayo Clinic and Foundation, Rochester,  MN, USA.; Department of Radiology, Mayo Clinic and Foundation, Rochester, MN, USA.; Department of Neurology, Mayo Clinic and Foundation, Rochester, MN, USA.&lt;/_author_adr&gt;&lt;_date_display&gt;2014 Oct&lt;/_date_display&gt;&lt;_date&gt;2014-10-01&lt;/_date&gt;&lt;_doi&gt;10.1016/S1474-4422(14)70194-2&lt;/_doi&gt;&lt;_isbn&gt;1474-4465 (Electronic); 1474-4422 (Print); 1474-4422 (Linking)&lt;/_isbn&gt;&lt;_issue&gt;10&lt;/_issue&gt;&lt;_journal&gt;Lancet Neurol&lt;/_journal&gt;&lt;_language&gt;eng&lt;/_language&gt;&lt;_ori_publication&gt;Copyright (c) 2014 Elsevier Ltd. All rights reserved.&lt;/_ori_publication&gt;&lt;_pages&gt;997-1005&lt;/_pages&gt;&lt;_subject_headings&gt;Age Distribution; Aged; Aged, 80 and over; Alzheimer Disease/epidemiology/psychology; Amyloidosis/diagnostic imaging/*epidemiology/*psychology; Aniline Compounds; Apolipoproteins E/genetics; Cognition/*physiology; Cohort Studies; Cross-Sectional Studies; DNA/genetics/isolation &amp;amp; purification; Educational Status; Female; Humans; Male; Middle Aged; Neurodegenerative Diseases/diagnostic imaging/*epidemiology/*psychology; Neuropsychological Tests; Positron-Emission Tomography; Radiopharmaceuticals; Thiazoles; Verbal Learning&lt;/_subject_headings&gt;&lt;_tertiary_title&gt;The Lancet. Neurology&lt;/_tertiary_title&gt;&lt;_type_work&gt;Journal Article; Research Support, N.I.H., Extramural; Research Support, Non-U.S. Gov&amp;apos;t&lt;/_type_work&gt;&lt;_url&gt;http://www.ncbi.nlm.nih.gov/entrez/query.fcgi?cmd=Retrieve&amp;amp;db=pubmed&amp;amp;dopt=Abstract&amp;amp;list_uids=25201514&amp;amp;query_hl=1&lt;/_url&gt;&lt;_volume&gt;13&lt;/_volume&gt;&lt;_created&gt;64867622&lt;/_created&gt;&lt;_modified&gt;64867623&lt;/_modified&gt;&lt;_db_updated&gt;PubMed&lt;/_db_updated&gt;&lt;_impact_factor&gt;  59.935&lt;/_impact_factor&gt;&lt;_social_category&gt;医学(1)&lt;/_social_category&gt;&lt;_collection_scope&gt;SCIE&lt;/_collection_scope&gt;&lt;_accessed&gt;64867623&lt;/_accessed&gt;&lt;/Details&gt;&lt;Extra&gt;&lt;DBUID&gt;{F96A950B-833F-4880-A151-76DA2D6A2879}&lt;/DBUID&gt;&lt;/Extra&gt;&lt;/Item&gt;&lt;/References&gt;&lt;/Group&gt;&lt;/Citation&gt;_x000a_"/>
    <w:docVar w:name="NE.Ref{284D8E55-1EE9-4BDA-8EF1-14E1A03BBE81}" w:val=" ADDIN NE.Ref.{284D8E55-1EE9-4BDA-8EF1-14E1A03BBE81}&lt;Citation&gt;&lt;Group&gt;&lt;References&gt;&lt;Item&gt;&lt;ID&gt;936&lt;/ID&gt;&lt;UID&gt;{78BAD045-2FB2-480C-B25B-3DCD974389B7}&lt;/UID&gt;&lt;Title&gt;How neuroinflammation contributes to neurodegeneration&lt;/Title&gt;&lt;Template&gt;Journal Article&lt;/Template&gt;&lt;Star&gt;0&lt;/Star&gt;&lt;Tag&gt;0&lt;/Tag&gt;&lt;Author&gt;Ransohoff, R M&lt;/Author&gt;&lt;Year&gt;2016&lt;/Year&gt;&lt;Details&gt;&lt;_accessed&gt;64933861&lt;/_accessed&gt;&lt;_accession_num&gt;27540165&lt;/_accession_num&gt;&lt;_author_adr&gt;Biogen, 225 Binney Street, Cambridge, MA 02142, USA.&lt;/_author_adr&gt;&lt;_collection_scope&gt;SCIE&lt;/_collection_scope&gt;&lt;_created&gt;64867556&lt;/_created&gt;&lt;_date&gt;2016-08-19&lt;/_date&gt;&lt;_date_display&gt;2016 Aug 19&lt;/_date_display&gt;&lt;_db_updated&gt;PubMed&lt;/_db_updated&gt;&lt;_doi&gt;10.1126/science.aag2590&lt;/_doi&gt;&lt;_impact_factor&gt;  63.714&lt;/_impact_factor&gt;&lt;_isbn&gt;1095-9203 (Electronic); 0036-8075 (Linking)&lt;/_isbn&gt;&lt;_issue&gt;6301&lt;/_issue&gt;&lt;_journal&gt;Science&lt;/_journal&gt;&lt;_language&gt;eng&lt;/_language&gt;&lt;_modified&gt;64933861&lt;/_modified&gt;&lt;_ori_publication&gt;Copyright (c) 2016, American Association for the Advancement of Science.&lt;/_ori_publication&gt;&lt;_pages&gt;777-83&lt;/_pages&gt;&lt;_social_category&gt;综合性期刊(1)&lt;/_social_category&gt;&lt;_subject_headings&gt;Blood-Brain Barrier/pathology/physiopathology; CX3C Chemokine Receptor 1; Humans; Inflammation/*complications/genetics/pathology; Membrane Glycoproteins/genetics; Microglia/*pathology/physiology; Neurodegenerative Diseases/*etiology/*pathology/therapy; Neurons/*pathology/physiology; Protein Aggregates; Receptors, Chemokine/genetics; Receptors, Immunologic/genetics&lt;/_subject_headings&gt;&lt;_tertiary_title&gt;Science (New York, N.Y.)&lt;/_tertiary_title&gt;&lt;_type_work&gt;Journal Article; Review&lt;/_type_work&gt;&lt;_url&gt;http://www.ncbi.nlm.nih.gov/entrez/query.fcgi?cmd=Retrieve&amp;amp;db=pubmed&amp;amp;dopt=Abstract&amp;amp;list_uids=27540165&amp;amp;query_hl=1&lt;/_url&gt;&lt;_volume&gt;353&lt;/_volume&gt;&lt;/Details&gt;&lt;Extra&gt;&lt;DBUID&gt;{F96A950B-833F-4880-A151-76DA2D6A2879}&lt;/DBUID&gt;&lt;/Extra&gt;&lt;/Item&gt;&lt;/References&gt;&lt;/Group&gt;&lt;/Citation&gt;_x000a_"/>
    <w:docVar w:name="NE.Ref{29F460E7-6420-4EB3-91B7-DACCD31D2570}" w:val=" ADDIN NE.Ref.{29F460E7-6420-4EB3-91B7-DACCD31D2570}&lt;Citation&gt;&lt;Group&gt;&lt;References&gt;&lt;Item&gt;&lt;ID&gt;953&lt;/ID&gt;&lt;UID&gt;{75369DE2-8AF1-41ED-94D2-B0B64BF1E57E}&lt;/UID&gt;&lt;Title&gt;Cerebrospinal fluid regulates skull bone marrow niches via direct access through  dural channels&lt;/Title&gt;&lt;Template&gt;Journal Article&lt;/Template&gt;&lt;Star&gt;0&lt;/Star&gt;&lt;Tag&gt;0&lt;/Tag&gt;&lt;Author&gt;Mazzitelli, J A; Smyth, LCD; Cross, K A; Dykstra, T; Sun, J; &amp;quot;Du S&amp;quot;; Mamuladze, T; Smirnov, I; Rustenhoven, J; Kipnis, J&lt;/Author&gt;&lt;Year&gt;2022&lt;/Year&gt;&lt;Details&gt;&lt;_accessed&gt;64867594&lt;/_accessed&gt;&lt;_accession_num&gt;35301477&lt;/_accession_num&gt;&lt;_author_adr&gt;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Neuroscience Graduate Program, Washington University School of Medicine, St.  Louis, MO, USA.; Department of Pathology and Immunology, Washington University School of Medicine,  St. Louis, MO, USA.; Center for Brain Immunology and Glia (BIG), Washington University School of  Medicine, St. Louis, MO, USA.; Center for Brain Immunology and Glia (BIG), Washington University School of  Medicine, St. Louis, MO, USA.; Department of Neurological Surgery, Washington University School of Medicine, St.  Louis, MO, USA.; 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Department of Pathology and Immunology, Washington University School of Medicine,  St. Louis, MO, USA. rustenhoven@wustl.edu.; Center for Brain Immunology and Glia (BIG), Washington University School of  Medicine, St. Louis, MO, USA. rustenhoven@wustl.edu.; Department of Pharmacology and Clinical Pharmacology, The University of Auckland,  Auckland, New Zealand. rustenhoven@wustl.edu.; Department of Pathology and Immunology, Washington University School of Medicine,  St. Louis, MO, USA. kipnis@wustl.edu.; Center for Brain Immunology and Glia (BIG), Washington University School of  Medicine, St. Louis, MO, USA. kipnis@wustl.edu.; Medical Scientist Training Program, Washington University School of Medicine, St.  Louis, MO, USA. kipnis@wustl.edu.; Neuroscience Graduate Program, Washington University School of Medicine, St.  Louis, MO, USA. kipnis@wustl.edu.; Department of Neurological Surgery, Washington University School of Medicine, St.  Louis, MO, USA. kipnis@wustl.edu.; Immunology Graduate Program, Washington University School of Medicine, St. Louis,  MO, USA. kipnis@wustl.edu.&lt;/_author_adr&gt;&lt;_collection_scope&gt;SCIE&lt;/_collection_scope&gt;&lt;_created&gt;64867571&lt;/_created&gt;&lt;_date&gt;2022-05-01&lt;/_date&gt;&lt;_date_display&gt;2022 May&lt;/_date_display&gt;&lt;_db_updated&gt;PubMed&lt;/_db_updated&gt;&lt;_doi&gt;10.1038/s41593-022-01029-1&lt;/_doi&gt;&lt;_impact_factor&gt;  28.771&lt;/_impact_factor&gt;&lt;_isbn&gt;1546-1726 (Electronic); 1097-6256 (Print); 1097-6256 (Linking)&lt;/_isbn&gt;&lt;_issue&gt;5&lt;/_issue&gt;&lt;_journal&gt;Nat Neurosci&lt;/_journal&gt;&lt;_language&gt;eng&lt;/_language&gt;&lt;_modified&gt;64867595&lt;/_modified&gt;&lt;_ori_publication&gt;(c) 2022. The Author(s), under exclusive licence to Springer Nature America, Inc.&lt;/_ori_publication&gt;&lt;_pages&gt;555-560&lt;/_pages&gt;&lt;_social_category&gt;医学(1)&lt;/_social_category&gt;&lt;_subject_headings&gt;*Bone Marrow/physiology; Cerebrospinal Fluid; Head; Meninges; Myeloid Cells/metabolism; *Skull&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5301477&amp;amp;query_hl=1&lt;/_url&gt;&lt;_volume&gt;25&lt;/_volume&gt;&lt;/Details&gt;&lt;Extra&gt;&lt;DBUID&gt;{F96A950B-833F-4880-A151-76DA2D6A2879}&lt;/DBUID&gt;&lt;/Extra&gt;&lt;/Item&gt;&lt;/References&gt;&lt;/Group&gt;&lt;Group&gt;&lt;References&gt;&lt;Item&gt;&lt;ID&gt;1061&lt;/ID&gt;&lt;UID&gt;{D78864D9-09E9-4B49-9761-3B0AB4E282C0}&lt;/UID&gt;&lt;Title&gt;Cerebrospinal fluid regulates skull bone marrow niches via direct access through  dural channels&lt;/Title&gt;&lt;Template&gt;Journal Article&lt;/Template&gt;&lt;Star&gt;0&lt;/Star&gt;&lt;Tag&gt;0&lt;/Tag&gt;&lt;Author&gt;Mazzitelli, J A; Smyth, LCD; Cross, K A; Dykstra, T; Sun, J; &amp;quot;Du S&amp;quot;; Mamuladze, T; Smirnov, I; Rustenhoven, J; Kipnis, J&lt;/Author&gt;&lt;Year&gt;2022&lt;/Year&gt;&lt;Details&gt;&lt;_accessed&gt;65613335&lt;/_accessed&gt;&lt;_accession_num&gt;35301477&lt;/_accession_num&gt;&lt;_author_adr&gt;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Neuroscience Graduate Program, Washington University School of Medicine, St.  Louis, MO, USA.; Department of Pathology and Immunology, Washington University School of Medicine,  St. Louis, MO, USA.; Center for Brain Immunology and Glia (BIG), Washington University School of  Medicine, St. Louis, MO, USA.; Center for Brain Immunology and Glia (BIG), Washington University School of  Medicine, St. Louis, MO, USA.; Department of Neurological Surgery, Washington University School of Medicine, St.  Louis, MO, USA.; 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Department of Pathology and Immunology, Washington University School of Medicine,  St. Louis, MO, USA. rustenhoven@wustl.edu.; Center for Brain Immunology and Glia (BIG), Washington University School of  Medicine, St. Louis, MO, USA. rustenhoven@wustl.edu.; Department of Pharmacology and Clinical Pharmacology, The University of Auckland,  Auckland, New Zealand. rustenhoven@wustl.edu.; Department of Pathology and Immunology, Washington University School of Medicine,  St. Louis, MO, USA. kipnis@wustl.edu.; Center for Brain Immunology and Glia (BIG), Washington University School of  Medicine, St. Louis, MO, USA. kipnis@wustl.edu.; Medical Scientist Training Program, Washington University School of Medicine, St.  Louis, MO, USA. kipnis@wustl.edu.; Neuroscience Graduate Program, Washington University School of Medicine, St.  Louis, MO, USA. kipnis@wustl.edu.; Department of Neurological Surgery, Washington University School of Medicine, St.  Louis, MO, USA. kipnis@wustl.edu.; Immunology Graduate Program, Washington University School of Medicine, St. Louis,  MO, USA. kipnis@wustl.edu.&lt;/_author_adr&gt;&lt;_collection_scope&gt;SCIE&lt;/_collection_scope&gt;&lt;_created&gt;65613204&lt;/_created&gt;&lt;_date&gt;2022-05-01&lt;/_date&gt;&lt;_date_display&gt;2022 May&lt;/_date_display&gt;&lt;_db_updated&gt;PubMed&lt;/_db_updated&gt;&lt;_doi&gt;10.1038/s41593-022-01029-1&lt;/_doi&gt;&lt;_impact_factor&gt;  25.000&lt;/_impact_factor&gt;&lt;_isbn&gt;1546-1726 (Electronic); 1097-6256 (Print); 1097-6256 (Linking)&lt;/_isbn&gt;&lt;_issue&gt;5&lt;/_issue&gt;&lt;_journal&gt;Nat Neurosci&lt;/_journal&gt;&lt;_language&gt;eng&lt;/_language&gt;&lt;_modified&gt;65613235&lt;/_modified&gt;&lt;_ori_publication&gt;(c) 2022. The Author(s), under exclusive licence to Springer Nature America, Inc.&lt;/_ori_publication&gt;&lt;_pages&gt;555-560&lt;/_pages&gt;&lt;_social_category&gt;神经科学(1)&lt;/_social_category&gt;&lt;_subject_headings&gt;*Bone Marrow/physiology; Cerebrospinal Fluid; Head; Meninges; Myeloid Cells/metabolism; *Skull&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5301477&amp;amp;query_hl=1&lt;/_url&gt;&lt;_volume&gt;25&lt;/_volume&gt;&lt;/Details&gt;&lt;Extra&gt;&lt;DBUID&gt;{F96A950B-833F-4880-A151-76DA2D6A2879}&lt;/DBUID&gt;&lt;/Extra&gt;&lt;/Item&gt;&lt;/References&gt;&lt;/Group&gt;&lt;/Citation&gt;_x000a_"/>
    <w:docVar w:name="NE.Ref{2BF28410-86B2-47A4-8AB0-6A90D082A964}" w:val=" ADDIN NE.Ref.{2BF28410-86B2-47A4-8AB0-6A90D082A964}&lt;Citation&gt;&lt;Group&gt;&lt;References&gt;&lt;Item&gt;&lt;ID&gt;942&lt;/ID&gt;&lt;UID&gt;{B6B5C294-71C8-4498-9242-223172C9A06F}&lt;/UID&gt;&lt;Title&gt;Clonally expanded CD8 T cells patrol the cerebrospinal fluid in Alzheimer&amp;apos;s  disease&lt;/Title&gt;&lt;Template&gt;Journal Article&lt;/Template&gt;&lt;Star&gt;0&lt;/Star&gt;&lt;Tag&gt;0&lt;/Tag&gt;&lt;Author&gt;Gate, D; Saligrama, N; Leventhal, O; Yang, A C; Unger, M S; Middeldorp, J; Chen, K; Lehallier, B; Channappa, D; De Los, Santos MB; McBride, A; Pluvinage, J; Elahi, F; Tam, G K; Kim, Y; Greicius, M; Wagner, A D; Aigner, L; Galasko, D R; Davis, M M; Wyss-Coray, T&lt;/Author&gt;&lt;Year&gt;2020&lt;/Year&gt;&lt;Details&gt;&lt;_accessed&gt;64867563&lt;/_accessed&gt;&lt;_accession_num&gt;31915375&lt;/_accession_num&gt;&lt;_author_adr&gt;Department of Neurology and Neurological Sciences, Stanford University School of  Medicine, Stanford, CA, USA. dgate@stanford.edu.; Veterans Administration Palo Alto Healthcare System, Palo Alto, CA, USA.  dgate@stanford.edu.; Department of Microbiology and Immunology, School of Medicine, Stanford  University, Stanford, CA, USA.; Department of Neurology and Neurological Sciences, Stanford University School of  Medicine, Stanford, CA, USA.; Department of Bioengineering, Stanford University, Stanford, CA, USA.; Chemistry, Engineering and Medicine for Human Health, Stanford University,  Stanford, CA, USA.; Institute of Molecular Regenerative Medicine, Paracelsus Medical University,  Salzburg, Austria.; Spinal Cord Injury and Tissue Regeneration Center Salzburg, Paracelsus Medical  University, Salzburg, Austria.; Department of Neurology and Neurological Sciences, Stanford University School of  Medicine, Stanford, CA, USA.; Veterans Administration Palo Alto Healthcare System, Palo Alto, CA, USA.; Department of Translational Neuroscience, University Medical Center Utrecht Brain  Center, Utrecht University, Utrecht, The Netherlands.; Department of Neurology and Neurological Sciences, Stanford University School of  Medicine, Stanford, CA, USA.; Department of Neurology and Neurological Sciences, Stanford University School of  Medicine, Stanford, CA, USA.; Veterans Administration Palo Alto Healthcare System, Palo Alto, CA, USA.; Department of Neurology and Neurological Sciences, Stanford University School of  Medicine, Stanford, CA, USA.; Department of Neurology and Neurological Sciences, Stanford University School of  Medicine, Stanford, CA, USA.; Department of Neurology and Neurological Sciences, Stanford University School of  Medicine, Stanford, CA, USA.; Veterans Administration Palo Alto Healthcare System, Palo Alto, CA, USA.; Department of Neurology and Neurological Sciences, Stanford University School of  Medicine, Stanford, CA, USA.; Medical Scientist Training Program, Stanford University School of Medicine,  Stanford, CA, USA.; Stem Cell Biology and Regenerative Medicine Graduate Program, Stanford University  School of Medicine, Stanford, CA, USA.; Department of Neurology, Memory and Aging Center, University of California at San  Francisco, San Francisco, CA, USA.; Department of Neurology and Neurological Sciences, Stanford University School of  Medicine, Stanford, CA, USA.; Functional Imaging in Neuropsychiatric Disorders Laboratory, Department of  Neurology and Neurological Sciences, Stanford University School of Medicine,  Stanford, CA, USA.; Department of Neurology and Neurological Sciences, Stanford University School of  Medicine, Stanford, CA, USA.; Functional Imaging in Neuropsychiatric Disorders Laboratory, Department of  Neurology and Neurological Sciences, Stanford University School of Medicine,  Stanford, CA, USA.; Department of Neurology and Neurological Sciences, Stanford University School of  Medicine, Stanford, CA, USA.; Functional Imaging in Neuropsychiatric Disorders Laboratory, Department of  Neurology and Neurological Sciences, Stanford University School of Medicine,  Stanford, CA, USA.; Department of Psychology, Stanford University, Stanford, CA, USA.; Wu Tsai Neurosciences Institute, Stanford University, Stanford, CA, USA.; Institute of Molecular Regenerative Medicine, Paracelsus Medical University,  Salzburg, Austria.; Spinal Cord Injury and Tissue Regeneration Center Salzburg, Paracelsus Medical  University, Salzburg, Austria.; Department of Neurosciences, University of California at San Diego, La Jolla, CA,  USA.; Department of Microbiology and Immunology, School of Medicine, Stanford  University, Stanford, CA, USA.; Institute for Immunity, Transplantation and Infection, Stanford University School  of Medicine, Stanford, CA, USA.; Howard Hughes Medical Institute, Stanford University School of Medicine,  Stanford, CA, USA.; Department of Neurology and Neurological Sciences, Stanford University School of  Medicine, Stanford, CA, USA. twc@stanford.edu.; Veterans Administration Palo Alto Healthcare System, Palo Alto, CA, USA.  twc@stanford.edu.; Chemistry, Engineering and Medicine for Human Health, Stanford University,  Stanford, CA, USA. twc@stanford.edu.; Wu Tsai Neurosciences Institute, Stanford University, Stanford, CA, USA.  twc@stanford.edu.; Paul F. Glenn Center for the Biology of Aging, Stanford University School of  Medicine, Stanford, CA, USA. twc@stanford.edu.&lt;/_author_adr&gt;&lt;_collection_scope&gt;SCIE&lt;/_collection_scope&gt;&lt;_created&gt;64867562&lt;/_created&gt;&lt;_date&gt;2020-01-01&lt;/_date&gt;&lt;_date_display&gt;2020 Jan&lt;/_date_display&gt;&lt;_db_updated&gt;PubMed&lt;/_db_updated&gt;&lt;_doi&gt;10.1038/s41586-019-1895-7&lt;/_doi&gt;&lt;_impact_factor&gt;  69.504&lt;/_impact_factor&gt;&lt;_isbn&gt;1476-4687 (Electronic); 0028-0836 (Print); 0028-0836 (Linking)&lt;/_isbn&gt;&lt;_issue&gt;7790&lt;/_issue&gt;&lt;_journal&gt;Nature&lt;/_journal&gt;&lt;_language&gt;eng&lt;/_language&gt;&lt;_modified&gt;64867563&lt;/_modified&gt;&lt;_pages&gt;399-404&lt;/_pages&gt;&lt;_social_category&gt;综合性期刊(1)&lt;/_social_category&gt;&lt;_subject_headings&gt;Aged; Alzheimer Disease/*immunology; Amino Acid Sequence; CD8-Positive T-Lymphocytes/*immunology; Cerebrospinal Fluid/*immunology; Cohort Studies; Humans; Immunologic Memory; Middle Aged; Receptors, Antigen, T-Cell/chemistry/immunology; Sequence Analysis, Protein&lt;/_subject_headings&gt;&lt;_tertiary_title&gt;Nature&lt;/_tertiary_title&gt;&lt;_type_work&gt;Journal Article&lt;/_type_work&gt;&lt;_url&gt;http://www.ncbi.nlm.nih.gov/entrez/query.fcgi?cmd=Retrieve&amp;amp;db=pubmed&amp;amp;dopt=Abstract&amp;amp;list_uids=31915375&amp;amp;query_hl=1&lt;/_url&gt;&lt;_volume&gt;577&lt;/_volume&gt;&lt;/Details&gt;&lt;Extra&gt;&lt;DBUID&gt;{F96A950B-833F-4880-A151-76DA2D6A2879}&lt;/DBUID&gt;&lt;/Extra&gt;&lt;/Item&gt;&lt;/References&gt;&lt;/Group&gt;&lt;/Citation&gt;_x000a_"/>
    <w:docVar w:name="NE.Ref{35E32D40-C7E4-4FF3-A72F-A252E02C5D40}" w:val=" ADDIN NE.Ref.{35E32D40-C7E4-4FF3-A72F-A252E02C5D40}&lt;Citation&gt;&lt;Group&gt;&lt;References&gt;&lt;Item&gt;&lt;ID&gt;984&lt;/ID&gt;&lt;UID&gt;{18E86A1D-A628-4CC4-BF73-2267309631B3}&lt;/UID&gt;&lt;Title&gt;Morris water maze: procedures for assessing spatial and related forms of learning  and memory&lt;/Title&gt;&lt;Template&gt;Journal Article&lt;/Template&gt;&lt;Star&gt;0&lt;/Star&gt;&lt;Tag&gt;0&lt;/Tag&gt;&lt;Author&gt;Vorhees, C V; Williams, M T&lt;/Author&gt;&lt;Year&gt;2006&lt;/Year&gt;&lt;Details&gt;&lt;_accessed&gt;64867614&lt;/_accessed&gt;&lt;_accession_num&gt;17406317&lt;/_accession_num&gt;&lt;_author_adr&gt;Division of Neurology (MLC 7044), Cincinnati Children&amp;apos;s Research Foundation and  Department of Pediatrics, University of Cincinnati College of Medicine, 3333  Burnet Ave., Cincinnati, OH 45229-3039, USA. charles.vorhees@cchmc.org&lt;/_author_adr&gt;&lt;_collection_scope&gt;SCIE&lt;/_collection_scope&gt;&lt;_created&gt;64867614&lt;/_created&gt;&lt;_date&gt;2006-01-20&lt;/_date&gt;&lt;_date_display&gt;2006&lt;/_date_display&gt;&lt;_db_updated&gt;PubMed&lt;/_db_updated&gt;&lt;_doi&gt;10.1038/nprot.2006.116&lt;/_doi&gt;&lt;_impact_factor&gt;  17.021&lt;/_impact_factor&gt;&lt;_isbn&gt;1750-2799 (Electronic); 1754-2189 (Print); 1750-2799 (Linking)&lt;/_isbn&gt;&lt;_issue&gt;2&lt;/_issue&gt;&lt;_journal&gt;Nat Protoc&lt;/_journal&gt;&lt;_language&gt;eng&lt;/_language&gt;&lt;_modified&gt;64867614&lt;/_modified&gt;&lt;_pages&gt;848-58&lt;/_pages&gt;&lt;_social_category&gt;生物学(1)&lt;/_social_category&gt;&lt;_subject_headings&gt;Animals; Cues; Maze Learning/*physiology; Memory/*physiology; Mice; Psychomotor Performance; Rats; Spatial Behavior/*physiology; Swimming/physiology; Water&lt;/_subject_headings&gt;&lt;_tertiary_title&gt;Nature protocols&lt;/_tertiary_title&gt;&lt;_type_work&gt;Journal Article; Research Support, N.I.H., Extramural&lt;/_type_work&gt;&lt;_url&gt;http://www.ncbi.nlm.nih.gov/entrez/query.fcgi?cmd=Retrieve&amp;amp;db=pubmed&amp;amp;dopt=Abstract&amp;amp;list_uids=17406317&amp;amp;query_hl=1&lt;/_url&gt;&lt;_volume&gt;1&lt;/_volume&gt;&lt;/Details&gt;&lt;Extra&gt;&lt;DBUID&gt;{F96A950B-833F-4880-A151-76DA2D6A2879}&lt;/DBUID&gt;&lt;/Extra&gt;&lt;/Item&gt;&lt;/References&gt;&lt;/Group&gt;&lt;/Citation&gt;_x000a_"/>
    <w:docVar w:name="NE.Ref{375BDE4A-24A9-4977-BEAB-BFAEDF3A10B4}" w:val=" ADDIN NE.Ref.{375BDE4A-24A9-4977-BEAB-BFAEDF3A10B4}&lt;Citation&gt;&lt;Group&gt;&lt;References&gt;&lt;Item&gt;&lt;ID&gt;950&lt;/ID&gt;&lt;UID&gt;{431D23C4-164A-4B78-AE5C-71BC0E89706A}&lt;/UID&gt;&lt;Title&gt;Brain-reactive autoantibodies prevalent in human sera increase intraneuronal  amyloid-beta(1-42) deposition&lt;/Title&gt;&lt;Template&gt;Journal Article&lt;/Template&gt;&lt;Star&gt;0&lt;/Star&gt;&lt;Tag&gt;0&lt;/Tag&gt;&lt;Author&gt;Nagele, R G; Clifford, P M; Siu, G; Levin, E C; Acharya, N K; Han, M; Kosciuk, M C; Venkataraman, V; Zavareh, S; Zarrabi, S; Kinsler, K; Thaker, N G; Nagele, E P; Dash, J; Wang, H Y; Levitas, A&lt;/Author&gt;&lt;Year&gt;2011&lt;/Year&gt;&lt;Details&gt;&lt;_accessed&gt;64867570&lt;/_accessed&gt;&lt;_accession_num&gt;21483091&lt;/_accession_num&gt;&lt;_author_adr&gt;New Jersey Institute for Successful Aging, University of Medicine and Dentistry  of New Jersey, Stratford, NJ 08084, USA. nagelero@umdnj.edu&lt;/_author_adr&gt;&lt;_collection_scope&gt;SCIE&lt;/_collection_scope&gt;&lt;_created&gt;64867569&lt;/_created&gt;&lt;_date&gt;2011-01-20&lt;/_date&gt;&lt;_date_display&gt;2011&lt;/_date_display&gt;&lt;_db_updated&gt;PubMed&lt;/_db_updated&gt;&lt;_doi&gt;10.3233/JAD-2011-110098&lt;/_doi&gt;&lt;_impact_factor&gt;   4.160&lt;/_impact_factor&gt;&lt;_isbn&gt;1875-8908 (Electronic); 1387-2877 (Linking)&lt;/_isbn&gt;&lt;_issue&gt;4&lt;/_issue&gt;&lt;_journal&gt;J Alzheimers Dis&lt;/_journal&gt;&lt;_language&gt;eng&lt;/_language&gt;&lt;_modified&gt;64867570&lt;/_modified&gt;&lt;_pages&gt;605-22&lt;/_pages&gt;&lt;_social_category&gt;医学(3)&lt;/_social_category&gt;&lt;_subject_headings&gt;Aged; Aged, 80 and over; Amyloid beta-Peptides/*metabolism; Animals; Autoantibodies/*blood; Blood-Brain Barrier; Blotting, Western; Brain/*immunology; Female; Humans; Image Processing, Computer-Assisted; Immunoglobulin G/metabolism; Immunohistochemistry; Male; Mice; Nerve Tissue Proteins/metabolism; Neurons/*metabolism; Organ Culture Techniques; Peptide Fragments/*metabolism; Pyramidal Cells/metabolism; Rats; Rats, Sprague-Dawley&lt;/_subject_headings&gt;&lt;_tertiary_title&gt;Journal of Alzheimer&amp;apos;s disease : JAD&lt;/_tertiary_title&gt;&lt;_type_work&gt;Journal Article; Research Support, Non-U.S. Gov&amp;apos;t&lt;/_type_work&gt;&lt;_url&gt;http://www.ncbi.nlm.nih.gov/entrez/query.fcgi?cmd=Retrieve&amp;amp;db=pubmed&amp;amp;dopt=Abstract&amp;amp;list_uids=21483091&amp;amp;query_hl=1&lt;/_url&gt;&lt;_volume&gt;25&lt;/_volume&gt;&lt;/Details&gt;&lt;Extra&gt;&lt;DBUID&gt;{F96A950B-833F-4880-A151-76DA2D6A2879}&lt;/DBUID&gt;&lt;/Extra&gt;&lt;/Item&gt;&lt;/References&gt;&lt;/Group&gt;&lt;/Citation&gt;_x000a_"/>
    <w:docVar w:name="NE.Ref{39D33169-A347-4432-85CD-9C16DE7580EA}" w:val=" ADDIN NE.Ref.{39D33169-A347-4432-85CD-9C16DE7580EA}&lt;Citation&gt;&lt;Group&gt;&lt;References&gt;&lt;Item&gt;&lt;ID&gt;964&lt;/ID&gt;&lt;UID&gt;{2CC87708-DCD3-414C-AFE6-F3D3951EDDA4}&lt;/UID&gt;&lt;Title&gt;Direct vascular channels connect skull bone marrow and the brain surface enabling  myeloid cell migration&lt;/Title&gt;&lt;Template&gt;Journal Article&lt;/Template&gt;&lt;Star&gt;0&lt;/Star&gt;&lt;Tag&gt;0&lt;/Tag&gt;&lt;Author&gt;Herisson, F; Frodermann, V; Courties, G; Rohde, D; Sun, Y; Vandoorne, K; Wojtkiewicz, G R; Masson, G S; Vinegoni, C; Kim, J; Kim, D E; Weissleder, R; Swirski, F K; Moskowitz, M A; Nahrendorf, M&lt;/Author&gt;&lt;Year&gt;2018&lt;/Year&gt;&lt;Details&gt;&lt;_accessed&gt;64867613&lt;/_accessed&gt;&lt;_accession_num&gt;30150661&lt;/_accession_num&gt;&lt;_author_adr&gt;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Molecular Imaging and Neurovascular Research Laboratory, Department of Neurology,  Dongguk University College of Medicine, Goyang, South Korea.; Molecular Imaging and Neurovascular Research Laboratory, Department of Neurology,  Dongguk University College of Medicine, Goyang, South Korea.; Center for Systems Biology, Department of Imaging, Massachusetts General Hospital  and Harvard Medical School, Boston, MA, USA.; Department of Systems Biology, Harvard Medical School, Boston, MA, USA.; Center for Systems Biology, Department of Imaging, Massachusetts General Hospital  and Harvard Medical School, Boston, MA, USA.; Stroke and Neurovascular Regulation Laboratory, Departments of Radiology and  Neurology, Massachusetts General Hospital and Harvard Medical School, Boston, MA,  USA.; Center for Systems Biology, Department of Imaging, Massachusetts General Hospital  and Harvard Medical School, Boston, MA, USA. mnahrendorf@mgh.harvard.edu.; Cardiovascular Research Center, Massachusetts General Hospital and Harvard  Medical School, Boston, MA, USA. mnahrendorf@mgh.harvard.edu.&lt;/_author_adr&gt;&lt;_collection_scope&gt;SCIE&lt;/_collection_scope&gt;&lt;_created&gt;64867580&lt;/_created&gt;&lt;_date&gt;2018-09-01&lt;/_date&gt;&lt;_date_display&gt;2018 Sep&lt;/_date_display&gt;&lt;_db_updated&gt;PubMed&lt;/_db_updated&gt;&lt;_doi&gt;10.1038/s41593-018-0213-2&lt;/_doi&gt;&lt;_impact_factor&gt;  28.771&lt;/_impact_factor&gt;&lt;_isbn&gt;1546-1726 (Electronic); 1097-6256 (Print); 1097-6256 (Linking)&lt;/_isbn&gt;&lt;_issue&gt;9&lt;/_issue&gt;&lt;_journal&gt;Nat Neurosci&lt;/_journal&gt;&lt;_language&gt;eng&lt;/_language&gt;&lt;_modified&gt;64867613&lt;/_modified&gt;&lt;_pages&gt;1209-1217&lt;/_pages&gt;&lt;_social_category&gt;医学(1)&lt;/_social_category&gt;&lt;_subject_headings&gt;Adult; Animals; Bone Marrow/*physiology/ultrastructure; Cell Movement/*physiology; Female; Humans; Inflammation/pathology; Male; Meningitis, Aseptic/pathology; Mice; Mice, Inbred C57BL; Middle Aged; Myeloid Cells/*physiology/ultrastructure; Neutrophils; Skull/cytology/*physiology/ultrastructure; Stroke/pathology; Tibia/physiology/ultrastructure; Tomography, X-Ray Computed&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0150661&amp;amp;query_hl=1&lt;/_url&gt;&lt;_volume&gt;21&lt;/_volume&gt;&lt;/Details&gt;&lt;Extra&gt;&lt;DBUID&gt;{F96A950B-833F-4880-A151-76DA2D6A2879}&lt;/DBUID&gt;&lt;/Extra&gt;&lt;/Item&gt;&lt;/References&gt;&lt;/Group&gt;&lt;/Citation&gt;_x000a_"/>
    <w:docVar w:name="NE.Ref{3D19BAA6-3AFC-4311-8B2A-7576E5AC0A19}" w:val=" ADDIN NE.Ref.{3D19BAA6-3AFC-4311-8B2A-7576E5AC0A19}&lt;Citation&gt;&lt;Group&gt;&lt;References&gt;&lt;Item&gt;&lt;ID&gt;937&lt;/ID&gt;&lt;UID&gt;{E82A5BFC-C9FA-4EF7-A593-77615A19887D}&lt;/UID&gt;&lt;Title&gt;The TREM2-APOE Pathway Drives the Transcriptional Phenotype of Dysfunctional  Microglia in Neurodegenerative Diseases&lt;/Title&gt;&lt;Template&gt;Journal Article&lt;/Template&gt;&lt;Star&gt;0&lt;/Star&gt;&lt;Tag&gt;0&lt;/Tag&gt;&lt;Author&gt;Krasemann, S; Madore, C; Cialic, R; Baufeld, C; Calcagno, N; El, Fatimy R; Beckers, L; O&amp;apos;Loughlin, E; Xu, Y; Fanek, Z; Greco, D J; Smith, S T; Tweet, G; Humulock, Z; Zrzavy, T; Conde-Sanroman, P; Gacias, M; Weng, Z; Chen, H; Tjon, E; Mazaheri, F; Hartmann, K; Madi, A; Ulrich, J D; Glatzel, M; Worthmann, A; Heeren, J; Budnik, B; Lemere, C; Ikezu, T; Heppner, F L; Litvak, V; Holtzman, D M; Lassmann, H; Weiner, H L; Ochando, J; Haass, C; Butovsky, O&lt;/Author&gt;&lt;Year&gt;2017&lt;/Year&gt;&lt;Details&gt;&lt;_accessed&gt;64933881&lt;/_accessed&gt;&lt;_accession_num&gt;28930663&lt;/_accession_num&gt;&lt;_author_adr&gt;Ann Romney Center for Neurologic Diseases, Department of Neurology, Brigham and  Women&amp;apos;s Hospital, Harvard Medical School, Boston, MA, USA; Institute of  Neuropathology, University Medical Center Hamburg-Eppendorf, Hamburg, Germany.;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Department of Microbiology and Physiological Systems, University of Massachusetts  Medical School, Worcester,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Center for Brain Research, Medical University of Vienna, Vienna, Austria.; Department of Medicine, Icahn School of Medicine at Mount Sinai, NY, USA.; Department of Medicine, Icahn School of Medicine at Mount Sinai, NY, USA.; Department of Biochemistry and Molecular Pharmacology, University of  Massachusetts Medical School, Worcester, MA, USA.; Department of Biochemistry and Molecular Pharmacology, University of  Massachusetts Medical School, Worcester, MA, USA.; Ann Romney Center for Neurologic Diseases, Department of Neurology, Brigham and  Women&amp;apos;s Hospital, Harvard Medical School, Boston, MA, USA.; German Center for Neurodegenerative Diseases, Munich, Germany.; Institute of Neuropathology, University Medical Center Hamburg-Eppendorf,  Hamburg, Germany.; Ann Romney Center for Neurologic Diseases, Department of Neurology, Brigham and  Women&amp;apos;s Hospital, Harvard Medical School, Boston, MA, USA.; Department of Neurology, Hope Center for Neurological Disorders, Knight  Alzheimer&amp;apos;s Disease Research Center, Washington University School of Medicine,  St. Louis, USA.; Institute of Neuropathology, University Medical Center Hamburg-Eppendorf,  Hamburg, Germany.; Department of Biochemistry and Molecular Cell Biology, University Medical Center  Hamburg-Eppendorf, Hamburg, Germany.; Department of Biochemistry and Molecular Cell Biology, University Medical Center  Hamburg-Eppendorf, Hamburg, Germany.; Mass Spectrometry and Proteomics Resource Laboratory, Faculty of Arts and  Sciences Division of Science, Harvard University, Cambridge MA, USA.; Ann Romney Center for Neurologic Diseases, Department of Neurology, Brigham and  Women&amp;apos;s Hospital, Harvard Medical School, Boston, MA, USA.; Department of Pharmacology and Experimental Therapeutics and Department of  Neurology, Boston University School of Medicine, MA, USA.; Department of Neuropathology, Charite-Universitatsmedizin Berlin, Berlin,  Germany; Cluster of Excellence, NeuroCure, Chariteplatz 1, 10117 Berlin, Germany.; Department of Microbiology and Physiological Systems, University of Massachusetts  Medical School, Worcester, MA, USA.; Department of Neurology, Hope Center for Neurological Disorders, Knight  Alzheimer&amp;apos;s Disease Research Center, Washington University School of Medicine,  St. Louis, USA.; Center for Brain Research, Medical University of Vienna, Vienna, Austria.; Ann Romney Center for Neurologic Diseases, Department of Neurology, Brigham and  Women&amp;apos;s Hospital, Harvard Medical School, Boston, MA, USA; Evergrande Center for  Immunologic Diseases, Brigham and Women&amp;apos;s Hospital, Harvard Medical School,  Boston, MA, USA.; Department of Medicine, Icahn School of Medicine at Mount Sinai, NY, USA.; German Center for Neurodegenerative Diseases, Munich, Germany; Biomedical Center,  Biochemistry, Ludwig-Maximilians-Universitat Munich, Munich, Germany; Munich  Cluster for Systems Neurology, Munich, Germany.; Ann Romney Center for Neurologic Diseases, Department of Neurology, Brigham and  Women&amp;apos;s Hospital, Harvard Medical School, Boston, MA, USA; Evergrande Center for  Immunologic Diseases, Brigham and Women&amp;apos;s Hospital, Harvard Medical School,  Boston, MA, USA. Electronic address: obutovsky@rics.bwh.harvard.edu.&lt;/_author_adr&gt;&lt;_collection_scope&gt;SCIE&lt;/_collection_scope&gt;&lt;_created&gt;64867560&lt;/_created&gt;&lt;_date&gt;2017-09-19&lt;/_date&gt;&lt;_date_display&gt;2017 Sep 19&lt;/_date_display&gt;&lt;_db_updated&gt;PubMed&lt;/_db_updated&gt;&lt;_doi&gt;10.1016/j.immuni.2017.08.008&lt;/_doi&gt;&lt;_impact_factor&gt;  43.474&lt;/_impact_factor&gt;&lt;_isbn&gt;1097-4180 (Electronic); 1074-7613 (Print); 1074-7613 (Linking)&lt;/_isbn&gt;&lt;_issue&gt;3&lt;/_issue&gt;&lt;_journal&gt;Immunity&lt;/_journal&gt;&lt;_keywords&gt;APOE; Alzheimer&amp;apos;s disease; TREM2; amyotrophic lateral sclerosis; microglia; multiple sclerosis; neurodegeneration; transcriptional regulation&lt;/_keywords&gt;&lt;_language&gt;eng&lt;/_language&gt;&lt;_modified&gt;64933881&lt;/_modified&gt;&lt;_ori_publication&gt;Copyright (c) 2017 Elsevier Inc. All rights reserved.&lt;/_ori_publication&gt;&lt;_pages&gt;566-581.e9&lt;/_pages&gt;&lt;_social_category&gt;医学(1)&lt;/_social_category&gt;&lt;_subject_headings&gt;Alzheimer Disease/genetics/metabolism/pathology; Amyloid beta-Peptides/metabolism; Amyloid beta-Protein Precursor/metabolism; Animals; Apolipoproteins E/deficiency/genetics/*metabolism; Apoptosis/genetics/immunology; Cerebral Cortex/metabolism/pathology; Cluster Analysis; Disease Models, Animal; Encephalomyelitis, Autoimmune, Experimental; Female; Gene Expression Profiling; Gene Expression Regulation; Gene Targeting; Humans; Immune Tolerance; Membrane Glycoproteins/*metabolism; Mice; Mice, Knockout; Mice, Transgenic; Microglia/immunology/*metabolism; Monocytes/immunology/metabolism; Neurodegenerative Diseases/*genetics/immunology/*metabolism; Neurons/metabolism; Phagocytosis/genetics/immunology; Phenotype; Plaque, Amyloid/metabolism/pathology; Receptors, Immunologic/*metabolism; *Signal Transduction; Superoxide Dismutase-1/genetics/metabolism; *Transcriptome; Transforming Growth Factor beta/metabolism&lt;/_subject_headings&gt;&lt;_tertiary_title&gt;Immunity&lt;/_tertiary_title&gt;&lt;_type_work&gt;Journal Article; Research Support, N.I.H., Extramural; Research Support, Non-U.S. Gov&amp;apos;t; Research Support, U.S. Gov&amp;apos;t, Non-P.H.S.&lt;/_type_work&gt;&lt;_url&gt;http://www.ncbi.nlm.nih.gov/entrez/query.fcgi?cmd=Retrieve&amp;amp;db=pubmed&amp;amp;dopt=Abstract&amp;amp;list_uids=28930663&amp;amp;query_hl=1&lt;/_url&gt;&lt;_volume&gt;47&lt;/_volume&gt;&lt;/Details&gt;&lt;Extra&gt;&lt;DBUID&gt;{F96A950B-833F-4880-A151-76DA2D6A2879}&lt;/DBUID&gt;&lt;/Extra&gt;&lt;/Item&gt;&lt;/References&gt;&lt;/Group&gt;&lt;Group&gt;&lt;References&gt;&lt;Item&gt;&lt;ID&gt;938&lt;/ID&gt;&lt;UID&gt;{86935657-68CB-482F-A227-D1F9148CCF33}&lt;/UID&gt;&lt;Title&gt;Microglia modulate neurodegeneration in Alzheimer&amp;apos;s and Parkinson&amp;apos;s diseases&lt;/Title&gt;&lt;Template&gt;Journal Article&lt;/Template&gt;&lt;Star&gt;0&lt;/Star&gt;&lt;Tag&gt;0&lt;/Tag&gt;&lt;Author&gt;Bartels, T; De Schepper, S; Hong, S&lt;/Author&gt;&lt;Year&gt;2020&lt;/Year&gt;&lt;Details&gt;&lt;_accessed&gt;64867561&lt;/_accessed&gt;&lt;_accession_num&gt;33004513&lt;/_accession_num&gt;&lt;_author_adr&gt;UK Dementia Research Institute, Institute of Neurology, University College  London, London WC1E 6BT, UK.; UK Dementia Research Institute, Institute of Neurology, University College  London, London WC1E 6BT, UK.; UK Dementia Research Institute, Institute of Neurology, University College  London, London WC1E 6BT, UK. soyon.hong@ucl.ac.uk.&lt;/_author_adr&gt;&lt;_collection_scope&gt;SCIE&lt;/_collection_scope&gt;&lt;_created&gt;64867560&lt;/_created&gt;&lt;_date&gt;2020-10-02&lt;/_date&gt;&lt;_date_display&gt;2020 Oct 2&lt;/_date_display&gt;&lt;_db_updated&gt;PubMed&lt;/_db_updated&gt;&lt;_doi&gt;10.1126/science.abb8587&lt;/_doi&gt;&lt;_impact_factor&gt;  63.714&lt;/_impact_factor&gt;&lt;_isbn&gt;1095-9203 (Electronic); 0036-8075 (Linking)&lt;/_isbn&gt;&lt;_issue&gt;6512&lt;/_issue&gt;&lt;_journal&gt;Science&lt;/_journal&gt;&lt;_language&gt;eng&lt;/_language&gt;&lt;_modified&gt;64867561&lt;/_modified&gt;&lt;_ori_publication&gt;Copyright (c) 2020, American Association for the Advancement of Science.&lt;/_ori_publication&gt;&lt;_pages&gt;66-69&lt;/_pages&gt;&lt;_social_category&gt;综合性期刊(1)&lt;/_social_category&gt;&lt;_subject_headings&gt;Alzheimer Disease/*pathology; Amyloid/*metabolism; Animals; Cell Communication; Humans; Macrophages/*metabolism; Mice; Microglia/*metabolism; Neurons/metabolism; Parkinson Disease/*pathology; Synapses/*pathology; Synaptosomes/pathology; alpha-Synuclein/metabolism&lt;/_subject_headings&gt;&lt;_tertiary_title&gt;Science (New York, N.Y.)&lt;/_tertiary_title&gt;&lt;_type_work&gt;Journal Article; Research Support, N.I.H., Extramural; Research Support, Non-U.S. Gov&amp;apos;t; Review&lt;/_type_work&gt;&lt;_url&gt;http://www.ncbi.nlm.nih.gov/entrez/query.fcgi?cmd=Retrieve&amp;amp;db=pubmed&amp;amp;dopt=Abstract&amp;amp;list_uids=33004513&amp;amp;query_hl=1&lt;/_url&gt;&lt;_volume&gt;370&lt;/_volume&gt;&lt;/Details&gt;&lt;Extra&gt;&lt;DBUID&gt;{F96A950B-833F-4880-A151-76DA2D6A2879}&lt;/DBUID&gt;&lt;/Extra&gt;&lt;/Item&gt;&lt;/References&gt;&lt;/Group&gt;&lt;Group&gt;&lt;References&gt;&lt;Item&gt;&lt;ID&gt;995&lt;/ID&gt;&lt;UID&gt;{6295F7B8-A607-4FDA-99E2-5B80C2752DAC}&lt;/UID&gt;&lt;Title&gt;A Unique Microglia Type Associated with Restricting Development of Alzheimer&amp;apos;s  Disease&lt;/Title&gt;&lt;Template&gt;Journal Article&lt;/Template&gt;&lt;Star&gt;0&lt;/Star&gt;&lt;Tag&gt;0&lt;/Tag&gt;&lt;Author&gt;Keren-Shaul, H; Spinrad, A; Weiner, A; Matcovitch-Natan, O; Dvir-Szternfeld, R; Ulland, T K; David, E; Baruch, K; Lara-Astaiso, D; Toth, B; Itzkovitz, S; Colonna, M; Schwartz, M; Amit, I&lt;/Author&gt;&lt;Year&gt;2017&lt;/Year&gt;&lt;Details&gt;&lt;_accessed&gt;64933882&lt;/_accessed&gt;&lt;_accession_num&gt;28602351&lt;/_accession_num&gt;&lt;_author_adr&gt;Department of Immunology, Weizmann Institute of Science, Rehovot 7610001, Israel.; Department of Immunology, Weizmann Institute of Science, Rehovot 7610001, Israel;  Department of Neurobiology, Weizmann Institute of Science, Rehovot 7610001,  Israel.; Department of Immunology, Weizmann Institute of Science, Rehovot 7610001, Israel;  Hubrecht Institute-KNAW (Royal Netherlands Academy of Arts and Sciences), and  University Medical Center, Cancer Genomics Netherlands, 3584 CG Utrecht, the  Netherlands. Electronic address: assaf.weiner@weizmann.ac.il.; Department of Immunology, Weizmann Institute of Science, Rehovot 7610001, Israel;  Department of Neurobiology, Weizmann Institute of Science, Rehovot 7610001,  Israel.; Department of Neurobiology, Weizmann Institute of Science, Rehovot 7610001,  Israel.; Department of Pathology and Immunology, Washington University School of Medicine,  St. Louis, MO 63110, USA.; Department of Immunology, Weizmann Institute of Science, Rehovot 7610001, Israel.; Department of Neurobiology, Weizmann Institute of Science, Rehovot 7610001,  Israel.; Department of Immunology, Weizmann Institute of Science, Rehovot 7610001, Israel.; Department of Molecular Cell Biology, Weizmann Institute of Science, Rehovot  7610001, Israel.; Department of Molecular Cell Biology, Weizmann Institute of Science, Rehovot  7610001, Israel.; Department of Pathology and Immunology, Washington University School of Medicine,  St. Louis, MO 63110, USA.; Department of Neurobiology, Weizmann Institute of Science, Rehovot 7610001,  Israel. Electronic address: michal.schwartz@weizmann.ac.il.; Department of Immunology, Weizmann Institute of Science, Rehovot 7610001, Israel.  Electronic address: ido.amit@weizmann.ac.il.&lt;/_author_adr&gt;&lt;_collection_scope&gt;SCIE&lt;/_collection_scope&gt;&lt;_created&gt;64933856&lt;/_created&gt;&lt;_date&gt;2017-06-15&lt;/_date&gt;&lt;_date_display&gt;2017 Jun 15&lt;/_date_display&gt;&lt;_db_updated&gt;PubMed&lt;/_db_updated&gt;&lt;_doi&gt;10.1016/j.cell.2017.05.018&lt;/_doi&gt;&lt;_impact_factor&gt;  66.850&lt;/_impact_factor&gt;&lt;_isbn&gt;1097-4172 (Electronic); 0092-8674 (Linking)&lt;/_isbn&gt;&lt;_issue&gt;7&lt;/_issue&gt;&lt;_journal&gt;Cell&lt;/_journal&gt;&lt;_keywords&gt;Alzheimer&amp;apos;s disease; immunology; microglia; single cell RNA-seq; systems biology&lt;/_keywords&gt;&lt;_language&gt;eng&lt;/_language&gt;&lt;_modified&gt;64933882&lt;/_modified&gt;&lt;_ori_publication&gt;Copyright (c) 2017 Elsevier Inc. All rights reserved.&lt;/_ori_publication&gt;&lt;_pages&gt;1276-1290.e17&lt;/_pages&gt;&lt;_social_category&gt;生物学(1)&lt;/_social_category&gt;&lt;_subject_headings&gt;Alzheimer Disease/genetics/*immunology/*pathology; Animals; Humans; Mice; Mice, Transgenic; Microglia/metabolism/*pathology; Neurodegenerative Diseases/genetics/immunology/pathology; Phagocytes/metabolism/*pathology; Receptors, Immunologic/metabolism; Sequence Analysis, RNA; Single-Cell Analysis&lt;/_subject_headings&gt;&lt;_tertiary_title&gt;Cell&lt;/_tertiary_title&gt;&lt;_type_work&gt;Journal Article&lt;/_type_work&gt;&lt;_url&gt;http://www.ncbi.nlm.nih.gov/entrez/query.fcgi?cmd=Retrieve&amp;amp;db=pubmed&amp;amp;dopt=Abstract&amp;amp;list_uids=28602351&amp;amp;query_hl=1&lt;/_url&gt;&lt;_volume&gt;169&lt;/_volume&gt;&lt;/Details&gt;&lt;Extra&gt;&lt;DBUID&gt;{F96A950B-833F-4880-A151-76DA2D6A2879}&lt;/DBUID&gt;&lt;/Extra&gt;&lt;/Item&gt;&lt;/References&gt;&lt;/Group&gt;&lt;Group&gt;&lt;References&gt;&lt;Item&gt;&lt;ID&gt;996&lt;/ID&gt;&lt;UID&gt;{C402A02F-B32B-4BCC-A048-533D09532125}&lt;/UID&gt;&lt;Title&gt;Concerted type I interferon signaling in microglia and neural cells promotes  memory impairment associated with amyloid beta plaques&lt;/Title&gt;&lt;Template&gt;Journal Article&lt;/Template&gt;&lt;Star&gt;0&lt;/Star&gt;&lt;Tag&gt;0&lt;/Tag&gt;&lt;Author&gt;Roy, E R; Chiu, G; Li, S; Propson, N E; Kanchi, R; Wang, B; Coarfa, C; Zheng, H; Cao, W&lt;/Author&gt;&lt;Year&gt;2022&lt;/Year&gt;&lt;Details&gt;&lt;_accessed&gt;64933878&lt;/_accessed&gt;&lt;_accession_num&gt;35443157&lt;/_accession_num&gt;&lt;_author_adr&gt;Huffington Center on Aging, Baylor College of Medicine, Houston, TX 77030, USA.; Huffington Center on Aging, Baylor College of Medicine, Houston, TX 77030, USA.; Huffington Center on Aging, Baylor College of Medicine, Houston, TX 77030, USA.; Huffington Center on Aging, Baylor College of Medicine, Houston, TX 77030, USA.; Department of Molecular and Cellular Biology and Dan L. Duncan Comprehensive  Cancer Center, Baylor College of Medicine, Houston, TX 77030, USA.; Huffington Center on Aging, Baylor College of Medicine, Houston, TX 77030, USA.; Department of Molecular and Cellular Biology and Dan L. Duncan Comprehensive  Cancer Center, Baylor College of Medicine, Houston, TX 77030, USA.; Huffington Center on Aging, Baylor College of Medicine, Houston, TX 77030, USA;  Department of Molecular and Human Genetics, Baylor College of Medicine, Houston,  TX 77030, USA.; Huffington Center on Aging, Baylor College of Medicine, Houston, TX 77030, USA;  Department of Molecular and Human Genetics, Baylor College of Medicine, Houston,  TX 77030, USA. Electronic address: wei.cao@uth.tmc.edu.&lt;/_author_adr&gt;&lt;_collection_scope&gt;SCIE&lt;/_collection_scope&gt;&lt;_created&gt;64933856&lt;/_created&gt;&lt;_date&gt;2022-05-10&lt;/_date&gt;&lt;_date_display&gt;2022 May 10&lt;/_date_display&gt;&lt;_db_updated&gt;PubMed&lt;/_db_updated&gt;&lt;_doi&gt;10.1016/j.immuni.2022.03.018&lt;/_doi&gt;&lt;_impact_factor&gt;  43.474&lt;/_impact_factor&gt;&lt;_isbn&gt;1097-4180 (Electronic); 1074-7613 (Print); 1074-7613 (Linking)&lt;/_isbn&gt;&lt;_issue&gt;5&lt;/_issue&gt;&lt;_journal&gt;Immunity&lt;/_journal&gt;&lt;_keywords&gt;Alzheimer&amp;apos;s disease; interferon; memory impairment; microglia; neuroinflammation; synapse&lt;/_keywords&gt;&lt;_language&gt;eng&lt;/_language&gt;&lt;_modified&gt;64933878&lt;/_modified&gt;&lt;_ori_publication&gt;Copyright (c) 2022 Elsevier Inc. All rights reserved.&lt;/_ori_publication&gt;&lt;_pages&gt;879-894.e6&lt;/_pages&gt;&lt;_social_category&gt;医学(1)&lt;/_social_category&gt;&lt;_subject_headings&gt;*Alzheimer Disease/metabolism; Amyloid beta-Peptides/metabolism; Amyloid beta-Protein Precursor/metabolism; Animals; Disease Models, Animal; Immunity, Innate; *Interferon Type I/metabolism; Memory Disorders/metabolism; Mice; Mice, Transgenic; Microglia/metabolism; Plaque, Amyloid/metabolism&lt;/_subject_headings&gt;&lt;_tertiary_title&gt;Immunity&lt;/_tertiary_title&gt;&lt;_type_work&gt;Journal Article; Research Support, N.I.H., Extramural; Research Support, Non-U.S. Gov&amp;apos;t&lt;/_type_work&gt;&lt;_url&gt;http://www.ncbi.nlm.nih.gov/entrez/query.fcgi?cmd=Retrieve&amp;amp;db=pubmed&amp;amp;dopt=Abstract&amp;amp;list_uids=35443157&amp;amp;query_hl=1&lt;/_url&gt;&lt;_volume&gt;55&lt;/_volume&gt;&lt;/Details&gt;&lt;Extra&gt;&lt;DBUID&gt;{F96A950B-833F-4880-A151-76DA2D6A2879}&lt;/DBUID&gt;&lt;/Extra&gt;&lt;/Item&gt;&lt;/References&gt;&lt;/Group&gt;&lt;/Citation&gt;_x000a_"/>
    <w:docVar w:name="NE.Ref{42EA2CA7-5C4E-4531-B83B-09E8B781A143}" w:val=" ADDIN NE.Ref.{42EA2CA7-5C4E-4531-B83B-09E8B781A143}&lt;Citation&gt;&lt;Group&gt;&lt;References&gt;&lt;Item&gt;&lt;ID&gt;935&lt;/ID&gt;&lt;UID&gt;{27C58768-9CA5-498A-A8D4-17B1D3C4339D}&lt;/UID&gt;&lt;Title&gt;Brain beta-amyloid measures and magnetic resonance imaging atrophy both predict  time-to-progression from mild cognitive impairment to Alzheimer&amp;apos;s disease&lt;/Title&gt;&lt;Template&gt;Journal Article&lt;/Template&gt;&lt;Star&gt;0&lt;/Star&gt;&lt;Tag&gt;0&lt;/Tag&gt;&lt;Author&gt;Jack, CR Jr; Wiste, H J; Vemuri, P; Weigand, S D; Senjem, M L; Zeng, G; Bernstein, M A; Gunter, J L; Pankratz, V S; Aisen, P S; Weiner, M W; Petersen, R C; Shaw, L M; Trojanowski, J Q; Knopman, D S&lt;/Author&gt;&lt;Year&gt;2010&lt;/Year&gt;&lt;Details&gt;&lt;_accessed&gt;64867554&lt;/_accessed&gt;&lt;_accession_num&gt;20935035&lt;/_accession_num&gt;&lt;_author_adr&gt;Department of Radiology, Mayo Clinic and Foundation, 200 First Street SW,  Rochester, MN 55905, USA. jack.clifford@mayo.edu&lt;/_author_adr&gt;&lt;_collection_scope&gt;SCIE&lt;/_collection_scope&gt;&lt;_created&gt;64867545&lt;/_created&gt;&lt;_date&gt;2010-11-01&lt;/_date&gt;&lt;_date_display&gt;2010 Nov&lt;/_date_display&gt;&lt;_db_updated&gt;PubMed&lt;/_db_updated&gt;&lt;_doi&gt;10.1093/brain/awq277&lt;/_doi&gt;&lt;_impact_factor&gt;  15.255&lt;/_impact_factor&gt;&lt;_isbn&gt;1460-2156 (Electronic); 0006-8950 (Print); 0006-8950 (Linking)&lt;/_isbn&gt;&lt;_issue&gt;11&lt;/_issue&gt;&lt;_journal&gt;Brain&lt;/_journal&gt;&lt;_language&gt;eng&lt;/_language&gt;&lt;_modified&gt;64867550&lt;/_modified&gt;&lt;_pages&gt;3336-48&lt;/_pages&gt;&lt;_social_category&gt;医学(1)&lt;/_social_category&gt;&lt;_subject_headings&gt;Aged; Aged, 80 and over; Alzheimer Disease/*metabolism/*pathology/psychology; *Amyloid beta-Peptides/physiology; Atrophy; Brain/*metabolism/*pathology; Cognition Disorders/metabolism/*pathology/psychology; *Disease Progression; Female; Follow-Up Studies; Humans; *Magnetic Resonance Imaging; Male; Predictive Value of Tests; Time Factors&lt;/_subject_headings&gt;&lt;_tertiary_title&gt;Brain : a journal of neurology&lt;/_tertiary_title&gt;&lt;_type_work&gt;Comparative Study; Journal Article; Research Support, N.I.H., Extramural&lt;/_type_work&gt;&lt;_url&gt;http://www.ncbi.nlm.nih.gov/entrez/query.fcgi?cmd=Retrieve&amp;amp;db=pubmed&amp;amp;dopt=Abstract&amp;amp;list_uids=20935035&amp;amp;query_hl=1&lt;/_url&gt;&lt;_volume&gt;133&lt;/_volume&gt;&lt;/Details&gt;&lt;Extra&gt;&lt;DBUID&gt;{F96A950B-833F-4880-A151-76DA2D6A2879}&lt;/DBUID&gt;&lt;/Extra&gt;&lt;/Item&gt;&lt;/References&gt;&lt;/Group&gt;&lt;/Citation&gt;_x000a_"/>
    <w:docVar w:name="NE.Ref{44A304EA-6F32-4956-8340-57584AF5A854}" w:val=" ADDIN NE.Ref.{44A304EA-6F32-4956-8340-57584AF5A854}&lt;Citation&gt;&lt;Group&gt;&lt;References&gt;&lt;Item&gt;&lt;ID&gt;1061&lt;/ID&gt;&lt;UID&gt;{D78864D9-09E9-4B49-9761-3B0AB4E282C0}&lt;/UID&gt;&lt;Title&gt;Cerebrospinal fluid regulates skull bone marrow niches via direct access through  dural channels&lt;/Title&gt;&lt;Template&gt;Journal Article&lt;/Template&gt;&lt;Star&gt;0&lt;/Star&gt;&lt;Tag&gt;0&lt;/Tag&gt;&lt;Author&gt;Mazzitelli, J A; Smyth, LCD; Cross, K A; Dykstra, T; Sun, J; &amp;quot;Du S&amp;quot;; Mamuladze, T; Smirnov, I; Rustenhoven, J; Kipnis, J&lt;/Author&gt;&lt;Year&gt;2022&lt;/Year&gt;&lt;Details&gt;&lt;_accessed&gt;65613335&lt;/_accessed&gt;&lt;_accession_num&gt;35301477&lt;/_accession_num&gt;&lt;_author_adr&gt;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Neuroscience Graduate Program, Washington University School of Medicine, St.  Louis, MO, USA.; Department of Pathology and Immunology, Washington University School of Medicine,  St. Louis, MO, USA.; Center for Brain Immunology and Glia (BIG), Washington University School of  Medicine, St. Louis, MO, USA.; Center for Brain Immunology and Glia (BIG), Washington University School of  Medicine, St. Louis, MO, USA.; Department of Neurological Surgery, Washington University School of Medicine, St.  Louis, MO, USA.; 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Department of Pathology and Immunology, Washington University School of Medicine,  St. Louis, MO, USA. rustenhoven@wustl.edu.; Center for Brain Immunology and Glia (BIG), Washington University School of  Medicine, St. Louis, MO, USA. rustenhoven@wustl.edu.; Department of Pharmacology and Clinical Pharmacology, The University of Auckland,  Auckland, New Zealand. rustenhoven@wustl.edu.; Department of Pathology and Immunology, Washington University School of Medicine,  St. Louis, MO, USA. kipnis@wustl.edu.; Center for Brain Immunology and Glia (BIG), Washington University School of  Medicine, St. Louis, MO, USA. kipnis@wustl.edu.; Medical Scientist Training Program, Washington University School of Medicine, St.  Louis, MO, USA. kipnis@wustl.edu.; Neuroscience Graduate Program, Washington University School of Medicine, St.  Louis, MO, USA. kipnis@wustl.edu.; Department of Neurological Surgery, Washington University School of Medicine, St.  Louis, MO, USA. kipnis@wustl.edu.; Immunology Graduate Program, Washington University School of Medicine, St. Louis,  MO, USA. kipnis@wustl.edu.&lt;/_author_adr&gt;&lt;_collection_scope&gt;SCIE&lt;/_collection_scope&gt;&lt;_created&gt;65613204&lt;/_created&gt;&lt;_date&gt;2022-05-01&lt;/_date&gt;&lt;_date_display&gt;2022 May&lt;/_date_display&gt;&lt;_db_updated&gt;PubMed&lt;/_db_updated&gt;&lt;_doi&gt;10.1038/s41593-022-01029-1&lt;/_doi&gt;&lt;_impact_factor&gt;  25.000&lt;/_impact_factor&gt;&lt;_isbn&gt;1546-1726 (Electronic); 1097-6256 (Print); 1097-6256 (Linking)&lt;/_isbn&gt;&lt;_issue&gt;5&lt;/_issue&gt;&lt;_journal&gt;Nat Neurosci&lt;/_journal&gt;&lt;_language&gt;eng&lt;/_language&gt;&lt;_modified&gt;65613235&lt;/_modified&gt;&lt;_ori_publication&gt;(c) 2022. The Author(s), under exclusive licence to Springer Nature America, Inc.&lt;/_ori_publication&gt;&lt;_pages&gt;555-560&lt;/_pages&gt;&lt;_social_category&gt;神经科学(1)&lt;/_social_category&gt;&lt;_subject_headings&gt;*Bone Marrow/physiology; Cerebrospinal Fluid; Head; Meninges; Myeloid Cells/metabolism; *Skull&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5301477&amp;amp;query_hl=1&lt;/_url&gt;&lt;_volume&gt;25&lt;/_volume&gt;&lt;/Details&gt;&lt;Extra&gt;&lt;DBUID&gt;{F96A950B-833F-4880-A151-76DA2D6A2879}&lt;/DBUID&gt;&lt;/Extra&gt;&lt;/Item&gt;&lt;/References&gt;&lt;/Group&gt;&lt;/Citation&gt;_x000a_"/>
    <w:docVar w:name="NE.Ref{453B417C-EB48-4826-BC3F-730AFFD6DB03}" w:val=" ADDIN NE.Ref.{453B417C-EB48-4826-BC3F-730AFFD6DB03}&lt;Citation&gt;&lt;Group&gt;&lt;References&gt;&lt;Item&gt;&lt;ID&gt;988&lt;/ID&gt;&lt;UID&gt;{838607D8-032B-4526-8283-74FDC73D3555}&lt;/UID&gt;&lt;Title&gt;Age-specific population frequencies of cerebral beta-amyloidosis and  neurodegeneration among people with normal cognitive function aged 50-89 years: a  cross-sectional study&lt;/Title&gt;&lt;Template&gt;Journal Article&lt;/Template&gt;&lt;Star&gt;0&lt;/Star&gt;&lt;Tag&gt;0&lt;/Tag&gt;&lt;Author&gt;Jack, CR Jr; Wiste, H J; Weigand, S D; Rocca, W A; Knopman, D S; Mielke, M M; Lowe, V J; Senjem, M L; Gunter, J L; Preboske, G M; Pankratz, V S; Vemuri, P; Petersen, R C&lt;/Author&gt;&lt;Year&gt;2014&lt;/Year&gt;&lt;Details&gt;&lt;_accession_num&gt;25201514&lt;/_accession_num&gt;&lt;_author_adr&gt;Department of Radiology, Mayo Clinic and Foundation, Rochester, MN, USA.  Electronic address: jack.clifford@mayo.edu.; Department of Health Sciences Research, Mayo Clinic and Foundation, Rochester,  MN, USA.; Department of Health Sciences Research, Mayo Clinic and Foundation, Rochester,  MN, USA.; Department of Health Sciences Research, Mayo Clinic and Foundation, Rochester,  MN, USA; Department of Neurology, Mayo Clinic and Foundation, Rochester, MN, USA.; Department of Neurology, Mayo Clinic and Foundation, Rochester, MN, USA.; Department of Health Sciences Research, Mayo Clinic and Foundation, Rochester,  MN, USA.; Department of Radiology, Mayo Clinic and Foundation, Rochester, MN, USA.; Department of Radiology, Mayo Clinic and Foundation, Rochester, MN, USA.; Department of Radiology, Mayo Clinic and Foundation, Rochester, MN, USA.; Department of Radiology, Mayo Clinic and Foundation, Rochester, MN, USA.; Department of Health Sciences Research, Mayo Clinic and Foundation, Rochester,  MN, USA.; Department of Radiology, Mayo Clinic and Foundation, Rochester, MN, USA.; Department of Neurology, Mayo Clinic and Foundation, Rochester, MN, USA.&lt;/_author_adr&gt;&lt;_date_display&gt;2014 Oct&lt;/_date_display&gt;&lt;_date&gt;2014-10-01&lt;/_date&gt;&lt;_doi&gt;10.1016/S1474-4422(14)70194-2&lt;/_doi&gt;&lt;_isbn&gt;1474-4465 (Electronic); 1474-4422 (Print); 1474-4422 (Linking)&lt;/_isbn&gt;&lt;_issue&gt;10&lt;/_issue&gt;&lt;_journal&gt;Lancet Neurol&lt;/_journal&gt;&lt;_language&gt;eng&lt;/_language&gt;&lt;_ori_publication&gt;Copyright (c) 2014 Elsevier Ltd. All rights reserved.&lt;/_ori_publication&gt;&lt;_pages&gt;997-1005&lt;/_pages&gt;&lt;_subject_headings&gt;Age Distribution; Aged; Aged, 80 and over; Alzheimer Disease/epidemiology/psychology; Amyloidosis/diagnostic imaging/*epidemiology/*psychology; Aniline Compounds; Apolipoproteins E/genetics; Cognition/*physiology; Cohort Studies; Cross-Sectional Studies; DNA/genetics/isolation &amp;amp; purification; Educational Status; Female; Humans; Male; Middle Aged; Neurodegenerative Diseases/diagnostic imaging/*epidemiology/*psychology; Neuropsychological Tests; Positron-Emission Tomography; Radiopharmaceuticals; Thiazoles; Verbal Learning&lt;/_subject_headings&gt;&lt;_tertiary_title&gt;The Lancet. Neurology&lt;/_tertiary_title&gt;&lt;_type_work&gt;Journal Article; Research Support, N.I.H., Extramural; Research Support, Non-U.S. Gov&amp;apos;t&lt;/_type_work&gt;&lt;_url&gt;http://www.ncbi.nlm.nih.gov/entrez/query.fcgi?cmd=Retrieve&amp;amp;db=pubmed&amp;amp;dopt=Abstract&amp;amp;list_uids=25201514&amp;amp;query_hl=1&lt;/_url&gt;&lt;_volume&gt;13&lt;/_volume&gt;&lt;_created&gt;64867622&lt;/_created&gt;&lt;_modified&gt;64867623&lt;/_modified&gt;&lt;_db_updated&gt;PubMed&lt;/_db_updated&gt;&lt;_impact_factor&gt;  59.935&lt;/_impact_factor&gt;&lt;_social_category&gt;医学(1)&lt;/_social_category&gt;&lt;_collection_scope&gt;SCIE&lt;/_collection_scope&gt;&lt;_accessed&gt;64867623&lt;/_accessed&gt;&lt;/Details&gt;&lt;Extra&gt;&lt;DBUID&gt;{F96A950B-833F-4880-A151-76DA2D6A2879}&lt;/DBUID&gt;&lt;/Extra&gt;&lt;/Item&gt;&lt;/References&gt;&lt;/Group&gt;&lt;/Citation&gt;_x000a_"/>
    <w:docVar w:name="NE.Ref{4B79EE80-20CE-4CE5-B838-C8399F2C1277}" w:val=" ADDIN NE.Ref.{4B79EE80-20CE-4CE5-B838-C8399F2C1277}&lt;Citation&gt;&lt;Group&gt;&lt;References&gt;&lt;Item&gt;&lt;ID&gt;971&lt;/ID&gt;&lt;UID&gt;{D496D6C7-514F-48DF-8B09-1DD3B44A0B8B}&lt;/UID&gt;&lt;Title&gt;Cellular niches controlling B lymphocyte behavior within bone marrow during  development&lt;/Title&gt;&lt;Template&gt;Journal Article&lt;/Template&gt;&lt;Star&gt;0&lt;/Star&gt;&lt;Tag&gt;0&lt;/Tag&gt;&lt;Author&gt;Tokoyoda, K; Egawa, T; Sugiyama, T; Choi, B I; Nagasawa, T&lt;/Author&gt;&lt;Year&gt;2004&lt;/Year&gt;&lt;Details&gt;&lt;_accessed&gt;64867590&lt;/_accessed&gt;&lt;_accession_num&gt;15189736&lt;/_accession_num&gt;&lt;_author_adr&gt;Department of Medical Systems Control, Institute for Frontier Medical Sciences,  Kyoto University, 53 Kawahara-cho, Shogoin, Sakyo-ku, Kyoto 606-8507, Japan.&lt;/_author_adr&gt;&lt;_collection_scope&gt;SCIE&lt;/_collection_scope&gt;&lt;_created&gt;64867589&lt;/_created&gt;&lt;_date&gt;2004-06-01&lt;/_date&gt;&lt;_date_display&gt;2004 Jun&lt;/_date_display&gt;&lt;_db_updated&gt;PubMed&lt;/_db_updated&gt;&lt;_doi&gt;10.1016/j.immuni.2004.05.001&lt;/_doi&gt;&lt;_impact_factor&gt;  43.474&lt;/_impact_factor&gt;&lt;_isbn&gt;1074-7613 (Print); 1074-7613 (Linking)&lt;/_isbn&gt;&lt;_issue&gt;6&lt;/_issue&gt;&lt;_journal&gt;Immunity&lt;/_journal&gt;&lt;_language&gt;eng&lt;/_language&gt;&lt;_modified&gt;64867590&lt;/_modified&gt;&lt;_pages&gt;707-18&lt;/_pages&gt;&lt;_social_category&gt;医学(1)&lt;/_social_category&gt;&lt;_subject_headings&gt;Animals; B-Lymphocytes/*cytology/metabolism; Bone Marrow Cells/*cytology; Cell Adhesion; Cell Adhesion Molecules/metabolism; *Cell Differentiation; Cell Movement; Cells, Cultured; Chemokine CXCL12; Chemokines, CXC/genetics/metabolism; Gene Deletion; Interleukin-7/metabolism; Ligands; Mice; Mice, Transgenic; Multipotent Stem Cells; Receptor, Notch1; Receptors, Cell Surface/metabolism; Stromal Cells/metabolism; *Transcription Factors&lt;/_subject_headings&gt;&lt;_tertiary_title&gt;Immunity&lt;/_tertiary_title&gt;&lt;_type_work&gt;Journal Article; Research Support, Non-U.S. Gov&amp;apos;t&lt;/_type_work&gt;&lt;_url&gt;http://www.ncbi.nlm.nih.gov/entrez/query.fcgi?cmd=Retrieve&amp;amp;db=pubmed&amp;amp;dopt=Abstract&amp;amp;list_uids=15189736&amp;amp;query_hl=1&lt;/_url&gt;&lt;_volume&gt;20&lt;/_volume&gt;&lt;/Details&gt;&lt;Extra&gt;&lt;DBUID&gt;{F96A950B-833F-4880-A151-76DA2D6A2879}&lt;/DBUID&gt;&lt;/Extra&gt;&lt;/Item&gt;&lt;/References&gt;&lt;/Group&gt;&lt;Group&gt;&lt;References&gt;&lt;Item&gt;&lt;ID&gt;972&lt;/ID&gt;&lt;UID&gt;{4B37D51D-9475-4092-8EE4-1EF6AF3E2E0F}&lt;/UID&gt;&lt;Title&gt;Galectin-1-expressing stromal cells constitute a specific niche for pre-BII cell  development in mouse bone marrow&lt;/Title&gt;&lt;Template&gt;Journal Article&lt;/Template&gt;&lt;Star&gt;0&lt;/Star&gt;&lt;Tag&gt;0&lt;/Tag&gt;&lt;Author&gt;Mourcin, F; Breton, C; Tellier, J; Narang, P; Chasson, L; Jorquera, A; Coles, M; Schiff, C; Mancini, S J&lt;/Author&gt;&lt;Year&gt;2011&lt;/Year&gt;&lt;Details&gt;&lt;_accessed&gt;64867591&lt;/_accessed&gt;&lt;_accession_num&gt;21511956&lt;/_accession_num&gt;&lt;_author_adr&gt;Centre d&amp;apos;Immunologie de Marseille-Luminy, Aix Marseille University, Faculte des  Sciences de Luminy, Marseille, France;&lt;/_author_adr&gt;&lt;_collection_scope&gt;SCIE&lt;/_collection_scope&gt;&lt;_created&gt;64867590&lt;/_created&gt;&lt;_date&gt;2011-06-16&lt;/_date&gt;&lt;_date_display&gt;2011 Jun 16&lt;/_date_display&gt;&lt;_db_updated&gt;PubMed&lt;/_db_updated&gt;&lt;_doi&gt;10.1182/blood-2010-12-323113&lt;/_doi&gt;&lt;_impact_factor&gt;  25.476&lt;/_impact_factor&gt;&lt;_isbn&gt;1528-0020 (Electronic); 0006-4971 (Linking)&lt;/_isbn&gt;&lt;_issue&gt;24&lt;/_issue&gt;&lt;_journal&gt;Blood&lt;/_journal&gt;&lt;_language&gt;eng&lt;/_language&gt;&lt;_modified&gt;64867591&lt;/_modified&gt;&lt;_pages&gt;6552-61&lt;/_pages&gt;&lt;_social_category&gt;医学(1)&lt;/_social_category&gt;&lt;_subject_headings&gt;Animals; *Bone Marrow/metabolism/physiology; Bone Marrow Cells/cytology/metabolism/physiology; Cell Differentiation/immunology; Cells, Cultured; Galectin 1/*metabolism; Green Fluorescent Proteins/genetics; Interleukin-7/metabolism; Mice; Mice, Inbred C57BL; Mice, Transgenic; Pre-B Cell Receptors/metabolism; Precursor Cells, B-Lymphoid/cytology/metabolism/*physiology; Stem Cell Niche/cytology/metabolism/*physiology; Stromal Cells/cytology/metabolism/*physiology&lt;/_subject_headings&gt;&lt;_tertiary_title&gt;Blood&lt;/_tertiary_title&gt;&lt;_type_work&gt;Journal Article; Research Support, Non-U.S. Gov&amp;apos;t&lt;/_type_work&gt;&lt;_url&gt;http://www.ncbi.nlm.nih.gov/entrez/query.fcgi?cmd=Retrieve&amp;amp;db=pubmed&amp;amp;dopt=Abstract&amp;amp;list_uids=21511956&amp;amp;query_hl=1&lt;/_url&gt;&lt;_volume&gt;117&lt;/_volume&gt;&lt;/Details&gt;&lt;Extra&gt;&lt;DBUID&gt;{F96A950B-833F-4880-A151-76DA2D6A2879}&lt;/DBUID&gt;&lt;/Extra&gt;&lt;/Item&gt;&lt;/References&gt;&lt;/Group&gt;&lt;/Citation&gt;_x000a_"/>
    <w:docVar w:name="NE.Ref{5101BF9C-D17C-4A0B-9498-6AD1663CF953}" w:val=" ADDIN NE.Ref.{5101BF9C-D17C-4A0B-9498-6AD1663CF953}&lt;Citation&gt;&lt;Group&gt;&lt;References&gt;&lt;Item&gt;&lt;ID&gt;896&lt;/ID&gt;&lt;UID&gt;{9B449911-0167-4D0D-84B2-ABDDFE7A9461}&lt;/UID&gt;&lt;Title&gt;Skull and vertebral bone marrow are myeloid cell reservoirs for the meninges and CNS parenchyma&lt;/Title&gt;&lt;Template&gt;Journal Article&lt;/Template&gt;&lt;Star&gt;0&lt;/Star&gt;&lt;Tag&gt;0&lt;/Tag&gt;&lt;Author&gt;Cugurra, Andrea; Mamuladze, Tornike; Rustenhoven, Justin; Dykstra, Taitea; Beroshvili, Giorgi; Greenberg, Zev J; Baker, Wendy; Papadopoulos, Zach; Drieu, Antoine; Blackburn, Susan; Kanamori, Mitsuhiro; Brioschi, Simone; Herz, Jasmin; Schuettpelz, Laura G; Colonna, Marco; Smirnov, Igor; Kipnis, Jonathan&lt;/Author&gt;&lt;Year&gt;2021&lt;/Year&gt;&lt;Details&gt;&lt;_accessed&gt;65613364&lt;/_accessed&gt;&lt;_accession_num&gt;34083447&lt;/_accession_num&gt;&lt;_author_adr&gt;Gutenberg Research Fellowship Group of Neuroimmunology, Focus Program Translational Neuroscience (FTN) and Immunotherapy (FZI), Rhine Main Neuroscience Network (rmn), University Medical Center of the Johannes Gutenberg University Mainz, Mainz, Germany.; Department of Neuroscience, School of Medicine, University of Virginia, Charlottesville, VA,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Pathology and Immunology, Washington University in St. Louis, St. Louis, MO, USA.; Department of Pathology and Immunology, Washington University in St. Louis, St. Louis, MO, USA.; Gutenberg Research Fellowship Group of Neuroimmunology, Focus Program Translational Neuroscience (FTN) and Immunotherapy (FZI), Rhine Main Neuroscience Network (rmn), University Medical Center of the Johannes Gutenberg University Mainz, Mainz, Germany. kipnis@wustl.edu.;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lt;/_author_adr&gt;&lt;_collection_scope&gt;SCI;SCIE&lt;/_collection_scope&gt;&lt;_created&gt;64239024&lt;/_created&gt;&lt;_date&gt;63933120&lt;/_date&gt;&lt;_date_display&gt;2021 Jul 23&lt;/_date_display&gt;&lt;_db_updated&gt;CrossRef&lt;/_db_updated&gt;&lt;_doi&gt;10.1126/science.abf7844&lt;/_doi&gt;&lt;_impact_factor&gt;  56.900&lt;/_impact_factor&gt;&lt;_isbn&gt;0036-8075&lt;/_isbn&gt;&lt;_issue&gt;6553&lt;/_issue&gt;&lt;_journal&gt;Science&lt;/_journal&gt;&lt;_language&gt;eng&lt;/_language&gt;&lt;_modified&gt;65613364&lt;/_modified&gt;&lt;_ori_publication&gt;Copyright (c) 2021 The Authors, some rights reserved; exclusive licensee American_x000d__x000a_      Association for the Advancement of Science. No claim to original U.S. Government _x000d__x000a_      Works.&lt;/_ori_publication&gt;&lt;_social_category&gt;综合性期刊(1)&lt;/_social_category&gt;&lt;_subject_headings&gt;Animals; Bone Marrow/physiology; Bone Marrow Cells/*physiology; Brain/cytology/immunology/physiology; Cell Movement; Central Nervous System/cytology/*immunology; Central Nervous System Diseases/*immunology/pathology; Dura Mater/cytology/immunology/physiology; Encephalomyelitis, Autoimmune, Experimental/immunology/pathology; Homeostasis; Meninges/cytology/*immunology/physiology; Mice; Monocytes/physiology; Myeloid Cells/*physiology; Neutrophils/physiology; Skull/*anatomy &amp;amp; histology; Spinal Cord/cytology/immunology/physiology; Spinal Cord Injuries/immunology/pathology; Spine/*anatomy &amp;amp; histology&lt;/_subject_headings&gt;&lt;_tertiary_title&gt;Science&lt;/_tertiary_title&gt;&lt;_type_work&gt;Journal Article; Research Support, N.I.H., Extramural&lt;/_type_work&gt;&lt;_url&gt;https://www.science.org/doi/10.1126/science.abf7844_x000d__x000a_https://syndication.highwire.org/content/doi/10.1126/science.abf7844&lt;/_url&gt;&lt;_volume&gt;373&lt;/_volume&gt;&lt;/Details&gt;&lt;Extra&gt;&lt;DBUID&gt;{F96A950B-833F-4880-A151-76DA2D6A2879}&lt;/DBUID&gt;&lt;/Extra&gt;&lt;/Item&gt;&lt;/References&gt;&lt;/Group&gt;&lt;Group&gt;&lt;References&gt;&lt;Item&gt;&lt;ID&gt;1062&lt;/ID&gt;&lt;UID&gt;{6D5E6AD5-020B-49AC-A1C3-CA0E6DA1C7FF}&lt;/UID&gt;&lt;Title&gt;Heterogeneity of meningeal B cells reveals a lymphopoietic niche at the CNS  borders&lt;/Title&gt;&lt;Template&gt;Journal Article&lt;/Template&gt;&lt;Star&gt;0&lt;/Star&gt;&lt;Tag&gt;0&lt;/Tag&gt;&lt;Author&gt;Brioschi, S; Wang, W L; Peng, V; Wang, M; Shchukina, I; Greenberg, Z J; Bando, J K; Jaeger, N; Czepielewski, R S; Swain, A; Mogilenko, D A; Beatty, W L; Bayguinov, P; Fitzpatrick, JAJ; Schuettpelz, L G; Fronick, C C; Smirnov, I; Kipnis, J; Shapiro, V S; Wu, G F; Gilfillan, S; Cella, M; Artyomov, M N; Kleinstein, S H; Colonna, M&lt;/Author&gt;&lt;Year&gt;2021&lt;/Year&gt;&lt;Details&gt;&lt;_accessed&gt;65613364&lt;/_accessed&gt;&lt;_accession_num&gt;34083450&lt;/_accession_num&gt;&lt;_author_adr&gt;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Interdepartmental Program in Computational Biology and Bioinformatics, Yale  University, New Haven, CT 06511, USA.; Department of Pathology and Immunology, Washington University School of Medicine,  Saint Louis, MO 63110, USA.; Department of Pediatrics, Washington University School of Medicine, Saint Louis,  MO 63110, USA.; Department of Microbiology and Immunology, Stanford University School of  Medicine, Stanford, CA 94305,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Molecular Microbiology, Center for Infectious Disease Research,  Washington University School of Medicine, Saint Louis, MO 63110, USA.; Washington University Center for Cellular Imaging, Washington University School  of Medicine, Saint Louis, MO 63110, USA.; Washington University Center for Cellular Imaging, Washington University School  of Medicine, Saint Louis, MO 63110, USA.; Departments of Cell Biology and Physiology and Neuroscience, Washington  University School of Medicine, Saint Louis, MO 63110, USA.; Department of Biomedical Engineering, Washington University in Saint Louis, Saint  Louis, MO 63130, USA.; Department of Pediatrics, Washington University School of Medicine, Saint Louis,  MO 63110, USA.; McDonnell Genome Institute,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Immunology, Mayo Clinic, Rochester, MN 55905, USA.; Department of Neurology, Washington University in Saint Louis, Saint Louis, MO  63110,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Interdepartmental Program in Computational Biology and Bioinformatics, Yale  University, New Haven, CT 06511, USA.; Department of Pathology, Yale School of Medicine, New Haven, CT 06520, USA.; Department of Pathology and Immunology, Washington University School of Medicine,  Saint Louis, MO 63110, USA. mcolonna@wustl.edu.&lt;/_author_adr&gt;&lt;_collection_scope&gt;SCIE&lt;/_collection_scope&gt;&lt;_created&gt;65613244&lt;/_created&gt;&lt;_date&gt;2021-07-23&lt;/_date&gt;&lt;_date_display&gt;2021 Jul 23&lt;/_date_display&gt;&lt;_db_updated&gt;PubMed&lt;/_db_updated&gt;&lt;_doi&gt;10.1126/science.abf9277&lt;/_doi&gt;&lt;_impact_factor&gt;  56.900&lt;/_impact_factor&gt;&lt;_isbn&gt;1095-9203 (Electronic); 0036-8075 (Print); 0036-8075 (Linking)&lt;/_isbn&gt;&lt;_issue&gt;6553&lt;/_issue&gt;&lt;_journal&gt;Science&lt;/_journal&gt;&lt;_language&gt;eng&lt;/_language&gt;&lt;_modified&gt;65613364&lt;/_modified&gt;&lt;_ori_publication&gt;Copyright (c) 2021 The Authors, some rights reserved; exclusive licensee American _x000d__x000a_      Association for the Advancement of Science. No claim to original U.S. Government _x000d__x000a_      Works.&lt;/_ori_publication&gt;&lt;_social_category&gt;综合性期刊(1)&lt;/_social_category&gt;&lt;_subject_headings&gt;Aging; Animals; B-Lymphocyte Subsets/immunology/*physiology; B-Lymphocytes/*physiology; Bone Marrow Cells/*physiology; Cell Movement; Central Nervous System/*immunology/physiology; Dura Mater/*cytology/immunology; Fibroblasts/physiology; Homeostasis; Immune Privilege; *Lymphopoiesis; Meninges/*cytology/*immunology; Mice; Plasma Cells/physiology; Single-Cell Analysis; Skull/*anatomy &amp;amp; histology&lt;/_subject_headings&gt;&lt;_tertiary_title&gt;Science (New York, N.Y.)&lt;/_tertiary_title&gt;&lt;_type_work&gt;Journal Article; Research Support, N.I.H., Extramural&lt;/_type_work&gt;&lt;_url&gt;http://www.ncbi.nlm.nih.gov/entrez/query.fcgi?cmd=Retrieve&amp;amp;db=pubmed&amp;amp;dopt=Abstract&amp;amp;list_uids=34083450&amp;amp;query_hl=1&lt;/_url&gt;&lt;_volume&gt;373&lt;/_volume&gt;&lt;/Details&gt;&lt;Extra&gt;&lt;DBUID&gt;{F96A950B-833F-4880-A151-76DA2D6A2879}&lt;/DBUID&gt;&lt;/Extra&gt;&lt;/Item&gt;&lt;/References&gt;&lt;/Group&gt;&lt;Group&gt;&lt;References&gt;&lt;Item&gt;&lt;ID&gt;1061&lt;/ID&gt;&lt;UID&gt;{D78864D9-09E9-4B49-9761-3B0AB4E282C0}&lt;/UID&gt;&lt;Title&gt;Cerebrospinal fluid regulates skull bone marrow niches via direct access through  dural channels&lt;/Title&gt;&lt;Template&gt;Journal Article&lt;/Template&gt;&lt;Star&gt;0&lt;/Star&gt;&lt;Tag&gt;0&lt;/Tag&gt;&lt;Author&gt;Mazzitelli, J A; Smyth, LCD; Cross, K A; Dykstra, T; Sun, J; &amp;quot;Du S&amp;quot;; Mamuladze, T; Smirnov, I; Rustenhoven, J; Kipnis, J&lt;/Author&gt;&lt;Year&gt;2022&lt;/Year&gt;&lt;Details&gt;&lt;_accessed&gt;65613364&lt;/_accessed&gt;&lt;_accession_num&gt;35301477&lt;/_accession_num&gt;&lt;_author_adr&gt;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Neuroscience Graduate Program, Washington University School of Medicine, St.  Louis, MO, USA.; Department of Pathology and Immunology, Washington University School of Medicine,  St. Louis, MO, USA.; Center for Brain Immunology and Glia (BIG), Washington University School of  Medicine, St. Louis, MO, USA.; Center for Brain Immunology and Glia (BIG), Washington University School of  Medicine, St. Louis, MO, USA.; Department of Neurological Surgery, Washington University School of Medicine, St.  Louis, MO, USA.; 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Department of Pathology and Immunology, Washington University School of Medicine,  St. Louis, MO, USA. rustenhoven@wustl.edu.; Center for Brain Immunology and Glia (BIG), Washington University School of  Medicine, St. Louis, MO, USA. rustenhoven@wustl.edu.; Department of Pharmacology and Clinical Pharmacology, The University of Auckland,  Auckland, New Zealand. rustenhoven@wustl.edu.; Department of Pathology and Immunology, Washington University School of Medicine,  St. Louis, MO, USA. kipnis@wustl.edu.; Center for Brain Immunology and Glia (BIG), Washington University School of  Medicine, St. Louis, MO, USA. kipnis@wustl.edu.; Medical Scientist Training Program, Washington University School of Medicine, St.  Louis, MO, USA. kipnis@wustl.edu.; Neuroscience Graduate Program, Washington University School of Medicine, St.  Louis, MO, USA. kipnis@wustl.edu.; Department of Neurological Surgery, Washington University School of Medicine, St.  Louis, MO, USA. kipnis@wustl.edu.; Immunology Graduate Program, Washington University School of Medicine, St. Louis,  MO, USA. kipnis@wustl.edu.&lt;/_author_adr&gt;&lt;_collection_scope&gt;SCIE&lt;/_collection_scope&gt;&lt;_created&gt;65613204&lt;/_created&gt;&lt;_date&gt;2022-05-01&lt;/_date&gt;&lt;_date_display&gt;2022 May&lt;/_date_display&gt;&lt;_db_updated&gt;PubMed&lt;/_db_updated&gt;&lt;_doi&gt;10.1038/s41593-022-01029-1&lt;/_doi&gt;&lt;_impact_factor&gt;  25.000&lt;/_impact_factor&gt;&lt;_isbn&gt;1546-1726 (Electronic); 1097-6256 (Print); 1097-6256 (Linking)&lt;/_isbn&gt;&lt;_issue&gt;5&lt;/_issue&gt;&lt;_journal&gt;Nat Neurosci&lt;/_journal&gt;&lt;_language&gt;eng&lt;/_language&gt;&lt;_modified&gt;65613364&lt;/_modified&gt;&lt;_ori_publication&gt;(c) 2022. The Author(s), under exclusive licence to Springer Nature America, Inc.&lt;/_ori_publication&gt;&lt;_pages&gt;555-560&lt;/_pages&gt;&lt;_social_category&gt;神经科学(1)&lt;/_social_category&gt;&lt;_subject_headings&gt;*Bone Marrow/physiology; Cerebrospinal Fluid; Head; Meninges; Myeloid Cells/metabolism; *Skull&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5301477&amp;amp;query_hl=1&lt;/_url&gt;&lt;_volume&gt;25&lt;/_volume&gt;&lt;/Details&gt;&lt;Extra&gt;&lt;DBUID&gt;{F96A950B-833F-4880-A151-76DA2D6A2879}&lt;/DBUID&gt;&lt;/Extra&gt;&lt;/Item&gt;&lt;/References&gt;&lt;/Group&gt;&lt;Group&gt;&lt;References&gt;&lt;Item&gt;&lt;ID&gt;1005&lt;/ID&gt;&lt;UID&gt;{6DB237D2-920E-40CE-9993-72A1F5C9F63A}&lt;/UID&gt;&lt;Title&gt;Distinct molecular profiles of skull bone marrow in health and neurological  disorders&lt;/Title&gt;&lt;Template&gt;Journal Article&lt;/Template&gt;&lt;Star&gt;0&lt;/Star&gt;&lt;Tag&gt;0&lt;/Tag&gt;&lt;Author&gt;Kolabas, Z I; Kuemmerle, L B; Perneczky, R; Forstera, B; Ulukaya, S; Ali, M; Kapoor, S; Bartos, L M; Buttner, M; Caliskan, O S; Rong, Z; Mai, H; Hoher, L; Jeridi, D; Molbay, M; Khalin, I; Deligiannis, I K; Negwer, M; Roberts, K; Simats, A; Carofiglio, O; Todorov, M I; Horvath, I; Ozturk, F; Hummel, S; Biechele, G; Zatcepin, A; Unterrainer, M; Gnorich, J; Roodselaar, J; Shrouder, J; Khosravani, P; Tast, B; Richter, L; Diaz-Marugan, L; Kaltenecker, D; Lux, L; Chen, Y; Zhao, S; Rauchmann, B S; Sterr, M; Kunze, I; Stanic, K; Kan, VWY; Besson-Girard, S; Katzdobler, S; Palleis, C; Schadler, J; Paetzold, J C; Liebscher, S; Hauser, A E; Gokce, O; Lickert, H; Steinke, H; Benakis, C; Braun, C; Martinez-Jimenez, C P; Buerger, K; Albert, N L; Hoglinger, G; Levin, J; Haass, C; Kopczak, A; Dichgans, M; Havla, J; Kumpfel, T; Kerschensteiner, M; Schifferer, M; Simons, M; Liesz, A; Krahmer, N; Bayraktar, O A; Franzmeier, N; Plesnila, N; Erener, S; Puelles, V G; Delbridge, C; Bhatia, H S; Hellal, F; Elsner, M; Bechmann, I; Ondruschka, B; Brendel, M; Theis, F J; Erturk, A&lt;/Author&gt;&lt;Year&gt;2023&lt;/Year&gt;&lt;Details&gt;&lt;_accessed&gt;65613370&lt;/_accessed&gt;&lt;_accession_num&gt;37562402&lt;/_accession_num&gt;&lt;_author_adr&gt;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Institute for Tissue Engineering and Regenerative Medicine (iTERM), Helmholtz  Center, Neuherberg, Munich, Germany; Institute of Computational Biology,  Helmholtz Zentrum Munchen, German Research Center for Environmental Health,  Neuherberg, Germany.; Division of Mental Health in Older Adults and Alzheimer Therapy and Research  Center, Department of Psychiatry and Psychotherapy, University Hospital, Ludwig  Maximilian University Munich, 80336 Munich, Germany; German Center for  Neurodegenerative Diseases (DZNE) Munich, Munich, Germany; Ageing Epidemiology  (AGE) Research Unit, School of Public Health, Imperial College London, London,  UK; Munich Cluster for Systems Neurology (SyNergy), Munich, Germany; Sheffield  Institute for Translational Neuroscience, University of Sheffield, Sheffield, UK.;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Tissue Engineering and Regenerative Medicine (iTERM), Helmholtz  Center, Neuherberg, Munich, Germany; Graduate School of Systemic Neurosciences  (GSN), Munich, Germany; Institute of Computational Biology, Helmholtz Zentrum  Munchen, German Research Center for Environmental Health, Neuherberg, Germany.; Institute for Tissue Engineering and Regenerative Medicine (iTERM), Helmholtz  Center, Neuherberg, Munich, Germany.; Department of Nuclear Medicine, University Hospital,  Ludwig-Maximilians-Universitat Munchen, Munich, Germany.; Institute of Computational Biology, Helmholtz Zentrum Munchen, German Research  Center for Environmental Health, Neuherberg, Germany.; Institute for Diabetes and Obesity, Helmholtz Center Munich and German Center for  Diabetes Research (DZD), 85764 Neuherberg,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Tissue Engineering and Regenerative Medicine (iTERM), Helmholtz  Center, Neuherberg, Munich, Germany.; Institute for Tissue Engineering and Regenerative Medicine (iTERM), Helmholtz  Center, Neuherberg, Munich, Germany.; Institute for Stroke and Dementia Research, LMU University Hospital,  Ludwig-Maximilians University Munich, Munich, Germany.; Helmholtz Pioneer Campus (HPC), Helmholtz Munich, Neuherberg, Germany.; Institute for Tissue Engineering and Regenerative Medicine (iTERM), Helmholtz  Center, Neuherberg, Munich,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School of Computation, Information and  Technology (CIT), TUM, Boltzmannstr. 3, 85748 Garching, Germany.; Institute for Tissue Engineering and Regenerative Medicine (iTERM), Helmholtz  Center, Neuherberg,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Department of Radiology,  University Hospital, LMU Munich, Munich, Germany.; Department of Nuclear Medicine, University Hospital,  Ludwig-Maximilians-Universitat Munchen,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Biomedical Center (BMC), Core Facility Flow Cytometry, Faculty of Medicine, LMU  Munich, Munich, Germany.; Biomedical Center (BMC), Core Facility Flow Cytometry, Faculty of Medicine, LMU  Munich, Munich, Germany.; Biomedical Center (BMC), Core Facility Flow Cytometry, Faculty of Medicine, LMU  Munich, Munich, Germany.; Institute for Stroke and Dementia Research, LMU University Hospital,  Ludwig-Maximilians University Munich, Munich, Germany.; Institute for Tissue Engineering and Regenerative Medicine (iTERM), Helmholtz  Center, Neuherberg, Munich, Germany; Institute for Diabetes and Cancer, Helmholtz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Division of Mental Health in Older Adults and Alzheimer Therapy and Research  Center, Department of Psychiatry and Psychotherapy, University Hospital, Ludwig  Maximilian University Munich, 80336 Munich, Germany; Sheffield Institute for  Translational Neuroscience, University of Sheffield, Sheffield, UK; Institute of  Neuroradiology, University Hospital LMU, Munich, Germany.; Institute of Diabetes and Regeneration Research, Helmholtz Diabetes Center,  Helmholtz Zentrum Munchen, Neuherberg, Germany; Institute of Stem Cell Research,  Helmholtz Zentrum Munchen, Neuherberg, Germany.; Institute of Diabetes and Regeneration Research, Helmholtz Diabetes Center,  Helmholtz Zentrum Munchen, Neuherberg, Germany; Institute of Stem Cell Research,  Helmholtz Zentrum Munchen, Neuherberg, Germany.; Institute for Tissue Engineering and Regenerative Medicine (iTERM), Helmholtz  Center, Neuherberg, Munich, Germany; Institute for Stroke and Dementia Research,  LMU University Hospital, Ludwig-Maximilians University Munich, Munich, Germany.; Institute of Clinical Neuroimmunology, University Hospital Munich,  Ludwig-Maximilians University Munich, Munich, Germany.; Institute for Stroke and Dementia Research, LMU University Hospital,  Ludwig-Maximilians University Munich, Munich, Germany; Graduate School of  Systemic Neurosciences (GSN), Munich, Germany.; German Center for Neurodegenerative Diseases (DZNE) Munich, Munich, Germany;  Department of Neurology, Ludwig-Maximilians-Universitat Munchen, Munich, Germany.; German Center for Neurodegenerative Diseases (DZNE) Munich, Munich, Germany;  Department of Neurology, Ludwig-Maximilians-Universitat Munchen, Munich, Germany.; Institute of Legal Medicine, University Medical Center Hamburg-Eppendorf,  Hamburg, Germany.; Institute for Tissue Engineering and Regenerative Medicine (iTERM), Helmholtz  Center, Neuherberg, Munich, Germany; Department of Computing, Imperial College  London, London, UK.; Munich Cluster for Systems Neurology (SyNergy), Munich, Germany; Institute of  Clinical Neuroimmunology, University Hospital Munich, Ludwig-Maximilians  University Munich, Munich, Germany; Biomedical Center (BMC), Medical Faculty,  Ludwig-Maximilians Universitat Munich,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Munich Cluster for Systems  Neurology (SyNergy), Munich, Germany.; Institute of Diabetes and Regeneration Research, Helmholtz Diabetes Center,  Helmholtz Zentrum Munchen, Neuherberg, Germany; Institute of Stem Cell Research,  Helmholtz Zentrum Munchen, Neuherberg, Germany; TUM School of Medicine, Technical  University of Munich, Munich, Germany.; Institute of Anatomy, University of Leipzig, 04109 Leipzig, Germany.; Institute for Stroke and Dementia Research, LMU University Hospital,  Ludwig-Maximilians University Munich, Munich, Germany.; Institute of Legal Medicine, Faculty of Medicine, LMU Munich, Germany.; Helmholtz Pioneer Campus (HPC), Helmholtz Munich, Neuherberg, Germany; TUM School  of Medicine, Technical University of Munich, Munich, Germany.; Institute for Stroke and Dementia Research, LMU University Hospital,  Ludwig-Maximilians University Munich, Munich, Germany; German Center for  Neurodegenerative Diseases (DZNE) Munich, Munich, Germany.; Department of Nuclear Medicine, University Hospital,  Ludwig-Maximilians-Universitat Munchen, Munich, Germany.; German Center for Neurodegenerative Diseases (DZNE) Munich, Munich, Germany;  Department of Neurology, Ludwig-Maximilians-Universitat Munchen, Munich, Germany.; German Center for Neurodegenerative Diseases (DZNE) Munich, Munich, Germany;  Munich Cluster for Systems Neurology (SyNergy), Munich, Germany; Department of  Neurology, Ludwig-Maximilians-Universitat Munchen, Munich, Germany.; German Center for Neurodegenerative Diseases (DZNE) Munich, Munich, Germany;  Munich Cluster for Systems Neurology (SyNergy), Munich, Germany; Metabolic  Biochemistry, Biomedical Center (BMC), Faculty of Medicine,  Ludwig-Maximilians-Universitat Munchen, Munich, Germany.; Institute for Stroke and Dementia Research, LMU University Hospital,  Ludwig-Maximilians University Munich, Munich, Germany.; Institute for Stroke and Dementia Research, LMU University Hospital,  Ludwig-Maximilians University Munich, Munich, Germany; German Center for  Neurodegenerative Diseases (DZNE)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Institute of Clinical Neuroimmunology, University Hospital Munich,  Ludwig-Maximilians University Munich, Munich, Germany; Biomedical Center (BMC),  Medical Faculty, Ludwig-Maximilians Universitat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German Center for Neurodegenerative Diseases (DZNE) Munich, Munich, Germany;  Munich Cluster for Systems Neurology (SyNergy), Munich, Germany.; German Center for Neurodegenerative Diseases (DZNE) Munich, Munich, Germany;  Munich Cluster for Systems Neurology (SyNergy), Munich, Germany.; Institute for Stroke and Dementia Research, LMU University Hospital,  Ludwig-Maximilians University Munich, Munich, Germany; Graduate School of  Systemic Neurosciences (GSN), Munich, Germany; Munich Cluster for Systems  Neurology (SyNergy), Munich, Germany.; Institute for Diabetes and Obesity, Helmholtz Center Munich and German Center for  Diabetes Research (DZD), 85764 Neuherberg,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II. Department of Medicine, University Medical Center Hamburg-Eppendorf,  Hamburg, Germany; Hamburg Center for Kidney Health (HCKH), University Medical  Center Hamburg-Eppendorf, Hamburg, Germany; Department of Clinical Medicine,  Aarhus University, Aarhus, Denmark; Department of Pathology, Aarhus University  Hospital, Aarhus, Denmark.; Institute of Pathology, Department of Neuropathology, Technical University  Munich, TUM School of Medicine,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nstitute of Anatomy, University of Leipzig, 04109 Leipzig, Germany.; Institute of Legal Medicine, University Medical Center Hamburg-Eppendorf,  Hamburg, Germany.; German Center for Neurodegenerative Diseases (DZNE) Munich, Munich, Germany;  Munich Cluster for Systems Neurology (SyNergy), Munich, Germany; Department of  Nuclear Medicine, University Hospital, Ludwig-Maximilians-Universitat Munchen,  Munich, Germany.; Institute of Computational Biology, Helmholtz Zentrum Munchen, German Research  Center for Environmental Health, Neuherberg, Germany; Department of Mathematics,  Technische Universitat Munchen, Garching bei Munchen, Germany.; 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Munich Cluster  for Systems Neurology (SyNergy), Munich, Germany. Electronic address:  ali.erturk@helmholtz-munich.de.&lt;/_author_adr&gt;&lt;_collection_scope&gt;SCIE&lt;/_collection_scope&gt;&lt;_created&gt;65025916&lt;/_created&gt;&lt;_date&gt;2023-08-17&lt;/_date&gt;&lt;_date_display&gt;2023 Aug 17&lt;/_date_display&gt;&lt;_db_updated&gt;PubMed&lt;/_db_updated&gt;&lt;_doi&gt;10.1016/j.cell.2023.07.009&lt;/_doi&gt;&lt;_impact_factor&gt;  64.500&lt;/_impact_factor&gt;&lt;_isbn&gt;1097-4172 (Electronic); 0092-8674 (Linking)&lt;/_isbn&gt;&lt;_issue&gt;17&lt;/_issue&gt;&lt;_journal&gt;Cell&lt;/_journal&gt;&lt;_keywords&gt;3D-imaging; DISCO clearing; PET imaging; immune cell trafficking; neuroinflammation; neurological disorders; non-invasive monitoring; proteomics; scRNA-seq; skull-brain connection&lt;/_keywords&gt;&lt;_language&gt;eng&lt;/_language&gt;&lt;_modified&gt;65613370&lt;/_modified&gt;&lt;_ori_publication&gt;Copyright (c) 2023 The Author(s). Published by Elsevier Inc. All rights reserved.&lt;/_ori_publication&gt;&lt;_pages&gt;3706-3725.e29&lt;/_pages&gt;&lt;_social_category&gt;生物学(1)&lt;/_social_category&gt;&lt;_tertiary_title&gt;Cell&lt;/_tertiary_title&gt;&lt;_type_work&gt;Journal Article&lt;/_type_work&gt;&lt;_url&gt;http://www.ncbi.nlm.nih.gov/entrez/query.fcgi?cmd=Retrieve&amp;amp;db=pubmed&amp;amp;dopt=Abstract&amp;amp;list_uids=37562402&amp;amp;query_hl=1&lt;/_url&gt;&lt;_volume&gt;186&lt;/_volume&gt;&lt;/Details&gt;&lt;Extra&gt;&lt;DBUID&gt;{F96A950B-833F-4880-A151-76DA2D6A2879}&lt;/DBUID&gt;&lt;/Extra&gt;&lt;/Item&gt;&lt;/References&gt;&lt;/Group&gt;&lt;Group&gt;&lt;References&gt;&lt;Item&gt;&lt;ID&gt;1057&lt;/ID&gt;&lt;UID&gt;{06578E19-4D32-46B5-98A3-3D3EC82E5C99}&lt;/UID&gt;&lt;Title&gt;A cell therapy approach to restore microglial Trem2 function in a mouse model of  Alzheimer&amp;apos;s disease&lt;/Title&gt;&lt;Template&gt;Journal Article&lt;/Template&gt;&lt;Star&gt;0&lt;/Star&gt;&lt;Tag&gt;0&lt;/Tag&gt;&lt;Author&gt;Yoo, Y; Neumayer, G; Shibuya, Y; Mader, M M; Wernig, M&lt;/Author&gt;&lt;Year&gt;2023&lt;/Year&gt;&lt;Details&gt;&lt;_accessed&gt;65613355&lt;/_accessed&gt;&lt;_accession_num&gt;37802040&lt;/_accession_num&gt;&lt;_collection_scope&gt;SCIE&lt;/_collection_scope&gt;&lt;_created&gt;65613202&lt;/_created&gt;&lt;_date&gt;2023-10-05&lt;/_date&gt;&lt;_date_display&gt;2023 Oct 5&lt;/_date_display&gt;&lt;_db_updated&gt;PubMed&lt;/_db_updated&gt;&lt;_doi&gt;10.1016/j.stem.2023.08.011&lt;/_doi&gt;&lt;_impact_factor&gt;  23.900&lt;/_impact_factor&gt;&lt;_isbn&gt;1875-9777 (Electronic); 1875-9777 (Linking)&lt;/_isbn&gt;&lt;_issue&gt;10&lt;/_issue&gt;&lt;_journal&gt;Cell Stem Cell&lt;/_journal&gt;&lt;_language&gt;eng&lt;/_language&gt;&lt;_modified&gt;65613355&lt;/_modified&gt;&lt;_pages&gt;1392&lt;/_pages&gt;&lt;_social_category&gt;细胞与组织工程(1) &amp;amp; 细胞生物学(1)&lt;/_social_category&gt;&lt;_tertiary_title&gt;Cell stem cell&lt;/_tertiary_title&gt;&lt;_type_work&gt;Published Erratum&lt;/_type_work&gt;&lt;_url&gt;http://www.ncbi.nlm.nih.gov/entrez/query.fcgi?cmd=Retrieve&amp;amp;db=pubmed&amp;amp;dopt=Abstract&amp;amp;list_uids=37802040&amp;amp;query_hl=1&lt;/_url&gt;&lt;_volume&gt;30&lt;/_volume&gt;&lt;/Details&gt;&lt;Extra&gt;&lt;DBUID&gt;{F96A950B-833F-4880-A151-76DA2D6A2879}&lt;/DBUID&gt;&lt;/Extra&gt;&lt;/Item&gt;&lt;/References&gt;&lt;/Group&gt;&lt;Group&gt;&lt;References&gt;&lt;Item&gt;&lt;ID&gt;1054&lt;/ID&gt;&lt;UID&gt;{D9966953-3188-4497-8B2D-BFD5A996D9EB}&lt;/UID&gt;&lt;Title&gt;Bone marrow hematopoiesis drives multiple sclerosis progression&lt;/Title&gt;&lt;Template&gt;Journal Article&lt;/Template&gt;&lt;Star&gt;0&lt;/Star&gt;&lt;Tag&gt;0&lt;/Tag&gt;&lt;Author&gt;Shi, Kaibin; Li, Handong; Chang, Ting; He, Wenyan; Kong, Ying; Qi, Caiyun; Li, Ran; Huang, Huachen; Zhu, Zhibao; Zheng, Pei; Ruan, Zhe; Zhou, Jie; Shi, Fu-Dong; Liu, Qiang&lt;/Author&gt;&lt;Year&gt;2022&lt;/Year&gt;&lt;Details&gt;&lt;_accessed&gt;65613347&lt;/_accessed&gt;&lt;_accession_num&gt;35709748&lt;/_accession_num&gt;&lt;_author_adr&gt;Department of Neurology, Institute of Neuroimmunology, Tianjin Medical University  General Hospital, Tianjin 300052, China; Center for Neurological Diseases, China  National Clinical Research Center for Neurological Diseases, Beijing Tiantan  Hospital, Capital Medical University, Beijing 100070, China.; Department of Neurology, Institute of Neuroimmunology, Tianjin Medical University  General Hospital, Tianjin 300052, China.; Department of Neurology, Tangdu Hospital, Air Force Medical University, Xi&amp;apos;an,  Shaanxi 710038, China.; Center for Neurological Diseases, China National Clinical Research Center for  Neurological Diseases, Beijing Tiantan Hospital, Capital Medical University,  Beijing 100070, China.; Department of Neurology, Institute of Neuroimmunology, Tianjin Medical University  General Hospital, Tianjin 300052, China.; Department of Neurology, Institute of Neuroimmunology, Tianjin Medical University  General Hospital, Tianjin 300052, China.; Department of Neurology, Institute of Neuroimmunology, Tianjin Medical University  General Hospital, Tianjin 300052, China.; Department of Neurology, Institute of Neuroimmunology, Tianjin Medical University  General Hospital, Tianjin 300052, China.; Department of Neurology, Institute of Neurology of First Affiliated Hospital,  Institute of Neuroscience, and Fujian Key Laboratory of Molecular Neurology,  Fujian Medical University, Fuzhou, Fujian 350005, China.; Department of Neurology, Institute of Neuroimmunology, Tianjin Medical University  General Hospital, Tianjin 300052, China.; Department of Neurology, Tangdu Hospital, Air Force Medical University, Xi&amp;apos;an,  Shaanxi 710038, China.; Department of Immunology, School of Basic Medical Sciences, Tianjin Medical  University, Tianjin 300070, China.; Department of Neurology, Institute of Neuroimmunology, Tianjin Medical University  General Hospital, Tianjin 300052, China; Center for Neurological Diseases, China  National Clinical Research Center for Neurological Diseases, Beijing Tiantan  Hospital, Capital Medical University, Beijing 100070, China.; Department of Neurology, Institute of Neuroimmunology, Tianjin Medical University  General Hospital, Tianjin 300052, China. Electronic address: qliu@tmu.edu.cn.&lt;/_author_adr&gt;&lt;_collection_scope&gt;SCIE&lt;/_collection_scope&gt;&lt;_created&gt;65613199&lt;/_created&gt;&lt;_date&gt;2022-06-23&lt;/_date&gt;&lt;_date_display&gt;2022 Jun 23&lt;/_date_display&gt;&lt;_db_updated&gt;CrossRef&lt;/_db_updated&gt;&lt;_doi&gt;10.1016/j.cell.2022.05.020&lt;/_doi&gt;&lt;_impact_factor&gt;  64.500&lt;/_impact_factor&gt;&lt;_isbn&gt;00928674&lt;/_isbn&gt;&lt;_issue&gt;13&lt;/_issue&gt;&lt;_journal&gt;Cell&lt;/_journal&gt;&lt;_keywords&gt;autoreactive T cells; bone marrow; multiple sclerosis; myelopoiesis; neuroinflammation&lt;/_keywords&gt;&lt;_language&gt;eng&lt;/_language&gt;&lt;_modified&gt;65613347&lt;/_modified&gt;&lt;_ori_publication&gt;Copyright (c) 2022 The Author(s). Published by Elsevier Inc. All rights reserved.&lt;/_ori_publication&gt;&lt;_pages&gt;2234-2247.e17&lt;/_pages&gt;&lt;_social_category&gt;生化与分子生物学(1) &amp;amp; 细胞生物学(1)&lt;/_social_category&gt;&lt;_subject_headings&gt;Animals; Bone Marrow; *Encephalomyelitis, Autoimmune, Experimental; Hematopoiesis; Humans; Mice; Mice, Inbred C57BL; *Multiple Sclerosis&lt;/_subject_headings&gt;&lt;_tertiary_title&gt;Cell&lt;/_tertiary_title&gt;&lt;_type_work&gt;Journal Article; Research Support, Non-U.S. Gov&amp;apos;t&lt;/_type_work&gt;&lt;_url&gt;https://linkinghub.elsevier.com/retrieve/pii/S0092867422006511_x000d__x000a_https://api.elsevier.com/content/article/PII:S0092867422006511?httpAccept=text/xml&lt;/_url&gt;&lt;_volume&gt;185&lt;/_volume&gt;&lt;/Details&gt;&lt;Extra&gt;&lt;DBUID&gt;{F96A950B-833F-4880-A151-76DA2D6A2879}&lt;/DBUID&gt;&lt;/Extra&gt;&lt;/Item&gt;&lt;/References&gt;&lt;/Group&gt;&lt;Group&gt;&lt;References&gt;&lt;Item&gt;&lt;ID&gt;1055&lt;/ID&gt;&lt;UID&gt;{5BA58389-E496-4F7F-8511-BDBA1F2DED46}&lt;/UID&gt;&lt;Title&gt;Brain injury instructs bone marrow cellular lineage destination to reduce  neuroinflammation&lt;/Title&gt;&lt;Template&gt;Journal Article&lt;/Template&gt;&lt;Star&gt;0&lt;/Star&gt;&lt;Tag&gt;0&lt;/Tag&gt;&lt;Author&gt;Shi, S X; Shi, K; Liu, Q&lt;/Author&gt;&lt;Year&gt;2021&lt;/Year&gt;&lt;Details&gt;&lt;_accessed&gt;65613348&lt;/_accessed&gt;&lt;_accession_num&gt;33853930&lt;/_accession_num&gt;&lt;_author_adr&gt;Department of Neurology, Tianjin Neurological Institute, Tianjin Medical  University General Hospital, Tianjin 300052, China.; Interdisciplinary Neuroscience Graduate Program, Arizona State University, Tempe,  AZ 85281, USA.; Department of Neurology, Tianjin Neurological Institute, Tianjin Medical  University General Hospital, Tianjin 300052, China.; National Clinical Research Center for Neurological Diseases of China, Jing-Jin  Center for Neuroinflammation, Beijing Tiantan Hospital, Capital Medical  University, Beijing 100070, China.; Department of Neurology, Tianjin Neurological Institute, Tianjin Medical  University General Hospital, Tianjin 300052, China. qliu@tmu.edu.cn.; Interdisciplinary Neuroscience Graduate Program, Arizona State University, Tempe,  AZ 85281, USA.&lt;/_author_adr&gt;&lt;_collection_scope&gt;SCIE&lt;/_collection_scope&gt;&lt;_created&gt;65613200&lt;/_created&gt;&lt;_date&gt;2021-04-14&lt;/_date&gt;&lt;_date_display&gt;2021 Apr 14&lt;/_date_display&gt;&lt;_db_updated&gt;PubMed&lt;/_db_updated&gt;&lt;_doi&gt;10.1126/scitranslmed.abc7029&lt;/_doi&gt;&lt;_impact_factor&gt;  17.100&lt;/_impact_factor&gt;&lt;_isbn&gt;1946-6242 (Electronic); 1946-6234 (Linking)&lt;/_isbn&gt;&lt;_issue&gt;589&lt;/_issue&gt;&lt;_journal&gt;Sci Transl Med&lt;/_journal&gt;&lt;_language&gt;eng&lt;/_language&gt;&lt;_modified&gt;65613348&lt;/_modified&gt;&lt;_ori_publication&gt;Copyright (c) 2021 The Authors, some rights reserved; exclusive licensee American _x000d__x000a_      Association for the Advancement of Science. No claim to original U.S. Government _x000d__x000a_      Works.&lt;/_ori_publication&gt;&lt;_social_category&gt;细胞生物学(1) &amp;amp; 医学：研究与实验(1)&lt;/_social_category&gt;&lt;_subject_headings&gt;*Bone Marrow; Bone Marrow Cells; *Brain Injuries; Cell Lineage; Hematopoiesis; Hematopoietic Stem Cells; Humans; Stem Cell Niche&lt;/_subject_headings&gt;&lt;_tertiary_title&gt;Science translational medicine&lt;/_tertiary_title&gt;&lt;_type_work&gt;Journal Article; Research Support, Non-U.S. Gov&amp;apos;t&lt;/_type_work&gt;&lt;_url&gt;http://www.ncbi.nlm.nih.gov/entrez/query.fcgi?cmd=Retrieve&amp;amp;db=pubmed&amp;amp;dopt=Abstract&amp;amp;list_uids=33853930&amp;amp;query_hl=1&lt;/_url&gt;&lt;_volume&gt;13&lt;/_volume&gt;&lt;/Details&gt;&lt;Extra&gt;&lt;DBUID&gt;{F96A950B-833F-4880-A151-76DA2D6A2879}&lt;/DBUID&gt;&lt;/Extra&gt;&lt;/Item&gt;&lt;/References&gt;&lt;/Group&gt;&lt;/Citation&gt;_x000a_"/>
    <w:docVar w:name="NE.Ref{59056564-9E1F-4100-B98B-B1762F81F596}" w:val=" ADDIN NE.Ref.{59056564-9E1F-4100-B98B-B1762F81F596}&lt;Citation&gt;&lt;Group&gt;&lt;References&gt;&lt;Item&gt;&lt;ID&gt;951&lt;/ID&gt;&lt;UID&gt;{D66D2D82-6B82-4C95-9D7D-628FBC7EF3E6}&lt;/UID&gt;&lt;Title&gt;Skull and vertebral bone marrow are myeloid cell reservoirs for the meninges and  CNS parenchyma&lt;/Title&gt;&lt;Template&gt;Journal Article&lt;/Template&gt;&lt;Star&gt;0&lt;/Star&gt;&lt;Tag&gt;0&lt;/Tag&gt;&lt;Author&gt;Cugurra, A; Mamuladze, T; Rustenhoven, J; Dykstra, T; Beroshvili, G; Greenberg, Z J; Baker, W; Papadopoulos, Z; Drieu, A; Blackburn, S; Kanamori, M; Brioschi, S; Herz, J; Schuettpelz, L G; Colonna, M; Smirnov, I; Kipnis, J&lt;/Author&gt;&lt;Year&gt;2021&lt;/Year&gt;&lt;Details&gt;&lt;_accessed&gt;64933867&lt;/_accessed&gt;&lt;_accession_num&gt;34083447&lt;/_accession_num&gt;&lt;_author_adr&gt;Gutenberg Research Fellowship Group of Neuroimmunology, Focus Program  Translational Neuroscience (FTN) and Immunotherapy (FZI), Rhine Main Neuroscience  Network (rmn), University Medical Center of the Johannes Gutenberg University  Mainz, Mainz, Germany.; Department of Neuroscience, School of Medicine, University of Virginia,  Charlottesville, VA,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Pathology and Immunology, Washington University in St. Louis, St.  Louis, MO, USA.; Department of Pathology and Immunology, Washington University in St. Louis, St.  Louis, MO, USA.; Gutenberg Research Fellowship Group of Neuroimmunology, Focus Program  Translational Neuroscience (FTN) and Immunotherapy (FZI), Rhine Main Neuroscience  Network (rmn), University Medical Center of the Johannes Gutenberg University  Mainz, Mainz, Germany. kipnis@wustl.edu.;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lt;/_author_adr&gt;&lt;_collection_scope&gt;SCIE&lt;/_collection_scope&gt;&lt;_created&gt;64867570&lt;/_created&gt;&lt;_date&gt;63933120&lt;/_date&gt;&lt;_date_display&gt;2021 Jul 23&lt;/_date_display&gt;&lt;_db_updated&gt;PubMed&lt;/_db_updated&gt;&lt;_doi&gt;10.1126/science.abf7844&lt;/_doi&gt;&lt;_impact_factor&gt;  63.714&lt;/_impact_factor&gt;&lt;_isbn&gt;1095-9203 (Electronic); 0036-8075 (Print); 0036-8075 (Linking)&lt;/_isbn&gt;&lt;_issue&gt;6553&lt;/_issue&gt;&lt;_journal&gt;Science&lt;/_journal&gt;&lt;_language&gt;eng&lt;/_language&gt;&lt;_modified&gt;64933867&lt;/_modified&gt;&lt;_ori_publication&gt;Copyright (c) 2021 The Authors, some rights reserved; exclusive licensee American _x000d__x000a_      Association for the Advancement of Science. No claim to original U.S. Government _x000d__x000a_      Works.&lt;/_ori_publication&gt;&lt;_social_category&gt;综合性期刊(1)&lt;/_social_category&gt;&lt;_subject_headings&gt;Animals; Bone Marrow/physiology; Bone Marrow Cells/*physiology; Brain/cytology/immunology/physiology; Cell Movement; Central Nervous System/cytology/*immunology; Central Nervous System Diseases/*immunology/pathology; Dura Mater/cytology/immunology/physiology; Encephalomyelitis, Autoimmune, Experimental/immunology/pathology; Homeostasis; Meninges/cytology/*immunology/physiology; Mice; Monocytes/physiology; Myeloid Cells/*physiology; Neutrophils/physiology; Skull/*anatomy &amp;amp; histology; Spinal Cord/cytology/immunology/physiology; Spinal Cord Injuries/immunology/pathology; Spine/*anatomy &amp;amp; histology&lt;/_subject_headings&gt;&lt;_tertiary_title&gt;Science (New York, N.Y.)&lt;/_tertiary_title&gt;&lt;_type_work&gt;Journal Article; Research Support, N.I.H., Extramural&lt;/_type_work&gt;&lt;_url&gt;http://www.ncbi.nlm.nih.gov/entrez/query.fcgi?cmd=Retrieve&amp;amp;db=pubmed&amp;amp;dopt=Abstract&amp;amp;list_uids=34083447&amp;amp;query_hl=1&lt;/_url&gt;&lt;_volume&gt;373&lt;/_volume&gt;&lt;/Details&gt;&lt;Extra&gt;&lt;DBUID&gt;{F96A950B-833F-4880-A151-76DA2D6A2879}&lt;/DBUID&gt;&lt;/Extra&gt;&lt;/Item&gt;&lt;/References&gt;&lt;/Group&gt;&lt;Group&gt;&lt;References&gt;&lt;Item&gt;&lt;ID&gt;1005&lt;/ID&gt;&lt;UID&gt;{6DB237D2-920E-40CE-9993-72A1F5C9F63A}&lt;/UID&gt;&lt;Title&gt;Distinct molecular profiles of skull bone marrow in health and neurological  disorders&lt;/Title&gt;&lt;Template&gt;Journal Article&lt;/Template&gt;&lt;Star&gt;0&lt;/Star&gt;&lt;Tag&gt;0&lt;/Tag&gt;&lt;Author&gt;Kolabas, Z I; Kuemmerle, L B; Perneczky, R; Forstera, B; Ulukaya, S; Ali, M; Kapoor, S; Bartos, L M; Buttner, M; Caliskan, O S; Rong, Z; Mai, H; Hoher, L; Jeridi, D; Molbay, M; Khalin, I; Deligiannis, I K; Negwer, M; Roberts, K; Simats, A; Carofiglio, O; Todorov, M I; Horvath, I; Ozturk, F; Hummel, S; Biechele, G; Zatcepin, A; Unterrainer, M; Gnorich, J; Roodselaar, J; Shrouder, J; Khosravani, P; Tast, B; Richter, L; Diaz-Marugan, L; Kaltenecker, D; Lux, L; Chen, Y; Zhao, S; Rauchmann, B S; Sterr, M; Kunze, I; Stanic, K; Kan, VWY; Besson-Girard, S; Katzdobler, S; Palleis, C; Schadler, J; Paetzold, J C; Liebscher, S; Hauser, A E; Gokce, O; Lickert, H; Steinke, H; Benakis, C; Braun, C; Martinez-Jimenez, C P; Buerger, K; Albert, N L; Hoglinger, G; Levin, J; Haass, C; Kopczak, A; Dichgans, M; Havla, J; Kumpfel, T; Kerschensteiner, M; Schifferer, M; Simons, M; Liesz, A; Krahmer, N; Bayraktar, O A; Franzmeier, N; Plesnila, N; Erener, S; Puelles, V G; Delbridge, C; Bhatia, H S; Hellal, F; Elsner, M; Bechmann, I; Ondruschka, B; Brendel, M; Theis, F J; Erturk, A&lt;/Author&gt;&lt;Year&gt;2023&lt;/Year&gt;&lt;Details&gt;&lt;_accessed&gt;65613370&lt;/_accessed&gt;&lt;_accession_num&gt;37562402&lt;/_accession_num&gt;&lt;_author_adr&gt;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Institute for Tissue Engineering and Regenerative Medicine (iTERM), Helmholtz  Center, Neuherberg, Munich, Germany; Institute of Computational Biology,  Helmholtz Zentrum Munchen, German Research Center for Environmental Health,  Neuherberg, Germany.; Division of Mental Health in Older Adults and Alzheimer Therapy and Research  Center, Department of Psychiatry and Psychotherapy, University Hospital, Ludwig  Maximilian University Munich, 80336 Munich, Germany; German Center for  Neurodegenerative Diseases (DZNE) Munich, Munich, Germany; Ageing Epidemiology  (AGE) Research Unit, School of Public Health, Imperial College London, London,  UK; Munich Cluster for Systems Neurology (SyNergy), Munich, Germany; Sheffield  Institute for Translational Neuroscience, University of Sheffield, Sheffield, UK.;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Tissue Engineering and Regenerative Medicine (iTERM), Helmholtz  Center, Neuherberg, Munich, Germany; Graduate School of Systemic Neurosciences  (GSN), Munich, Germany; Institute of Computational Biology, Helmholtz Zentrum  Munchen, German Research Center for Environmental Health, Neuherberg, Germany.; Institute for Tissue Engineering and Regenerative Medicine (iTERM), Helmholtz  Center, Neuherberg, Munich, Germany.; Department of Nuclear Medicine, University Hospital,  Ludwig-Maximilians-Universitat Munchen, Munich, Germany.; Institute of Computational Biology, Helmholtz Zentrum Munchen, German Research  Center for Environmental Health, Neuherberg, Germany.; Institute for Diabetes and Obesity, Helmholtz Center Munich and German Center for  Diabetes Research (DZD), 85764 Neuherberg,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Tissue Engineering and Regenerative Medicine (iTERM), Helmholtz  Center, Neuherberg, Munich, Germany.; Institute for Tissue Engineering and Regenerative Medicine (iTERM), Helmholtz  Center, Neuherberg, Munich, Germany.; Institute for Stroke and Dementia Research, LMU University Hospital,  Ludwig-Maximilians University Munich, Munich, Germany.; Helmholtz Pioneer Campus (HPC), Helmholtz Munich, Neuherberg, Germany.; Institute for Tissue Engineering and Regenerative Medicine (iTERM), Helmholtz  Center, Neuherberg, Munich,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School of Computation, Information and  Technology (CIT), TUM, Boltzmannstr. 3, 85748 Garching, Germany.; Institute for Tissue Engineering and Regenerative Medicine (iTERM), Helmholtz  Center, Neuherberg,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Department of Radiology,  University Hospital, LMU Munich, Munich, Germany.; Department of Nuclear Medicine, University Hospital,  Ludwig-Maximilians-Universitat Munchen,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Biomedical Center (BMC), Core Facility Flow Cytometry, Faculty of Medicine, LMU  Munich, Munich, Germany.; Biomedical Center (BMC), Core Facility Flow Cytometry, Faculty of Medicine, LMU  Munich, Munich, Germany.; Biomedical Center (BMC), Core Facility Flow Cytometry, Faculty of Medicine, LMU  Munich, Munich, Germany.; Institute for Stroke and Dementia Research, LMU University Hospital,  Ludwig-Maximilians University Munich, Munich, Germany.; Institute for Tissue Engineering and Regenerative Medicine (iTERM), Helmholtz  Center, Neuherberg, Munich, Germany; Institute for Diabetes and Cancer, Helmholtz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Division of Mental Health in Older Adults and Alzheimer Therapy and Research  Center, Department of Psychiatry and Psychotherapy, University Hospital, Ludwig  Maximilian University Munich, 80336 Munich, Germany; Sheffield Institute for  Translational Neuroscience, University of Sheffield, Sheffield, UK; Institute of  Neuroradiology, University Hospital LMU, Munich, Germany.; Institute of Diabetes and Regeneration Research, Helmholtz Diabetes Center,  Helmholtz Zentrum Munchen, Neuherberg, Germany; Institute of Stem Cell Research,  Helmholtz Zentrum Munchen, Neuherberg, Germany.; Institute of Diabetes and Regeneration Research, Helmholtz Diabetes Center,  Helmholtz Zentrum Munchen, Neuherberg, Germany; Institute of Stem Cell Research,  Helmholtz Zentrum Munchen, Neuherberg, Germany.; Institute for Tissue Engineering and Regenerative Medicine (iTERM), Helmholtz  Center, Neuherberg, Munich, Germany; Institute for Stroke and Dementia Research,  LMU University Hospital, Ludwig-Maximilians University Munich, Munich, Germany.; Institute of Clinical Neuroimmunology, University Hospital Munich,  Ludwig-Maximilians University Munich, Munich, Germany.; Institute for Stroke and Dementia Research, LMU University Hospital,  Ludwig-Maximilians University Munich, Munich, Germany; Graduate School of  Systemic Neurosciences (GSN), Munich, Germany.; German Center for Neurodegenerative Diseases (DZNE) Munich, Munich, Germany;  Department of Neurology, Ludwig-Maximilians-Universitat Munchen, Munich, Germany.; German Center for Neurodegenerative Diseases (DZNE) Munich, Munich, Germany;  Department of Neurology, Ludwig-Maximilians-Universitat Munchen, Munich, Germany.; Institute of Legal Medicine, University Medical Center Hamburg-Eppendorf,  Hamburg, Germany.; Institute for Tissue Engineering and Regenerative Medicine (iTERM), Helmholtz  Center, Neuherberg, Munich, Germany; Department of Computing, Imperial College  London, London, UK.; Munich Cluster for Systems Neurology (SyNergy), Munich, Germany; Institute of  Clinical Neuroimmunology, University Hospital Munich, Ludwig-Maximilians  University Munich, Munich, Germany; Biomedical Center (BMC), Medical Faculty,  Ludwig-Maximilians Universitat Munich,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Munich Cluster for Systems  Neurology (SyNergy), Munich, Germany.; Institute of Diabetes and Regeneration Research, Helmholtz Diabetes Center,  Helmholtz Zentrum Munchen, Neuherberg, Germany; Institute of Stem Cell Research,  Helmholtz Zentrum Munchen, Neuherberg, Germany; TUM School of Medicine, Technical  University of Munich, Munich, Germany.; Institute of Anatomy, University of Leipzig, 04109 Leipzig, Germany.; Institute for Stroke and Dementia Research, LMU University Hospital,  Ludwig-Maximilians University Munich, Munich, Germany.; Institute of Legal Medicine, Faculty of Medicine, LMU Munich, Germany.; Helmholtz Pioneer Campus (HPC), Helmholtz Munich, Neuherberg, Germany; TUM School  of Medicine, Technical University of Munich, Munich, Germany.; Institute for Stroke and Dementia Research, LMU University Hospital,  Ludwig-Maximilians University Munich, Munich, Germany; German Center for  Neurodegenerative Diseases (DZNE) Munich, Munich, Germany.; Department of Nuclear Medicine, University Hospital,  Ludwig-Maximilians-Universitat Munchen, Munich, Germany.; German Center for Neurodegenerative Diseases (DZNE) Munich, Munich, Germany;  Department of Neurology, Ludwig-Maximilians-Universitat Munchen, Munich, Germany.; German Center for Neurodegenerative Diseases (DZNE) Munich, Munich, Germany;  Munich Cluster for Systems Neurology (SyNergy), Munich, Germany; Department of  Neurology, Ludwig-Maximilians-Universitat Munchen, Munich, Germany.; German Center for Neurodegenerative Diseases (DZNE) Munich, Munich, Germany;  Munich Cluster for Systems Neurology (SyNergy), Munich, Germany; Metabolic  Biochemistry, Biomedical Center (BMC), Faculty of Medicine,  Ludwig-Maximilians-Universitat Munchen, Munich, Germany.; Institute for Stroke and Dementia Research, LMU University Hospital,  Ludwig-Maximilians University Munich, Munich, Germany.; Institute for Stroke and Dementia Research, LMU University Hospital,  Ludwig-Maximilians University Munich, Munich, Germany; German Center for  Neurodegenerative Diseases (DZNE)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Institute of Clinical Neuroimmunology, University Hospital Munich,  Ludwig-Maximilians University Munich, Munich, Germany; Biomedical Center (BMC),  Medical Faculty, Ludwig-Maximilians Universitat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German Center for Neurodegenerative Diseases (DZNE) Munich, Munich, Germany;  Munich Cluster for Systems Neurology (SyNergy), Munich, Germany.; German Center for Neurodegenerative Diseases (DZNE) Munich, Munich, Germany;  Munich Cluster for Systems Neurology (SyNergy), Munich, Germany.; Institute for Stroke and Dementia Research, LMU University Hospital,  Ludwig-Maximilians University Munich, Munich, Germany; Graduate School of  Systemic Neurosciences (GSN), Munich, Germany; Munich Cluster for Systems  Neurology (SyNergy), Munich, Germany.; Institute for Diabetes and Obesity, Helmholtz Center Munich and German Center for  Diabetes Research (DZD), 85764 Neuherberg,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II. Department of Medicine, University Medical Center Hamburg-Eppendorf,  Hamburg, Germany; Hamburg Center for Kidney Health (HCKH), University Medical  Center Hamburg-Eppendorf, Hamburg, Germany; Department of Clinical Medicine,  Aarhus University, Aarhus, Denmark; Department of Pathology, Aarhus University  Hospital, Aarhus, Denmark.; Institute of Pathology, Department of Neuropathology, Technical University  Munich, TUM School of Medicine,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nstitute of Anatomy, University of Leipzig, 04109 Leipzig, Germany.; Institute of Legal Medicine, University Medical Center Hamburg-Eppendorf,  Hamburg, Germany.; German Center for Neurodegenerative Diseases (DZNE) Munich, Munich, Germany;  Munich Cluster for Systems Neurology (SyNergy), Munich, Germany; Department of  Nuclear Medicine, University Hospital, Ludwig-Maximilians-Universitat Munchen,  Munich, Germany.; Institute of Computational Biology, Helmholtz Zentrum Munchen, German Research  Center for Environmental Health, Neuherberg, Germany; Department of Mathematics,  Technische Universitat Munchen, Garching bei Munchen, Germany.; 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Munich Cluster  for Systems Neurology (SyNergy), Munich, Germany. Electronic address:  ali.erturk@helmholtz-munich.de.&lt;/_author_adr&gt;&lt;_collection_scope&gt;SCIE&lt;/_collection_scope&gt;&lt;_created&gt;65025916&lt;/_created&gt;&lt;_date&gt;2023-08-17&lt;/_date&gt;&lt;_date_display&gt;2023 Aug 17&lt;/_date_display&gt;&lt;_db_updated&gt;PubMed&lt;/_db_updated&gt;&lt;_doi&gt;10.1016/j.cell.2023.07.009&lt;/_doi&gt;&lt;_impact_factor&gt;  64.500&lt;/_impact_factor&gt;&lt;_isbn&gt;1097-4172 (Electronic); 0092-8674 (Linking)&lt;/_isbn&gt;&lt;_issue&gt;17&lt;/_issue&gt;&lt;_journal&gt;Cell&lt;/_journal&gt;&lt;_keywords&gt;3D-imaging; DISCO clearing; PET imaging; immune cell trafficking; neuroinflammation; neurological disorders; non-invasive monitoring; proteomics; scRNA-seq; skull-brain connection&lt;/_keywords&gt;&lt;_language&gt;eng&lt;/_language&gt;&lt;_modified&gt;65613370&lt;/_modified&gt;&lt;_ori_publication&gt;Copyright (c) 2023 The Author(s). Published by Elsevier Inc. All rights reserved.&lt;/_ori_publication&gt;&lt;_pages&gt;3706-3725.e29&lt;/_pages&gt;&lt;_social_category&gt;生物学(1)&lt;/_social_category&gt;&lt;_tertiary_title&gt;Cell&lt;/_tertiary_title&gt;&lt;_type_work&gt;Journal Article&lt;/_type_work&gt;&lt;_url&gt;http://www.ncbi.nlm.nih.gov/entrez/query.fcgi?cmd=Retrieve&amp;amp;db=pubmed&amp;amp;dopt=Abstract&amp;amp;list_uids=37562402&amp;amp;query_hl=1&lt;/_url&gt;&lt;_volume&gt;186&lt;/_volume&gt;&lt;/Details&gt;&lt;Extra&gt;&lt;DBUID&gt;{F96A950B-833F-4880-A151-76DA2D6A2879}&lt;/DBUID&gt;&lt;/Extra&gt;&lt;/Item&gt;&lt;/References&gt;&lt;/Group&gt;&lt;/Citation&gt;_x000a_"/>
    <w:docVar w:name="NE.Ref{5BFD4F90-FC2C-43A7-9005-3E2474EF8A1D}" w:val=" ADDIN NE.Ref.{5BFD4F90-FC2C-43A7-9005-3E2474EF8A1D}&lt;Citation&gt;&lt;Group&gt;&lt;References&gt;&lt;Item&gt;&lt;ID&gt;1005&lt;/ID&gt;&lt;UID&gt;{6DB237D2-920E-40CE-9993-72A1F5C9F63A}&lt;/UID&gt;&lt;Title&gt;Distinct molecular profiles of skull bone marrow in health and neurological  disorders&lt;/Title&gt;&lt;Template&gt;Journal Article&lt;/Template&gt;&lt;Star&gt;0&lt;/Star&gt;&lt;Tag&gt;0&lt;/Tag&gt;&lt;Author&gt;Kolabas, Z I; Kuemmerle, L B; Perneczky, R; Forstera, B; Ulukaya, S; Ali, M; Kapoor, S; Bartos, L M; Buttner, M; Caliskan, O S; Rong, Z; Mai, H; Hoher, L; Jeridi, D; Molbay, M; Khalin, I; Deligiannis, I K; Negwer, M; Roberts, K; Simats, A; Carofiglio, O; Todorov, M I; Horvath, I; Ozturk, F; Hummel, S; Biechele, G; Zatcepin, A; Unterrainer, M; Gnorich, J; Roodselaar, J; Shrouder, J; Khosravani, P; Tast, B; Richter, L; Diaz-Marugan, L; Kaltenecker, D; Lux, L; Chen, Y; Zhao, S; Rauchmann, B S; Sterr, M; Kunze, I; Stanic, K; Kan, VWY; Besson-Girard, S; Katzdobler, S; Palleis, C; Schadler, J; Paetzold, J C; Liebscher, S; Hauser, A E; Gokce, O; Lickert, H; Steinke, H; Benakis, C; Braun, C; Martinez-Jimenez, C P; Buerger, K; Albert, N L; Hoglinger, G; Levin, J; Haass, C; Kopczak, A; Dichgans, M; Havla, J; Kumpfel, T; Kerschensteiner, M; Schifferer, M; Simons, M; Liesz, A; Krahmer, N; Bayraktar, O A; Franzmeier, N; Plesnila, N; Erener, S; Puelles, V G; Delbridge, C; Bhatia, H S; Hellal, F; Elsner, M; Bechmann, I; Ondruschka, B; Brendel, M; Theis, F J; Erturk, A&lt;/Author&gt;&lt;Year&gt;2023&lt;/Year&gt;&lt;Details&gt;&lt;_accessed&gt;65146831&lt;/_accessed&gt;&lt;_accession_num&gt;37562402&lt;/_accession_num&gt;&lt;_author_adr&gt;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Institute for Tissue Engineering and Regenerative Medicine (iTERM), Helmholtz  Center, Neuherberg, Munich, Germany; Institute of Computational Biology,  Helmholtz Zentrum Munchen, German Research Center for Environmental Health,  Neuherberg, Germany.; Division of Mental Health in Older Adults and Alzheimer Therapy and Research  Center, Department of Psychiatry and Psychotherapy, University Hospital, Ludwig  Maximilian University Munich, 80336 Munich, Germany; German Center for  Neurodegenerative Diseases (DZNE) Munich, Munich, Germany; Ageing Epidemiology  (AGE) Research Unit, School of Public Health, Imperial College London, London,  UK; Munich Cluster for Systems Neurology (SyNergy), Munich, Germany; Sheffield  Institute for Translational Neuroscience, University of Sheffield, Sheffield, UK.;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Tissue Engineering and Regenerative Medicine (iTERM), Helmholtz  Center, Neuherberg, Munich, Germany; Graduate School of Systemic Neurosciences  (GSN), Munich, Germany; Institute of Computational Biology, Helmholtz Zentrum  Munchen, German Research Center for Environmental Health, Neuherberg, Germany.; Institute for Tissue Engineering and Regenerative Medicine (iTERM), Helmholtz  Center, Neuherberg, Munich, Germany.; Department of Nuclear Medicine, University Hospital,  Ludwig-Maximilians-Universitat Munchen, Munich, Germany.; Institute of Computational Biology, Helmholtz Zentrum Munchen, German Research  Center for Environmental Health, Neuherberg, Germany.; Institute for Diabetes and Obesity, Helmholtz Center Munich and German Center for  Diabetes Research (DZD), 85764 Neuherberg,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Tissue Engineering and Regenerative Medicine (iTERM), Helmholtz  Center, Neuherberg, Munich, Germany.; Institute for Tissue Engineering and Regenerative Medicine (iTERM), Helmholtz  Center, Neuherberg, Munich, Germany.; Institute for Stroke and Dementia Research, LMU University Hospital,  Ludwig-Maximilians University Munich, Munich, Germany.; Helmholtz Pioneer Campus (HPC), Helmholtz Munich, Neuherberg, Germany.; Institute for Tissue Engineering and Regenerative Medicine (iTERM), Helmholtz  Center, Neuherberg, Munich,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School of Computation, Information and  Technology (CIT), TUM, Boltzmannstr. 3, 85748 Garching, Germany.; Institute for Tissue Engineering and Regenerative Medicine (iTERM), Helmholtz  Center, Neuherberg,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Department of Radiology,  University Hospital, LMU Munich, Munich, Germany.; Department of Nuclear Medicine, University Hospital,  Ludwig-Maximilians-Universitat Munchen,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Biomedical Center (BMC), Core Facility Flow Cytometry, Faculty of Medicine, LMU  Munich, Munich, Germany.; Biomedical Center (BMC), Core Facility Flow Cytometry, Faculty of Medicine, LMU  Munich, Munich, Germany.; Biomedical Center (BMC), Core Facility Flow Cytometry, Faculty of Medicine, LMU  Munich, Munich, Germany.; Institute for Stroke and Dementia Research, LMU University Hospital,  Ludwig-Maximilians University Munich, Munich, Germany.; Institute for Tissue Engineering and Regenerative Medicine (iTERM), Helmholtz  Center, Neuherberg, Munich, Germany; Institute for Diabetes and Cancer, Helmholtz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Division of Mental Health in Older Adults and Alzheimer Therapy and Research  Center, Department of Psychiatry and Psychotherapy, University Hospital, Ludwig  Maximilian University Munich, 80336 Munich, Germany; Sheffield Institute for  Translational Neuroscience, University of Sheffield, Sheffield, UK; Institute of  Neuroradiology, University Hospital LMU, Munich, Germany.; Institute of Diabetes and Regeneration Research, Helmholtz Diabetes Center,  Helmholtz Zentrum Munchen, Neuherberg, Germany; Institute of Stem Cell Research,  Helmholtz Zentrum Munchen, Neuherberg, Germany.; Institute of Diabetes and Regeneration Research, Helmholtz Diabetes Center,  Helmholtz Zentrum Munchen, Neuherberg, Germany; Institute of Stem Cell Research,  Helmholtz Zentrum Munchen, Neuherberg, Germany.; Institute for Tissue Engineering and Regenerative Medicine (iTERM), Helmholtz  Center, Neuherberg, Munich, Germany; Institute for Stroke and Dementia Research,  LMU University Hospital, Ludwig-Maximilians University Munich, Munich, Germany.; Institute of Clinical Neuroimmunology, University Hospital Munich,  Ludwig-Maximilians University Munich, Munich, Germany.; Institute for Stroke and Dementia Research, LMU University Hospital,  Ludwig-Maximilians University Munich, Munich, Germany; Graduate School of  Systemic Neurosciences (GSN), Munich, Germany.; German Center for Neurodegenerative Diseases (DZNE) Munich, Munich, Germany;  Department of Neurology, Ludwig-Maximilians-Universitat Munchen, Munich, Germany.; German Center for Neurodegenerative Diseases (DZNE) Munich, Munich, Germany;  Department of Neurology, Ludwig-Maximilians-Universitat Munchen, Munich, Germany.; Institute of Legal Medicine, University Medical Center Hamburg-Eppendorf,  Hamburg, Germany.; Institute for Tissue Engineering and Regenerative Medicine (iTERM), Helmholtz  Center, Neuherberg, Munich, Germany; Department of Computing, Imperial College  London, London, UK.; Munich Cluster for Systems Neurology (SyNergy), Munich, Germany; Institute of  Clinical Neuroimmunology, University Hospital Munich, Ludwig-Maximilians  University Munich, Munich, Germany; Biomedical Center (BMC), Medical Faculty,  Ludwig-Maximilians Universitat Munich,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Munich Cluster for Systems  Neurology (SyNergy), Munich, Germany.; Institute of Diabetes and Regeneration Research, Helmholtz Diabetes Center,  Helmholtz Zentrum Munchen, Neuherberg, Germany; Institute of Stem Cell Research,  Helmholtz Zentrum Munchen, Neuherberg, Germany; TUM School of Medicine, Technical  University of Munich, Munich, Germany.; Institute of Anatomy, University of Leipzig, 04109 Leipzig, Germany.; Institute for Stroke and Dementia Research, LMU University Hospital,  Ludwig-Maximilians University Munich, Munich, Germany.; Institute of Legal Medicine, Faculty of Medicine, LMU Munich, Germany.; Helmholtz Pioneer Campus (HPC), Helmholtz Munich, Neuherberg, Germany; TUM School  of Medicine, Technical University of Munich, Munich, Germany.; Institute for Stroke and Dementia Research, LMU University Hospital,  Ludwig-Maximilians University Munich, Munich, Germany; German Center for  Neurodegenerative Diseases (DZNE) Munich, Munich, Germany.; Department of Nuclear Medicine, University Hospital,  Ludwig-Maximilians-Universitat Munchen, Munich, Germany.; German Center for Neurodegenerative Diseases (DZNE) Munich, Munich, Germany;  Department of Neurology, Ludwig-Maximilians-Universitat Munchen, Munich, Germany.; German Center for Neurodegenerative Diseases (DZNE) Munich, Munich, Germany;  Munich Cluster for Systems Neurology (SyNergy), Munich, Germany; Department of  Neurology, Ludwig-Maximilians-Universitat Munchen, Munich, Germany.; German Center for Neurodegenerative Diseases (DZNE) Munich, Munich, Germany;  Munich Cluster for Systems Neurology (SyNergy), Munich, Germany; Metabolic  Biochemistry, Biomedical Center (BMC), Faculty of Medicine,  Ludwig-Maximilians-Universitat Munchen, Munich, Germany.; Institute for Stroke and Dementia Research, LMU University Hospital,  Ludwig-Maximilians University Munich, Munich, Germany.; Institute for Stroke and Dementia Research, LMU University Hospital,  Ludwig-Maximilians University Munich, Munich, Germany; German Center for  Neurodegenerative Diseases (DZNE)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Institute of Clinical Neuroimmunology, University Hospital Munich,  Ludwig-Maximilians University Munich, Munich, Germany; Biomedical Center (BMC),  Medical Faculty, Ludwig-Maximilians Universitat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German Center for Neurodegenerative Diseases (DZNE) Munich, Munich, Germany;  Munich Cluster for Systems Neurology (SyNergy), Munich, Germany.; German Center for Neurodegenerative Diseases (DZNE) Munich, Munich, Germany;  Munich Cluster for Systems Neurology (SyNergy), Munich, Germany.; Institute for Stroke and Dementia Research, LMU University Hospital,  Ludwig-Maximilians University Munich, Munich, Germany; Graduate School of  Systemic Neurosciences (GSN), Munich, Germany; Munich Cluster for Systems  Neurology (SyNergy), Munich, Germany.; Institute for Diabetes and Obesity, Helmholtz Center Munich and German Center for  Diabetes Research (DZD), 85764 Neuherberg,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II. Department of Medicine, University Medical Center Hamburg-Eppendorf,  Hamburg, Germany; Hamburg Center for Kidney Health (HCKH), University Medical  Center Hamburg-Eppendorf, Hamburg, Germany; Department of Clinical Medicine,  Aarhus University, Aarhus, Denmark; Department of Pathology, Aarhus University  Hospital, Aarhus, Denmark.; Institute of Pathology, Department of Neuropathology, Technical University  Munich, TUM School of Medicine,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nstitute of Anatomy, University of Leipzig, 04109 Leipzig, Germany.; Institute of Legal Medicine, University Medical Center Hamburg-Eppendorf,  Hamburg, Germany.; German Center for Neurodegenerative Diseases (DZNE) Munich, Munich, Germany;  Munich Cluster for Systems Neurology (SyNergy), Munich, Germany; Department of  Nuclear Medicine, University Hospital, Ludwig-Maximilians-Universitat Munchen,  Munich, Germany.; Institute of Computational Biology, Helmholtz Zentrum Munchen, German Research  Center for Environmental Health, Neuherberg, Germany; Department of Mathematics,  Technische Universitat Munchen, Garching bei Munchen, Germany.; 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Munich Cluster  for Systems Neurology (SyNergy), Munich, Germany. Electronic address:  ali.erturk@helmholtz-munich.de.&lt;/_author_adr&gt;&lt;_collection_scope&gt;SCIE&lt;/_collection_scope&gt;&lt;_created&gt;65025916&lt;/_created&gt;&lt;_date&gt;2023-08-17&lt;/_date&gt;&lt;_date_display&gt;2023 Aug 17&lt;/_date_display&gt;&lt;_db_updated&gt;PubMed&lt;/_db_updated&gt;&lt;_doi&gt;10.1016/j.cell.2023.07.009&lt;/_doi&gt;&lt;_impact_factor&gt;  64.500&lt;/_impact_factor&gt;&lt;_isbn&gt;1097-4172 (Electronic); 0092-8674 (Linking)&lt;/_isbn&gt;&lt;_issue&gt;17&lt;/_issue&gt;&lt;_journal&gt;Cell&lt;/_journal&gt;&lt;_keywords&gt;3D-imaging; DISCO clearing; PET imaging; immune cell trafficking; neuroinflammation; neurological disorders; non-invasive monitoring; proteomics; scRNA-seq; skull-brain connection&lt;/_keywords&gt;&lt;_language&gt;eng&lt;/_language&gt;&lt;_modified&gt;65146831&lt;/_modified&gt;&lt;_ori_publication&gt;Copyright (c) 2023 The Author(s). Published by Elsevier Inc. All rights reserved.&lt;/_ori_publication&gt;&lt;_pages&gt;3706-3725.e29&lt;/_pages&gt;&lt;_social_category&gt;生物学(1)&lt;/_social_category&gt;&lt;_tertiary_title&gt;Cell&lt;/_tertiary_title&gt;&lt;_type_work&gt;Journal Article&lt;/_type_work&gt;&lt;_url&gt;http://www.ncbi.nlm.nih.gov/entrez/query.fcgi?cmd=Retrieve&amp;amp;db=pubmed&amp;amp;dopt=Abstract&amp;amp;list_uids=37562402&amp;amp;query_hl=1&lt;/_url&gt;&lt;_volume&gt;186&lt;/_volume&gt;&lt;/Details&gt;&lt;Extra&gt;&lt;DBUID&gt;{F96A950B-833F-4880-A151-76DA2D6A2879}&lt;/DBUID&gt;&lt;/Extra&gt;&lt;/Item&gt;&lt;/References&gt;&lt;/Group&gt;&lt;/Citation&gt;_x000a_"/>
    <w:docVar w:name="NE.Ref{5C464558-60F5-4782-A842-7413EEA2C68D}" w:val=" ADDIN NE.Ref.{5C464558-60F5-4782-A842-7413EEA2C68D}&lt;Citation&gt;&lt;Group&gt;&lt;References&gt;&lt;Item&gt;&lt;ID&gt;1007&lt;/ID&gt;&lt;UID&gt;{B9C00014-86F6-4456-87F7-7107FA2CFD8D}&lt;/UID&gt;&lt;Title&gt;The adaptive immune system restrains Alzheimer&amp;apos;s disease pathogenesis by  modulating microglial function&lt;/Title&gt;&lt;Template&gt;Journal Article&lt;/Template&gt;&lt;Star&gt;0&lt;/Star&gt;&lt;Tag&gt;0&lt;/Tag&gt;&lt;Author&gt;Marsh, S E; Abud, E M; Lakatos, A; Karimzadeh, A; Yeung, S T; Davtyan, H; Fote, G M; Lau, L; Weinger, J G; Lane, T E; Inlay, M A; Poon, W W; Blurton-Jones, M&lt;/Author&gt;&lt;Year&gt;2016&lt;/Year&gt;&lt;Details&gt;&lt;_accessed&gt;65146832&lt;/_accessed&gt;&lt;_accession_num&gt;26884167&lt;/_accession_num&gt;&lt;_author_adr&gt;Department of Neurobiology and Behavior, University of California, Irvine, CA  92697; Sue and Bill Gross Stem Cell Research Center, University of California,  Irvine, CA 92697;; Department of Neurobiology and Behavior, University of California, Irvine, CA  92697; Sue and Bill Gross Stem Cell Research Center, University of California,  Irvine, CA 92697;; Institute for Memory Impairments and Neurological Disorders, University of  California, Irvine, CA 92697;; Sue and Bill Gross Stem Cell Research Center, University of California, Irvine,  CA 92697; Department of Molecular Biology and Biochemistry, University of  California, Irvine, CA 92697;; Institute for Memory Impairments and Neurological Disorders, University of  California, Irvine, CA 92697;; Department of Molecular Immunology, Institute for Molecular Medicine, Huntington  Beach, CA 92647.; Department of Neurobiology and Behavior, University of California, Irvine, CA  92697; Sue and Bill Gross Stem Cell Research Center, University of California,  Irvine, CA 92697;; Institute for Memory Impairments and Neurological Disorders, University of  California, Irvine, CA 92697;; Department of Molecular Biology and Biochemistry, University of California,  Irvine, CA 92697;; Sue and Bill Gross Stem Cell Research Center, University of California, Irvine,  CA 92697; Institute for Memory Impairments and Neurological Disorders, University  of California, Irvine, CA 92697; Department of Molecular Biology and  Biochemistry, University of California, Irvine, CA 92697;; Sue and Bill Gross Stem Cell Research Center, University of California, Irvine,  CA 92697; Department of Molecular Biology and Biochemistry, University of  California, Irvine, CA 92697;; Institute for Memory Impairments and Neurological Disorders, University of  California, Irvine, CA 92697;; Department of Neurobiology and Behavior, University of California, Irvine, CA  92697; Sue and Bill Gross Stem Cell Research Center, University of California,  Irvine, CA 92697; Institute for Memory Impairments and Neurological Disorders,  University of California, Irvine, CA 92697; mblurton@uci.edu.&lt;/_author_adr&gt;&lt;_collection_scope&gt;SCIE&lt;/_collection_scope&gt;&lt;_created&gt;65146831&lt;/_created&gt;&lt;_date&gt;2016-03-01&lt;/_date&gt;&lt;_date_display&gt;2016 Mar 1&lt;/_date_display&gt;&lt;_db_updated&gt;PubMed&lt;/_db_updated&gt;&lt;_doi&gt;10.1073/pnas.1525466113&lt;/_doi&gt;&lt;_impact_factor&gt;  11.100&lt;/_impact_factor&gt;&lt;_isbn&gt;1091-6490 (Electronic); 0027-8424 (Print); 0027-8424 (Linking)&lt;/_isbn&gt;&lt;_issue&gt;9&lt;/_issue&gt;&lt;_journal&gt;Proc Natl Acad Sci U S A&lt;/_journal&gt;&lt;_keywords&gt;Alzheimer&amp;apos;s; IgG; amyloid; inflammation; microglia&lt;/_keywords&gt;&lt;_language&gt;eng&lt;/_language&gt;&lt;_modified&gt;65146832&lt;/_modified&gt;&lt;_pages&gt;E1316-25&lt;/_pages&gt;&lt;_social_category&gt;综合性期刊(1)&lt;/_social_category&gt;&lt;_subject_headings&gt;*Adaptation, Physiological; Alzheimer Disease/immunology/*physiopathology; Amyloid beta-Peptides/metabolism; Animals; Humans; Immunoglobulin G/blood; Mice; Microglia/*pathology; Phagocytosis&lt;/_subject_heading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26884167&amp;amp;query_hl=1&lt;/_url&gt;&lt;_volume&gt;113&lt;/_volume&gt;&lt;/Details&gt;&lt;Extra&gt;&lt;DBUID&gt;{F96A950B-833F-4880-A151-76DA2D6A2879}&lt;/DBUID&gt;&lt;/Extra&gt;&lt;/Item&gt;&lt;/References&gt;&lt;/Group&gt;&lt;/Citation&gt;_x000a_"/>
    <w:docVar w:name="NE.Ref{63D662F7-88D5-452B-83A2-5348A763D262}" w:val=" ADDIN NE.Ref.{63D662F7-88D5-452B-83A2-5348A763D262}&lt;Citation&gt;&lt;Group&gt;&lt;References&gt;&lt;Item&gt;&lt;ID&gt;951&lt;/ID&gt;&lt;UID&gt;{D66D2D82-6B82-4C95-9D7D-628FBC7EF3E6}&lt;/UID&gt;&lt;Title&gt;Skull and vertebral bone marrow are myeloid cell reservoirs for the meninges and  CNS parenchyma&lt;/Title&gt;&lt;Template&gt;Journal Article&lt;/Template&gt;&lt;Star&gt;0&lt;/Star&gt;&lt;Tag&gt;0&lt;/Tag&gt;&lt;Author&gt;Cugurra, A; Mamuladze, T; Rustenhoven, J; Dykstra, T; Beroshvili, G; Greenberg, Z J; Baker, W; Papadopoulos, Z; Drieu, A; Blackburn, S; Kanamori, M; Brioschi, S; Herz, J; Schuettpelz, L G; Colonna, M; Smirnov, I; Kipnis, J&lt;/Author&gt;&lt;Year&gt;2021&lt;/Year&gt;&lt;Details&gt;&lt;_accessed&gt;64933867&lt;/_accessed&gt;&lt;_accession_num&gt;34083447&lt;/_accession_num&gt;&lt;_author_adr&gt;Gutenberg Research Fellowship Group of Neuroimmunology, Focus Program  Translational Neuroscience (FTN) and Immunotherapy (FZI), Rhine Main Neuroscience  Network (rmn), University Medical Center of the Johannes Gutenberg University  Mainz, Mainz, Germany.; Department of Neuroscience, School of Medicine, University of Virginia,  Charlottesville, VA,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Pathology and Immunology, Washington University in St. Louis, St.  Louis, MO, USA.; Department of Pathology and Immunology, Washington University in St. Louis, St.  Louis, MO, USA.; Gutenberg Research Fellowship Group of Neuroimmunology, Focus Program  Translational Neuroscience (FTN) and Immunotherapy (FZI), Rhine Main Neuroscience  Network (rmn), University Medical Center of the Johannes Gutenberg University  Mainz, Mainz, Germany. kipnis@wustl.edu.;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lt;/_author_adr&gt;&lt;_collection_scope&gt;SCIE&lt;/_collection_scope&gt;&lt;_created&gt;64867570&lt;/_created&gt;&lt;_date&gt;63933120&lt;/_date&gt;&lt;_date_display&gt;2021 Jul 23&lt;/_date_display&gt;&lt;_db_updated&gt;PubMed&lt;/_db_updated&gt;&lt;_doi&gt;10.1126/science.abf7844&lt;/_doi&gt;&lt;_impact_factor&gt;  63.714&lt;/_impact_factor&gt;&lt;_isbn&gt;1095-9203 (Electronic); 0036-8075 (Print); 0036-8075 (Linking)&lt;/_isbn&gt;&lt;_issue&gt;6553&lt;/_issue&gt;&lt;_journal&gt;Science&lt;/_journal&gt;&lt;_language&gt;eng&lt;/_language&gt;&lt;_modified&gt;64933867&lt;/_modified&gt;&lt;_ori_publication&gt;Copyright (c) 2021 The Authors, some rights reserved; exclusive licensee American _x000d__x000a_      Association for the Advancement of Science. No claim to original U.S. Government _x000d__x000a_      Works.&lt;/_ori_publication&gt;&lt;_social_category&gt;综合性期刊(1)&lt;/_social_category&gt;&lt;_subject_headings&gt;Animals; Bone Marrow/physiology; Bone Marrow Cells/*physiology; Brain/cytology/immunology/physiology; Cell Movement; Central Nervous System/cytology/*immunology; Central Nervous System Diseases/*immunology/pathology; Dura Mater/cytology/immunology/physiology; Encephalomyelitis, Autoimmune, Experimental/immunology/pathology; Homeostasis; Meninges/cytology/*immunology/physiology; Mice; Monocytes/physiology; Myeloid Cells/*physiology; Neutrophils/physiology; Skull/*anatomy &amp;amp; histology; Spinal Cord/cytology/immunology/physiology; Spinal Cord Injuries/immunology/pathology; Spine/*anatomy &amp;amp; histology&lt;/_subject_headings&gt;&lt;_tertiary_title&gt;Science (New York, N.Y.)&lt;/_tertiary_title&gt;&lt;_type_work&gt;Journal Article; Research Support, N.I.H., Extramural&lt;/_type_work&gt;&lt;_url&gt;http://www.ncbi.nlm.nih.gov/entrez/query.fcgi?cmd=Retrieve&amp;amp;db=pubmed&amp;amp;dopt=Abstract&amp;amp;list_uids=34083447&amp;amp;query_hl=1&lt;/_url&gt;&lt;_volume&gt;373&lt;/_volume&gt;&lt;/Details&gt;&lt;Extra&gt;&lt;DBUID&gt;{F96A950B-833F-4880-A151-76DA2D6A2879}&lt;/DBUID&gt;&lt;/Extra&gt;&lt;/Item&gt;&lt;/References&gt;&lt;/Group&gt;&lt;/Citation&gt;_x000a_"/>
    <w:docVar w:name="NE.Ref{64A12677-0DBB-4882-B62D-B9EC6C2CBD46}" w:val=" ADDIN NE.Ref.{64A12677-0DBB-4882-B62D-B9EC6C2CBD46}&lt;Citation&gt;&lt;Group&gt;&lt;References&gt;&lt;Item&gt;&lt;ID&gt;935&lt;/ID&gt;&lt;UID&gt;{27C58768-9CA5-498A-A8D4-17B1D3C4339D}&lt;/UID&gt;&lt;Title&gt;Brain beta-amyloid measures and magnetic resonance imaging atrophy both predict  time-to-progression from mild cognitive impairment to Alzheimer&amp;apos;s disease&lt;/Title&gt;&lt;Template&gt;Journal Article&lt;/Template&gt;&lt;Star&gt;0&lt;/Star&gt;&lt;Tag&gt;0&lt;/Tag&gt;&lt;Author&gt;Jack, CR Jr; Wiste, H J; Vemuri, P; Weigand, S D; Senjem, M L; Zeng, G; Bernstein, M A; Gunter, J L; Pankratz, V S; Aisen, P S; Weiner, M W; Petersen, R C; Shaw, L M; Trojanowski, J Q; Knopman, D S&lt;/Author&gt;&lt;Year&gt;2010&lt;/Year&gt;&lt;Details&gt;&lt;_accessed&gt;64867556&lt;/_accessed&gt;&lt;_accession_num&gt;20935035&lt;/_accession_num&gt;&lt;_author_adr&gt;Department of Radiology, Mayo Clinic and Foundation, 200 First Street SW,  Rochester, MN 55905, USA. jack.clifford@mayo.edu&lt;/_author_adr&gt;&lt;_collection_scope&gt;SCIE&lt;/_collection_scope&gt;&lt;_created&gt;64867545&lt;/_created&gt;&lt;_date&gt;2010-11-01&lt;/_date&gt;&lt;_date_display&gt;2010 Nov&lt;/_date_display&gt;&lt;_db_updated&gt;PubMed&lt;/_db_updated&gt;&lt;_doi&gt;10.1093/brain/awq277&lt;/_doi&gt;&lt;_impact_factor&gt;  15.255&lt;/_impact_factor&gt;&lt;_isbn&gt;1460-2156 (Electronic); 0006-8950 (Print); 0006-8950 (Linking)&lt;/_isbn&gt;&lt;_issue&gt;11&lt;/_issue&gt;&lt;_journal&gt;Brain&lt;/_journal&gt;&lt;_language&gt;eng&lt;/_language&gt;&lt;_modified&gt;64867556&lt;/_modified&gt;&lt;_pages&gt;3336-48&lt;/_pages&gt;&lt;_social_category&gt;医学(1)&lt;/_social_category&gt;&lt;_subject_headings&gt;Aged; Aged, 80 and over; Alzheimer Disease/*metabolism/*pathology/psychology; *Amyloid beta-Peptides/physiology; Atrophy; Brain/*metabolism/*pathology; Cognition Disorders/metabolism/*pathology/psychology; *Disease Progression; Female; Follow-Up Studies; Humans; *Magnetic Resonance Imaging; Male; Predictive Value of Tests; Time Factors&lt;/_subject_headings&gt;&lt;_tertiary_title&gt;Brain : a journal of neurology&lt;/_tertiary_title&gt;&lt;_type_work&gt;Comparative Study; Journal Article; Research Support, N.I.H., Extramural&lt;/_type_work&gt;&lt;_url&gt;http://www.ncbi.nlm.nih.gov/entrez/query.fcgi?cmd=Retrieve&amp;amp;db=pubmed&amp;amp;dopt=Abstract&amp;amp;list_uids=20935035&amp;amp;query_hl=1&lt;/_url&gt;&lt;_volume&gt;133&lt;/_volume&gt;&lt;/Details&gt;&lt;Extra&gt;&lt;DBUID&gt;{F96A950B-833F-4880-A151-76DA2D6A2879}&lt;/DBUID&gt;&lt;/Extra&gt;&lt;/Item&gt;&lt;/References&gt;&lt;/Group&gt;&lt;/Citation&gt;_x000a_"/>
    <w:docVar w:name="NE.Ref{658F037E-1F27-435A-A13E-6739D9C28A6D}" w:val=" ADDIN NE.Ref.{658F037E-1F27-435A-A13E-6739D9C28A6D}&lt;Citation&gt;&lt;Group&gt;&lt;References&gt;&lt;Item&gt;&lt;ID&gt;1120&lt;/ID&gt;&lt;UID&gt;{496CB2C4-C73E-4C63-89CD-D0CF1BD01532}&lt;/UID&gt;&lt;Title&gt;Aging-related changes in RP3V kisspeptin neurons predate the reduced activation  of GnRH neurons during the early reproductive decline in female mice&lt;/Title&gt;&lt;Template&gt;Journal Article&lt;/Template&gt;&lt;Star&gt;0&lt;/Star&gt;&lt;Tag&gt;0&lt;/Tag&gt;&lt;Author&gt;Zhang, J; Yang, L; Lin, N; Pan, X; Zhu, Y; Chen, X&lt;/Author&gt;&lt;Year&gt;2014&lt;/Year&gt;&lt;Details&gt;&lt;_accessed&gt;66057509&lt;/_accessed&gt;&lt;_accession_num&gt;24112790&lt;/_accession_num&gt;&lt;_author_adr&gt;Key Laboratory of Brain Aging and Neurodegenerative Disease, Fujian Institute of  Geriatrics, The Affiliated Union Hospital of Fujian Medical University, Fuzhou,  China; Fujian Key Laboratory of Molecular Neurology, Fujian Medical University,  Fuzhou, China. Electronic address: drzj@163.com.&lt;/_author_adr&gt;&lt;_collection_scope&gt;SCIE&lt;/_collection_scope&gt;&lt;_created&gt;65967825&lt;/_created&gt;&lt;_date&gt;2014-03-01&lt;/_date&gt;&lt;_date_display&gt;2014 Mar&lt;/_date_display&gt;&lt;_db_updated&gt;PubMed&lt;/_db_updated&gt;&lt;_doi&gt;10.1016/j.neurobiolaging.2013.08.038&lt;/_doi&gt;&lt;_impact_factor&gt;   4.200&lt;/_impact_factor&gt;&lt;_isbn&gt;1558-1497 (Electronic); 0197-4580 (Linking)&lt;/_isbn&gt;&lt;_issue&gt;3&lt;/_issue&gt;&lt;_journal&gt;Neurobiol Aging&lt;/_journal&gt;&lt;_keywords&gt;Aging; Estrogen receptor-alpha; GnRH; Kisspeptin; Progesterone receptor; c-Fos&lt;/_keywords&gt;&lt;_language&gt;eng&lt;/_language&gt;&lt;_modified&gt;66057509&lt;/_modified&gt;&lt;_ori_publication&gt;Copyright (c) 2014 Elsevier Inc. All rights reserved.&lt;/_ori_publication&gt;&lt;_pages&gt;655-68&lt;/_pages&gt;&lt;_social_category&gt;老年医学(3) &amp;amp; 神经科学(3)&lt;/_social_category&gt;&lt;_subject_headings&gt;Aging/*genetics/*pathology; Animals; Brain/*cytology/metabolism/*pathology; Estrogen Receptor alpha; Female; Gonadotropin-Releasing Hormone/metabolism/*physiology; Immunohistochemistry; Kisspeptins/metabolism/*physiology; Mice; Mice, Inbred C57BL; Neurons/metabolism/*pathology/physiology; Proto-Oncogene Proteins c-fos; Receptors, Progesterone; Reproduction/*genetics/*physiology&lt;/_subject_headings&gt;&lt;_tertiary_title&gt;Neurobiology of aging&lt;/_tertiary_title&gt;&lt;_type_work&gt;Journal Article; Research Support, Non-U.S. Gov&amp;apos;t&lt;/_type_work&gt;&lt;_url&gt;http://www.ncbi.nlm.nih.gov/entrez/query.fcgi?cmd=Retrieve&amp;amp;db=pubmed&amp;amp;dopt=Abstract&amp;amp;list_uids=24112790&amp;amp;query_hl=1&lt;/_url&gt;&lt;_volume&gt;35&lt;/_volume&gt;&lt;/Details&gt;&lt;Extra&gt;&lt;DBUID&gt;{F96A950B-833F-4880-A151-76DA2D6A2879}&lt;/DBUID&gt;&lt;/Extra&gt;&lt;/Item&gt;&lt;/References&gt;&lt;/Group&gt;&lt;/Citation&gt;_x000a_"/>
    <w:docVar w:name="NE.Ref{69C97EE7-6059-4938-A318-7DC21D738CD4}" w:val=" ADDIN NE.Ref.{69C97EE7-6059-4938-A318-7DC21D738CD4}&lt;Citation&gt;&lt;Group&gt;&lt;References&gt;&lt;Item&gt;&lt;ID&gt;973&lt;/ID&gt;&lt;UID&gt;{DEAA9706-9459-4368-A154-6599D72C2EB6}&lt;/UID&gt;&lt;Title&gt;Complementary DNA for a novel human interleukin (BSF-2) that induces B  lymphocytes to produce immunoglobulin&lt;/Title&gt;&lt;Template&gt;Journal Article&lt;/Template&gt;&lt;Star&gt;0&lt;/Star&gt;&lt;Tag&gt;0&lt;/Tag&gt;&lt;Author&gt;Hirano, T; Yasukawa, K; Harada, H; Taga, T; Watanabe, Y; Matsuda, T; Kashiwamura, S; Nakajima, K; Koyama, K; Iwamatsu, A; Et, Al.&lt;/Author&gt;&lt;Year&gt;1986&lt;/Year&gt;&lt;Details&gt;&lt;_accessed&gt;64867591&lt;/_accessed&gt;&lt;_accession_num&gt;3491322&lt;/_accession_num&gt;&lt;_collection_scope&gt;SCIE&lt;/_collection_scope&gt;&lt;_created&gt;64867591&lt;/_created&gt;&lt;_date&gt;1986-11-06&lt;/_date&gt;&lt;_date_display&gt;1986 Nov 6-12&lt;/_date_display&gt;&lt;_db_updated&gt;PubMed&lt;/_db_updated&gt;&lt;_doi&gt;10.1038/324073a0&lt;/_doi&gt;&lt;_impact_factor&gt;  69.504&lt;/_impact_factor&gt;&lt;_isbn&gt;0028-0836 (Print); 0028-0836 (Linking)&lt;/_isbn&gt;&lt;_issue&gt;6092&lt;/_issue&gt;&lt;_journal&gt;Nature&lt;/_journal&gt;&lt;_language&gt;eng&lt;/_language&gt;&lt;_modified&gt;64867591&lt;/_modified&gt;&lt;_pages&gt;73-6&lt;/_pages&gt;&lt;_social_category&gt;综合性期刊(1)&lt;/_social_category&gt;&lt;_subject_headings&gt;Amino Acid Sequence; Antibody-Producing Cells/*immunology; B-Lymphocytes/*immunology; Base Sequence; Cell Differentiation; DNA/metabolism; Growth Substances/*analysis; Humans; Immunoglobulins/metabolism; Interleukin-4; Lymphokines/*analysis&lt;/_subject_headings&gt;&lt;_tertiary_title&gt;Nature&lt;/_tertiary_title&gt;&lt;_type_work&gt;Journal Article; Research Support, Non-U.S. Gov&amp;apos;t&lt;/_type_work&gt;&lt;_url&gt;http://www.ncbi.nlm.nih.gov/entrez/query.fcgi?cmd=Retrieve&amp;amp;db=pubmed&amp;amp;dopt=Abstract&amp;amp;list_uids=3491322&amp;amp;query_hl=1&lt;/_url&gt;&lt;_volume&gt;324&lt;/_volume&gt;&lt;/Details&gt;&lt;Extra&gt;&lt;DBUID&gt;{F96A950B-833F-4880-A151-76DA2D6A2879}&lt;/DBUID&gt;&lt;/Extra&gt;&lt;/Item&gt;&lt;/References&gt;&lt;/Group&gt;&lt;Group&gt;&lt;References&gt;&lt;Item&gt;&lt;ID&gt;974&lt;/ID&gt;&lt;UID&gt;{3ABC96B9-1E2B-4773-83FF-ED68181090EA}&lt;/UID&gt;&lt;Title&gt;Human B-cell differentiation factor defined by an anti-peptide antibody and its  possible role in autoantibody production&lt;/Title&gt;&lt;Template&gt;Journal Article&lt;/Template&gt;&lt;Star&gt;0&lt;/Star&gt;&lt;Tag&gt;0&lt;/Tag&gt;&lt;Author&gt;Hirano, T; Taga, T; Yasukawa, K; Nakajima, K; Nakano, N; Takatsuki, F; Shimizu, M; Murashima, A; Tsunasawa, S; Sakiyama, F; Et, Al.&lt;/Author&gt;&lt;Year&gt;1987&lt;/Year&gt;&lt;Details&gt;&lt;_accessed&gt;64867592&lt;/_accessed&gt;&lt;_accession_num&gt;3491991&lt;/_accession_num&gt;&lt;_collection_scope&gt;SCIE&lt;/_collection_scope&gt;&lt;_created&gt;64867591&lt;/_created&gt;&lt;_date&gt;1987-01-01&lt;/_date&gt;&lt;_date_display&gt;1987 Jan&lt;/_date_display&gt;&lt;_db_updated&gt;PubMed&lt;/_db_updated&gt;&lt;_doi&gt;10.1073/pnas.84.1.228&lt;/_doi&gt;&lt;_impact_factor&gt;  12.779&lt;/_impact_factor&gt;&lt;_isbn&gt;0027-8424 (Print); 1091-6490 (Electronic); 0027-8424 (Linking)&lt;/_isbn&gt;&lt;_issue&gt;1&lt;/_issue&gt;&lt;_journal&gt;Proc Natl Acad Sci U S A&lt;/_journal&gt;&lt;_language&gt;eng&lt;/_language&gt;&lt;_modified&gt;64867592&lt;/_modified&gt;&lt;_pages&gt;228-31&lt;/_pages&gt;&lt;_social_category&gt;综合性期刊(1)&lt;/_social_category&gt;&lt;_subject_headings&gt;Amino Acid Sequence; Antibodies; Autoantibodies/*immunology; B-Lymphocytes/*immunology; Cell Line; Chromatography, Affinity; Growth Substances/*isolation &amp;amp; purification; Humans; Immune Sera; Interleukin-4; Lymphokines/*isolation &amp;amp; purification&lt;/_subject_headings&gt;&lt;_tertiary_title&gt;Proceedings of the National Academy of Sciences of the United States of America&lt;/_tertiary_title&gt;&lt;_type_work&gt;Journal Article; Research Support, Non-U.S. Gov&amp;apos;t&lt;/_type_work&gt;&lt;_url&gt;http://www.ncbi.nlm.nih.gov/entrez/query.fcgi?cmd=Retrieve&amp;amp;db=pubmed&amp;amp;dopt=Abstract&amp;amp;list_uids=3491991&amp;amp;query_hl=1&lt;/_url&gt;&lt;_volume&gt;84&lt;/_volume&gt;&lt;/Details&gt;&lt;Extra&gt;&lt;DBUID&gt;{F96A950B-833F-4880-A151-76DA2D6A2879}&lt;/DBUID&gt;&lt;/Extra&gt;&lt;/Item&gt;&lt;/References&gt;&lt;/Group&gt;&lt;Group&gt;&lt;References&gt;&lt;Item&gt;&lt;ID&gt;975&lt;/ID&gt;&lt;UID&gt;{046458C3-0CB9-41FA-845F-75ED0C883399}&lt;/UID&gt;&lt;Title&gt;Pleiotropy and Specificity: Insights from the Interleukin 6 Family of Cytokines&lt;/Title&gt;&lt;Template&gt;Journal Article&lt;/Template&gt;&lt;Star&gt;0&lt;/Star&gt;&lt;Tag&gt;0&lt;/Tag&gt;&lt;Author&gt;Murakami, M; Kamimura, D; Hirano, T&lt;/Author&gt;&lt;Year&gt;2019&lt;/Year&gt;&lt;Details&gt;&lt;_accessed&gt;64867593&lt;/_accessed&gt;&lt;_accession_num&gt;30995501&lt;/_accession_num&gt;&lt;_author_adr&gt;Division of Molecular Psychoimmunology, Institute for Genetic Medicine and  Graduate School of Medicine, Hokkaido University, Sapporo 060-0815, Japan.; Division of Molecular Psychoimmunology, Institute for Genetic Medicine and  Graduate School of Medicine, Hokkaido University, Sapporo 060-0815, Japan.; Division of Molecular Psychoimmunology, Institute for Genetic Medicine and  Graduate School of Medicine, Hokkaido University, Sapporo 060-0815, Japan;  Headquarters, National Institutes for Quantum and Radiological Science and  Technology, Chiba 263-8555, Japan. Electronic address: hirano.toshio@qst.go.jp.&lt;/_author_adr&gt;&lt;_collection_scope&gt;SCIE&lt;/_collection_scope&gt;&lt;_created&gt;64867592&lt;/_created&gt;&lt;_date&gt;2019-04-16&lt;/_date&gt;&lt;_date_display&gt;2019 Apr 16&lt;/_date_display&gt;&lt;_db_updated&gt;PubMed&lt;/_db_updated&gt;&lt;_doi&gt;10.1016/j.immuni.2019.03.027&lt;/_doi&gt;&lt;_impact_factor&gt;  43.474&lt;/_impact_factor&gt;&lt;_isbn&gt;1097-4180 (Electronic); 1074-7613 (Linking)&lt;/_isbn&gt;&lt;_issue&gt;4&lt;/_issue&gt;&lt;_journal&gt;Immunity&lt;/_journal&gt;&lt;_language&gt;eng&lt;/_language&gt;&lt;_modified&gt;64867593&lt;/_modified&gt;&lt;_ori_publication&gt;Copyright (c) 2019 Elsevier Inc. All rights reserved.&lt;/_ori_publication&gt;&lt;_pages&gt;812-831&lt;/_pages&gt;&lt;_social_category&gt;医学(1)&lt;/_social_category&gt;&lt;_subject_headings&gt;Animals; Autoimmune Diseases/immunology; Cytokines/genetics/*physiology; Gene Expression Regulation; *Genetic Pleiotropy; Inflammation/immunology; Interleukin-6/antagonists &amp;amp; inhibitors/genetics/immunology/physiology; Mice; Multigene Family/*physiology; Protein Subunits; Receptors, Cytokine/physiology; Receptors, Interleukin-6/physiology; Signal Transduction; Structure-Activity Relationship&lt;/_subject_headings&gt;&lt;_tertiary_title&gt;Immunity&lt;/_tertiary_title&gt;&lt;_type_work&gt;Journal Article; Research Support, Non-U.S. Gov&amp;apos;t; Review&lt;/_type_work&gt;&lt;_url&gt;http://www.ncbi.nlm.nih.gov/entrez/query.fcgi?cmd=Retrieve&amp;amp;db=pubmed&amp;amp;dopt=Abstract&amp;amp;list_uids=30995501&amp;amp;query_hl=1&lt;/_url&gt;&lt;_volume&gt;50&lt;/_volume&gt;&lt;/Details&gt;&lt;Extra&gt;&lt;DBUID&gt;{F96A950B-833F-4880-A151-76DA2D6A2879}&lt;/DBUID&gt;&lt;/Extra&gt;&lt;/Item&gt;&lt;/References&gt;&lt;/Group&gt;&lt;/Citation&gt;_x000a_"/>
    <w:docVar w:name="NE.Ref{6E50D1F9-19FD-4F05-A983-A63E86A507DE}" w:val=" ADDIN NE.Ref.{6E50D1F9-19FD-4F05-A983-A63E86A507DE}&lt;Citation&gt;&lt;Group&gt;&lt;References&gt;&lt;Item&gt;&lt;ID&gt;960&lt;/ID&gt;&lt;UID&gt;{7CDC8A84-5E06-4E55-910F-0DFCDF6073E4}&lt;/UID&gt;&lt;Title&gt;Increased NF-kappaB signalling up-regulates BACE1 expression and its therapeutic  potential in Alzheimer&amp;apos;s disease&lt;/Title&gt;&lt;Template&gt;Journal Article&lt;/Template&gt;&lt;Star&gt;0&lt;/Star&gt;&lt;Tag&gt;0&lt;/Tag&gt;&lt;Author&gt;Chen, C H; Zhou, W; Liu, S; Deng, Y; Cai, F; Tone, M; Tone, Y; Tong, Y; Song, W&lt;/Author&gt;&lt;Year&gt;2012&lt;/Year&gt;&lt;Details&gt;&lt;_accessed&gt;64867578&lt;/_accessed&gt;&lt;_accession_num&gt;21329555&lt;/_accession_num&gt;&lt;_author_adr&gt;Townsend Family Laboratories, Department of Psychiatry, Brain Research Center,  Graduate Program in Neuroscience, The University of British Columbia, Vancouver,  Canada.; Townsend Family Laboratories, Department of Psychiatry, Brain Research Center,  Graduate Program in Neuroscience, The University of British Columbia, Vancouver,  Canada.; Townsend Family Laboratories, Department of Psychiatry, Brain Research Center,  Graduate Program in Neuroscience, The University of British Columbia, Vancouver,  Canada.; Townsend Family Laboratories, Department of Psychiatry, Brain Research Center,  Graduate Program in Neuroscience, The University of British Columbia, Vancouver,  Canada.; Townsend Family Laboratories, Department of Psychiatry, Brain Research Center,  Graduate Program in Neuroscience, The University of British Columbia, Vancouver,  Canada.; Department of Pathology and Laboratory Medicine, University of Pennsylvania,  Philadelphia, PA, USA.; Department of Pathology and Laboratory Medicine, University of Pennsylvania,  Philadelphia, PA, USA.; Townsend Family Laboratories, Department of Psychiatry, Brain Research Center,  Graduate Program in Neuroscience, The University of British Columbia, Vancouver,  Canada.; Townsend Family Laboratories, Department of Psychiatry, Brain Research Center,  Graduate Program in Neuroscience, The University of British Columbia, Vancouver,  Canada.&lt;/_author_adr&gt;&lt;_collection_scope&gt;SCIE&lt;/_collection_scope&gt;&lt;_created&gt;64867578&lt;/_created&gt;&lt;_date&gt;2012-02-01&lt;/_date&gt;&lt;_date_display&gt;2012 Feb&lt;/_date_display&gt;&lt;_db_updated&gt;PubMed&lt;/_db_updated&gt;&lt;_doi&gt;10.1017/S1461145711000149&lt;/_doi&gt;&lt;_impact_factor&gt;   5.678&lt;/_impact_factor&gt;&lt;_isbn&gt;1469-5111 (Electronic); 1461-1457 (Linking)&lt;/_isbn&gt;&lt;_issue&gt;1&lt;/_issue&gt;&lt;_journal&gt;Int J Neuropsychopharmacol&lt;/_journal&gt;&lt;_language&gt;eng&lt;/_language&gt;&lt;_modified&gt;64867578&lt;/_modified&gt;&lt;_pages&gt;77-90&lt;/_pages&gt;&lt;_social_category&gt;医学(2)&lt;/_social_category&gt;&lt;_subject_headings&gt;Aged; Aged, 80 and over; Alzheimer Disease/*metabolism; Amyloid Precursor Protein Secretases/genetics/*metabolism; Amyloid beta-Peptides/metabolism; Amyloid beta-Protein Precursor/metabolism; Anti-Inflammatory Agents, Non-Steroidal/pharmacology; Aspartic Acid Endopeptidases/genetics/*metabolism; Brain/*metabolism; Humans; Promoter Regions, Genetic; Signal Transduction/drug effects; Transcription Factor RelA/*metabolism; Transcription, Genetic/drug effects; Tumor Necrosis Factor-alpha/metabolism; Up-Regulation&lt;/_subject_headings&gt;&lt;_tertiary_title&gt;The international journal of neuropsychopharmacology&lt;/_tertiary_title&gt;&lt;_type_work&gt;Journal Article; Research Support, Non-U.S. Gov&amp;apos;t&lt;/_type_work&gt;&lt;_url&gt;http://www.ncbi.nlm.nih.gov/entrez/query.fcgi?cmd=Retrieve&amp;amp;db=pubmed&amp;amp;dopt=Abstract&amp;amp;list_uids=21329555&amp;amp;query_hl=1&lt;/_url&gt;&lt;_volume&gt;15&lt;/_volume&gt;&lt;/Details&gt;&lt;Extra&gt;&lt;DBUID&gt;{F96A950B-833F-4880-A151-76DA2D6A2879}&lt;/DBUID&gt;&lt;/Extra&gt;&lt;/Item&gt;&lt;/References&gt;&lt;/Group&gt;&lt;Group&gt;&lt;References&gt;&lt;Item&gt;&lt;ID&gt;961&lt;/ID&gt;&lt;UID&gt;{3258819B-9AC2-40FC-91BD-9B007F76FEC7}&lt;/UID&gt;&lt;Title&gt;Microglia-derived ASC specks cross-seed amyloid-beta in Alzheimer&amp;apos;s disease&lt;/Title&gt;&lt;Template&gt;Journal Article&lt;/Template&gt;&lt;Star&gt;0&lt;/Star&gt;&lt;Tag&gt;0&lt;/Tag&gt;&lt;Author&gt;Venegas, C; Kumar, S; Franklin, B S; Dierkes, T; Brinkschulte, R; Tejera, D; Vieira-Saecker, A; Schwartz, S; Santarelli, F; Kummer, M P; Griep, A; Gelpi, E; Beilharz, M; Riedel, D; Golenbock, D T; Geyer, M; Walter, J; Latz, E; Heneka, M T&lt;/Author&gt;&lt;Year&gt;2017&lt;/Year&gt;&lt;Details&gt;&lt;_accessed&gt;64867578&lt;/_accessed&gt;&lt;_accession_num&gt;29293211&lt;/_accession_num&gt;&lt;_author_adr&gt;Department of Neurodegenerative Diseases and Gerontopsychiatry, University of  Bonn, Sigmund-Freud-Strasse 25, 53127 Bonn, Germany.; Department of Neurology, University of Bonn, 53127 Bonn, Germany.; Institute of Innate Immunity, University of Bonn, 53127 Bonn, Germany.; Department of Neurodegenerative Diseases and Gerontopsychiatry, University of  Bonn, Sigmund-Freud-Strasse 25, 53127 Bonn, Germany.; Institute of Innate Immunity, University of Bonn, 53127 Bonn, Germany.; Institute of Innate Immunity, University of Bonn, 53127 Bonn, Germany.; Department of Neurodegenerative Diseases and Gerontopsychiatry, University of  Bonn, Sigmund-Freud-Strasse 25, 53127 Bonn, Germany.; Department of Neurodegenerative Diseases and Gerontopsychiatry, University of  Bonn, Sigmund-Freud-Strasse 25, 53127 Bonn, Germany.; Department of Neurodegenerative Diseases and Gerontopsychiatry, University of  Bonn, Sigmund-Freud-Strasse 25, 53127 Bonn, Germany.; Department of Neurodegenerative Diseases and Gerontopsychiatry, University of  Bonn, Sigmund-Freud-Strasse 25, 53127 Bonn, Germany.; Department of Neurodegenerative Diseases and Gerontopsychiatry, University of  Bonn, Sigmund-Freud-Strasse 25, 53127 Bonn, Germany.; Department of Neurodegenerative Diseases and Gerontopsychiatry, University of  Bonn, Sigmund-Freud-Strasse 25, 53127 Bonn, Germany.; Neurological Tissue Bank, University of Barcelona-Hospital Clinic, IDIBAPS, 08036  Barcelona, Spain.; Institute of Innate Immunity, University of Bonn, 53127 Bonn, Germany.; Electron Microscopy Group, Max Planck Institute for Biophysical Chemistry, 37077  Gottingen, Germany.; Department of Infectious Diseases and Immunology, University of Massachusetts  Medical School, Worcester, Massachusetts 01655, USA.; Institute of Innate Immunity, University of Bonn, 53127 Bonn, Germany.; Department of Neurology, University of Bonn, 53127 Bonn, Germany.; Institute of Innate Immunity, University of Bonn, 53127 Bonn, Germany.; Department of Infectious Diseases and Immunology, University of Massachusetts  Medical School, Worcester, Massachusetts 01655, USA.; Deutsches Zentrum fur Neurodegenerative Erkrankungen (DZNE), 53127 Bonn, Germany.; Department of Neurodegenerative Diseases and Gerontopsychiatry, University of  Bonn, Sigmund-Freud-Strasse 25, 53127 Bonn, Germany.; Department of Infectious Diseases and Immunology, University of Massachusetts  Medical School, Worcester, Massachusetts 01655, USA.; Deutsches Zentrum fur Neurodegenerative Erkrankungen (DZNE), 53127 Bonn, Germany.&lt;/_author_adr&gt;&lt;_collection_scope&gt;SCIE&lt;/_collection_scope&gt;&lt;_created&gt;64867578&lt;/_created&gt;&lt;_date&gt;2017-12-20&lt;/_date&gt;&lt;_date_display&gt;2017 Dec 20&lt;/_date_display&gt;&lt;_db_updated&gt;PubMed&lt;/_db_updated&gt;&lt;_doi&gt;10.1038/nature25158&lt;/_doi&gt;&lt;_impact_factor&gt;  69.504&lt;/_impact_factor&gt;&lt;_isbn&gt;1476-4687 (Electronic); 0028-0836 (Linking)&lt;/_isbn&gt;&lt;_issue&gt;7685&lt;/_issue&gt;&lt;_journal&gt;Nature&lt;/_journal&gt;&lt;_language&gt;eng&lt;/_language&gt;&lt;_modified&gt;64867578&lt;/_modified&gt;&lt;_pages&gt;355-361&lt;/_pages&gt;&lt;_social_category&gt;综合性期刊(1)&lt;/_social_category&gt;&lt;_subject_headings&gt;Alzheimer Disease/*metabolism/pathology; Amyloid beta-Peptides/*metabolism; Amyloid beta-Protein Precursor/deficiency/genetics; Animals; Antibodies/administration &amp;amp; dosage/immunology/pharmacology; CARD Signaling Adaptor Proteins/antagonists &amp;amp; _x000d__x000a_      inhibitors/chemistry/immunology/*metabolism; Female; Hippocampus/cytology/metabolism/pathology; Humans; Inflammasomes/immunology/metabolism; Inflammation/metabolism/pathology; Mice; Mice, Inbred C57BL; Mice, Knockout; Microglia/*metabolism; Presenilin-1/deficiency/genetics; *Protein Aggregation, Pathological; Protein Domains; Spatial Memory/physiology&lt;/_subject_headings&gt;&lt;_tertiary_title&gt;Nature&lt;/_tertiary_title&gt;&lt;_type_work&gt;Journal Article; Research Support, Non-U.S. Gov&amp;apos;t&lt;/_type_work&gt;&lt;_url&gt;http://www.ncbi.nlm.nih.gov/entrez/query.fcgi?cmd=Retrieve&amp;amp;db=pubmed&amp;amp;dopt=Abstract&amp;amp;list_uids=29293211&amp;amp;query_hl=1&lt;/_url&gt;&lt;_volume&gt;552&lt;/_volume&gt;&lt;/Details&gt;&lt;Extra&gt;&lt;DBUID&gt;{F96A950B-833F-4880-A151-76DA2D6A2879}&lt;/DBUID&gt;&lt;/Extra&gt;&lt;/Item&gt;&lt;/References&gt;&lt;/Group&gt;&lt;Group&gt;&lt;References&gt;&lt;Item&gt;&lt;ID&gt;962&lt;/ID&gt;&lt;UID&gt;{9DA4A3FA-3881-4899-86D3-85236522052C}&lt;/UID&gt;&lt;Title&gt;SYK coordinates neuroprotective microglial responses in neurodegenerative  disease&lt;/Title&gt;&lt;Template&gt;Journal Article&lt;/Template&gt;&lt;Star&gt;0&lt;/Star&gt;&lt;Tag&gt;0&lt;/Tag&gt;&lt;Author&gt;Ennerfelt, H; Frost, E L; Shapiro, D A; Holliday, C; Zengeler, K E; Voithofer, G; Bolte, A C; Lammert, C R; Kulas, J A; Ulland, T K; Lukens, J R&lt;/Author&gt;&lt;Year&gt;2022&lt;/Year&gt;&lt;Details&gt;&lt;_accessed&gt;64867579&lt;/_accessed&gt;&lt;_accession_num&gt;36257314&lt;/_accession_num&gt;&lt;_author_adr&gt;Center for Brain Immunology and Glia (BIG), Department of Neuroscience,  University of Virginia (UVA), Charlottesville, VA 22908, USA; Neuroscience  Graduate Program, UVA, Charlottesville, VA 22908, USA; Cell and Molecular Biology  Graduate Training Program, UVA, Charlottesville, VA 22908, USA.; Center for Brain Immunology and Glia (BIG), Department of Neuroscience,  University of Virginia (UVA), Charlottesville, VA 22908, USA.; Center for Brain Immunology and Glia (BIG), Department of Neuroscience,  University of Virginia (UVA), Charlottesville, VA 22908, USA.; Center for Brain Immunology and Glia (BIG), Department of Neuroscience,  University of Virginia (UVA), Charlottesville, VA 22908, USA.; Center for Brain Immunology and Glia (BIG), Department of Neuroscience,  University of Virginia (UVA), Charlottesville, VA 22908, USA; Neuroscience  Graduate Program, UVA, Charlottesville, VA 22908, USA; Cell and Molecular Biology  Graduate Training Program, UVA, Charlottesville, VA 22908, USA.; Center for Brain Immunology and Glia (BIG), Department of Neuroscience,  University of Virginia (UVA), Charlottesville, VA 22908, USA.; Center for Brain Immunology and Glia (BIG), Department of Neuroscience,  University of Virginia (UVA), Charlottesville, VA 22908, USA; Department of  Microbiology, Immunology and Cancer Biology, UVA, Charlottesville, VA 22908, USA;  Medical Scientist Training Program, UVA, Charlottesville, VA 22908, USA.; Center for Brain Immunology and Glia (BIG), Department of Neuroscience,  University of Virginia (UVA), Charlottesville, VA 22908, USA; Neuroscience  Graduate Program, UVA, Charlottesville, VA 22908, USA.; Center for Brain Immunology and Glia (BIG), Department of Neuroscience,  University of Virginia (UVA), Charlottesville, VA 22908, USA.; Department of Pathology and Laboratory Medicine, University of Wisconsin,  Madison, WI 53705, USA.; Center for Brain Immunology and Glia (BIG), Department of Neuroscience,  University of Virginia (UVA), Charlottesville, VA 22908, USA; Neuroscience  Graduate Program, UVA, Charlottesville, VA 22908, USA; Cell and Molecular Biology  Graduate Training Program, UVA, Charlottesville, VA 22908, USA; Department of  Microbiology, Immunology and Cancer Biology, UVA, Charlottesville, VA 22908, USA;  Medical Scientist Training Program, UVA, Charlottesville, VA 22908, USA.  Electronic address: jrl7n@virginia.edu.&lt;/_author_adr&gt;&lt;_collection_scope&gt;SCIE&lt;/_collection_scope&gt;&lt;_created&gt;64867578&lt;/_created&gt;&lt;_date&gt;2022-10-27&lt;/_date&gt;&lt;_date_display&gt;2022 Oct 27&lt;/_date_display&gt;&lt;_db_updated&gt;PubMed&lt;/_db_updated&gt;&lt;_doi&gt;10.1016/j.cell.2022.09.030&lt;/_doi&gt;&lt;_impact_factor&gt;  66.850&lt;/_impact_factor&gt;&lt;_isbn&gt;1097-4172 (Electronic); 0092-8674 (Print); 0092-8674 (Linking)&lt;/_isbn&gt;&lt;_issue&gt;22&lt;/_issue&gt;&lt;_journal&gt;Cell&lt;/_journal&gt;&lt;_keywords&gt;Alzheimer&amp;apos;s disease; SYK; amyloid beta; disease-associated microglia; experimental autoimmune encephalomyelitis; microglia; multiple sclerosis; neurodegenerative disease; neuroimmunology; phagocytosis&lt;/_keywords&gt;&lt;_language&gt;eng&lt;/_language&gt;&lt;_modified&gt;64867579&lt;/_modified&gt;&lt;_ori_publication&gt;Copyright (c) 2022 The Author(s). Published by Elsevier Inc. All rights reserved.&lt;/_ori_publication&gt;&lt;_pages&gt;4135-4152.e22&lt;/_pages&gt;&lt;_social_category&gt;生物学(1)&lt;/_social_category&gt;&lt;_subject_headings&gt;Animals; Mice; *Alzheimer Disease/pathology; Amyloid beta-Peptides; Disease Models, Animal; Mice, Transgenic; Microglia/pathology; *Neurodegenerative Diseases; Phagocytosis&lt;/_subject_headings&gt;&lt;_tertiary_title&gt;Cell&lt;/_tertiary_title&gt;&lt;_type_work&gt;Journal Article; Research Support, N.I.H., Extramural; Research Support, Non-U.S. Gov&amp;apos;t&lt;/_type_work&gt;&lt;_url&gt;http://www.ncbi.nlm.nih.gov/entrez/query.fcgi?cmd=Retrieve&amp;amp;db=pubmed&amp;amp;dopt=Abstract&amp;amp;list_uids=36257314&amp;amp;query_hl=1&lt;/_url&gt;&lt;_volume&gt;185&lt;/_volume&gt;&lt;/Details&gt;&lt;Extra&gt;&lt;DBUID&gt;{F96A950B-833F-4880-A151-76DA2D6A2879}&lt;/DBUID&gt;&lt;/Extra&gt;&lt;/Item&gt;&lt;/References&gt;&lt;/Group&gt;&lt;Group&gt;&lt;References&gt;&lt;Item&gt;&lt;ID&gt;963&lt;/ID&gt;&lt;UID&gt;{A199CED4-D6E5-4C2B-B6CE-925FE13D22D8}&lt;/UID&gt;&lt;Title&gt;TREM2 drives microglia response to amyloid-beta via SYK-dependent and -independent  pathways&lt;/Title&gt;&lt;Template&gt;Journal Article&lt;/Template&gt;&lt;Star&gt;0&lt;/Star&gt;&lt;Tag&gt;0&lt;/Tag&gt;&lt;Author&gt;Wang, S; Sudan, R; Peng, V; Zhou, Y; &amp;quot;Du S&amp;quot;; Yuede, C M; Lei, T; Hou, J; Cai, Z; Cella, M; Nguyen, K; Poliani, P L; Beatty, W L; Chen, Y; Cao, S; Lin, K; Rodrigues, C; Ellebedy, A H; Gilfillan, S; Brown, G D; Holtzman, D M; Brioschi, S; Colonna, M&lt;/Author&gt;&lt;Year&gt;2022&lt;/Year&gt;&lt;Details&gt;&lt;_accessed&gt;64867580&lt;/_accessed&gt;&lt;_accession_num&gt;36306735&lt;/_accession_num&gt;&lt;_author_adr&gt;Department of Pathology and Immunology, Washington University School of Medicine,  St. Louis, MO 63110, USA.; Department of Pathology and Immunology, Washington University School of Medicine,  St. Louis, MO 63110, USA.; Department of Pathology and Immunology, Washington University School of Medicine,  St. Louis, MO 63110, USA.; Department of Pathology and Immunology, Washington University School of Medicine,  St. Louis, MO 63110, USA.; Department of Pathology and Immunology, Washington University School of Medicine,  St. Louis, MO 63110, USA.; Department of Psychiatry, Washington University School of Medicine, St. Louis, MO  63110, USA.; Department of Pathology and Immunology, Washington University School of Medicine,  St. Louis, MO 63110, USA.; Department of Pathology and Immunology, Washington University School of Medicine,  St. Louis, MO 63110, USA.; Department of Pathology and Immunology, Washington University School of Medicine,  St. Louis, MO 63110, USA.; Department of Pathology and Immunology, Washington University School of Medicine,  St. Louis, MO 63110, USA.; Department of Pathology and Immunology, Washington University School of Medicine,  St. Louis, MO 63110, USA.; Pathology Unit, Molecular and Translational Medicine Department, University of  Brescia, Brescia 25123, Italy.; Department of Molecular Microbiology, Washington University School of Medicine,  St. Louis, MO 63110, USA.; Department of Pathology and Immunology, Washington University School of Medicine,  St. Louis, MO 63110, USA; Department of Neurology, Knight Alzheimer&amp;apos;s Disease  Research Center, Hope Center for Neurological Disorders, Washington University  School of Medicine, St. Louis, MO 63110, USA.; Department of Pathology and Immunology, Washington University School of Medicine,  St. Louis, MO 63110, USA.; Department of Pathology and Immunology, Washington University School of Medicine,  St. Louis, MO 63110, USA.; Medical Research Council Centre for Medical Mycology, University of Exeter,  Exeter, Devon EX4 4QD, UK.; Department of Pathology and Immunology, Washington University School of Medicine,  St. Louis, MO 63110, USA.; Department of Pathology and Immunology, Washington University School of Medicine,  St. Louis, MO 63110, USA.; Medical Research Council Centre for Medical Mycology, University of Exeter,  Exeter, Devon EX4 4QD, UK.; Department of Neurology, Knight Alzheimer&amp;apos;s Disease Research Center, Hope Center  for Neurological Disorders, Washington University School of Medicine, St. Louis,  MO 63110, USA.; Department of Pathology and Immunology, Washington University School of Medicine,  St. Louis, MO 63110, USA.; Department of Pathology and Immunology, Washington University School of Medicine,  St. Louis, MO 63110, USA. Electronic address: mcolonna@wustl.edu.&lt;/_author_adr&gt;&lt;_collection_scope&gt;SCIE&lt;/_collection_scope&gt;&lt;_created&gt;64867579&lt;/_created&gt;&lt;_date&gt;2022-10-27&lt;/_date&gt;&lt;_date_display&gt;2022 Oct 27&lt;/_date_display&gt;&lt;_db_updated&gt;PubMed&lt;/_db_updated&gt;&lt;_doi&gt;10.1016/j.cell.2022.09.033&lt;/_doi&gt;&lt;_impact_factor&gt;  66.850&lt;/_impact_factor&gt;&lt;_isbn&gt;1097-4172 (Electronic); 0092-8674 (Print); 0092-8674 (Linking)&lt;/_isbn&gt;&lt;_issue&gt;22&lt;/_issue&gt;&lt;_journal&gt;Cell&lt;/_journal&gt;&lt;_keywords&gt;Alzheimer&amp;apos;s disease; ApoE; Dectin1; GSK-3beta; Syk; TREM2; immunotherapy; metabolism; microglia; signaling&lt;/_keywords&gt;&lt;_language&gt;eng&lt;/_language&gt;&lt;_modified&gt;64867580&lt;/_modified&gt;&lt;_ori_publication&gt;Copyright (c) 2022 Elsevier Inc. All rights reserved.&lt;/_ori_publication&gt;&lt;_pages&gt;4153-4169.e19&lt;/_pages&gt;&lt;_social_category&gt;生物学(1)&lt;/_social_category&gt;&lt;_subject_headings&gt;Animals; Mice; Humans; *Microglia/metabolism; Glycogen Synthase Kinase 3 beta/metabolism; Phosphatidylinositol 3-Kinases/metabolism; Amyloid beta-Peptides/metabolism; *Alzheimer Disease/pathology; Plaque, Amyloid/metabolism; Brain/metabolism; Disease Models, Animal; Syk Kinase/metabolism; Membrane Glycoproteins/genetics/metabolism; Receptors, Immunologic/metabolism&lt;/_subject_headings&gt;&lt;_tertiary_title&gt;Cell&lt;/_tertiary_title&gt;&lt;_type_work&gt;Journal Article; Research Support, N.I.H., Extramural; Research Support, Non-U.S. Gov&amp;apos;t&lt;/_type_work&gt;&lt;_url&gt;http://www.ncbi.nlm.nih.gov/entrez/query.fcgi?cmd=Retrieve&amp;amp;db=pubmed&amp;amp;dopt=Abstract&amp;amp;list_uids=36306735&amp;amp;query_hl=1&lt;/_url&gt;&lt;_volume&gt;185&lt;/_volume&gt;&lt;/Details&gt;&lt;Extra&gt;&lt;DBUID&gt;{F96A950B-833F-4880-A151-76DA2D6A2879}&lt;/DBUID&gt;&lt;/Extra&gt;&lt;/Item&gt;&lt;/References&gt;&lt;/Group&gt;&lt;Group&gt;&lt;References&gt;&lt;Item&gt;&lt;ID&gt;1003&lt;/ID&gt;&lt;UID&gt;{21DC5CDE-CB5D-4266-AD72-6E531E561954}&lt;/UID&gt;&lt;Title&gt;Microglia use TAM receptors to detect and engulf amyloid beta plaques&lt;/Title&gt;&lt;Template&gt;Journal Article&lt;/Template&gt;&lt;Star&gt;0&lt;/Star&gt;&lt;Tag&gt;0&lt;/Tag&gt;&lt;Author&gt;Huang, Y; Happonen, K E; Burrola, P G; O&amp;apos;Connor, C; Hah, N; Huang, L; Nimmerjahn, A; Lemke, G&lt;/Author&gt;&lt;Year&gt;2021&lt;/Year&gt;&lt;Details&gt;&lt;_accessed&gt;64941842&lt;/_accessed&gt;&lt;_accession_num&gt;33859405&lt;/_accession_num&gt;&lt;_author_adr&gt;Molecular Neurobiology Laboratory, The Salk Institute for Biological Studies, La  Jolla, CA, USA.; Division of Biological Sciences, University of California, San Diego, La Jolla,  CA, USA.; Molecular Neurobiology Laboratory, The Salk Institute for Biological Studies, La  Jolla, CA, USA.; Molecular Neurobiology Laboratory, The Salk Institute for Biological Studies, La  Jolla, CA, USA.; Flow Cytometry Core, The Salk Institute for Biological Studies, La Jolla, CA,  USA.; Chapman Foundations Genomic Sequencing Core, The Salk Institute for Biological  Studies, La Jolla, CA, USA.; Razavi Newman Integrative Genomics and Bioinformatics Core, The Salk Institute  for Biological Studies, La Jolla, CA, USA.; Waitt Advanced Biophotonics Center, The Salk Institute for Biological Studies, La  Jolla, CA, USA.; Molecular Neurobiology Laboratory, The Salk Institute for Biological Studies, La  Jolla, CA, USA. lemke@salk.edu.&lt;/_author_adr&gt;&lt;_collection_scope&gt;SCIE&lt;/_collection_scope&gt;&lt;_created&gt;64935327&lt;/_created&gt;&lt;_date&gt;2021-05-01&lt;/_date&gt;&lt;_date_display&gt;2021 May&lt;/_date_display&gt;&lt;_db_updated&gt;PubMed&lt;/_db_updated&gt;&lt;_doi&gt;10.1038/s41590-021-00913-5&lt;/_doi&gt;&lt;_impact_factor&gt;  31.250&lt;/_impact_factor&gt;&lt;_isbn&gt;1529-2916 (Electronic); 1529-2908 (Print); 1529-2908 (Linking)&lt;/_isbn&gt;&lt;_issue&gt;5&lt;/_issue&gt;&lt;_journal&gt;Nat Immunol&lt;/_journal&gt;&lt;_language&gt;eng&lt;/_language&gt;&lt;_modified&gt;64941842&lt;/_modified&gt;&lt;_pages&gt;586-594&lt;/_pages&gt;&lt;_social_category&gt;医学(1)&lt;/_social_category&gt;&lt;_subject_headings&gt;Alzheimer Disease/*immunology/pathology; Amyloid beta-Peptides/metabolism; Amyloid beta-Protein Precursor/genetics; Animals; Brain/cytology/diagnostic imaging/pathology; Disease Models, Animal; Female; Humans; Intravital Microscopy; Male; Mice; Mice, Knockout; Microglia/immunology/*pathology; Microscopy, Confocal; Microscopy, Fluorescence, Multiphoton; Phagocytosis/immunology; Presenilin-1/genetics; Proto-Oncogene Proteins/genetics/*metabolism; RNA-Seq; Receptor Protein-Tyrosine Kinases/genetics/*metabolism; Single-Cell Analysis; c-Mer Tyrosine Kinase/genetics/*metabolism; Axl Receptor Tyrosine Kinase&lt;/_subject_headings&gt;&lt;_tertiary_title&gt;Nature immunology&lt;/_tertiary_title&gt;&lt;_type_work&gt;Journal Article; Research Support, N.I.H., Extramural; Research Support, Non-U.S. Gov&amp;apos;t&lt;/_type_work&gt;&lt;_url&gt;http://www.ncbi.nlm.nih.gov/entrez/query.fcgi?cmd=Retrieve&amp;amp;db=pubmed&amp;amp;dopt=Abstract&amp;amp;list_uids=33859405&amp;amp;query_hl=1&lt;/_url&gt;&lt;_volume&gt;22&lt;/_volume&gt;&lt;/Details&gt;&lt;Extra&gt;&lt;DBUID&gt;{F96A950B-833F-4880-A151-76DA2D6A2879}&lt;/DBUID&gt;&lt;/Extra&gt;&lt;/Item&gt;&lt;/References&gt;&lt;/Group&gt;&lt;/Citation&gt;_x000a_"/>
    <w:docVar w:name="NE.Ref{703D931A-4DD4-4FA8-971C-D9C18BC1D0ED}" w:val=" ADDIN NE.Ref.{703D931A-4DD4-4FA8-971C-D9C18BC1D0ED}&lt;Citation&gt;&lt;Group&gt;&lt;References&gt;&lt;Item&gt;&lt;ID&gt;977&lt;/ID&gt;&lt;UID&gt;{DBBFAE4A-80C5-466E-B413-65650304B690}&lt;/UID&gt;&lt;Title&gt;Cerebrospinal fluid can exit into the skull bone marrow and instruct cranial  hematopoiesis in mice with bacterial meningitis&lt;/Title&gt;&lt;Template&gt;Journal Article&lt;/Template&gt;&lt;Star&gt;0&lt;/Star&gt;&lt;Tag&gt;0&lt;/Tag&gt;&lt;Author&gt;Pulous, F E; Cruz-Hernandez, J C; Yang, C; Kaya, Zeta; Paccalet, A; Wojtkiewicz, G; Capen, D; Brown, D; Wu, J W; Schloss, M J; Vinegoni, C; Richter, D; Yamazoe, M; Hulsmans, M; Momin, N; Grune, J; Rohde, D; McAlpine, C S; Panizzi, P; Weissleder, R; Kim, D E; Swirski, F K; Lin, C P; Moskowitz, M A; Nahrendorf, M&lt;/Author&gt;&lt;Year&gt;2022&lt;/Year&gt;&lt;Details&gt;&lt;_accessed&gt;64867596&lt;/_accessed&gt;&lt;_accession_num&gt;35501382&lt;/_accession_num&gt;&lt;_author_adr&gt;Center for Systems Biology, Massachusetts General Hospital and Harvard Medical  School, Boston, MA, USA.; Department of Radiology, Massachusetts General Hospital and Harvard Medical  School, Boston, MA, USA.; Center for Systems Biology, Massachusetts General Hospital and Harvard Medical  School, Boston, MA, USA.; Wellman Center for Photomedicine, Massachusetts General Hospital and Harvard  Medical School, Boston, MA, USA.; Center for Systems Biology, Massachusetts General Hospital and Harvard Medical  School, Boston, MA, USA.; Department of Radiology, Massachusetts General Hospital and Harvard Medical  School, Boston, MA, USA.; Center for Systems Biology, Massachusetts General Hospital and Harvard Medical  School, Boston, MA, USA.; Department of Radiology, Massachusetts General Hospital and Harvard Medical  School, Boston, MA, USA.; Center for Systems Biology, Massachusetts General Hospital and Harvard Medical  School, Boston, MA, USA.; Department of Radiology, Massachusetts General Hospital and Harvard Medical  School, Boston, MA, USA.; Center for Systems Biology, Massachusetts General Hospital and Harvard Medical  School, Boston, MA, USA.; Program in Membrane Biology, Division of Nephrology, Department of Medicine,  Harvard Medical School and Massachusetts General Hospital, Boston, MA, USA.; Program in Membrane Biology, Division of Nephrology, Department of Medicine,  Harvard Medical School and Massachusetts General Hospital, Boston, MA, USA.; Center for Systems Biology, Massachusetts General Hospital and Harvard Medical  School, Boston, MA, USA.; Wellman Center for Photomedicine, Massachusetts General Hospital and Harvard  Medical School, Boston, MA, USA.; Center for Systems Biology, Massachusetts General Hospital and Harvard Medical  School, Boston, MA, USA.; Department of Radiology, Massachusetts General Hospital and Harvard Medical  School, Boston, MA, USA.; Center for Systems Biology, Massachusetts General Hospital and Harvard Medical  School, Boston, MA, USA.; Department of Radiology, Massachusetts General Hospital and Harvard Medical  School, Boston, MA, USA.; Center for Systems Biology, Massachusetts General Hospital and Harvard Medical  School, Boston, MA, USA.; Wellman Center for Photomedicine, Massachusetts General Hospital and Harvard  Medical School, Boston, MA, USA.; Center for Systems Biology, Massachusetts General Hospital and Harvard Medical  School, Boston, MA, USA.; Department of Radiology, Massachusetts General Hospital and Harvard Medical  School, Boston, MA, USA.; Center for Systems Biology, Massachusetts General Hospital and Harvard Medical  School, Boston, MA, USA.; Department of Radiology, Massachusetts General Hospital and Harvard Medical  School, Boston, MA, USA.; Center for Systems Biology, Massachusetts General Hospital and Harvard Medical  School, Boston, MA, USA.; Department of Radiology, Massachusetts General Hospital and Harvard Medical  School, Boston, MA, USA.; Center for Systems Biology, Massachusetts General Hospital and Harvard Medical  School, Boston, MA, USA.; Department of Radiology, Massachusetts General Hospital and Harvard Medical  School, Boston, MA, USA.; Center for Systems Biology, Massachusetts General Hospital and Harvard Medical  School, Boston, MA, USA.; Department of Radiology, Massachusetts General Hospital and Harvard Medical  School, Boston, MA, USA.; Cardiovascular Research Institute and Department of Medicine, Icahn School of  Medicine at Mount Sinai, New York, NY, USA.; Nash Family Department of Neuroscience, Icahn School of Medicine at Mount Sinai,  New York, NY, USA.; Department of Drug Discovery and Development, Harrison School of Pharmacy, Auburn  University, Auburn, AL, USA.; Center for Systems Biology, Massachusetts General Hospital and Harvard Medical  School, Boston, MA, USA.; Department of Radiology, Massachusetts General Hospital and Harvard Medical  School, Boston, MA, USA.; Molecular Imaging and Neurovascular Research Laboratory, Department of Neurology,  Dongguk University College of Medicine, Goyang, South Korea.; Cardiovascular Research Institute and Department of Medicine, Icahn School of  Medicine at Mount Sinai, New York, NY, USA.; Center for Systems Biology, Massachusetts General Hospital and Harvard Medical  School, Boston, MA, USA. charles_lin@hms.harvard.edu.; Wellman Center for Photomedicine, Massachusetts General Hospital and Harvard  Medical School, Boston, MA, USA. charles_lin@hms.harvard.edu.; Center for Systems Biology, Massachusetts General Hospital and Harvard Medical  School, Boston, MA, USA. moskowitz@helix.mgh.harvard.edu.; Department of Radiology, Massachusetts General Hospital and Harvard Medical  School, Boston, MA, USA. moskowitz@helix.mgh.harvard.edu.; Department of Neurology, Massachusetts General Hospital and Harvard Medical  School, Boston, MA, USA. moskowitz@helix.mgh.harvard.edu.; Center for Systems Biology, Massachusetts General Hospital and Harvard Medical  School, Boston, MA, USA. mnahrendorf@mgh.harvard.edu.; Department of Radiology, Massachusetts General Hospital and Harvard Medical  School, Boston, MA, USA. mnahrendorf@mgh.harvard.edu.; Cardiovascular Research Center, Massachusetts General Hospital and Harvard  Medical School, Boston, MA, USA. mnahrendorf@mgh.harvard.edu.; Department of Internal Medicine I, University Hospital Wuerzburg, Wuerzburg,  Germany. mnahrendorf@mgh.harvard.edu.&lt;/_author_adr&gt;&lt;_collection_scope&gt;SCIE&lt;/_collection_scope&gt;&lt;_created&gt;64867594&lt;/_created&gt;&lt;_date&gt;2022-05-01&lt;/_date&gt;&lt;_date_display&gt;2022 May&lt;/_date_display&gt;&lt;_db_updated&gt;PubMed&lt;/_db_updated&gt;&lt;_doi&gt;10.1038/s41593-022-01060-2&lt;/_doi&gt;&lt;_impact_factor&gt;  28.771&lt;/_impact_factor&gt;&lt;_isbn&gt;1546-1726 (Electronic); 1097-6256 (Print); 1097-6256 (Linking)&lt;/_isbn&gt;&lt;_issue&gt;5&lt;/_issue&gt;&lt;_journal&gt;Nat Neurosci&lt;/_journal&gt;&lt;_language&gt;eng&lt;/_language&gt;&lt;_modified&gt;64867596&lt;/_modified&gt;&lt;_ori_publication&gt;(c) 2022. The Author(s), under exclusive licence to Springer Nature America, Inc.&lt;/_ori_publication&gt;&lt;_pages&gt;567-576&lt;/_pages&gt;&lt;_social_category&gt;医学(1)&lt;/_social_category&gt;&lt;_subject_headings&gt;Animals; Bone Marrow; Brain/blood supply; Cerebrospinal Fluid; *Glymphatic System/physiology; Hematopoiesis; *Meningitis, Bacterial; Mice; Skull&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5501382&amp;amp;query_hl=1&lt;/_url&gt;&lt;_volume&gt;25&lt;/_volume&gt;&lt;/Details&gt;&lt;Extra&gt;&lt;DBUID&gt;{F96A950B-833F-4880-A151-76DA2D6A2879}&lt;/DBUID&gt;&lt;/Extra&gt;&lt;/Item&gt;&lt;/References&gt;&lt;/Group&gt;&lt;/Citation&gt;_x000a_"/>
    <w:docVar w:name="NE.Ref{72381859-74DC-4996-BFAF-51C2AE9B3B1D}" w:val=" ADDIN NE.Ref.{72381859-74DC-4996-BFAF-51C2AE9B3B1D}&lt;Citation&gt;&lt;Group&gt;&lt;References&gt;&lt;Item&gt;&lt;ID&gt;940&lt;/ID&gt;&lt;UID&gt;{8723604C-7642-445B-A36E-EDA8010456FA}&lt;/UID&gt;&lt;Title&gt;High-Dimensional Single-Cell Mapping of Central Nervous System Immune Cells  Reveals Distinct Myeloid Subsets in Health, Aging, and Disease&lt;/Title&gt;&lt;Template&gt;Journal Article&lt;/Template&gt;&lt;Star&gt;0&lt;/Star&gt;&lt;Tag&gt;0&lt;/Tag&gt;&lt;Author&gt;Mrdjen, D; Pavlovic, A; Hartmann, F J; Schreiner, B; Utz, S G; Leung, B P; Lelios, I; Heppner, F L; Kipnis, J; Merkler, D; Greter, M; Becher, B&lt;/Author&gt;&lt;Year&gt;2018&lt;/Year&gt;&lt;Details&gt;&lt;_accessed&gt;64867561&lt;/_accessed&gt;&lt;_accession_num&gt;29426702&lt;/_accession_num&gt;&lt;_author_adr&gt;Institute of Experimental Immunology, University of Zurich, Zurich, Switzerland.; Institute of Experimental Immunology, University of Zurich, Zurich, Switzerland.; Institute of Experimental Immunology, University of Zurich, Zurich, Switzerland.; Institute of Experimental Immunology, University of Zurich, Zurich, Switzerland.; Institute of Experimental Immunology, University of Zurich, Zurich, Switzerland.; Institute of Experimental Immunology, University of Zurich, Zurich, Switzerland.; Institute of Experimental Immunology, University of Zurich, Zurich, Switzerland.; Department of Neuropathology, Charite-Universitatsmedizin Berlin, Berlin,  Germany.; Center for Brain Immunology and Glia, Department of Neuroscience, University of  Virginia, Charlottesville, VA, USA.; Department of Pathology and Immunology, University of Geneva, and Division of  Clinical Pathology, Geneva University Hospital, Geneva, Switzerland.; Institute of Experimental Immunology, University of Zurich, Zurich, Switzerland.; Institute of Experimental Immunology, University of Zurich, Zurich, Switzerland.  Electronic address: becher@immunology.uzh.ch.&lt;/_author_adr&gt;&lt;_collection_scope&gt;SCIE&lt;/_collection_scope&gt;&lt;_created&gt;64867561&lt;/_created&gt;&lt;_date&gt;2018-02-20&lt;/_date&gt;&lt;_date_display&gt;2018 Feb 20&lt;/_date_display&gt;&lt;_db_updated&gt;PubMed&lt;/_db_updated&gt;&lt;_doi&gt;10.1016/j.immuni.2018.01.011&lt;/_doi&gt;&lt;_impact_factor&gt;  43.474&lt;/_impact_factor&gt;&lt;_isbn&gt;1097-4180 (Electronic); 1074-7613 (Linking)&lt;/_isbn&gt;&lt;_issue&gt;2&lt;/_issue&gt;&lt;_journal&gt;Immunity&lt;/_journal&gt;&lt;_keywords&gt;Alzheimer&amp;apos;s disease; aging; central nervous system; experimental autoimmune encephalomyelitis; high-dimensional; macrophages; mass cytometry; microglia; multiple sclerosis; neurodegeneration&lt;/_keywords&gt;&lt;_language&gt;eng&lt;/_language&gt;&lt;_modified&gt;64867561&lt;/_modified&gt;&lt;_ori_publication&gt;Copyright (c) 2018 Elsevier Inc. All rights reserved.&lt;/_ori_publication&gt;&lt;_pages&gt;380-395.e6&lt;/_pages&gt;&lt;_social_category&gt;医学(1)&lt;/_social_category&gt;&lt;_subject_headings&gt;Aging/*immunology; Animals; Central Nervous System/*immunology; Dendritic Cells/immunology; Leukocytes/*immunology; Macrophages/*immunology; Mice; Mice, Inbred C57BL; Microglia/immunology; Neurodegenerative Diseases/etiology/immunology; Single-Cell Analysis&lt;/_subject_headings&gt;&lt;_tertiary_title&gt;Immunity&lt;/_tertiary_title&gt;&lt;_type_work&gt;Journal Article; Research Support, Non-U.S. Gov&amp;apos;t; Research Support, U.S. Gov&amp;apos;t, Non-P.H.S.&lt;/_type_work&gt;&lt;_url&gt;http://www.ncbi.nlm.nih.gov/entrez/query.fcgi?cmd=Retrieve&amp;amp;db=pubmed&amp;amp;dopt=Abstract&amp;amp;list_uids=29426702&amp;amp;query_hl=1&lt;/_url&gt;&lt;_volume&gt;48&lt;/_volume&gt;&lt;/Details&gt;&lt;Extra&gt;&lt;DBUID&gt;{F96A950B-833F-4880-A151-76DA2D6A2879}&lt;/DBUID&gt;&lt;/Extra&gt;&lt;/Item&gt;&lt;/References&gt;&lt;/Group&gt;&lt;Group&gt;&lt;References&gt;&lt;Item&gt;&lt;ID&gt;941&lt;/ID&gt;&lt;UID&gt;{5B7A1750-7BC0-4859-BA96-6274D90414D3}&lt;/UID&gt;&lt;Title&gt;Heterogeneity of CNS myeloid cells and their roles in neurodegeneration&lt;/Title&gt;&lt;Template&gt;Journal Article&lt;/Template&gt;&lt;Star&gt;0&lt;/Star&gt;&lt;Tag&gt;0&lt;/Tag&gt;&lt;Author&gt;Prinz, M; Priller, J; Sisodia, S S; Ransohoff, R M&lt;/Author&gt;&lt;Year&gt;2011&lt;/Year&gt;&lt;Details&gt;&lt;_accessed&gt;64867562&lt;/_accessed&gt;&lt;_accession_num&gt;21952260&lt;/_accession_num&gt;&lt;_author_adr&gt;Department of Neuropathology, University Hospital of Freiburg, Freiburg, Germany.  marco.prinz@uniklinik-freiburg.de&lt;/_author_adr&gt;&lt;_collection_scope&gt;SCIE&lt;/_collection_scope&gt;&lt;_created&gt;64867561&lt;/_created&gt;&lt;_date&gt;2011-09-27&lt;/_date&gt;&lt;_date_display&gt;2011 Sep 27&lt;/_date_display&gt;&lt;_db_updated&gt;PubMed&lt;/_db_updated&gt;&lt;_doi&gt;10.1038/nn.2923&lt;/_doi&gt;&lt;_impact_factor&gt;  28.771&lt;/_impact_factor&gt;&lt;_isbn&gt;1546-1726 (Electronic); 1097-6256 (Linking)&lt;/_isbn&gt;&lt;_issue&gt;10&lt;/_issue&gt;&lt;_journal&gt;Nat Neurosci&lt;/_journal&gt;&lt;_language&gt;eng&lt;/_language&gt;&lt;_modified&gt;64867562&lt;/_modified&gt;&lt;_ori_publication&gt;(c) 2011 Nature America, Inc. All rights reserved.&lt;/_ori_publication&gt;&lt;_pages&gt;1227-35&lt;/_pages&gt;&lt;_social_category&gt;医学(1)&lt;/_social_category&gt;&lt;_subject_headings&gt;Animals; Brain Diseases/*pathology; Cell Differentiation; Central Nervous System/*cytology; Humans; Microglia/pathology/physiology; Models, Biological; Myeloid Cells/classification/*physiology; Nerve Degeneration/*pathology; Signal Transduction/physiology&lt;/_subject_headings&gt;&lt;_tertiary_title&gt;Nature neuroscience&lt;/_tertiary_title&gt;&lt;_type_work&gt;Journal Article; Research Support, N.I.H., Extramural; Research Support, Non-U.S. Gov&amp;apos;t; Review&lt;/_type_work&gt;&lt;_url&gt;http://www.ncbi.nlm.nih.gov/entrez/query.fcgi?cmd=Retrieve&amp;amp;db=pubmed&amp;amp;dopt=Abstract&amp;amp;list_uids=21952260&amp;amp;query_hl=1&lt;/_url&gt;&lt;_volume&gt;14&lt;/_volume&gt;&lt;/Details&gt;&lt;Extra&gt;&lt;DBUID&gt;{F96A950B-833F-4880-A151-76DA2D6A2879}&lt;/DBUID&gt;&lt;/Extra&gt;&lt;/Item&gt;&lt;/References&gt;&lt;/Group&gt;&lt;/Citation&gt;_x000a_"/>
    <w:docVar w:name="NE.Ref{7368D5E0-488D-45D3-827D-73B397341E7A}" w:val=" ADDIN NE.Ref.{7368D5E0-488D-45D3-827D-73B397341E7A}&lt;Citation&gt;&lt;Group&gt;&lt;References&gt;&lt;Item&gt;&lt;ID&gt;978&lt;/ID&gt;&lt;UID&gt;{E9B346A8-0DD2-4FD1-BB7F-D9891FB9A899}&lt;/UID&gt;&lt;Title&gt;Intraneuronal beta-amyloid aggregates, neurodegeneration, and neuron loss in  transgenic mice with five familial Alzheimer&amp;apos;s disease mutations: potential  factors in amyloid plaque formation&lt;/Title&gt;&lt;Template&gt;Journal Article&lt;/Template&gt;&lt;Star&gt;0&lt;/Star&gt;&lt;Tag&gt;0&lt;/Tag&gt;&lt;Author&gt;Oakley, H; Cole, S L; Logan, S; Maus, E; Shao, P; Craft, J; Guillozet-Bongaarts, A; Ohno, M; Disterhoft, J; Van Eldik, L; Berry, R; Vassar, R&lt;/Author&gt;&lt;Year&gt;2006&lt;/Year&gt;&lt;Details&gt;&lt;_accessed&gt;64867608&lt;/_accessed&gt;&lt;_accession_num&gt;17021169&lt;/_accession_num&gt;&lt;_author_adr&gt;Department of Cell and Molecular Biology, The Feinberg School of Medicine,  Northwestern University, Chicago, Illinois 60611, USA.&lt;/_author_adr&gt;&lt;_collection_scope&gt;SCIE&lt;/_collection_scope&gt;&lt;_created&gt;64867605&lt;/_created&gt;&lt;_date&gt;2006-10-04&lt;/_date&gt;&lt;_date_display&gt;2006 Oct 4&lt;/_date_display&gt;&lt;_db_updated&gt;PubMed&lt;/_db_updated&gt;&lt;_doi&gt;10.1523/JNEUROSCI.1202-06.2006&lt;/_doi&gt;&lt;_impact_factor&gt;   6.709&lt;/_impact_factor&gt;&lt;_isbn&gt;1529-2401 (Electronic); 0270-6474 (Print); 0270-6474 (Linking)&lt;/_isbn&gt;&lt;_issue&gt;40&lt;/_issue&gt;&lt;_journal&gt;J Neurosci&lt;/_journal&gt;&lt;_language&gt;eng&lt;/_language&gt;&lt;_modified&gt;64867608&lt;/_modified&gt;&lt;_pages&gt;10129-40&lt;/_pages&gt;&lt;_social_category&gt;医学(1)&lt;/_social_category&gt;&lt;_subject_headings&gt;Alzheimer Disease/*genetics/pathology; Amyloid beta-Peptides/*genetics; Animals; Cell Count; Memory Disorders/genetics/pathology; Mice; Mice, Transgenic; *Mutation; Nerve Degeneration/*genetics/pathology; Neurofibrillary Tangles/*genetics/pathology; Neurons/pathology; Plaque, Amyloid/*genetics/pathology&lt;/_subject_headings&gt;&lt;_tertiary_title&gt;The Journal of neuroscience : the official journal of the Society for _x000d__x000a_      Neuroscience&lt;/_tertiary_title&gt;&lt;_type_work&gt;Comparative Study; Journal Article; Research Support, N.I.H., Extramural&lt;/_type_work&gt;&lt;_url&gt;http://www.ncbi.nlm.nih.gov/entrez/query.fcgi?cmd=Retrieve&amp;amp;db=pubmed&amp;amp;dopt=Abstract&amp;amp;list_uids=17021169&amp;amp;query_hl=1&lt;/_url&gt;&lt;_volume&gt;26&lt;/_volume&gt;&lt;/Details&gt;&lt;Extra&gt;&lt;DBUID&gt;{F96A950B-833F-4880-A151-76DA2D6A2879}&lt;/DBUID&gt;&lt;/Extra&gt;&lt;/Item&gt;&lt;/References&gt;&lt;/Group&gt;&lt;/Citation&gt;_x000a_"/>
    <w:docVar w:name="NE.Ref{753DFCB8-79A4-4185-B7B8-97B9700C3EFD}" w:val=" ADDIN NE.Ref.{753DFCB8-79A4-4185-B7B8-97B9700C3EFD}&lt;Citation&gt;&lt;Group&gt;&lt;References&gt;&lt;Item&gt;&lt;ID&gt;1059&lt;/ID&gt;&lt;UID&gt;{52AC1987-A69F-4E07-9744-00C36FCF110C}&lt;/UID&gt;&lt;Title&gt;Earliest accumulation of beta-amyloid occurs within the default-mode network and  concurrently affects brain connectivity&lt;/Title&gt;&lt;Template&gt;Journal Article&lt;/Template&gt;&lt;Star&gt;0&lt;/Star&gt;&lt;Tag&gt;0&lt;/Tag&gt;&lt;Author&gt;Palmqvist, S; Scholl, M; Strandberg, O; Mattsson, N; Stomrud, E; Zetterberg, H; Blennow, K; Landau, S; Jagust, W; Hansson, O&lt;/Author&gt;&lt;Year&gt;2017&lt;/Year&gt;&lt;Details&gt;&lt;_accessed&gt;65613204&lt;/_accessed&gt;&lt;_accession_num&gt;29089479&lt;/_accession_num&gt;&lt;_author_adr&gt;Clinical Memory Research Unit, Department of Clinical Sciences, Malmo, Lund  University, Lund, Sweden. sebastian.palmqvist@med.lu.se.; Department of Neurology, Skane University Hospital, Lund, Sweden.  sebastian.palmqvist@med.lu.se.; Clinical Memory Research Unit, Department of Clinical Sciences, Malmo, Lund  University, Lund, Sweden.; Wallenberg Centre for Molecular and Translational Medicine and the Department of  Psychiatry and Neurochemistry, University of Gothenburg, Gothenburg, Sweden.; Clinical Memory Research Unit, Department of Clinical Sciences, Malmo, Lund  University, Lund, Sweden.; Clinical Memory Research Unit, Department of Clinical Sciences, Malmo, Lund  University, Lund, Sweden.; Department of Neurology, Skane University Hospital, Lund, Sweden.; Clinical Memory Research Unit, Department of Clinical Sciences, Malmo, Lund  University, Lund, Sweden.; Memory Clinic, Skane University Hospital, Malmo, Sweden.; Department of Psychiatry and Neurochemstry, Institute of Neuroscience and  Physiology, the Sahlgrenska Academy at the University of Gothenburg, Molndal,  Sweden.; Clinical Neurochemistry Laboratory, Sahlgrenska University Hospital, Molndal,  Sweden.; Department of Molecular Neuroscience, UCL Institute of Neurology, Queen Square,  London, UK.; Department of Psychiatry and Neurochemstry, Institute of Neuroscience and  Physiology, the Sahlgrenska Academy at the University of Gothenburg, Molndal,  Sweden.; Clinical Neurochemistry Laboratory, Sahlgrenska University Hospital, Molndal,  Sweden.; Helen Wills Neuroscience Institute, University of California, Berkeley, USA.; Helen Wills Neuroscience Institute, University of California, Berkeley, USA.; Clinical Memory Research Unit, Department of Clinical Sciences, Malmo, Lund  University, Lund, Sweden. oskar.hansson@med.lu.se.; Memory Clinic, Skane University Hospital, Malmo, Sweden. oskar.hansson@med.lu.se.&lt;/_author_adr&gt;&lt;_collection_scope&gt;SCIE&lt;/_collection_scope&gt;&lt;_created&gt;65613203&lt;/_created&gt;&lt;_date&gt;2017-10-31&lt;/_date&gt;&lt;_date_display&gt;2017 Oct 31&lt;/_date_display&gt;&lt;_db_updated&gt;PubMed&lt;/_db_updated&gt;&lt;_doi&gt;10.1038/s41467-017-01150-x&lt;/_doi&gt;&lt;_impact_factor&gt;  16.600&lt;/_impact_factor&gt;&lt;_isbn&gt;2041-1723 (Electronic); 2041-1723 (Linking)&lt;/_isbn&gt;&lt;_issue&gt;1&lt;/_issue&gt;&lt;_journal&gt;Nat Commun&lt;/_journal&gt;&lt;_language&gt;eng&lt;/_language&gt;&lt;_modified&gt;65613204&lt;/_modified&gt;&lt;_pages&gt;1214&lt;/_pages&gt;&lt;_social_category&gt;综合性期刊(1)&lt;/_social_category&gt;&lt;_subject_headings&gt;Aged; Alzheimer Disease/cerebrospinal fluid/pathology/physiopathology; Amyloid beta-Peptides/cerebrospinal fluid/*metabolism; Atrophy; Brain/*metabolism/pathology/physiopathology; Cohort Studies; Female; Glucose/metabolism; Humans; Male; Nerve Net/*metabolism/pathology/physiopathology; Organ Size; Reproducibility of Results&lt;/_subject_headings&gt;&lt;_tertiary_title&gt;Nature communications&lt;/_tertiary_title&gt;&lt;_type_work&gt;Journal Article; Research Support, N.I.H., Extramural; Research Support, Non-U.S. Gov&amp;apos;t; Research Support, U.S. Gov&amp;apos;t, Non-P.H.S.&lt;/_type_work&gt;&lt;_url&gt;http://www.ncbi.nlm.nih.gov/entrez/query.fcgi?cmd=Retrieve&amp;amp;db=pubmed&amp;amp;dopt=Abstract&amp;amp;list_uids=29089479&amp;amp;query_hl=1&lt;/_url&gt;&lt;_volume&gt;8&lt;/_volume&gt;&lt;/Details&gt;&lt;Extra&gt;&lt;DBUID&gt;{F96A950B-833F-4880-A151-76DA2D6A2879}&lt;/DBUID&gt;&lt;/Extra&gt;&lt;/Item&gt;&lt;/References&gt;&lt;/Group&gt;&lt;Group&gt;&lt;References&gt;&lt;Item&gt;&lt;ID&gt;1060&lt;/ID&gt;&lt;UID&gt;{848A5433-1B75-4B47-82DE-FB03EFD4E468}&lt;/UID&gt;&lt;Title&gt;Staging beta-Amyloid Pathology With Amyloid Positron Emission Tomography&lt;/Title&gt;&lt;Template&gt;Journal Article&lt;/Template&gt;&lt;Star&gt;0&lt;/Star&gt;&lt;Tag&gt;0&lt;/Tag&gt;&lt;Author&gt;Mattsson, N; Palmqvist, S; Stomrud, E; Vogel, J; Hansson, O&lt;/Author&gt;&lt;Year&gt;2019&lt;/Year&gt;&lt;Details&gt;&lt;_accessed&gt;65613204&lt;/_accessed&gt;&lt;_accession_num&gt;31314895&lt;/_accession_num&gt;&lt;_author_adr&gt;Clinical Memory Research Unit, Faculty of Medicine, Lund University, Lund,  Sweden.; Department of Neurology, Skane University Hospital, Lund, Sweden.; Wallenberg Center for Molecular Medicine, Lund University, Lund, Sweden.; Clinical Memory Research Unit, Faculty of Medicine, Lund University, Lund,  Sweden.; Department of Neurology, Skane University Hospital, Lund, Sweden.; Clinical Memory Research Unit, Faculty of Medicine, Lund University, Lund,  Sweden.; Montreal Neurological Institute and Hospital, Montreal, Quebec, Canada.; Clinical Memory Research Unit, Faculty of Medicine, Lund University, Lund,  Sweden.; Memory Clinic, Skane University Hospital, Malmo, Sweden.&lt;/_author_adr&gt;&lt;_collection_scope&gt;SCIE&lt;/_collection_scope&gt;&lt;_created&gt;65613203&lt;/_created&gt;&lt;_date&gt;2019-11-01&lt;/_date&gt;&lt;_date_display&gt;2019 Nov 1&lt;/_date_display&gt;&lt;_db_updated&gt;PubMed&lt;/_db_updated&gt;&lt;_doi&gt;10.1001/jamaneurol.2019.2214&lt;/_doi&gt;&lt;_impact_factor&gt;  29.000&lt;/_impact_factor&gt;&lt;_isbn&gt;2168-6157 (Electronic); 2168-6149 (Print); 2168-6149 (Linking)&lt;/_isbn&gt;&lt;_issue&gt;11&lt;/_issue&gt;&lt;_journal&gt;JAMA Neurol&lt;/_journal&gt;&lt;_language&gt;eng&lt;/_language&gt;&lt;_modified&gt;65613204&lt;/_modified&gt;&lt;_pages&gt;1319-1329&lt;/_pages&gt;&lt;_social_category&gt;临床神经病学(1)&lt;/_social_category&gt;&lt;_tertiary_title&gt;JAMA neurology&lt;/_tertiary_title&gt;&lt;_type_work&gt;Journal Article&lt;/_type_work&gt;&lt;_url&gt;http://www.ncbi.nlm.nih.gov/entrez/query.fcgi?cmd=Retrieve&amp;amp;db=pubmed&amp;amp;dopt=Abstract&amp;amp;list_uids=31314895&amp;amp;query_hl=1&lt;/_url&gt;&lt;_volume&gt;76&lt;/_volume&gt;&lt;/Details&gt;&lt;Extra&gt;&lt;DBUID&gt;{F96A950B-833F-4880-A151-76DA2D6A2879}&lt;/DBUID&gt;&lt;/Extra&gt;&lt;/Item&gt;&lt;/References&gt;&lt;/Group&gt;&lt;/Citation&gt;_x000a_"/>
    <w:docVar w:name="NE.Ref{7B14C2E0-51CA-4E32-990A-F41414E32FA7}" w:val=" ADDIN NE.Ref.{7B14C2E0-51CA-4E32-990A-F41414E32FA7}&lt;Citation&gt;&lt;Group&gt;&lt;References&gt;&lt;Item&gt;&lt;ID&gt;875&lt;/ID&gt;&lt;UID&gt;{D3ED19C2-67C9-4BEB-A37F-AF5327A926CF}&lt;/UID&gt;&lt;Title&gt;Inflammation as a central mechanism in Alzheimer&amp;apos;s disease&lt;/Title&gt;&lt;Template&gt;Journal Article&lt;/Template&gt;&lt;Star&gt;0&lt;/Star&gt;&lt;Tag&gt;0&lt;/Tag&gt;&lt;Author&gt;Kinney, Jefferson W; Bemiller, Shane M; Murtishaw, Andrew S; Leisgang, Amanda M; Salazar, Arnold M; Lamb, Bruce T&lt;/Author&gt;&lt;Year&gt;2018&lt;/Year&gt;&lt;Details&gt;&lt;_accessed&gt;65613194&lt;/_accessed&gt;&lt;_accession_num&gt;30406177&lt;/_accession_num&gt;&lt;_author_adr&gt;Department of Psychology, University of Nevada Las Vegas, Las Vegas, NV, USA.; Stark Neurosciences Research Institute, Indiana University School of Medicine, Indianapolis, IN, USA.; Department of Psychology, University of Nevada Las Vegas, Las Vegas, NV, USA.; Department of Psychology, University of Nevada Las Vegas, Las Vegas, NV, USA.; Department of Psychology, University of Nevada Las Vegas, Las Vegas, NV, USA.; Stark Neurosciences Research Institute, Indiana University School of Medicine, Indianapolis, IN, USA.&lt;/_author_adr&gt;&lt;_created&gt;64239011&lt;/_created&gt;&lt;_date&gt;2018-01-20&lt;/_date&gt;&lt;_date_display&gt;2018&lt;/_date_display&gt;&lt;_db_updated&gt;CrossRef&lt;/_db_updated&gt;&lt;_doi&gt;10.1016/j.trci.2018.06.014&lt;/_doi&gt;&lt;_isbn&gt;2352-8737&lt;/_isbn&gt;&lt;_issue&gt;1&lt;/_issue&gt;&lt;_journal&gt;Alzheimer&amp;apos;s &amp;amp; Dementia: Translational Research &amp;amp; Clinical Interventions&lt;/_journal&gt;&lt;_keywords&gt;Alzheimer&amp;apos;s disease; Cytokines; Inflammation; Microglia; Microglia receptors&lt;/_keywords&gt;&lt;_language&gt;eng&lt;/_language&gt;&lt;_modified&gt;65613193&lt;/_modified&gt;&lt;_pages&gt;575-590&lt;/_pages&gt;&lt;_tertiary_title&gt;Alzheimer&amp;apos;s &amp;amp; Dementia: Translational Research &amp;amp; Clinical Interventions&lt;/_tertiary_title&gt;&lt;_type_work&gt;Journal Article; Review&lt;/_type_work&gt;&lt;_url&gt;https://onlinelibrary.wiley.com/doi/abs/10.1016/j.trci.2018.06.014_x000d__x000a_https://onlinelibrary.wiley.com/doi/pdf/10.1016/j.trci.2018.06.014&lt;/_url&gt;&lt;_volume&gt;4&lt;/_volume&gt;&lt;_impact_factor&gt;   4.800&lt;/_impact_factor&gt;&lt;/Details&gt;&lt;Extra&gt;&lt;DBUID&gt;{F96A950B-833F-4880-A151-76DA2D6A2879}&lt;/DBUID&gt;&lt;/Extra&gt;&lt;/Item&gt;&lt;/References&gt;&lt;/Group&gt;&lt;/Citation&gt;_x000a_"/>
    <w:docVar w:name="NE.Ref{7CDE5664-BE23-4435-B50A-425472BC87DC}" w:val=" ADDIN NE.Ref.{7CDE5664-BE23-4435-B50A-425472BC87DC}&lt;Citation&gt;&lt;Group&gt;&lt;References&gt;&lt;Item&gt;&lt;ID&gt;896&lt;/ID&gt;&lt;UID&gt;{9B449911-0167-4D0D-84B2-ABDDFE7A9461}&lt;/UID&gt;&lt;Title&gt;Skull and vertebral bone marrow are myeloid cell reservoirs for the meninges and CNS parenchyma&lt;/Title&gt;&lt;Template&gt;Journal Article&lt;/Template&gt;&lt;Star&gt;0&lt;/Star&gt;&lt;Tag&gt;0&lt;/Tag&gt;&lt;Author&gt;Cugurra, Andrea; Mamuladze, Tornike; Rustenhoven, Justin; Dykstra, Taitea; Beroshvili, Giorgi; Greenberg, Zev J; Baker, Wendy; Papadopoulos, Zach; Drieu, Antoine; Blackburn, Susan; Kanamori, Mitsuhiro; Brioschi, Simone; Herz, Jasmin; Schuettpelz, Laura G; Colonna, Marco; Smirnov, Igor; Kipnis, Jonathan&lt;/Author&gt;&lt;Year&gt;2021&lt;/Year&gt;&lt;Details&gt;&lt;_accessed&gt;65613246&lt;/_accessed&gt;&lt;_accession_num&gt;34083447&lt;/_accession_num&gt;&lt;_author_adr&gt;Gutenberg Research Fellowship Group of Neuroimmunology, Focus Program Translational Neuroscience (FTN) and Immunotherapy (FZI), Rhine Main Neuroscience Network (rmn), University Medical Center of the Johannes Gutenberg University Mainz, Mainz, Germany.; Department of Neuroscience, School of Medicine, University of Virginia, Charlottesville, VA,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Pathology and Immunology, Washington University in St. Louis, St. Louis, MO, USA.; Department of Pathology and Immunology, Washington University in St. Louis, St. Louis, MO, USA.; Gutenberg Research Fellowship Group of Neuroimmunology, Focus Program Translational Neuroscience (FTN) and Immunotherapy (FZI), Rhine Main Neuroscience Network (rmn), University Medical Center of the Johannes Gutenberg University Mainz, Mainz, Germany. kipnis@wustl.edu.;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lt;/_author_adr&gt;&lt;_collection_scope&gt;SCI;SCIE&lt;/_collection_scope&gt;&lt;_created&gt;64239024&lt;/_created&gt;&lt;_date&gt;63933120&lt;/_date&gt;&lt;_date_display&gt;2021 Jul 23&lt;/_date_display&gt;&lt;_db_updated&gt;CrossRef&lt;/_db_updated&gt;&lt;_doi&gt;10.1126/science.abf7844&lt;/_doi&gt;&lt;_impact_factor&gt;  56.900&lt;/_impact_factor&gt;&lt;_isbn&gt;0036-8075&lt;/_isbn&gt;&lt;_issue&gt;6553&lt;/_issue&gt;&lt;_journal&gt;Science&lt;/_journal&gt;&lt;_language&gt;eng&lt;/_language&gt;&lt;_modified&gt;65613246&lt;/_modified&gt;&lt;_ori_publication&gt;Copyright (c) 2021 The Authors, some rights reserved; exclusive licensee American_x000d__x000a_      Association for the Advancement of Science. No claim to original U.S. Government _x000d__x000a_      Works.&lt;/_ori_publication&gt;&lt;_subject_headings&gt;Animals; Bone Marrow/physiology; Bone Marrow Cells/*physiology; Brain/cytology/immunology/physiology; Cell Movement; Central Nervous System/cytology/*immunology; Central Nervous System Diseases/*immunology/pathology; Dura Mater/cytology/immunology/physiology; Encephalomyelitis, Autoimmune, Experimental/immunology/pathology; Homeostasis; Meninges/cytology/*immunology/physiology; Mice; Monocytes/physiology; Myeloid Cells/*physiology; Neutrophils/physiology; Skull/*anatomy &amp;amp; histology; Spinal Cord/cytology/immunology/physiology; Spinal Cord Injuries/immunology/pathology; Spine/*anatomy &amp;amp; histology&lt;/_subject_headings&gt;&lt;_tertiary_title&gt;Science&lt;/_tertiary_title&gt;&lt;_type_work&gt;Journal Article; Research Support, N.I.H., Extramural&lt;/_type_work&gt;&lt;_url&gt;https://www.science.org/doi/10.1126/science.abf7844_x000d__x000a_https://syndication.highwire.org/content/doi/10.1126/science.abf7844&lt;/_url&gt;&lt;_volume&gt;373&lt;/_volume&gt;&lt;_social_category&gt;综合性期刊(1)&lt;/_social_category&gt;&lt;/Details&gt;&lt;Extra&gt;&lt;DBUID&gt;{F96A950B-833F-4880-A151-76DA2D6A2879}&lt;/DBUID&gt;&lt;/Extra&gt;&lt;/Item&gt;&lt;/References&gt;&lt;/Group&gt;&lt;Group&gt;&lt;References&gt;&lt;Item&gt;&lt;ID&gt;1062&lt;/ID&gt;&lt;UID&gt;{6D5E6AD5-020B-49AC-A1C3-CA0E6DA1C7FF}&lt;/UID&gt;&lt;Title&gt;Heterogeneity of meningeal B cells reveals a lymphopoietic niche at the CNS  borders&lt;/Title&gt;&lt;Template&gt;Journal Article&lt;/Template&gt;&lt;Star&gt;0&lt;/Star&gt;&lt;Tag&gt;0&lt;/Tag&gt;&lt;Author&gt;Brioschi, S; Wang, W L; Peng, V; Wang, M; Shchukina, I; Greenberg, Z J; Bando, J K; Jaeger, N; Czepielewski, R S; Swain, A; Mogilenko, D A; Beatty, W L; Bayguinov, P; Fitzpatrick, JAJ; Schuettpelz, L G; Fronick, C C; Smirnov, I; Kipnis, J; Shapiro, V S; Wu, G F; Gilfillan, S; Cella, M; Artyomov, M N; Kleinstein, S H; Colonna, M&lt;/Author&gt;&lt;Year&gt;2021&lt;/Year&gt;&lt;Details&gt;&lt;_accession_num&gt;34083450&lt;/_accession_num&gt;&lt;_author_adr&gt;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Interdepartmental Program in Computational Biology and Bioinformatics, Yale  University, New Haven, CT 06511, USA.; Department of Pathology and Immunology, Washington University School of Medicine,  Saint Louis, MO 63110, USA.; Department of Pediatrics, Washington University School of Medicine, Saint Louis,  MO 63110, USA.; Department of Microbiology and Immunology, Stanford University School of  Medicine, Stanford, CA 94305,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Molecular Microbiology, Center for Infectious Disease Research,  Washington University School of Medicine, Saint Louis, MO 63110, USA.; Washington University Center for Cellular Imaging, Washington University School  of Medicine, Saint Louis, MO 63110, USA.; Washington University Center for Cellular Imaging, Washington University School  of Medicine, Saint Louis, MO 63110, USA.; Departments of Cell Biology and Physiology and Neuroscience, Washington  University School of Medicine, Saint Louis, MO 63110, USA.; Department of Biomedical Engineering, Washington University in Saint Louis, Saint  Louis, MO 63130, USA.; Department of Pediatrics, Washington University School of Medicine, Saint Louis,  MO 63110, USA.; McDonnell Genome Institute,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Immunology, Mayo Clinic, Rochester, MN 55905, USA.; Department of Neurology, Washington University in Saint Louis, Saint Louis, MO  63110,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Interdepartmental Program in Computational Biology and Bioinformatics, Yale  University, New Haven, CT 06511, USA.; Department of Pathology, Yale School of Medicine, New Haven, CT 06520, USA.; Department of Pathology and Immunology, Washington University School of Medicine,  Saint Louis, MO 63110, USA. mcolonna@wustl.edu.&lt;/_author_adr&gt;&lt;_date_display&gt;2021 Jul 23&lt;/_date_display&gt;&lt;_date&gt;2021-07-23&lt;/_date&gt;&lt;_doi&gt;10.1126/science.abf9277&lt;/_doi&gt;&lt;_isbn&gt;1095-9203 (Electronic); 0036-8075 (Print); 0036-8075 (Linking)&lt;/_isbn&gt;&lt;_issue&gt;6553&lt;/_issue&gt;&lt;_journal&gt;Science&lt;/_journal&gt;&lt;_language&gt;eng&lt;/_language&gt;&lt;_ori_publication&gt;Copyright (c) 2021 The Authors, some rights reserved; exclusive licensee American _x000d__x000a_      Association for the Advancement of Science. No claim to original U.S. Government _x000d__x000a_      Works.&lt;/_ori_publication&gt;&lt;_subject_headings&gt;Aging; Animals; B-Lymphocyte Subsets/immunology/*physiology; B-Lymphocytes/*physiology; Bone Marrow Cells/*physiology; Cell Movement; Central Nervous System/*immunology/physiology; Dura Mater/*cytology/immunology; Fibroblasts/physiology; Homeostasis; Immune Privilege; *Lymphopoiesis; Meninges/*cytology/*immunology; Mice; Plasma Cells/physiology; Single-Cell Analysis; Skull/*anatomy &amp;amp; histology&lt;/_subject_headings&gt;&lt;_tertiary_title&gt;Science (New York, N.Y.)&lt;/_tertiary_title&gt;&lt;_type_work&gt;Journal Article; Research Support, N.I.H., Extramural&lt;/_type_work&gt;&lt;_url&gt;http://www.ncbi.nlm.nih.gov/entrez/query.fcgi?cmd=Retrieve&amp;amp;db=pubmed&amp;amp;dopt=Abstract&amp;amp;list_uids=34083450&amp;amp;query_hl=1&lt;/_url&gt;&lt;_volume&gt;373&lt;/_volume&gt;&lt;_created&gt;65613244&lt;/_created&gt;&lt;_modified&gt;65613247&lt;/_modified&gt;&lt;_db_updated&gt;PubMed&lt;/_db_updated&gt;&lt;_impact_factor&gt;  56.900&lt;/_impact_factor&gt;&lt;_social_category&gt;综合性期刊(1)&lt;/_social_category&gt;&lt;_collection_scope&gt;SCIE&lt;/_collection_scope&gt;&lt;_accessed&gt;65613247&lt;/_accessed&gt;&lt;/Details&gt;&lt;Extra&gt;&lt;DBUID&gt;{F96A950B-833F-4880-A151-76DA2D6A2879}&lt;/DBUID&gt;&lt;/Extra&gt;&lt;/Item&gt;&lt;/References&gt;&lt;/Group&gt;&lt;Group&gt;&lt;References&gt;&lt;Item&gt;&lt;ID&gt;1063&lt;/ID&gt;&lt;UID&gt;{B06F0196-7924-4D80-9E81-E78B3F78301A}&lt;/UID&gt;&lt;Title&gt;Cerebrospinal fluid regulates skull bone marrow niches via direct access through  dural channels&lt;/Title&gt;&lt;Template&gt;Journal Article&lt;/Template&gt;&lt;Star&gt;0&lt;/Star&gt;&lt;Tag&gt;0&lt;/Tag&gt;&lt;Author&gt;Mazzitelli, J A; Smyth, LCD; Cross, K A; Dykstra, T; Sun, J; &amp;quot;Du S&amp;quot;; Mamuladze, T; Smirnov, I; Rustenhoven, J; Kipnis, J&lt;/Author&gt;&lt;Year&gt;2022&lt;/Year&gt;&lt;Details&gt;&lt;_accession_num&gt;35301477&lt;/_accession_num&gt;&lt;_author_adr&gt;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Neuroscience Graduate Program, Washington University School of Medicine, St.  Louis, MO, USA.; Department of Pathology and Immunology, Washington University School of Medicine,  St. Louis, MO, USA.; Center for Brain Immunology and Glia (BIG), Washington University School of  Medicine, St. Louis, MO, USA.; Center for Brain Immunology and Glia (BIG), Washington University School of  Medicine, St. Louis, MO, USA.; Department of Neurological Surgery, Washington University School of Medicine, St.  Louis, MO, USA.; 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Department of Pathology and Immunology, Washington University School of Medicine,  St. Louis, MO, USA. rustenhoven@wustl.edu.; Center for Brain Immunology and Glia (BIG), Washington University School of  Medicine, St. Louis, MO, USA. rustenhoven@wustl.edu.; Department of Pharmacology and Clinical Pharmacology, The University of Auckland,  Auckland, New Zealand. rustenhoven@wustl.edu.; Department of Pathology and Immunology, Washington University School of Medicine,  St. Louis, MO, USA. kipnis@wustl.edu.; Center for Brain Immunology and Glia (BIG), Washington University School of  Medicine, St. Louis, MO, USA. kipnis@wustl.edu.; Medical Scientist Training Program, Washington University School of Medicine, St.  Louis, MO, USA. kipnis@wustl.edu.; Neuroscience Graduate Program, Washington University School of Medicine, St.  Louis, MO, USA. kipnis@wustl.edu.; Department of Neurological Surgery, Washington University School of Medicine, St.  Louis, MO, USA. kipnis@wustl.edu.; Immunology Graduate Program, Washington University School of Medicine, St. Louis,  MO, USA. kipnis@wustl.edu.&lt;/_author_adr&gt;&lt;_date_display&gt;2022 May&lt;/_date_display&gt;&lt;_date&gt;2022-05-01&lt;/_date&gt;&lt;_doi&gt;10.1038/s41593-022-01029-1&lt;/_doi&gt;&lt;_isbn&gt;1546-1726 (Electronic); 1097-6256 (Print); 1097-6256 (Linking)&lt;/_isbn&gt;&lt;_issue&gt;5&lt;/_issue&gt;&lt;_journal&gt;Nat Neurosci&lt;/_journal&gt;&lt;_language&gt;eng&lt;/_language&gt;&lt;_ori_publication&gt;(c) 2022. The Author(s), under exclusive licence to Springer Nature America, Inc.&lt;/_ori_publication&gt;&lt;_pages&gt;555-560&lt;/_pages&gt;&lt;_subject_headings&gt;*Bone Marrow/physiology; Cerebrospinal Fluid; Head; Meninges; Myeloid Cells/metabolism; *Skull&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5301477&amp;amp;query_hl=1&lt;/_url&gt;&lt;_volume&gt;25&lt;/_volume&gt;&lt;_created&gt;65613247&lt;/_created&gt;&lt;_modified&gt;65613248&lt;/_modified&gt;&lt;_db_updated&gt;PubMed&lt;/_db_updated&gt;&lt;_impact_factor&gt;  25.000&lt;/_impact_factor&gt;&lt;_social_category&gt;神经科学(1)&lt;/_social_category&gt;&lt;_collection_scope&gt;SCIE&lt;/_collection_scope&gt;&lt;_accessed&gt;65613248&lt;/_accessed&gt;&lt;/Details&gt;&lt;Extra&gt;&lt;DBUID&gt;{F96A950B-833F-4880-A151-76DA2D6A2879}&lt;/DBUID&gt;&lt;/Extra&gt;&lt;/Item&gt;&lt;/References&gt;&lt;/Group&gt;&lt;Group&gt;&lt;References&gt;&lt;Item&gt;&lt;ID&gt;1064&lt;/ID&gt;&lt;UID&gt;{5A3F2182-85C1-4763-BFA9-24C658921AF8}&lt;/UID&gt;&lt;Title&gt;Distinct molecular profiles of skull bone marrow in health and neurological  disorders&lt;/Title&gt;&lt;Template&gt;Journal Article&lt;/Template&gt;&lt;Star&gt;0&lt;/Star&gt;&lt;Tag&gt;0&lt;/Tag&gt;&lt;Author&gt;Kolabas, Z I; Kuemmerle, L B; Perneczky, R; Forstera, B; Ulukaya, S; Ali, M; Kapoor, S; Bartos, L M; Buttner, M; Caliskan, O S; Rong, Z; Mai, H; Hoher, L; Jeridi, D; Molbay, M; Khalin, I; Deligiannis, I K; Negwer, M; Roberts, K; Simats, A; Carofiglio, O; Todorov, M I; Horvath, I; Ozturk, F; Hummel, S; Biechele, G; Zatcepin, A; Unterrainer, M; Gnorich, J; Roodselaar, J; Shrouder, J; Khosravani, P; Tast, B; Richter, L; Diaz-Marugan, L; Kaltenecker, D; Lux, L; Chen, Y; Zhao, S; Rauchmann, B S; Sterr, M; Kunze, I; Stanic, K; Kan, VWY; Besson-Girard, S; Katzdobler, S; Palleis, C; Schadler, J; Paetzold, J C; Liebscher, S; Hauser, A E; Gokce, O; Lickert, H; Steinke, H; Benakis, C; Braun, C; Martinez-Jimenez, C P; Buerger, K; Albert, N L; Hoglinger, G; Levin, J; Haass, C; Kopczak, A; Dichgans, M; Havla, J; Kumpfel, T; Kerschensteiner, M; Schifferer, M; Simons, M; Liesz, A; Krahmer, N; Bayraktar, O A; Franzmeier, N; Plesnila, N; Erener, S; Puelles, V G; Delbridge, C; Bhatia, H S; Hellal, F; Elsner, M; Bechmann, I; Ondruschka, B; Brendel, M; Theis, F J; Erturk, A&lt;/Author&gt;&lt;Year&gt;2023&lt;/Year&gt;&lt;Details&gt;&lt;_accession_num&gt;37562402&lt;/_accession_num&gt;&lt;_author_adr&gt;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Institute for Tissue Engineering and Regenerative Medicine (iTERM), Helmholtz  Center, Neuherberg, Munich, Germany; Institute of Computational Biology,  Helmholtz Zentrum Munchen, German Research Center for Environmental Health,  Neuherberg, Germany.; Division of Mental Health in Older Adults and Alzheimer Therapy and Research  Center, Department of Psychiatry and Psychotherapy, University Hospital, Ludwig  Maximilian University Munich, 80336 Munich, Germany; German Center for  Neurodegenerative Diseases (DZNE) Munich, Munich, Germany; Ageing Epidemiology  (AGE) Research Unit, School of Public Health, Imperial College London, London,  UK; Munich Cluster for Systems Neurology (SyNergy), Munich, Germany; Sheffield  Institute for Translational Neuroscience, University of Sheffield, Sheffield, UK.;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Tissue Engineering and Regenerative Medicine (iTERM), Helmholtz  Center, Neuherberg, Munich, Germany; Graduate School of Systemic Neurosciences  (GSN), Munich, Germany; Institute of Computational Biology, Helmholtz Zentrum  Munchen, German Research Center for Environmental Health, Neuherberg, Germany.; Institute for Tissue Engineering and Regenerative Medicine (iTERM), Helmholtz  Center, Neuherberg, Munich, Germany.; Department of Nuclear Medicine, University Hospital,  Ludwig-Maximilians-Universitat Munchen, Munich, Germany.; Institute of Computational Biology, Helmholtz Zentrum Munchen, German Research  Center for Environmental Health, Neuherberg, Germany.; Institute for Diabetes and Obesity, Helmholtz Center Munich and German Center for  Diabetes Research (DZD), 85764 Neuherberg,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Tissue Engineering and Regenerative Medicine (iTERM), Helmholtz  Center, Neuherberg, Munich, Germany.; Institute for Tissue Engineering and Regenerative Medicine (iTERM), Helmholtz  Center, Neuherberg, Munich, Germany.; Institute for Stroke and Dementia Research, LMU University Hospital,  Ludwig-Maximilians University Munich, Munich, Germany.; Helmholtz Pioneer Campus (HPC), Helmholtz Munich, Neuherberg, Germany.; Institute for Tissue Engineering and Regenerative Medicine (iTERM), Helmholtz  Center, Neuherberg, Munich,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School of Computation, Information and  Technology (CIT), TUM, Boltzmannstr. 3, 85748 Garching, Germany.; Institute for Tissue Engineering and Regenerative Medicine (iTERM), Helmholtz  Center, Neuherberg,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Department of Radiology,  University Hospital, LMU Munich, Munich, Germany.; Department of Nuclear Medicine, University Hospital,  Ludwig-Maximilians-Universitat Munchen,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Biomedical Center (BMC), Core Facility Flow Cytometry, Faculty of Medicine, LMU  Munich, Munich, Germany.; Biomedical Center (BMC), Core Facility Flow Cytometry, Faculty of Medicine, LMU  Munich, Munich, Germany.; Biomedical Center (BMC), Core Facility Flow Cytometry, Faculty of Medicine, LMU  Munich, Munich, Germany.; Institute for Stroke and Dementia Research, LMU University Hospital,  Ludwig-Maximilians University Munich, Munich, Germany.; Institute for Tissue Engineering and Regenerative Medicine (iTERM), Helmholtz  Center, Neuherberg, Munich, Germany; Institute for Diabetes and Cancer, Helmholtz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Division of Mental Health in Older Adults and Alzheimer Therapy and Research  Center, Department of Psychiatry and Psychotherapy, University Hospital, Ludwig  Maximilian University Munich, 80336 Munich, Germany; Sheffield Institute for  Translational Neuroscience, University of Sheffield, Sheffield, UK; Institute of  Neuroradiology, University Hospital LMU, Munich, Germany.; Institute of Diabetes and Regeneration Research, Helmholtz Diabetes Center,  Helmholtz Zentrum Munchen, Neuherberg, Germany; Institute of Stem Cell Research,  Helmholtz Zentrum Munchen, Neuherberg, Germany.; Institute of Diabetes and Regeneration Research, Helmholtz Diabetes Center,  Helmholtz Zentrum Munchen, Neuherberg, Germany; Institute of Stem Cell Research,  Helmholtz Zentrum Munchen, Neuherberg, Germany.; Institute for Tissue Engineering and Regenerative Medicine (iTERM), Helmholtz  Center, Neuherberg, Munich, Germany; Institute for Stroke and Dementia Research,  LMU University Hospital, Ludwig-Maximilians University Munich, Munich, Germany.; Institute of Clinical Neuroimmunology, University Hospital Munich,  Ludwig-Maximilians University Munich, Munich, Germany.; Institute for Stroke and Dementia Research, LMU University Hospital,  Ludwig-Maximilians University Munich, Munich, Germany; Graduate School of  Systemic Neurosciences (GSN), Munich, Germany.; German Center for Neurodegenerative Diseases (DZNE) Munich, Munich, Germany;  Department of Neurology, Ludwig-Maximilians-Universitat Munchen, Munich, Germany.; German Center for Neurodegenerative Diseases (DZNE) Munich, Munich, Germany;  Department of Neurology, Ludwig-Maximilians-Universitat Munchen, Munich, Germany.; Institute of Legal Medicine, University Medical Center Hamburg-Eppendorf,  Hamburg, Germany.; Institute for Tissue Engineering and Regenerative Medicine (iTERM), Helmholtz  Center, Neuherberg, Munich, Germany; Department of Computing, Imperial College  London, London, UK.; Munich Cluster for Systems Neurology (SyNergy), Munich, Germany; Institute of  Clinical Neuroimmunology, University Hospital Munich, Ludwig-Maximilians  University Munich, Munich, Germany; Biomedical Center (BMC), Medical Faculty,  Ludwig-Maximilians Universitat Munich,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Munich Cluster for Systems  Neurology (SyNergy), Munich, Germany.; Institute of Diabetes and Regeneration Research, Helmholtz Diabetes Center,  Helmholtz Zentrum Munchen, Neuherberg, Germany; Institute of Stem Cell Research,  Helmholtz Zentrum Munchen, Neuherberg, Germany; TUM School of Medicine, Technical  University of Munich, Munich, Germany.; Institute of Anatomy, University of Leipzig, 04109 Leipzig, Germany.; Institute for Stroke and Dementia Research, LMU University Hospital,  Ludwig-Maximilians University Munich, Munich, Germany.; Institute of Legal Medicine, Faculty of Medicine, LMU Munich, Germany.; Helmholtz Pioneer Campus (HPC), Helmholtz Munich, Neuherberg, Germany; TUM School  of Medicine, Technical University of Munich, Munich, Germany.; Institute for Stroke and Dementia Research, LMU University Hospital,  Ludwig-Maximilians University Munich, Munich, Germany; German Center for  Neurodegenerative Diseases (DZNE) Munich, Munich, Germany.; Department of Nuclear Medicine, University Hospital,  Ludwig-Maximilians-Universitat Munchen, Munich, Germany.; German Center for Neurodegenerative Diseases (DZNE) Munich, Munich, Germany;  Department of Neurology, Ludwig-Maximilians-Universitat Munchen, Munich, Germany.; German Center for Neurodegenerative Diseases (DZNE) Munich, Munich, Germany;  Munich Cluster for Systems Neurology (SyNergy), Munich, Germany; Department of  Neurology, Ludwig-Maximilians-Universitat Munchen, Munich, Germany.; German Center for Neurodegenerative Diseases (DZNE) Munich, Munich, Germany;  Munich Cluster for Systems Neurology (SyNergy), Munich, Germany; Metabolic  Biochemistry, Biomedical Center (BMC), Faculty of Medicine,  Ludwig-Maximilians-Universitat Munchen, Munich, Germany.; Institute for Stroke and Dementia Research, LMU University Hospital,  Ludwig-Maximilians University Munich, Munich, Germany.; Institute for Stroke and Dementia Research, LMU University Hospital,  Ludwig-Maximilians University Munich, Munich, Germany; German Center for  Neurodegenerative Diseases (DZNE)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Institute of Clinical Neuroimmunology, University Hospital Munich,  Ludwig-Maximilians University Munich, Munich, Germany; Biomedical Center (BMC),  Medical Faculty, Ludwig-Maximilians Universitat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German Center for Neurodegenerative Diseases (DZNE) Munich, Munich, Germany;  Munich Cluster for Systems Neurology (SyNergy), Munich, Germany.; German Center for Neurodegenerative Diseases (DZNE) Munich, Munich, Germany;  Munich Cluster for Systems Neurology (SyNergy), Munich, Germany.; Institute for Stroke and Dementia Research, LMU University Hospital,  Ludwig-Maximilians University Munich, Munich, Germany; Graduate School of  Systemic Neurosciences (GSN), Munich, Germany; Munich Cluster for Systems  Neurology (SyNergy), Munich, Germany.; Institute for Diabetes and Obesity, Helmholtz Center Munich and German Center for  Diabetes Research (DZD), 85764 Neuherberg,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II. Department of Medicine, University Medical Center Hamburg-Eppendorf,  Hamburg, Germany; Hamburg Center for Kidney Health (HCKH), University Medical  Center Hamburg-Eppendorf, Hamburg, Germany; Department of Clinical Medicine,  Aarhus University, Aarhus, Denmark; Department of Pathology, Aarhus University  Hospital, Aarhus, Denmark.; Institute of Pathology, Department of Neuropathology, Technical University  Munich, TUM School of Medicine,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nstitute of Anatomy, University of Leipzig, 04109 Leipzig, Germany.; Institute of Legal Medicine, University Medical Center Hamburg-Eppendorf,  Hamburg, Germany.; German Center for Neurodegenerative Diseases (DZNE) Munich, Munich, Germany;  Munich Cluster for Systems Neurology (SyNergy), Munich, Germany; Department of  Nuclear Medicine, University Hospital, Ludwig-Maximilians-Universitat Munchen,  Munich, Germany.; Institute of Computational Biology, Helmholtz Zentrum Munchen, German Research  Center for Environmental Health, Neuherberg, Germany; Department of Mathematics,  Technische Universitat Munchen, Garching bei Munchen, Germany.; 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Munich Cluster  for Systems Neurology (SyNergy), Munich, Germany. Electronic address:  ali.erturk@helmholtz-munich.de.&lt;/_author_adr&gt;&lt;_date_display&gt;2023 Aug 17&lt;/_date_display&gt;&lt;_date&gt;2023-08-17&lt;/_date&gt;&lt;_doi&gt;10.1016/j.cell.2023.07.009&lt;/_doi&gt;&lt;_isbn&gt;1097-4172 (Electronic); 0092-8674 (Print); 0092-8674 (Linking)&lt;/_isbn&gt;&lt;_issue&gt;17&lt;/_issue&gt;&lt;_journal&gt;Cell&lt;/_journal&gt;&lt;_keywords&gt;3D-imaging; DISCO clearing; PET imaging; immune cell trafficking; neuroinflammation; neurological disorders; non-invasive monitoring; proteomics; scRNA-seq; skull-brain connection&lt;/_keywords&gt;&lt;_language&gt;eng&lt;/_language&gt;&lt;_ori_publication&gt;Copyright (c) 2023 The Author(s). Published by Elsevier Inc. All rights reserved.&lt;/_ori_publication&gt;&lt;_pages&gt;3706-3725.e29&lt;/_pages&gt;&lt;_subject_headings&gt;Animals; Humans; Mice; *Bone Marrow/metabolism; Brain/diagnostic imaging/metabolism; Carrier Proteins/metabolism; *Nervous System Diseases/metabolism/pathology; Positron-Emission Tomography/methods; Receptors, GABA/metabolism; *Skull/cytology/diagnostic imaging&lt;/_subject_headings&gt;&lt;_tertiary_title&gt;Cell&lt;/_tertiary_title&gt;&lt;_type_work&gt;Journal Article; Research Support, Non-U.S. Gov&amp;apos;t&lt;/_type_work&gt;&lt;_url&gt;http://www.ncbi.nlm.nih.gov/entrez/query.fcgi?cmd=Retrieve&amp;amp;db=pubmed&amp;amp;dopt=Abstract&amp;amp;list_uids=37562402&amp;amp;query_hl=1&lt;/_url&gt;&lt;_volume&gt;186&lt;/_volume&gt;&lt;_created&gt;65613248&lt;/_created&gt;&lt;_modified&gt;65613326&lt;/_modified&gt;&lt;_db_updated&gt;PubMed&lt;/_db_updated&gt;&lt;_impact_factor&gt;  64.500&lt;/_impact_factor&gt;&lt;_social_category&gt;生化与分子生物学(1) &amp;amp; 细胞生物学(1)&lt;/_social_category&gt;&lt;_collection_scope&gt;SCIE&lt;/_collection_scope&gt;&lt;_accessed&gt;65613326&lt;/_accessed&gt;&lt;/Details&gt;&lt;Extra&gt;&lt;DBUID&gt;{F96A950B-833F-4880-A151-76DA2D6A2879}&lt;/DBUID&gt;&lt;/Extra&gt;&lt;/Item&gt;&lt;/References&gt;&lt;/Group&gt;&lt;/Citation&gt;_x000a_"/>
    <w:docVar w:name="NE.Ref{7E08830D-CF87-4B83-ACC4-5ADC0C8E11FA}" w:val=" ADDIN NE.Ref.{7E08830D-CF87-4B83-ACC4-5ADC0C8E11FA}&lt;Citation&gt;&lt;Group&gt;&lt;References&gt;&lt;Item&gt;&lt;ID&gt;980&lt;/ID&gt;&lt;UID&gt;{9D667BFC-78E2-4279-976E-B38FF1E5B01B}&lt;/UID&gt;&lt;Title&gt;Optimized classification of (18)F-Florbetaben PET scans as positive and negative  using an SUVR quantitative approach and comparison to visual assessment&lt;/Title&gt;&lt;Template&gt;Journal Article&lt;/Template&gt;&lt;Star&gt;0&lt;/Star&gt;&lt;Tag&gt;0&lt;/Tag&gt;&lt;Author&gt;Bullich, S; Seibyl, J; Catafau, A M; Jovalekic, A; Koglin, N; Barthel, H; Sabri, O; De Santi, S&lt;/Author&gt;&lt;Year&gt;2017&lt;/Year&gt;&lt;Details&gt;&lt;_accessed&gt;64867610&lt;/_accessed&gt;&lt;_accession_num&gt;28560157&lt;/_accession_num&gt;&lt;_author_adr&gt;Piramal Imaging GmbH, Berlin, Germany. Electronic address:  santi.bullich@piramal.com.; Molecular Neuroimaging, New Haven, CT, USA.; Piramal Imaging GmbH, Berlin, Germany.; Piramal Imaging GmbH, Berlin, Germany.; Piramal Imaging GmbH, Berlin, Germany.; Department of Nuclear Medicine, University Hospital Leipzig, Leipzig, Germany.; Department of Nuclear Medicine, University Hospital Leipzig, Leipzig, Germany.; Piramal Pharma Inc., Boston, MA, USA.&lt;/_author_adr&gt;&lt;_collection_scope&gt;SCIE&lt;/_collection_scope&gt;&lt;_created&gt;64867609&lt;/_created&gt;&lt;_date&gt;2017-01-20&lt;/_date&gt;&lt;_date_display&gt;2017&lt;/_date_display&gt;&lt;_db_updated&gt;PubMed&lt;/_db_updated&gt;&lt;_doi&gt;10.1016/j.nicl.2017.04.025&lt;/_doi&gt;&lt;_impact_factor&gt;   4.891&lt;/_impact_factor&gt;&lt;_isbn&gt;2213-1582 (Electronic); 2213-1582 (Linking)&lt;/_isbn&gt;&lt;_journal&gt;Neuroimage Clin&lt;/_journal&gt;&lt;_keywords&gt;Florbetaben; PET; Quantification; SUVR; Visual assessment&lt;/_keywords&gt;&lt;_language&gt;eng&lt;/_language&gt;&lt;_modified&gt;64867610&lt;/_modified&gt;&lt;_pages&gt;325-332&lt;/_pages&gt;&lt;_social_category&gt;医学(2)&lt;/_social_category&gt;&lt;_subject_headings&gt;Aged; Aged, 80 and over; Alzheimer Disease/diagnostic imaging/metabolism; *Aniline Compounds; Brain/*diagnostic imaging/metabolism; Classification; Cohort Studies; Female; Humans; Image Interpretation, Computer-Assisted/*methods; Male; Positron-Emission Tomography/*methods; *Stilbenes; Terminally Ill&lt;/_subject_headings&gt;&lt;_tertiary_title&gt;NeuroImage. Clinical&lt;/_tertiary_title&gt;&lt;_type_work&gt;Journal Article&lt;/_type_work&gt;&lt;_url&gt;http://www.ncbi.nlm.nih.gov/entrez/query.fcgi?cmd=Retrieve&amp;amp;db=pubmed&amp;amp;dopt=Abstract&amp;amp;list_uids=28560157&amp;amp;query_hl=1&lt;/_url&gt;&lt;_volume&gt;15&lt;/_volume&gt;&lt;/Details&gt;&lt;Extra&gt;&lt;DBUID&gt;{F96A950B-833F-4880-A151-76DA2D6A2879}&lt;/DBUID&gt;&lt;/Extra&gt;&lt;/Item&gt;&lt;/References&gt;&lt;/Group&gt;&lt;/Citation&gt;_x000a_"/>
    <w:docVar w:name="NE.Ref{8369A613-3C71-4C90-A96C-FB619E0A8850}" w:val=" ADDIN NE.Ref.{8369A613-3C71-4C90-A96C-FB619E0A8850}&lt;Citation&gt;&lt;Group&gt;&lt;References&gt;&lt;Item&gt;&lt;ID&gt;951&lt;/ID&gt;&lt;UID&gt;{D66D2D82-6B82-4C95-9D7D-628FBC7EF3E6}&lt;/UID&gt;&lt;Title&gt;Skull and vertebral bone marrow are myeloid cell reservoirs for the meninges and  CNS parenchyma&lt;/Title&gt;&lt;Template&gt;Journal Article&lt;/Template&gt;&lt;Star&gt;0&lt;/Star&gt;&lt;Tag&gt;0&lt;/Tag&gt;&lt;Author&gt;Cugurra, A; Mamuladze, T; Rustenhoven, J; Dykstra, T; Beroshvili, G; Greenberg, Z J; Baker, W; Papadopoulos, Z; Drieu, A; Blackburn, S; Kanamori, M; Brioschi, S; Herz, J; Schuettpelz, L G; Colonna, M; Smirnov, I; Kipnis, J&lt;/Author&gt;&lt;Year&gt;2021&lt;/Year&gt;&lt;Details&gt;&lt;_accessed&gt;64933867&lt;/_accessed&gt;&lt;_accession_num&gt;34083447&lt;/_accession_num&gt;&lt;_author_adr&gt;Gutenberg Research Fellowship Group of Neuroimmunology, Focus Program  Translational Neuroscience (FTN) and Immunotherapy (FZI), Rhine Main Neuroscience  Network (rmn), University Medical Center of the Johannes Gutenberg University  Mainz, Mainz, Germany.; Department of Neuroscience, School of Medicine, University of Virginia,  Charlottesville, VA,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Pathology and Immunology, Washington University in St. Louis, St.  Louis, MO, USA.; Department of Pathology and Immunology, Washington University in St. Louis, St.  Louis, MO, USA.; Gutenberg Research Fellowship Group of Neuroimmunology, Focus Program  Translational Neuroscience (FTN) and Immunotherapy (FZI), Rhine Main Neuroscience  Network (rmn), University Medical Center of the Johannes Gutenberg University  Mainz, Mainz, Germany. kipnis@wustl.edu.;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lt;/_author_adr&gt;&lt;_collection_scope&gt;SCIE&lt;/_collection_scope&gt;&lt;_created&gt;64867570&lt;/_created&gt;&lt;_date&gt;63933120&lt;/_date&gt;&lt;_date_display&gt;2021 Jul 23&lt;/_date_display&gt;&lt;_db_updated&gt;PubMed&lt;/_db_updated&gt;&lt;_doi&gt;10.1126/science.abf7844&lt;/_doi&gt;&lt;_impact_factor&gt;  63.714&lt;/_impact_factor&gt;&lt;_isbn&gt;1095-9203 (Electronic); 0036-8075 (Print); 0036-8075 (Linking)&lt;/_isbn&gt;&lt;_issue&gt;6553&lt;/_issue&gt;&lt;_journal&gt;Science&lt;/_journal&gt;&lt;_language&gt;eng&lt;/_language&gt;&lt;_modified&gt;64933867&lt;/_modified&gt;&lt;_ori_publication&gt;Copyright (c) 2021 The Authors, some rights reserved; exclusive licensee American _x000d__x000a_      Association for the Advancement of Science. No claim to original U.S. Government _x000d__x000a_      Works.&lt;/_ori_publication&gt;&lt;_social_category&gt;综合性期刊(1)&lt;/_social_category&gt;&lt;_subject_headings&gt;Animals; Bone Marrow/physiology; Bone Marrow Cells/*physiology; Brain/cytology/immunology/physiology; Cell Movement; Central Nervous System/cytology/*immunology; Central Nervous System Diseases/*immunology/pathology; Dura Mater/cytology/immunology/physiology; Encephalomyelitis, Autoimmune, Experimental/immunology/pathology; Homeostasis; Meninges/cytology/*immunology/physiology; Mice; Monocytes/physiology; Myeloid Cells/*physiology; Neutrophils/physiology; Skull/*anatomy &amp;amp; histology; Spinal Cord/cytology/immunology/physiology; Spinal Cord Injuries/immunology/pathology; Spine/*anatomy &amp;amp; histology&lt;/_subject_headings&gt;&lt;_tertiary_title&gt;Science (New York, N.Y.)&lt;/_tertiary_title&gt;&lt;_type_work&gt;Journal Article; Research Support, N.I.H., Extramural&lt;/_type_work&gt;&lt;_url&gt;http://www.ncbi.nlm.nih.gov/entrez/query.fcgi?cmd=Retrieve&amp;amp;db=pubmed&amp;amp;dopt=Abstract&amp;amp;list_uids=34083447&amp;amp;query_hl=1&lt;/_url&gt;&lt;_volume&gt;373&lt;/_volume&gt;&lt;/Details&gt;&lt;Extra&gt;&lt;DBUID&gt;{F96A950B-833F-4880-A151-76DA2D6A2879}&lt;/DBUID&gt;&lt;/Extra&gt;&lt;/Item&gt;&lt;/References&gt;&lt;/Group&gt;&lt;Group&gt;&lt;References&gt;&lt;Item&gt;&lt;ID&gt;952&lt;/ID&gt;&lt;UID&gt;{BBB7FB82-0CED-4A44-9095-B6C299017217}&lt;/UID&gt;&lt;Title&gt;Heterogeneity of meningeal B cells reveals a lymphopoietic niche at the CNS  borders&lt;/Title&gt;&lt;Template&gt;Journal Article&lt;/Template&gt;&lt;Star&gt;0&lt;/Star&gt;&lt;Tag&gt;0&lt;/Tag&gt;&lt;Author&gt;Brioschi, S; Wang, W L; Peng, V; Wang, M; Shchukina, I; Greenberg, Z J; Bando, J K; Jaeger, N; Czepielewski, R S; Swain, A; Mogilenko, D A; Beatty, W L; Bayguinov, P; Fitzpatrick, JAJ; Schuettpelz, L G; Fronick, C C; Smirnov, I; Kipnis, J; Shapiro, V S; Wu, G F; Gilfillan, S; Cella, M; Artyomov, M N; Kleinstein, S H; Colonna, M&lt;/Author&gt;&lt;Year&gt;2021&lt;/Year&gt;&lt;Details&gt;&lt;_accessed&gt;64867571&lt;/_accessed&gt;&lt;_accession_num&gt;34083450&lt;/_accession_num&gt;&lt;_author_adr&gt;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Interdepartmental Program in Computational Biology and Bioinformatics, Yale  University, New Haven, CT 06511, USA.; Department of Pathology and Immunology, Washington University School of Medicine,  Saint Louis, MO 63110, USA.; Department of Pediatrics, Washington University School of Medicine, Saint Louis,  MO 63110, USA.; Department of Microbiology and Immunology, Stanford University School of  Medicine, Stanford, CA 94305,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Molecular Microbiology, Center for Infectious Disease Research,  Washington University School of Medicine, Saint Louis, MO 63110, USA.; Washington University Center for Cellular Imaging, Washington University School  of Medicine, Saint Louis, MO 63110, USA.; Washington University Center for Cellular Imaging, Washington University School  of Medicine, Saint Louis, MO 63110, USA.; Departments of Cell Biology and Physiology and Neuroscience, Washington  University School of Medicine, Saint Louis, MO 63110, USA.; Department of Biomedical Engineering, Washington University in Saint Louis, Saint  Louis, MO 63130, USA.; Department of Pediatrics, Washington University School of Medicine, Saint Louis,  MO 63110, USA.; McDonnell Genome Institute,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Immunology, Mayo Clinic, Rochester, MN 55905, USA.; Department of Neurology, Washington University in Saint Louis, Saint Louis, MO  63110,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Interdepartmental Program in Computational Biology and Bioinformatics, Yale  University, New Haven, CT 06511, USA.; Department of Pathology, Yale School of Medicine, New Haven, CT 06520, USA.; Department of Pathology and Immunology, Washington University School of Medicine,  Saint Louis, MO 63110, USA. mcolonna@wustl.edu.&lt;/_author_adr&gt;&lt;_collection_scope&gt;SCIE&lt;/_collection_scope&gt;&lt;_created&gt;64867570&lt;/_created&gt;&lt;_date&gt;2021-07-23&lt;/_date&gt;&lt;_date_display&gt;2021 Jul 23&lt;/_date_display&gt;&lt;_db_updated&gt;PubMed&lt;/_db_updated&gt;&lt;_doi&gt;10.1126/science.abf9277&lt;/_doi&gt;&lt;_impact_factor&gt;  63.714&lt;/_impact_factor&gt;&lt;_isbn&gt;1095-9203 (Electronic); 0036-8075 (Print); 0036-8075 (Linking)&lt;/_isbn&gt;&lt;_issue&gt;6553&lt;/_issue&gt;&lt;_journal&gt;Science&lt;/_journal&gt;&lt;_language&gt;eng&lt;/_language&gt;&lt;_modified&gt;64867571&lt;/_modified&gt;&lt;_ori_publication&gt;Copyright (c) 2021 The Authors, some rights reserved; exclusive licensee American _x000d__x000a_      Association for the Advancement of Science. No claim to original U.S. Government _x000d__x000a_      Works.&lt;/_ori_publication&gt;&lt;_social_category&gt;综合性期刊(1)&lt;/_social_category&gt;&lt;_subject_headings&gt;Aging; Animals; B-Lymphocyte Subsets/immunology/*physiology; B-Lymphocytes/*physiology; Bone Marrow Cells/*physiology; Cell Movement; Central Nervous System/*immunology/physiology; Dura Mater/*cytology/immunology; Fibroblasts/physiology; Homeostasis; Immune Privilege; *Lymphopoiesis; Meninges/*cytology/*immunology; Mice; Plasma Cells/physiology; Single-Cell Analysis; Skull/*anatomy &amp;amp; histology&lt;/_subject_headings&gt;&lt;_tertiary_title&gt;Science (New York, N.Y.)&lt;/_tertiary_title&gt;&lt;_type_work&gt;Journal Article; Research Support, N.I.H., Extramural&lt;/_type_work&gt;&lt;_url&gt;http://www.ncbi.nlm.nih.gov/entrez/query.fcgi?cmd=Retrieve&amp;amp;db=pubmed&amp;amp;dopt=Abstract&amp;amp;list_uids=34083450&amp;amp;query_hl=1&lt;/_url&gt;&lt;_volume&gt;373&lt;/_volume&gt;&lt;/Details&gt;&lt;Extra&gt;&lt;DBUID&gt;{F96A950B-833F-4880-A151-76DA2D6A2879}&lt;/DBUID&gt;&lt;/Extra&gt;&lt;/Item&gt;&lt;/References&gt;&lt;/Group&gt;&lt;Group&gt;&lt;References&gt;&lt;Item&gt;&lt;ID&gt;953&lt;/ID&gt;&lt;UID&gt;{75369DE2-8AF1-41ED-94D2-B0B64BF1E57E}&lt;/UID&gt;&lt;Title&gt;Cerebrospinal fluid regulates skull bone marrow niches via direct access through  dural channels&lt;/Title&gt;&lt;Template&gt;Journal Article&lt;/Template&gt;&lt;Star&gt;0&lt;/Star&gt;&lt;Tag&gt;0&lt;/Tag&gt;&lt;Author&gt;Mazzitelli, J A; Smyth, LCD; Cross, K A; Dykstra, T; Sun, J; &amp;quot;Du S&amp;quot;; Mamuladze, T; Smirnov, I; Rustenhoven, J; Kipnis, J&lt;/Author&gt;&lt;Year&gt;2022&lt;/Year&gt;&lt;Details&gt;&lt;_accessed&gt;64867594&lt;/_accessed&gt;&lt;_accession_num&gt;35301477&lt;/_accession_num&gt;&lt;_author_adr&gt;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Neuroscience Graduate Program, Washington University School of Medicine, St.  Louis, MO, USA.; Department of Pathology and Immunology, Washington University School of Medicine,  St. Louis, MO, USA.; Center for Brain Immunology and Glia (BIG), Washington University School of  Medicine, St. Louis, MO, USA.; Center for Brain Immunology and Glia (BIG), Washington University School of  Medicine, St. Louis, MO, USA.; Department of Neurological Surgery, Washington University School of Medicine, St.  Louis, MO, USA.; 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Department of Pathology and Immunology, Washington University School of Medicine,  St. Louis, MO, USA. rustenhoven@wustl.edu.; Center for Brain Immunology and Glia (BIG), Washington University School of  Medicine, St. Louis, MO, USA. rustenhoven@wustl.edu.; Department of Pharmacology and Clinical Pharmacology, The University of Auckland,  Auckland, New Zealand. rustenhoven@wustl.edu.; Department of Pathology and Immunology, Washington University School of Medicine,  St. Louis, MO, USA. kipnis@wustl.edu.; Center for Brain Immunology and Glia (BIG), Washington University School of  Medicine, St. Louis, MO, USA. kipnis@wustl.edu.; Medical Scientist Training Program, Washington University School of Medicine, St.  Louis, MO, USA. kipnis@wustl.edu.; Neuroscience Graduate Program, Washington University School of Medicine, St.  Louis, MO, USA. kipnis@wustl.edu.; Department of Neurological Surgery, Washington University School of Medicine, St.  Louis, MO, USA. kipnis@wustl.edu.; Immunology Graduate Program, Washington University School of Medicine, St. Louis,  MO, USA. kipnis@wustl.edu.&lt;/_author_adr&gt;&lt;_collection_scope&gt;SCIE&lt;/_collection_scope&gt;&lt;_created&gt;64867571&lt;/_created&gt;&lt;_date&gt;2022-05-01&lt;/_date&gt;&lt;_date_display&gt;2022 May&lt;/_date_display&gt;&lt;_db_updated&gt;PubMed&lt;/_db_updated&gt;&lt;_doi&gt;10.1038/s41593-022-01029-1&lt;/_doi&gt;&lt;_impact_factor&gt;  28.771&lt;/_impact_factor&gt;&lt;_isbn&gt;1546-1726 (Electronic); 1097-6256 (Print); 1097-6256 (Linking)&lt;/_isbn&gt;&lt;_issue&gt;5&lt;/_issue&gt;&lt;_journal&gt;Nat Neurosci&lt;/_journal&gt;&lt;_language&gt;eng&lt;/_language&gt;&lt;_modified&gt;64867595&lt;/_modified&gt;&lt;_ori_publication&gt;(c) 2022. The Author(s), under exclusive licence to Springer Nature America, Inc.&lt;/_ori_publication&gt;&lt;_pages&gt;555-560&lt;/_pages&gt;&lt;_social_category&gt;医学(1)&lt;/_social_category&gt;&lt;_subject_headings&gt;*Bone Marrow/physiology; Cerebrospinal Fluid; Head; Meninges; Myeloid Cells/metabolism; *Skull&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5301477&amp;amp;query_hl=1&lt;/_url&gt;&lt;_volume&gt;25&lt;/_volume&gt;&lt;/Details&gt;&lt;Extra&gt;&lt;DBUID&gt;{F96A950B-833F-4880-A151-76DA2D6A2879}&lt;/DBUID&gt;&lt;/Extra&gt;&lt;/Item&gt;&lt;/References&gt;&lt;/Group&gt;&lt;Group&gt;&lt;References&gt;&lt;Item&gt;&lt;ID&gt;1005&lt;/ID&gt;&lt;UID&gt;{6DB237D2-920E-40CE-9993-72A1F5C9F63A}&lt;/UID&gt;&lt;Title&gt;Distinct molecular profiles of skull bone marrow in health and neurological  disorders&lt;/Title&gt;&lt;Template&gt;Journal Article&lt;/Template&gt;&lt;Star&gt;0&lt;/Star&gt;&lt;Tag&gt;0&lt;/Tag&gt;&lt;Author&gt;Kolabas, Z I; Kuemmerle, L B; Perneczky, R; Forstera, B; Ulukaya, S; Ali, M; Kapoor, S; Bartos, L M; Buttner, M; Caliskan, O S; Rong, Z; Mai, H; Hoher, L; Jeridi, D; Molbay, M; Khalin, I; Deligiannis, I K; Negwer, M; Roberts, K; Simats, A; Carofiglio, O; Todorov, M I; Horvath, I; Ozturk, F; Hummel, S; Biechele, G; Zatcepin, A; Unterrainer, M; Gnorich, J; Roodselaar, J; Shrouder, J; Khosravani, P; Tast, B; Richter, L; Diaz-Marugan, L; Kaltenecker, D; Lux, L; Chen, Y; Zhao, S; Rauchmann, B S; Sterr, M; Kunze, I; Stanic, K; Kan, VWY; Besson-Girard, S; Katzdobler, S; Palleis, C; Schadler, J; Paetzold, J C; Liebscher, S; Hauser, A E; Gokce, O; Lickert, H; Steinke, H; Benakis, C; Braun, C; Martinez-Jimenez, C P; Buerger, K; Albert, N L; Hoglinger, G; Levin, J; Haass, C; Kopczak, A; Dichgans, M; Havla, J; Kumpfel, T; Kerschensteiner, M; Schifferer, M; Simons, M; Liesz, A; Krahmer, N; Bayraktar, O A; Franzmeier, N; Plesnila, N; Erener, S; Puelles, V G; Delbridge, C; Bhatia, H S; Hellal, F; Elsner, M; Bechmann, I; Ondruschka, B; Brendel, M; Theis, F J; Erturk, A&lt;/Author&gt;&lt;Year&gt;2023&lt;/Year&gt;&lt;Details&gt;&lt;_accessed&gt;65146831&lt;/_accessed&gt;&lt;_accession_num&gt;37562402&lt;/_accession_num&gt;&lt;_author_adr&gt;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Institute for Tissue Engineering and Regenerative Medicine (iTERM), Helmholtz  Center, Neuherberg, Munich, Germany; Institute of Computational Biology,  Helmholtz Zentrum Munchen, German Research Center for Environmental Health,  Neuherberg, Germany.; Division of Mental Health in Older Adults and Alzheimer Therapy and Research  Center, Department of Psychiatry and Psychotherapy, University Hospital, Ludwig  Maximilian University Munich, 80336 Munich, Germany; German Center for  Neurodegenerative Diseases (DZNE) Munich, Munich, Germany; Ageing Epidemiology  (AGE) Research Unit, School of Public Health, Imperial College London, London,  UK; Munich Cluster for Systems Neurology (SyNergy), Munich, Germany; Sheffield  Institute for Translational Neuroscience, University of Sheffield, Sheffield, UK.;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Tissue Engineering and Regenerative Medicine (iTERM), Helmholtz  Center, Neuherberg, Munich, Germany; Graduate School of Systemic Neurosciences  (GSN), Munich, Germany; Institute of Computational Biology, Helmholtz Zentrum  Munchen, German Research Center for Environmental Health, Neuherberg, Germany.; Institute for Tissue Engineering and Regenerative Medicine (iTERM), Helmholtz  Center, Neuherberg, Munich, Germany.; Department of Nuclear Medicine, University Hospital,  Ludwig-Maximilians-Universitat Munchen, Munich, Germany.; Institute of Computational Biology, Helmholtz Zentrum Munchen, German Research  Center for Environmental Health, Neuherberg, Germany.; Institute for Diabetes and Obesity, Helmholtz Center Munich and German Center for  Diabetes Research (DZD), 85764 Neuherberg,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Tissue Engineering and Regenerative Medicine (iTERM), Helmholtz  Center, Neuherberg, Munich, Germany.; Institute for Tissue Engineering and Regenerative Medicine (iTERM), Helmholtz  Center, Neuherberg, Munich, Germany.; Institute for Stroke and Dementia Research, LMU University Hospital,  Ludwig-Maximilians University Munich, Munich, Germany.; Helmholtz Pioneer Campus (HPC), Helmholtz Munich, Neuherberg, Germany.; Institute for Tissue Engineering and Regenerative Medicine (iTERM), Helmholtz  Center, Neuherberg, Munich,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School of Computation, Information and  Technology (CIT), TUM, Boltzmannstr. 3, 85748 Garching, Germany.; Institute for Tissue Engineering and Regenerative Medicine (iTERM), Helmholtz  Center, Neuherberg,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Department of Radiology,  University Hospital, LMU Munich, Munich, Germany.; Department of Nuclear Medicine, University Hospital,  Ludwig-Maximilians-Universitat Munchen,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Biomedical Center (BMC), Core Facility Flow Cytometry, Faculty of Medicine, LMU  Munich, Munich, Germany.; Biomedical Center (BMC), Core Facility Flow Cytometry, Faculty of Medicine, LMU  Munich, Munich, Germany.; Biomedical Center (BMC), Core Facility Flow Cytometry, Faculty of Medicine, LMU  Munich, Munich, Germany.; Institute for Stroke and Dementia Research, LMU University Hospital,  Ludwig-Maximilians University Munich, Munich, Germany.; Institute for Tissue Engineering and Regenerative Medicine (iTERM), Helmholtz  Center, Neuherberg, Munich, Germany; Institute for Diabetes and Cancer, Helmholtz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Division of Mental Health in Older Adults and Alzheimer Therapy and Research  Center, Department of Psychiatry and Psychotherapy, University Hospital, Ludwig  Maximilian University Munich, 80336 Munich, Germany; Sheffield Institute for  Translational Neuroscience, University of Sheffield, Sheffield, UK; Institute of  Neuroradiology, University Hospital LMU, Munich, Germany.; Institute of Diabetes and Regeneration Research, Helmholtz Diabetes Center,  Helmholtz Zentrum Munchen, Neuherberg, Germany; Institute of Stem Cell Research,  Helmholtz Zentrum Munchen, Neuherberg, Germany.; Institute of Diabetes and Regeneration Research, Helmholtz Diabetes Center,  Helmholtz Zentrum Munchen, Neuherberg, Germany; Institute of Stem Cell Research,  Helmholtz Zentrum Munchen, Neuherberg, Germany.; Institute for Tissue Engineering and Regenerative Medicine (iTERM), Helmholtz  Center, Neuherberg, Munich, Germany; Institute for Stroke and Dementia Research,  LMU University Hospital, Ludwig-Maximilians University Munich, Munich, Germany.; Institute of Clinical Neuroimmunology, University Hospital Munich,  Ludwig-Maximilians University Munich, Munich, Germany.; Institute for Stroke and Dementia Research, LMU University Hospital,  Ludwig-Maximilians University Munich, Munich, Germany; Graduate School of  Systemic Neurosciences (GSN), Munich, Germany.; German Center for Neurodegenerative Diseases (DZNE) Munich, Munich, Germany;  Department of Neurology, Ludwig-Maximilians-Universitat Munchen, Munich, Germany.; German Center for Neurodegenerative Diseases (DZNE) Munich, Munich, Germany;  Department of Neurology, Ludwig-Maximilians-Universitat Munchen, Munich, Germany.; Institute of Legal Medicine, University Medical Center Hamburg-Eppendorf,  Hamburg, Germany.; Institute for Tissue Engineering and Regenerative Medicine (iTERM), Helmholtz  Center, Neuherberg, Munich, Germany; Department of Computing, Imperial College  London, London, UK.; Munich Cluster for Systems Neurology (SyNergy), Munich, Germany; Institute of  Clinical Neuroimmunology, University Hospital Munich, Ludwig-Maximilians  University Munich, Munich, Germany; Biomedical Center (BMC), Medical Faculty,  Ludwig-Maximilians Universitat Munich,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Munich Cluster for Systems  Neurology (SyNergy), Munich, Germany.; Institute of Diabetes and Regeneration Research, Helmholtz Diabetes Center,  Helmholtz Zentrum Munchen, Neuherberg, Germany; Institute of Stem Cell Research,  Helmholtz Zentrum Munchen, Neuherberg, Germany; TUM School of Medicine, Technical  University of Munich, Munich, Germany.; Institute of Anatomy, University of Leipzig, 04109 Leipzig, Germany.; Institute for Stroke and Dementia Research, LMU University Hospital,  Ludwig-Maximilians University Munich, Munich, Germany.; Institute of Legal Medicine, Faculty of Medicine, LMU Munich, Germany.; Helmholtz Pioneer Campus (HPC), Helmholtz Munich, Neuherberg, Germany; TUM School  of Medicine, Technical University of Munich, Munich, Germany.; Institute for Stroke and Dementia Research, LMU University Hospital,  Ludwig-Maximilians University Munich, Munich, Germany; German Center for  Neurodegenerative Diseases (DZNE) Munich, Munich, Germany.; Department of Nuclear Medicine, University Hospital,  Ludwig-Maximilians-Universitat Munchen, Munich, Germany.; German Center for Neurodegenerative Diseases (DZNE) Munich, Munich, Germany;  Department of Neurology, Ludwig-Maximilians-Universitat Munchen, Munich, Germany.; German Center for Neurodegenerative Diseases (DZNE) Munich, Munich, Germany;  Munich Cluster for Systems Neurology (SyNergy), Munich, Germany; Department of  Neurology, Ludwig-Maximilians-Universitat Munchen, Munich, Germany.; German Center for Neurodegenerative Diseases (DZNE) Munich, Munich, Germany;  Munich Cluster for Systems Neurology (SyNergy), Munich, Germany; Metabolic  Biochemistry, Biomedical Center (BMC), Faculty of Medicine,  Ludwig-Maximilians-Universitat Munchen, Munich, Germany.; Institute for Stroke and Dementia Research, LMU University Hospital,  Ludwig-Maximilians University Munich, Munich, Germany.; Institute for Stroke and Dementia Research, LMU University Hospital,  Ludwig-Maximilians University Munich, Munich, Germany; German Center for  Neurodegenerative Diseases (DZNE)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Institute of Clinical Neuroimmunology, University Hospital Munich,  Ludwig-Maximilians University Munich, Munich, Germany; Biomedical Center (BMC),  Medical Faculty, Ludwig-Maximilians Universitat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German Center for Neurodegenerative Diseases (DZNE) Munich, Munich, Germany;  Munich Cluster for Systems Neurology (SyNergy), Munich, Germany.; German Center for Neurodegenerative Diseases (DZNE) Munich, Munich, Germany;  Munich Cluster for Systems Neurology (SyNergy), Munich, Germany.; Institute for Stroke and Dementia Research, LMU University Hospital,  Ludwig-Maximilians University Munich, Munich, Germany; Graduate School of  Systemic Neurosciences (GSN), Munich, Germany; Munich Cluster for Systems  Neurology (SyNergy), Munich, Germany.; Institute for Diabetes and Obesity, Helmholtz Center Munich and German Center for  Diabetes Research (DZD), 85764 Neuherberg,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II. Department of Medicine, University Medical Center Hamburg-Eppendorf,  Hamburg, Germany; Hamburg Center for Kidney Health (HCKH), University Medical  Center Hamburg-Eppendorf, Hamburg, Germany; Department of Clinical Medicine,  Aarhus University, Aarhus, Denmark; Department of Pathology, Aarhus University  Hospital, Aarhus, Denmark.; Institute of Pathology, Department of Neuropathology, Technical University  Munich, TUM School of Medicine,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nstitute of Anatomy, University of Leipzig, 04109 Leipzig, Germany.; Institute of Legal Medicine, University Medical Center Hamburg-Eppendorf,  Hamburg, Germany.; German Center for Neurodegenerative Diseases (DZNE) Munich, Munich, Germany;  Munich Cluster for Systems Neurology (SyNergy), Munich, Germany; Department of  Nuclear Medicine, University Hospital, Ludwig-Maximilians-Universitat Munchen,  Munich, Germany.; Institute of Computational Biology, Helmholtz Zentrum Munchen, German Research  Center for Environmental Health, Neuherberg, Germany; Department of Mathematics,  Technische Universitat Munchen, Garching bei Munchen, Germany.; 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Munich Cluster  for Systems Neurology (SyNergy), Munich, Germany. Electronic address:  ali.erturk@helmholtz-munich.de.&lt;/_author_adr&gt;&lt;_collection_scope&gt;SCIE&lt;/_collection_scope&gt;&lt;_created&gt;65025916&lt;/_created&gt;&lt;_date&gt;2023-08-17&lt;/_date&gt;&lt;_date_display&gt;2023 Aug 17&lt;/_date_display&gt;&lt;_db_updated&gt;PubMed&lt;/_db_updated&gt;&lt;_doi&gt;10.1016/j.cell.2023.07.009&lt;/_doi&gt;&lt;_impact_factor&gt;  64.500&lt;/_impact_factor&gt;&lt;_isbn&gt;1097-4172 (Electronic); 0092-8674 (Linking)&lt;/_isbn&gt;&lt;_issue&gt;17&lt;/_issue&gt;&lt;_journal&gt;Cell&lt;/_journal&gt;&lt;_keywords&gt;3D-imaging; DISCO clearing; PET imaging; immune cell trafficking; neuroinflammation; neurological disorders; non-invasive monitoring; proteomics; scRNA-seq; skull-brain connection&lt;/_keywords&gt;&lt;_language&gt;eng&lt;/_language&gt;&lt;_modified&gt;65146831&lt;/_modified&gt;&lt;_ori_publication&gt;Copyright (c) 2023 The Author(s). Published by Elsevier Inc. All rights reserved.&lt;/_ori_publication&gt;&lt;_pages&gt;3706-3725.e29&lt;/_pages&gt;&lt;_social_category&gt;生物学(1)&lt;/_social_category&gt;&lt;_tertiary_title&gt;Cell&lt;/_tertiary_title&gt;&lt;_type_work&gt;Journal Article&lt;/_type_work&gt;&lt;_url&gt;http://www.ncbi.nlm.nih.gov/entrez/query.fcgi?cmd=Retrieve&amp;amp;db=pubmed&amp;amp;dopt=Abstract&amp;amp;list_uids=37562402&amp;amp;query_hl=1&lt;/_url&gt;&lt;_volume&gt;186&lt;/_volume&gt;&lt;/Details&gt;&lt;Extra&gt;&lt;DBUID&gt;{F96A950B-833F-4880-A151-76DA2D6A2879}&lt;/DBUID&gt;&lt;/Extra&gt;&lt;/Item&gt;&lt;/References&gt;&lt;/Group&gt;&lt;Group&gt;&lt;References&gt;&lt;Item&gt;&lt;ID&gt;1006&lt;/ID&gt;&lt;UID&gt;{C99B32DC-2B42-4870-BE1A-98BDBB1D880F}&lt;/UID&gt;&lt;Title&gt;A cell therapy approach to restore microglial Trem2 function in a mouse model of  Alzheimer&amp;apos;s disease&lt;/Title&gt;&lt;Template&gt;Journal Article&lt;/Template&gt;&lt;Star&gt;0&lt;/Star&gt;&lt;Tag&gt;0&lt;/Tag&gt;&lt;Author&gt;Yoo, Y; Neumayer, G; Shibuya, Y; Marc-Daniel, Mader M; Wernig, M&lt;/Author&gt;&lt;Year&gt;2023&lt;/Year&gt;&lt;Details&gt;&lt;_accessed&gt;65025920&lt;/_accessed&gt;&lt;_accession_num&gt;37541210&lt;/_accession_num&gt;&lt;_author_adr&gt;Institute for Stem Cell Biology and Regenerative Medicine and Department of  Pathology, Stanford University School of Medicine, Stanford, CA 94305, USA.; Institute for Stem Cell Biology and Regenerative Medicine and Department of  Pathology, Stanford University School of Medicine, Stanford, CA 94305, USA.; Institute for Stem Cell Biology and Regenerative Medicine and Department of  Pathology, Stanford University School of Medicine, Stanford, CA 94305, USA.; Institute for Stem Cell Biology and Regenerative Medicine and Department of  Pathology, Stanford University School of Medicine, Stanford, CA 94305, USA.; Institute for Stem Cell Biology and Regenerative Medicine and Department of  Pathology, Stanford University School of Medicine, Stanford, CA 94305, USA;  Department of Chemical and Systems Biology, Stanford University School of  Medicine, Stanford, CA 94305, USA. Electronic address: wernig@stanford.edu.&lt;/_author_adr&gt;&lt;_collection_scope&gt;SCIE&lt;/_collection_scope&gt;&lt;_created&gt;65025917&lt;/_created&gt;&lt;_date&gt;2023-08-03&lt;/_date&gt;&lt;_date_display&gt;2023 Aug 3&lt;/_date_display&gt;&lt;_db_updated&gt;PubMed&lt;/_db_updated&gt;&lt;_doi&gt;10.1016/j.stem.2023.07.006&lt;/_doi&gt;&lt;_impact_factor&gt;  23.900&lt;/_impact_factor&gt;&lt;_isbn&gt;1875-9777 (Electronic); 1875-9777 (Linking)&lt;/_isbn&gt;&lt;_issue&gt;8&lt;/_issue&gt;&lt;_journal&gt;Cell Stem Cell&lt;/_journal&gt;&lt;_keywords&gt;Alzheimer&amp;apos;s disease; Trem2; circulation-derived myeloid cells; hematopoietic cell transplantation; microglia&lt;/_keywords&gt;&lt;_language&gt;eng&lt;/_language&gt;&lt;_modified&gt;65025920&lt;/_modified&gt;&lt;_ori_publication&gt;Copyright (c) 2023 Elsevier Inc. All rights reserved.&lt;/_ori_publication&gt;&lt;_pages&gt;1043-1053.e6&lt;/_pages&gt;&lt;_social_category&gt;医学(1)&lt;/_social_category&gt;&lt;_subject_headings&gt;Mice; Animals; Humans; *Alzheimer Disease/genetics/therapy/pathology; Microglia; Neurons/metabolism; Disease Models, Animal; Brain/metabolism; Membrane Glycoproteins/genetics/metabolism; Receptors, Immunologic/genetics/metabolism&lt;/_subject_headings&gt;&lt;_tertiary_title&gt;Cell stem cell&lt;/_tertiary_title&gt;&lt;_type_work&gt;Journal Article; Research Support, Non-U.S. Gov&amp;apos;t&lt;/_type_work&gt;&lt;_url&gt;http://www.ncbi.nlm.nih.gov/entrez/query.fcgi?cmd=Retrieve&amp;amp;db=pubmed&amp;amp;dopt=Abstract&amp;amp;list_uids=37541210&amp;amp;query_hl=1&lt;/_url&gt;&lt;_volume&gt;30&lt;/_volume&gt;&lt;/Details&gt;&lt;Extra&gt;&lt;DBUID&gt;{F96A950B-833F-4880-A151-76DA2D6A2879}&lt;/DBUID&gt;&lt;/Extra&gt;&lt;/Item&gt;&lt;/References&gt;&lt;/Group&gt;&lt;Group&gt;&lt;References&gt;&lt;Item&gt;&lt;ID&gt;1054&lt;/ID&gt;&lt;UID&gt;{D9966953-3188-4497-8B2D-BFD5A996D9EB}&lt;/UID&gt;&lt;Title&gt;Bone marrow hematopoiesis drives multiple sclerosis progression&lt;/Title&gt;&lt;Template&gt;Journal Article&lt;/Template&gt;&lt;Star&gt;0&lt;/Star&gt;&lt;Tag&gt;0&lt;/Tag&gt;&lt;Author&gt;Shi, Kaibin; Li, Handong; Chang, Ting; He, Wenyan; Kong, Ying; Qi, Caiyun; Li, Ran; Huang, Huachen; Zhu, Zhibao; Zheng, Pei; Ruan, Zhe; Zhou, Jie; Shi, Fu-Dong; Liu, Qiang&lt;/Author&gt;&lt;Year&gt;2022&lt;/Year&gt;&lt;Details&gt;&lt;_accessed&gt;65613243&lt;/_accessed&gt;&lt;_accession_num&gt;35709748&lt;/_accession_num&gt;&lt;_author_adr&gt;Department of Neurology, Institute of Neuroimmunology, Tianjin Medical University  General Hospital, Tianjin 300052, China; Center for Neurological Diseases, China  National Clinical Research Center for Neurological Diseases, Beijing Tiantan  Hospital, Capital Medical University, Beijing 100070, China.; Department of Neurology, Institute of Neuroimmunology, Tianjin Medical University  General Hospital, Tianjin 300052, China.; Department of Neurology, Tangdu Hospital, Air Force Medical University, Xi&amp;apos;an,  Shaanxi 710038, China.; Center for Neurological Diseases, China National Clinical Research Center for  Neurological Diseases, Beijing Tiantan Hospital, Capital Medical University,  Beijing 100070, China.; Department of Neurology, Institute of Neuroimmunology, Tianjin Medical University  General Hospital, Tianjin 300052, China.; Department of Neurology, Institute of Neuroimmunology, Tianjin Medical University  General Hospital, Tianjin 300052, China.; Department of Neurology, Institute of Neuroimmunology, Tianjin Medical University  General Hospital, Tianjin 300052, China.; Department of Neurology, Institute of Neuroimmunology, Tianjin Medical University  General Hospital, Tianjin 300052, China.; Department of Neurology, Institute of Neurology of First Affiliated Hospital,  Institute of Neuroscience, and Fujian Key Laboratory of Molecular Neurology,  Fujian Medical University, Fuzhou, Fujian 350005, China.; Department of Neurology, Institute of Neuroimmunology, Tianjin Medical University  General Hospital, Tianjin 300052, China.; Department of Neurology, Tangdu Hospital, Air Force Medical University, Xi&amp;apos;an,  Shaanxi 710038, China.; Department of Immunology, School of Basic Medical Sciences, Tianjin Medical  University, Tianjin 300070, China.; Department of Neurology, Institute of Neuroimmunology, Tianjin Medical University  General Hospital, Tianjin 300052, China; Center for Neurological Diseases, China  National Clinical Research Center for Neurological Diseases, Beijing Tiantan  Hospital, Capital Medical University, Beijing 100070, China.; Department of Neurology, Institute of Neuroimmunology, Tianjin Medical University  General Hospital, Tianjin 300052, China. Electronic address: qliu@tmu.edu.cn.&lt;/_author_adr&gt;&lt;_collection_scope&gt;SCIE&lt;/_collection_scope&gt;&lt;_created&gt;65613199&lt;/_created&gt;&lt;_date&gt;2022-06-23&lt;/_date&gt;&lt;_date_display&gt;2022 Jun 23&lt;/_date_display&gt;&lt;_db_updated&gt;CrossRef&lt;/_db_updated&gt;&lt;_doi&gt;10.1016/j.cell.2022.05.020&lt;/_doi&gt;&lt;_impact_factor&gt;  64.500&lt;/_impact_factor&gt;&lt;_isbn&gt;00928674&lt;/_isbn&gt;&lt;_issue&gt;13&lt;/_issue&gt;&lt;_journal&gt;Cell&lt;/_journal&gt;&lt;_keywords&gt;autoreactive T cells; bone marrow; multiple sclerosis; myelopoiesis; neuroinflammation&lt;/_keywords&gt;&lt;_language&gt;eng&lt;/_language&gt;&lt;_modified&gt;65613243&lt;/_modified&gt;&lt;_ori_publication&gt;Copyright (c) 2022 The Author(s). Published by Elsevier Inc. All rights reserved.&lt;/_ori_publication&gt;&lt;_pages&gt;2234-2247.e17&lt;/_pages&gt;&lt;_social_category&gt;生化与分子生物学(1) &amp;amp; 细胞生物学(1)&lt;/_social_category&gt;&lt;_subject_headings&gt;Animals; Bone Marrow; *Encephalomyelitis, Autoimmune, Experimental; Hematopoiesis; Humans; Mice; Mice, Inbred C57BL; *Multiple Sclerosis&lt;/_subject_headings&gt;&lt;_tertiary_title&gt;Cell&lt;/_tertiary_title&gt;&lt;_type_work&gt;Journal Article; Research Support, Non-U.S. Gov&amp;apos;t&lt;/_type_work&gt;&lt;_url&gt;https://linkinghub.elsevier.com/retrieve/pii/S0092867422006511_x000d__x000a_https://api.elsevier.com/content/article/PII:S0092867422006511?httpAccept=text/xml&lt;/_url&gt;&lt;_volume&gt;185&lt;/_volume&gt;&lt;/Details&gt;&lt;Extra&gt;&lt;DBUID&gt;{F96A950B-833F-4880-A151-76DA2D6A2879}&lt;/DBUID&gt;&lt;/Extra&gt;&lt;/Item&gt;&lt;/References&gt;&lt;/Group&gt;&lt;Group&gt;&lt;References&gt;&lt;Item&gt;&lt;ID&gt;1055&lt;/ID&gt;&lt;UID&gt;{5BA58389-E496-4F7F-8511-BDBA1F2DED46}&lt;/UID&gt;&lt;Title&gt;Brain injury instructs bone marrow cellular lineage destination to reduce  neuroinflammation&lt;/Title&gt;&lt;Template&gt;Journal Article&lt;/Template&gt;&lt;Star&gt;0&lt;/Star&gt;&lt;Tag&gt;0&lt;/Tag&gt;&lt;Author&gt;Shi, S X; Shi, K; Liu, Q&lt;/Author&gt;&lt;Year&gt;2021&lt;/Year&gt;&lt;Details&gt;&lt;_accessed&gt;65613202&lt;/_accessed&gt;&lt;_accession_num&gt;33853930&lt;/_accession_num&gt;&lt;_author_adr&gt;Department of Neurology, Tianjin Neurological Institute, Tianjin Medical  University General Hospital, Tianjin 300052, China.; Interdisciplinary Neuroscience Graduate Program, Arizona State University, Tempe,  AZ 85281, USA.; Department of Neurology, Tianjin Neurological Institute, Tianjin Medical  University General Hospital, Tianjin 300052, China.; National Clinical Research Center for Neurological Diseases of China, Jing-Jin  Center for Neuroinflammation, Beijing Tiantan Hospital, Capital Medical  University, Beijing 100070, China.; Department of Neurology, Tianjin Neurological Institute, Tianjin Medical  University General Hospital, Tianjin 300052, China. qliu@tmu.edu.cn.; Interdisciplinary Neuroscience Graduate Program, Arizona State University, Tempe,  AZ 85281, USA.&lt;/_author_adr&gt;&lt;_collection_scope&gt;SCIE&lt;/_collection_scope&gt;&lt;_created&gt;65613200&lt;/_created&gt;&lt;_date&gt;2021-04-14&lt;/_date&gt;&lt;_date_display&gt;2021 Apr 14&lt;/_date_display&gt;&lt;_db_updated&gt;PubMed&lt;/_db_updated&gt;&lt;_doi&gt;10.1126/scitranslmed.abc7029&lt;/_doi&gt;&lt;_impact_factor&gt;  17.100&lt;/_impact_factor&gt;&lt;_isbn&gt;1946-6242 (Electronic); 1946-6234 (Linking)&lt;/_isbn&gt;&lt;_issue&gt;589&lt;/_issue&gt;&lt;_journal&gt;Sci Transl Med&lt;/_journal&gt;&lt;_language&gt;eng&lt;/_language&gt;&lt;_modified&gt;65613202&lt;/_modified&gt;&lt;_ori_publication&gt;Copyright (c) 2021 The Authors, some rights reserved; exclusive licensee American _x000d__x000a_      Association for the Advancement of Science. No claim to original U.S. Government _x000d__x000a_      Works.&lt;/_ori_publication&gt;&lt;_social_category&gt;细胞生物学(1) &amp;amp; 医学：研究与实验(1)&lt;/_social_category&gt;&lt;_subject_headings&gt;*Bone Marrow; Bone Marrow Cells; *Brain Injuries; Cell Lineage; Hematopoiesis; Hematopoietic Stem Cells; Humans; Stem Cell Niche&lt;/_subject_headings&gt;&lt;_tertiary_title&gt;Science translational medicine&lt;/_tertiary_title&gt;&lt;_type_work&gt;Journal Article; Research Support, Non-U.S. Gov&amp;apos;t&lt;/_type_work&gt;&lt;_url&gt;http://www.ncbi.nlm.nih.gov/entrez/query.fcgi?cmd=Retrieve&amp;amp;db=pubmed&amp;amp;dopt=Abstract&amp;amp;list_uids=33853930&amp;amp;query_hl=1&lt;/_url&gt;&lt;_volume&gt;13&lt;/_volume&gt;&lt;/Details&gt;&lt;Extra&gt;&lt;DBUID&gt;{F96A950B-833F-4880-A151-76DA2D6A2879}&lt;/DBUID&gt;&lt;/Extra&gt;&lt;/Item&gt;&lt;/References&gt;&lt;/Group&gt;&lt;Group&gt;&lt;References&gt;&lt;Item&gt;&lt;ID&gt;1061&lt;/ID&gt;&lt;UID&gt;{D78864D9-09E9-4B49-9761-3B0AB4E282C0}&lt;/UID&gt;&lt;Title&gt;Cerebrospinal fluid regulates skull bone marrow niches via direct access through  dural channels&lt;/Title&gt;&lt;Template&gt;Journal Article&lt;/Template&gt;&lt;Star&gt;0&lt;/Star&gt;&lt;Tag&gt;0&lt;/Tag&gt;&lt;Author&gt;Mazzitelli, J A; Smyth, LCD; Cross, K A; Dykstra, T; Sun, J; &amp;quot;Du S&amp;quot;; Mamuladze, T; Smirnov, I; Rustenhoven, J; Kipnis, J&lt;/Author&gt;&lt;Year&gt;2022&lt;/Year&gt;&lt;Details&gt;&lt;_accessed&gt;65613335&lt;/_accessed&gt;&lt;_accession_num&gt;35301477&lt;/_accession_num&gt;&lt;_author_adr&gt;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Neuroscience Graduate Program, Washington University School of Medicine, St.  Louis, MO, USA.; Department of Pathology and Immunology, Washington University School of Medicine,  St. Louis, MO, USA.; Center for Brain Immunology and Glia (BIG), Washington University School of  Medicine, St. Louis, MO, USA.; Center for Brain Immunology and Glia (BIG), Washington University School of  Medicine, St. Louis, MO, USA.; Department of Neurological Surgery, Washington University School of Medicine, St.  Louis, MO, USA.; 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Department of Pathology and Immunology, Washington University School of Medicine,  St. Louis, MO, USA. rustenhoven@wustl.edu.; Center for Brain Immunology and Glia (BIG), Washington University School of  Medicine, St. Louis, MO, USA. rustenhoven@wustl.edu.; Department of Pharmacology and Clinical Pharmacology, The University of Auckland,  Auckland, New Zealand. rustenhoven@wustl.edu.; Department of Pathology and Immunology, Washington University School of Medicine,  St. Louis, MO, USA. kipnis@wustl.edu.; Center for Brain Immunology and Glia (BIG), Washington University School of  Medicine, St. Louis, MO, USA. kipnis@wustl.edu.; Medical Scientist Training Program, Washington University School of Medicine, St.  Louis, MO, USA. kipnis@wustl.edu.; Neuroscience Graduate Program, Washington University School of Medicine, St.  Louis, MO, USA. kipnis@wustl.edu.; Department of Neurological Surgery, Washington University School of Medicine, St.  Louis, MO, USA. kipnis@wustl.edu.; Immunology Graduate Program, Washington University School of Medicine, St. Louis,  MO, USA. kipnis@wustl.edu.&lt;/_author_adr&gt;&lt;_collection_scope&gt;SCIE&lt;/_collection_scope&gt;&lt;_created&gt;65613204&lt;/_created&gt;&lt;_date&gt;2022-05-01&lt;/_date&gt;&lt;_date_display&gt;2022 May&lt;/_date_display&gt;&lt;_db_updated&gt;PubMed&lt;/_db_updated&gt;&lt;_doi&gt;10.1038/s41593-022-01029-1&lt;/_doi&gt;&lt;_impact_factor&gt;  25.000&lt;/_impact_factor&gt;&lt;_isbn&gt;1546-1726 (Electronic); 1097-6256 (Print); 1097-6256 (Linking)&lt;/_isbn&gt;&lt;_issue&gt;5&lt;/_issue&gt;&lt;_journal&gt;Nat Neurosci&lt;/_journal&gt;&lt;_language&gt;eng&lt;/_language&gt;&lt;_modified&gt;65613235&lt;/_modified&gt;&lt;_ori_publication&gt;(c) 2022. The Author(s), under exclusive licence to Springer Nature America, Inc.&lt;/_ori_publication&gt;&lt;_pages&gt;555-560&lt;/_pages&gt;&lt;_social_category&gt;神经科学(1)&lt;/_social_category&gt;&lt;_subject_headings&gt;*Bone Marrow/physiology; Cerebrospinal Fluid; Head; Meninges; Myeloid Cells/metabolism; *Skull&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5301477&amp;amp;query_hl=1&lt;/_url&gt;&lt;_volume&gt;25&lt;/_volume&gt;&lt;/Details&gt;&lt;Extra&gt;&lt;DBUID&gt;{F96A950B-833F-4880-A151-76DA2D6A2879}&lt;/DBUID&gt;&lt;/Extra&gt;&lt;/Item&gt;&lt;/References&gt;&lt;/Group&gt;&lt;/Citation&gt;_x000a_"/>
    <w:docVar w:name="NE.Ref{8529A52A-34F6-4E9A-A118-7BF5913EDD00}" w:val=" ADDIN NE.Ref.{8529A52A-34F6-4E9A-A118-7BF5913EDD00}&lt;Citation&gt;&lt;Group&gt;&lt;References&gt;&lt;Item&gt;&lt;ID&gt;988&lt;/ID&gt;&lt;UID&gt;{838607D8-032B-4526-8283-74FDC73D3555}&lt;/UID&gt;&lt;Title&gt;Age-specific population frequencies of cerebral beta-amyloidosis and  neurodegeneration among people with normal cognitive function aged 50-89 years: a  cross-sectional study&lt;/Title&gt;&lt;Template&gt;Journal Article&lt;/Template&gt;&lt;Star&gt;0&lt;/Star&gt;&lt;Tag&gt;0&lt;/Tag&gt;&lt;Author&gt;Jack, CR Jr; Wiste, H J; Weigand, S D; Rocca, W A; Knopman, D S; Mielke, M M; Lowe, V J; Senjem, M L; Gunter, J L; Preboske, G M; Pankratz, V S; Vemuri, P; Petersen, R C&lt;/Author&gt;&lt;Year&gt;2014&lt;/Year&gt;&lt;Details&gt;&lt;_accession_num&gt;25201514&lt;/_accession_num&gt;&lt;_author_adr&gt;Department of Radiology, Mayo Clinic and Foundation, Rochester, MN, USA.  Electronic address: jack.clifford@mayo.edu.; Department of Health Sciences Research, Mayo Clinic and Foundation, Rochester,  MN, USA.; Department of Health Sciences Research, Mayo Clinic and Foundation, Rochester,  MN, USA.; Department of Health Sciences Research, Mayo Clinic and Foundation, Rochester,  MN, USA; Department of Neurology, Mayo Clinic and Foundation, Rochester, MN, USA.; Department of Neurology, Mayo Clinic and Foundation, Rochester, MN, USA.; Department of Health Sciences Research, Mayo Clinic and Foundation, Rochester,  MN, USA.; Department of Radiology, Mayo Clinic and Foundation, Rochester, MN, USA.; Department of Radiology, Mayo Clinic and Foundation, Rochester, MN, USA.; Department of Radiology, Mayo Clinic and Foundation, Rochester, MN, USA.; Department of Radiology, Mayo Clinic and Foundation, Rochester, MN, USA.; Department of Health Sciences Research, Mayo Clinic and Foundation, Rochester,  MN, USA.; Department of Radiology, Mayo Clinic and Foundation, Rochester, MN, USA.; Department of Neurology, Mayo Clinic and Foundation, Rochester, MN, USA.&lt;/_author_adr&gt;&lt;_date_display&gt;2014 Oct&lt;/_date_display&gt;&lt;_date&gt;2014-10-01&lt;/_date&gt;&lt;_doi&gt;10.1016/S1474-4422(14)70194-2&lt;/_doi&gt;&lt;_isbn&gt;1474-4465 (Electronic); 1474-4422 (Print); 1474-4422 (Linking)&lt;/_isbn&gt;&lt;_issue&gt;10&lt;/_issue&gt;&lt;_journal&gt;Lancet Neurol&lt;/_journal&gt;&lt;_language&gt;eng&lt;/_language&gt;&lt;_ori_publication&gt;Copyright (c) 2014 Elsevier Ltd. All rights reserved.&lt;/_ori_publication&gt;&lt;_pages&gt;997-1005&lt;/_pages&gt;&lt;_subject_headings&gt;Age Distribution; Aged; Aged, 80 and over; Alzheimer Disease/epidemiology/psychology; Amyloidosis/diagnostic imaging/*epidemiology/*psychology; Aniline Compounds; Apolipoproteins E/genetics; Cognition/*physiology; Cohort Studies; Cross-Sectional Studies; DNA/genetics/isolation &amp;amp; purification; Educational Status; Female; Humans; Male; Middle Aged; Neurodegenerative Diseases/diagnostic imaging/*epidemiology/*psychology; Neuropsychological Tests; Positron-Emission Tomography; Radiopharmaceuticals; Thiazoles; Verbal Learning&lt;/_subject_headings&gt;&lt;_tertiary_title&gt;The Lancet. Neurology&lt;/_tertiary_title&gt;&lt;_type_work&gt;Journal Article; Research Support, N.I.H., Extramural; Research Support, Non-U.S. Gov&amp;apos;t&lt;/_type_work&gt;&lt;_url&gt;http://www.ncbi.nlm.nih.gov/entrez/query.fcgi?cmd=Retrieve&amp;amp;db=pubmed&amp;amp;dopt=Abstract&amp;amp;list_uids=25201514&amp;amp;query_hl=1&lt;/_url&gt;&lt;_volume&gt;13&lt;/_volume&gt;&lt;_created&gt;64867622&lt;/_created&gt;&lt;_modified&gt;64867623&lt;/_modified&gt;&lt;_db_updated&gt;PubMed&lt;/_db_updated&gt;&lt;_impact_factor&gt;  59.935&lt;/_impact_factor&gt;&lt;_social_category&gt;医学(1)&lt;/_social_category&gt;&lt;_collection_scope&gt;SCIE&lt;/_collection_scope&gt;&lt;_accessed&gt;64867623&lt;/_accessed&gt;&lt;/Details&gt;&lt;Extra&gt;&lt;DBUID&gt;{F96A950B-833F-4880-A151-76DA2D6A2879}&lt;/DBUID&gt;&lt;/Extra&gt;&lt;/Item&gt;&lt;/References&gt;&lt;/Group&gt;&lt;/Citation&gt;_x000a_"/>
    <w:docVar w:name="NE.Ref{85A9E02D-DDF1-4B70-B3FB-7FEBCB97E21D}" w:val=" ADDIN NE.Ref.{85A9E02D-DDF1-4B70-B3FB-7FEBCB97E21D}&lt;Citation&gt;&lt;Group&gt;&lt;References&gt;&lt;Item&gt;&lt;ID&gt;947&lt;/ID&gt;&lt;UID&gt;{01BE057E-3FFE-4DB0-B3C9-C48F9003C036}&lt;/UID&gt;&lt;Title&gt;Double negative (IgG+IgD-CD27-) B cells are increased in a cohort of  moderate-severe Alzheimer&amp;apos;s disease patients and show a pro-inflammatory  trafficking receptor phenotype&lt;/Title&gt;&lt;Template&gt;Journal Article&lt;/Template&gt;&lt;Star&gt;0&lt;/Star&gt;&lt;Tag&gt;0&lt;/Tag&gt;&lt;Author&gt;Bulati, M; Buffa, S; Martorana, A; Gervasi, F; Camarda, C; Azzarello, D M; Monastero, R; Caruso, C; Colonna-Romano, G&lt;/Author&gt;&lt;Year&gt;2015&lt;/Year&gt;&lt;Details&gt;&lt;_accessed&gt;64867568&lt;/_accessed&gt;&lt;_accession_num&gt;25408215&lt;/_accession_num&gt;&lt;_author_adr&gt;Immunosenescence Unit, Department of Pathobiology and Medical and Forensic  Biotechnologies (DIBIMEF), University of Palermo, Italy.; Immunosenescence Unit, Department of Pathobiology and Medical and Forensic  Biotechnologies (DIBIMEF), University of Palermo, Italy.; Immunosenescence Unit, Department of Pathobiology and Medical and Forensic  Biotechnologies (DIBIMEF), University of Palermo, Italy.; Laboratory of experimental Oncohematology and cell cultures for clinical use,  ARNAS CIVICO, Palermo, Italy.; Department of Experimental Biomedicine and Clinical Neuroscience, University of  Palermo, Italy.; Department of Experimental Biomedicine and Clinical Neuroscience, University of  Palermo, Italy.; Department of Experimental Biomedicine and Clinical Neuroscience, University of  Palermo, Italy.; Immunosenescence Unit, Department of Pathobiology and Medical and Forensic  Biotechnologies (DIBIMEF), University of Palermo, Italy.; Immunosenescence Unit, Department of Pathobiology and Medical and Forensic  Biotechnologies (DIBIMEF), University of Palermo, Italy.&lt;/_author_adr&gt;&lt;_collection_scope&gt;SCIE&lt;/_collection_scope&gt;&lt;_created&gt;64867568&lt;/_created&gt;&lt;_date&gt;2015-01-20&lt;/_date&gt;&lt;_date_display&gt;2015&lt;/_date_display&gt;&lt;_db_updated&gt;PubMed&lt;/_db_updated&gt;&lt;_doi&gt;10.3233/JAD-142412&lt;/_doi&gt;&lt;_impact_factor&gt;   4.160&lt;/_impact_factor&gt;&lt;_isbn&gt;1875-8908 (Electronic); 1387-2877 (Linking)&lt;/_isbn&gt;&lt;_issue&gt;4&lt;/_issue&gt;&lt;_journal&gt;J Alzheimers Dis&lt;/_journal&gt;&lt;_keywords&gt;Aging; Alzheimer&amp;apos;s disease; B cells; CCR6; CCR7; trafficking profile&lt;/_keywords&gt;&lt;_language&gt;eng&lt;/_language&gt;&lt;_modified&gt;64867568&lt;/_modified&gt;&lt;_pages&gt;1241-51&lt;/_pages&gt;&lt;_social_category&gt;医学(3)&lt;/_social_category&gt;&lt;_subject_headings&gt;Aged; Aged, 80 and over; Alzheimer Disease/*immunology/*pathology; B-Lymphocyte Subsets/immunology/*pathology; Cohort Studies; Female; Flow Cytometry; Humans; Immunoglobulin D; Immunoglobulin G; Male; Mental Status Schedule; Phenotype; Receptors, CCR6/*metabolism; Receptors, CCR7/*metabolism; Tumor Necrosis Factor Receptor Superfamily, Member 7/immunology&lt;/_subject_headings&gt;&lt;_tertiary_title&gt;Journal of Alzheimer&amp;apos;s disease : JAD&lt;/_tertiary_title&gt;&lt;_type_work&gt;Journal Article; Research Support, Non-U.S. Gov&amp;apos;t&lt;/_type_work&gt;&lt;_url&gt;http://www.ncbi.nlm.nih.gov/entrez/query.fcgi?cmd=Retrieve&amp;amp;db=pubmed&amp;amp;dopt=Abstract&amp;amp;list_uids=25408215&amp;amp;query_hl=1&lt;/_url&gt;&lt;_volume&gt;44&lt;/_volume&gt;&lt;/Details&gt;&lt;Extra&gt;&lt;DBUID&gt;{F96A950B-833F-4880-A151-76DA2D6A2879}&lt;/DBUID&gt;&lt;/Extra&gt;&lt;/Item&gt;&lt;/References&gt;&lt;/Group&gt;&lt;Group&gt;&lt;References&gt;&lt;Item&gt;&lt;ID&gt;948&lt;/ID&gt;&lt;UID&gt;{368C2DA1-D0F4-48C7-BDBD-E2F27AC8AA49}&lt;/UID&gt;&lt;Title&gt;Increased Number of Plasma B Cells Producing Autoantibodies Against Abeta42  Protofibrils in Alzheimer&amp;apos;s Disease&lt;/Title&gt;&lt;Template&gt;Journal Article&lt;/Template&gt;&lt;Star&gt;0&lt;/Star&gt;&lt;Tag&gt;0&lt;/Tag&gt;&lt;Author&gt;Sollvander, S; Ekholm-Pettersson, F; Brundin, R M; Westman, G; Kilander, L; Paulie, S; Lannfelt, L; Sehlin, D&lt;/Author&gt;&lt;Year&gt;2015&lt;/Year&gt;&lt;Details&gt;&lt;_accessed&gt;64867569&lt;/_accessed&gt;&lt;_accession_num&gt;26401929&lt;/_accession_num&gt;&lt;_author_adr&gt;Department of Public Health &amp;amp; Caring Sciences/Molecular Geriatrics, Rudbeck  Laboratory, Uppsala University, Uppsala, Sweden.; Department of Public Health &amp;amp; Caring Sciences/Molecular Geriatrics, Rudbeck  Laboratory, Uppsala University, Uppsala, Sweden.; Department of Public Health &amp;amp; Caring Sciences/Molecular Geriatrics, Rudbeck  Laboratory, Uppsala University, Uppsala, Sweden.; Department of Medical Sciences, Uppsala University, Uppsala, Sweden.; Department of Public Health &amp;amp; Caring Sciences/Molecular Geriatrics, Rudbeck  Laboratory, Uppsala University, Uppsala, Sweden.; Mabtech AB, Nacka Strand, Sweden.; Department of Public Health &amp;amp; Caring Sciences/Molecular Geriatrics, Rudbeck  Laboratory, Uppsala University, Uppsala, Sweden.; Department of Public Health &amp;amp; Caring Sciences/Molecular Geriatrics, Rudbeck  Laboratory, Uppsala University, Uppsala, Sweden.&lt;/_author_adr&gt;&lt;_collection_scope&gt;SCIE&lt;/_collection_scope&gt;&lt;_created&gt;64867568&lt;/_created&gt;&lt;_date&gt;2015-01-20&lt;/_date&gt;&lt;_date_display&gt;2015&lt;/_date_display&gt;&lt;_db_updated&gt;PubMed&lt;/_db_updated&gt;&lt;_doi&gt;10.3233/JAD-150236&lt;/_doi&gt;&lt;_impact_factor&gt;   4.160&lt;/_impact_factor&gt;&lt;_isbn&gt;1875-8908 (Electronic); 1387-2877 (Print); 1387-2877 (Linking)&lt;/_isbn&gt;&lt;_issue&gt;1&lt;/_issue&gt;&lt;_journal&gt;J Alzheimers Dis&lt;/_journal&gt;&lt;_keywords&gt;Amyloid-beta; amyloid-beta protofibrils; anti-amyloid-beta antibodies; enzyme-linked immunospot assay&lt;/_keywords&gt;&lt;_language&gt;eng&lt;/_language&gt;&lt;_modified&gt;64867569&lt;/_modified&gt;&lt;_pages&gt;63-72&lt;/_pages&gt;&lt;_social_category&gt;医学(3)&lt;/_social_category&gt;&lt;_subject_headings&gt;Aged; Aged, 80 and over; Alzheimer Disease/*blood/*immunology; Amyloid beta-Peptides/*immunology/metabolism; Autoantibodies/*metabolism; B-Lymphocytes/*metabolism; Biotinylation; Case-Control Studies; Enzyme-Linked Immunosorbent Assay; Female; Flow Cytometry; Humans; Male; Mental Status Schedule; Peptide Fragments/*immunology/metabolism&lt;/_subject_headings&gt;&lt;_tertiary_title&gt;Journal of Alzheimer&amp;apos;s disease : JAD&lt;/_tertiary_title&gt;&lt;_type_work&gt;Journal Article; Research Support, Non-U.S. Gov&amp;apos;t&lt;/_type_work&gt;&lt;_url&gt;http://www.ncbi.nlm.nih.gov/entrez/query.fcgi?cmd=Retrieve&amp;amp;db=pubmed&amp;amp;dopt=Abstract&amp;amp;list_uids=26401929&amp;amp;query_hl=1&lt;/_url&gt;&lt;_volume&gt;48&lt;/_volume&gt;&lt;/Details&gt;&lt;Extra&gt;&lt;DBUID&gt;{F96A950B-833F-4880-A151-76DA2D6A2879}&lt;/DBUID&gt;&lt;/Extra&gt;&lt;/Item&gt;&lt;/References&gt;&lt;/Group&gt;&lt;/Citation&gt;_x000a_"/>
    <w:docVar w:name="NE.Ref{868C9059-6968-45AF-919C-3002B58C61D3}" w:val="NE.Data.1{868C9059-6968-45AF-919C-3002B58C61D3}=NE.Data.2{868C9059-6968-45AF-919C-3002B58C61D3}"/>
    <w:docVar w:name="NE.Ref{8A38E3D8-4336-4F2C-AA95-FFED5126E4E3}" w:val=" ADDIN NE.Ref.{8A38E3D8-4336-4F2C-AA95-FFED5126E4E3}&lt;Citation&gt;&lt;Group&gt;&lt;References&gt;&lt;Item&gt;&lt;ID&gt;957&lt;/ID&gt;&lt;UID&gt;{1ED480C7-BBA1-456B-BC60-6F77B062FDA5}&lt;/UID&gt;&lt;Title&gt;Microglial pattern recognition via IL-33 promotes synaptic refinement in  developing corticothalamic circuits in mice&lt;/Title&gt;&lt;Template&gt;Journal Article&lt;/Template&gt;&lt;Star&gt;0&lt;/Star&gt;&lt;Tag&gt;0&lt;/Tag&gt;&lt;Author&gt;Han, R T; Vainchtein, I D; Schlachetzki, JCM; Cho, F S; Dorman, L C; Ahn, E; Kim, D K; Barron, J J; Nakao-Inoue, H; Molofsky, A B; Glass, C K; Paz, J T; Molofsky, A V&lt;/Author&gt;&lt;Year&gt;2023&lt;/Year&gt;&lt;Details&gt;&lt;_accessed&gt;64867576&lt;/_accessed&gt;&lt;_accession_num&gt;36520518&lt;/_accession_num&gt;&lt;_author_adr&gt;Departments of Psychiatry and Behavioral Sciences/Weill Institute for  Neurosciences, University of California, San Francisco, San Francisco, CA, USA.; Departments of Psychiatry and Behavioral Sciences/Weill Institute for  Neurosciences, University of California, San Francisco, San Francisco, CA, USA.; Department of Cellular and Molecular Medicine, University of California, San  Diego, La Jolla, CA, USA.; Neuroscience Graduate Program, University of California, San Francisco, San  Francisco, CA, USA.; Department of Neurology, University of California, San Francisco, San Francisco,  CA, USA.; Gladstone Institute of Neurological Disease, San Francisco, CA, USA.; Departments of Psychiatry and Behavioral Sciences/Weill Institute for  Neurosciences, University of California, San Francisco, San Francisco, CA, USA.; Neuroscience Graduate Program, University of California, San Francisco, San  Francisco, CA, USA.; Departments of Psychiatry and Behavioral Sciences/Weill Institute for  Neurosciences, University of California, San Francisco, San Francisco, CA, USA.; Departments of Psychiatry and Behavioral Sciences/Weill Institute for  Neurosciences, University of California, San Francisco, San Francisco, CA, USA.; Departments of Psychiatry and Behavioral Sciences/Weill Institute for  Neurosciences, University of California, San Francisco, San Francisco, CA, USA.; Departments of Psychiatry and Behavioral Sciences/Weill Institute for  Neurosciences, University of California, San Francisco, San Francisco, CA, USA.; Department of Laboratory Medicine, University of California, San Francisco, San  Francisco, CA, USA.; Department of Cellular and Molecular Medicine, University of California, San  Diego, La Jolla, CA, USA.; Department of Medicine, University of California, San Diego, La Jolla, CA, USA.; Neuroscience Graduate Program, University of California, San Francisco, San  Francisco, CA, USA.; Department of Neurology, University of California, San Francisco, San Francisco,  CA, USA.; Kavli Institute for Fundamental Neuroscience, University of California, San  Francisco, San Francisco, CA, USA.; Gladstone Institute of Neurological Disease, San Francisco, CA, USA.; Departments of Psychiatry and Behavioral Sciences/Weill Institute for  Neurosciences, University of California, San Francisco, San Francisco, CA, USA.; Neuroscience Graduate Program, University of California, San Francisco, San  Francisco, CA, USA.; Kavli Institute for Fundamental Neuroscience, University of California, San  Francisco, San Francisco, CA, USA.&lt;/_author_adr&gt;&lt;_collection_scope&gt;SCIE&lt;/_collection_scope&gt;&lt;_created&gt;64867576&lt;/_created&gt;&lt;_date&gt;2023-02-06&lt;/_date&gt;&lt;_date_display&gt;2023 Feb 6&lt;/_date_display&gt;&lt;_db_updated&gt;PubMed&lt;/_db_updated&gt;&lt;_doi&gt;10.1084/jem.20220605&lt;/_doi&gt;&lt;_impact_factor&gt;  17.579&lt;/_impact_factor&gt;&lt;_isbn&gt;1540-9538 (Electronic); 0022-1007 (Print); 0022-1007 (Linking)&lt;/_isbn&gt;&lt;_issue&gt;2&lt;/_issue&gt;&lt;_journal&gt;J Exp Med&lt;/_journal&gt;&lt;_language&gt;eng&lt;/_language&gt;&lt;_modified&gt;64867576&lt;/_modified&gt;&lt;_ori_publication&gt;(c) 2022 Han et al.&lt;/_ori_publication&gt;&lt;_social_category&gt;医学(1)&lt;/_social_category&gt;&lt;_subject_headings&gt;Animals; Mice; *Microglia/metabolism; *Interleukin-33/metabolism; Synapses/metabolism; Brain/metabolism; Seizures/metabolism; Mice, Inbred C57BL&lt;/_subject_headings&gt;&lt;_tertiary_title&gt;The Journal of experimental medicine&lt;/_tertiary_title&gt;&lt;_type_work&gt;Journal Article; Research Support, N.I.H., Extramural; Research Support, Non-U.S. Gov&amp;apos;t; Research Support, U.S. Gov&amp;apos;t, Non-P.H.S.&lt;/_type_work&gt;&lt;_url&gt;http://www.ncbi.nlm.nih.gov/entrez/query.fcgi?cmd=Retrieve&amp;amp;db=pubmed&amp;amp;dopt=Abstract&amp;amp;list_uids=36520518&amp;amp;query_hl=1&lt;/_url&gt;&lt;_volume&gt;220&lt;/_volume&gt;&lt;/Details&gt;&lt;Extra&gt;&lt;DBUID&gt;{F96A950B-833F-4880-A151-76DA2D6A2879}&lt;/DBUID&gt;&lt;/Extra&gt;&lt;/Item&gt;&lt;/References&gt;&lt;/Group&gt;&lt;Group&gt;&lt;References&gt;&lt;Item&gt;&lt;ID&gt;958&lt;/ID&gt;&lt;UID&gt;{B60FA057-02FF-4ACD-9AAF-A9A11E14E7DD}&lt;/UID&gt;&lt;Title&gt;Platelet LGALS3BP as a Mediator of Myeloid Inflammation in Systemic Lupus  Erythematosus&lt;/Title&gt;&lt;Template&gt;Journal Article&lt;/Template&gt;&lt;Star&gt;0&lt;/Star&gt;&lt;Tag&gt;0&lt;/Tag&gt;&lt;Author&gt;El, Bannoudi H; Cornwell, M; Luttrell-Williams, E; Engel, A; Rolling, C; Barrett, T J; Izmirly, P; Belmont, H M; Ruggles, K; Clancy, R; Buyon, J; Berger, J S&lt;/Author&gt;&lt;Year&gt;2022&lt;/Year&gt;&lt;Details&gt;&lt;_accessed&gt;64867577&lt;/_accessed&gt;&lt;_accession_num&gt;36245285&lt;/_accession_num&gt;&lt;_author_adr&gt;Department of Medicine, New York University Grossman School of Medicine, New  York.; Department of Medicine and Institute for Systems Genetics, New York University  Grossman School of Medicine, New York.; Department of Medicine, New York University Grossman School of Medicine, New  York.; Department of Medicine, New York University Grossman School of Medicine, New  York.; Department of Medicine, New York University Grossman School of Medicine, New  York, and Medizinische Klinik, Universitaetsklinikum Hamburg-Eppendorf.; Department of Medicine, New York University Grossman School of Medicine, New  York.; Department of Medicine, New York University Grossman School of Medicine, New  York.; Department of Medicine, New York University Grossman School of Medicine, New  York.; Department of Medicine and Institute for Systems Genetics, New York University  Grossman School of Medicine, New York.; Department of Medicine, New York University Grossman School of Medicine, New  York.; Department of Medicine, New York University Grossman School of Medicine, New  York.; Department of Medicine, New York University Grossman School of Medicine, New  York.&lt;/_author_adr&gt;&lt;_collection_scope&gt;SCIE&lt;/_collection_scope&gt;&lt;_created&gt;64867576&lt;/_created&gt;&lt;_date&gt;2022-10-17&lt;/_date&gt;&lt;_date_display&gt;2022 Oct 17&lt;/_date_display&gt;&lt;_db_updated&gt;PubMed&lt;/_db_updated&gt;&lt;_doi&gt;10.1002/art.42382&lt;/_doi&gt;&lt;_impact_factor&gt;  15.483&lt;/_impact_factor&gt;&lt;_isbn&gt;2326-5205 (Electronic); 2326-5191 (Linking)&lt;/_isbn&gt;&lt;_journal&gt;Arthritis Rheumatol&lt;/_journal&gt;&lt;_language&gt;eng&lt;/_language&gt;&lt;_modified&gt;64867577&lt;/_modified&gt;&lt;_ori_publication&gt;(c) 2022 American College of Rheumatology.&lt;/_ori_publication&gt;&lt;_social_category&gt;医学(1)&lt;/_social_category&gt;&lt;_tertiary_title&gt;Arthritis &amp;amp; rheumatology (Hoboken, N.J.)&lt;/_tertiary_title&gt;&lt;_type_work&gt;Journal Article&lt;/_type_work&gt;&lt;_url&gt;http://www.ncbi.nlm.nih.gov/entrez/query.fcgi?cmd=Retrieve&amp;amp;db=pubmed&amp;amp;dopt=Abstract&amp;amp;list_uids=36245285&amp;amp;query_hl=1&lt;/_url&gt;&lt;/Details&gt;&lt;Extra&gt;&lt;DBUID&gt;{F96A950B-833F-4880-A151-76DA2D6A2879}&lt;/DBUID&gt;&lt;/Extra&gt;&lt;/Item&gt;&lt;/References&gt;&lt;/Group&gt;&lt;/Citation&gt;_x000a_"/>
    <w:docVar w:name="NE.Ref{8C8A4890-0BF1-4B6B-92AF-5CC1785A940A}" w:val=" ADDIN NE.Ref.{8C8A4890-0BF1-4B6B-92AF-5CC1785A940A}&lt;Citation&gt;&lt;Group&gt;&lt;References&gt;&lt;Item&gt;&lt;ID&gt;1056&lt;/ID&gt;&lt;UID&gt;{556BB7BF-360F-4CB5-9BE9-2B12FC807A06}&lt;/UID&gt;&lt;Title&gt;Rescue of Alzheimer&amp;apos;s disease phenotype in a mouse model by transplantation of  wild-type hematopoietic stem and progenitor cells&lt;/Title&gt;&lt;Template&gt;Journal Article&lt;/Template&gt;&lt;Star&gt;0&lt;/Star&gt;&lt;Tag&gt;0&lt;/Tag&gt;&lt;Author&gt;Mishra, P; Silva, A; Sharma, J; Nguyen, J; Pizzo, D P; Hinz, D; Sahoo, D; Cherqui, S&lt;/Author&gt;&lt;Year&gt;2023&lt;/Year&gt;&lt;Details&gt;&lt;_accessed&gt;65613354&lt;/_accessed&gt;&lt;_accession_num&gt;37561625&lt;/_accession_num&gt;&lt;_author_adr&gt;Department of Pediatrics, University of California, San Diego, La Jolla, CA, USA.; Department of Pediatrics, University of California, San Diego, La Jolla, CA, USA.; Department of Pediatrics, University of California, San Diego, La Jolla, CA, USA.; Department of Pediatrics, University of California, San Diego, La Jolla, CA, USA.; Department of Pathology, University of California, San Diego, La Jolla, CA, USA.; Flow Cytometry Core Facility, La Jolla Institute for Immunology, La Jolla, CA,  USA.; Department of Pediatrics, University of California, San Diego, La Jolla, CA, USA;  Department of Computer Science and Engineering, University of California, La  Jolla, La Jolla, CA, USA; Moores Comprehensive Cancer Center, University of  California, La Jolla, La Jolla, CA, USA.; Department of Pediatrics, University of California, San Diego, La Jolla, CA, USA.  Electronic address: scherqui@ucsd.edu.&lt;/_author_adr&gt;&lt;_collection_scope&gt;SCIE&lt;/_collection_scope&gt;&lt;_created&gt;65613202&lt;/_created&gt;&lt;_date&gt;2023-08-29&lt;/_date&gt;&lt;_date_display&gt;2023 Aug 29&lt;/_date_display&gt;&lt;_db_updated&gt;PubMed&lt;/_db_updated&gt;&lt;_doi&gt;10.1016/j.celrep.2023.112956&lt;/_doi&gt;&lt;_impact_factor&gt;   8.800&lt;/_impact_factor&gt;&lt;_isbn&gt;2211-1247 (Electronic)&lt;/_isbn&gt;&lt;_issue&gt;8&lt;/_issue&gt;&lt;_journal&gt;Cell Rep&lt;/_journal&gt;&lt;_keywords&gt;Alzheimer&amp;apos;s disease; CP: Neuroscience; CP: Stem cell research; hematopoietic stem and and progenitor cells; microgliosis; neuroinflammation&lt;/_keywords&gt;&lt;_language&gt;eng&lt;/_language&gt;&lt;_modified&gt;65613354&lt;/_modified&gt;&lt;_ori_publication&gt;Copyright (c) 2023 The Author(s). Published by Elsevier Inc. All rights reserved.&lt;/_ori_publication&gt;&lt;_pages&gt;112956&lt;/_pages&gt;&lt;_social_category&gt;细胞生物学(2)&lt;/_social_category&gt;&lt;_subject_headings&gt;Mice; Animals; *Alzheimer Disease/metabolism; Endothelial Cells/metabolism; Mice, Transgenic; Amyloid beta-Peptides/metabolism; Microglia/metabolism; Phenotype; *Hematopoietic Stem Cell Transplantation; Disease Models, Animal&lt;/_subject_headings&gt;&lt;_tertiary_title&gt;Cell reports&lt;/_tertiary_title&gt;&lt;_type_work&gt;Journal Article; Research Support, N.I.H., Extramural; Research Support, Non-U.S. Gov&amp;apos;t&lt;/_type_work&gt;&lt;_url&gt;http://www.ncbi.nlm.nih.gov/entrez/query.fcgi?cmd=Retrieve&amp;amp;db=pubmed&amp;amp;dopt=Abstract&amp;amp;list_uids=37561625&amp;amp;query_hl=1&lt;/_url&gt;&lt;_volume&gt;42&lt;/_volume&gt;&lt;/Details&gt;&lt;Extra&gt;&lt;DBUID&gt;{F96A950B-833F-4880-A151-76DA2D6A2879}&lt;/DBUID&gt;&lt;/Extra&gt;&lt;/Item&gt;&lt;/References&gt;&lt;/Group&gt;&lt;Group&gt;&lt;References&gt;&lt;Item&gt;&lt;ID&gt;1057&lt;/ID&gt;&lt;UID&gt;{06578E19-4D32-46B5-98A3-3D3EC82E5C99}&lt;/UID&gt;&lt;Title&gt;A cell therapy approach to restore microglial Trem2 function in a mouse model of  Alzheimer&amp;apos;s disease&lt;/Title&gt;&lt;Template&gt;Journal Article&lt;/Template&gt;&lt;Star&gt;0&lt;/Star&gt;&lt;Tag&gt;0&lt;/Tag&gt;&lt;Author&gt;Yoo, Y; Neumayer, G; Shibuya, Y; Mader, M M; Wernig, M&lt;/Author&gt;&lt;Year&gt;2023&lt;/Year&gt;&lt;Details&gt;&lt;_accessed&gt;65613355&lt;/_accessed&gt;&lt;_accession_num&gt;37802040&lt;/_accession_num&gt;&lt;_collection_scope&gt;SCIE&lt;/_collection_scope&gt;&lt;_created&gt;65613202&lt;/_created&gt;&lt;_date&gt;2023-10-05&lt;/_date&gt;&lt;_date_display&gt;2023 Oct 5&lt;/_date_display&gt;&lt;_db_updated&gt;PubMed&lt;/_db_updated&gt;&lt;_doi&gt;10.1016/j.stem.2023.08.011&lt;/_doi&gt;&lt;_impact_factor&gt;  23.900&lt;/_impact_factor&gt;&lt;_isbn&gt;1875-9777 (Electronic); 1875-9777 (Linking)&lt;/_isbn&gt;&lt;_issue&gt;10&lt;/_issue&gt;&lt;_journal&gt;Cell Stem Cell&lt;/_journal&gt;&lt;_language&gt;eng&lt;/_language&gt;&lt;_modified&gt;65613355&lt;/_modified&gt;&lt;_pages&gt;1392&lt;/_pages&gt;&lt;_social_category&gt;细胞与组织工程(1) &amp;amp; 细胞生物学(1)&lt;/_social_category&gt;&lt;_tertiary_title&gt;Cell stem cell&lt;/_tertiary_title&gt;&lt;_type_work&gt;Published Erratum&lt;/_type_work&gt;&lt;_url&gt;http://www.ncbi.nlm.nih.gov/entrez/query.fcgi?cmd=Retrieve&amp;amp;db=pubmed&amp;amp;dopt=Abstract&amp;amp;list_uids=37802040&amp;amp;query_hl=1&lt;/_url&gt;&lt;_volume&gt;30&lt;/_volume&gt;&lt;/Details&gt;&lt;Extra&gt;&lt;DBUID&gt;{F96A950B-833F-4880-A151-76DA2D6A2879}&lt;/DBUID&gt;&lt;/Extra&gt;&lt;/Item&gt;&lt;/References&gt;&lt;/Group&gt;&lt;Group&gt;&lt;References&gt;&lt;Item&gt;&lt;ID&gt;1058&lt;/ID&gt;&lt;UID&gt;{F5527CA6-0970-4E40-84B0-70133F73BE84}&lt;/UID&gt;&lt;Title&gt;Rejuvenation of peripheral immune cells attenuates Alzheimer’s disease-like pathologies and behavioral deficits in a mouse model&lt;/Title&gt;&lt;Template&gt;Journal Article&lt;/Template&gt;&lt;Star&gt;0&lt;/Star&gt;&lt;Tag&gt;0&lt;/Tag&gt;&lt;Author&gt;Sun, Pu-Yang; Liu, Jie; Hu, Jian-Ni; Tu, Yun-Feng; Jiang, Qiu; Jia, Yu-Juan; Sun, Hao-Lun; Chen, Si-Han; Xin, Jia-Yan; Yu, Zhong-Yuan; Liu, Zhi-Hao; Tan, Cheng-Rong; Zeng, Gui-Hua; Shi, An-Yu; Liu, Yu-Hui; Bu, Xian-Le; Wang, Yan-Jiang; Wang, Jun&lt;/Author&gt;&lt;Year&gt;2024&lt;/Year&gt;&lt;Details&gt;&lt;_accessed&gt;65634704&lt;/_accessed&gt;&lt;_accession_num&gt;38809977&lt;/_accession_num&gt;&lt;_author_adr&gt;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Shigatse Branch, Xinqiao Hospital, Third Military Medical University, Shigatse,  China.; Department of Neurology, Daping Hospital, Third Military Medical University,  Chongqing, China.; Chongqing Key Laboratory of Aging and Brain Diseases, Chongqing, China.; Department of Neurology, Nanchong Central Hospital, The Second Clinical Medical  School, North Sichuan Medical College, Nancho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Institute of Brain and Intelligence, Third Military Medical University,  Chongqing, China.; Department of Neurology, Daping Hospital, Third Military Medical University,  Chongqing, China.; Chongqing Key Laboratory of Aging and Brain Diseases, Chongqing, China.; Institute of Brain and Intelligence, Third Military Medical University,  Chongqing, China.; Department of Neurology, Daping Hospital, Third Military Medical University,  Chongqing, China.; Chongqing Key Laboratory of Aging and Brain Diseases, Chongqing, China.; Institute of Brain and Intelligence, Third Military Medical University,  Chongqing, China.; Chongqing Institute for Brain and Intelligence, Guangyang Bay Laboratory,  Chongqing, China.; Center for Excellence in Brain Science and Intelligence Technology, Chinese  Academy of Sciences, Shanghai, China.; Department of Neurology, Daping Hospital, Third Military Medical University,  Chongqing, China.; Chongqing Key Laboratory of Aging and Brain Diseases, Chongqing, China.&lt;/_author_adr&gt;&lt;_collection_scope&gt;SCIE;EI&lt;/_collection_scope&gt;&lt;_created&gt;65613202&lt;/_created&gt;&lt;_date&gt;65435040&lt;/_date&gt;&lt;_date_display&gt;2024 May 31&lt;/_date_display&gt;&lt;_db_updated&gt;CrossRef&lt;/_db_updated&gt;&lt;_doi&gt;10.1126/sciadv.adl1123&lt;/_doi&gt;&lt;_impact_factor&gt;  13.600&lt;/_impact_factor&gt;&lt;_isbn&gt;2375-2548&lt;/_isbn&gt;&lt;_issue&gt;22&lt;/_issue&gt;&lt;_journal&gt;Science Advances&lt;/_journal&gt;&lt;_language&gt;eng&lt;/_language&gt;&lt;_modified&gt;65634703&lt;/_modified&gt;&lt;_pages&gt;eadl1123&lt;/_pages&gt;&lt;_social_category&gt;综合性期刊(1)&lt;/_social_category&gt;&lt;_subject_headings&gt;Animals; *Alzheimer Disease/therapy/metabolism/immunology; *Disease Models, Animal; Mice; *Rejuvenation; Mice, Transgenic; Bone Marrow Transplantation; Behavior, Animal; Amyloid beta-Peptides/metabolism; Monocytes/immunology/metabolism; Plaque, Amyloid/pathology/metabolism; Aging/immunology; Humans&lt;/_subject_headings&gt;&lt;_tertiary_title&gt;Sci. Adv.&lt;/_tertiary_title&gt;&lt;_type_work&gt;Journal Article&lt;/_type_work&gt;&lt;_url&gt;https://www.science.org/doi/10.1126/sciadv.adl1123_x000d__x000a_https://www.science.org/doi/pdf/10.1126/sciadv.adl1123&lt;/_url&gt;&lt;_volume&gt;10&lt;/_volume&gt;&lt;/Details&gt;&lt;Extra&gt;&lt;DBUID&gt;{F96A950B-833F-4880-A151-76DA2D6A2879}&lt;/DBUID&gt;&lt;/Extra&gt;&lt;/Item&gt;&lt;/References&gt;&lt;/Group&gt;&lt;/Citation&gt;_x000a_"/>
    <w:docVar w:name="NE.Ref{8C9645D1-7D18-42F6-AE87-4BDF01006F84}" w:val=" ADDIN NE.Ref.{8C9645D1-7D18-42F6-AE87-4BDF01006F84}&lt;Citation&gt;&lt;Group&gt;&lt;References&gt;&lt;Item&gt;&lt;ID&gt;1008&lt;/ID&gt;&lt;UID&gt;{FF1ACDAF-DF45-46B1-A21A-719986EB7876}&lt;/UID&gt;&lt;Title&gt;CXCR6 orchestrates brain CD8(+) T cell residency and limits mouse Alzheimer&amp;apos;s  disease pathology&lt;/Title&gt;&lt;Template&gt;Journal Article&lt;/Template&gt;&lt;Star&gt;0&lt;/Star&gt;&lt;Tag&gt;0&lt;/Tag&gt;&lt;Author&gt;Su, W; Saravia, J; Risch, I; Rankin, S; Guy, C; Chapman, N M; Shi, H; Sun, Y; Kc, A; Li, W; Huang, H; Lim, S A; Hu, H; Wang, Y; Liu, D; Jiao, Y; Chen, P C; Soliman, H; Yan, K K; Zhang, J; Vogel, P; Liu, X; Serrano, G E; Beach, T G; Yu, J; Peng, J; Chi, H&lt;/Author&gt;&lt;Year&gt;2023&lt;/Year&gt;&lt;Details&gt;&lt;_accessed&gt;65146833&lt;/_accessed&gt;&lt;_accession_num&gt;37679549&lt;/_accession_num&gt;&lt;_author_adr&gt;Department of Immunology, St. Jude Children&amp;apos;s Research Hospital, Memphis, TN,  USA.; Department of Immunology, St. Jude Children&amp;apos;s Research Hospital, Memphis, TN,  USA.; Department of Immunology, St. Jude Children&amp;apos;s Research Hospital, Memphis, TN,  USA.; Department of Immunology, St. Jude Children&amp;apos;s Research Hospital, Memphis, TN,  USA.; Department of Immunology, St. Jude Children&amp;apos;s Research Hospital, Memphis, TN,  USA.; Department of Immunology, St. Jude Children&amp;apos;s Research Hospital, Memphis, TN,  USA.; Department of Immunology, St. Jude Children&amp;apos;s Research Hospital, Memphis, TN,  USA.; Department of Immunology, St. Jude Children&amp;apos;s Research Hospital, Memphis, TN,  USA.; Department of Immunology, St. Jude Children&amp;apos;s Research Hospital, Memphis, TN,  USA.; Department of Immunology, St. Jude Children&amp;apos;s Research Hospital, Memphis, TN,  USA.; Department of Immunology, St. Jude Children&amp;apos;s Research Hospital, Memphis, TN,  USA.; Department of Immunology, St. Jude Children&amp;apos;s Research Hospital, Memphis, TN,  USA.; Department of Immunology, St. Jude Children&amp;apos;s Research Hospital, Memphis, TN,  USA.; Department of Immunology, St. Jude Children&amp;apos;s Research Hospital, Memphis, TN,  USA.; Department of Structural Biology, St. Jude Children&amp;apos;s Research Hospital, Memphis,  TN, USA.; Department of Developmental Neurobiology, St. Jude Children&amp;apos;s Research Hospital,  Memphis, TN, USA.; Department of Structural Biology, St. Jude Children&amp;apos;s Research Hospital, Memphis,  TN, USA.; Department of Developmental Neurobiology, St. Jude Children&amp;apos;s Research Hospital,  Memphis, TN, USA.; Department of Structural Biology, St. Jude Children&amp;apos;s Research Hospital, Memphis,  TN, USA.; Department of Developmental Neurobiology, St. Jude Children&amp;apos;s Research Hospital,  Memphis, TN, USA.; Department of Structural Biology, St. Jude Children&amp;apos;s Research Hospital, Memphis,  TN, USA.; Department of Developmental Neurobiology, St. Jude Children&amp;apos;s Research Hospital,  Memphis, TN, USA.; Department of Computational Biology, St. Jude Children&amp;apos;s Research Hospital,  Memphis, TN, USA.; Department of Computational Biology, St. Jude Children&amp;apos;s Research Hospital,  Memphis, TN, USA.; Department of Pathology, St. Jude Children&amp;apos;s Research Hospital, Memphis, TN, USA.; Department of Mathematics, University of New Orleans, New Orleans, LA, USA.; Banner Sun Health Research Institute, Sun City, AZ, USA.; Banner Sun Health Research Institute, Sun City, AZ, USA.; Department of Computational Biology, St. Jude Children&amp;apos;s Research Hospital,  Memphis, TN, USA.; Department of Structural Biology, St. Jude Children&amp;apos;s Research Hospital, Memphis,  TN, USA.; Department of Developmental Neurobiology, St. Jude Children&amp;apos;s Research Hospital,  Memphis, TN, USA.; Center for Proteomics and Metabolomics, St. Jude Children&amp;apos;s Research Hospital,  Memphis, TN, USA.; Department of Immunology, St. Jude Children&amp;apos;s Research Hospital, Memphis, TN,  USA. hongbo.chi@stjude.org.&lt;/_author_adr&gt;&lt;_collection_scope&gt;SCIE&lt;/_collection_scope&gt;&lt;_created&gt;65146832&lt;/_created&gt;&lt;_date&gt;2023-10-01&lt;/_date&gt;&lt;_date_display&gt;2023 Oct&lt;/_date_display&gt;&lt;_db_updated&gt;PubMed&lt;/_db_updated&gt;&lt;_doi&gt;10.1038/s41590-023-01604-z&lt;/_doi&gt;&lt;_impact_factor&gt;  30.500&lt;/_impact_factor&gt;&lt;_isbn&gt;1529-2916 (Electronic); 1529-2908 (Linking)&lt;/_isbn&gt;&lt;_issue&gt;10&lt;/_issue&gt;&lt;_journal&gt;Nat Immunol&lt;/_journal&gt;&lt;_language&gt;eng&lt;/_language&gt;&lt;_modified&gt;65146833&lt;/_modified&gt;&lt;_ori_publication&gt;(c) 2023. The Author(s), under exclusive licence to Springer Nature America, Inc.&lt;/_ori_publication&gt;&lt;_pages&gt;1735-1747&lt;/_pages&gt;&lt;_social_category&gt;医学(1)&lt;/_social_category&gt;&lt;_tertiary_title&gt;Nature immunology&lt;/_tertiary_title&gt;&lt;_type_work&gt;Journal Article&lt;/_type_work&gt;&lt;_url&gt;http://www.ncbi.nlm.nih.gov/entrez/query.fcgi?cmd=Retrieve&amp;amp;db=pubmed&amp;amp;dopt=Abstract&amp;amp;list_uids=37679549&amp;amp;query_hl=1&lt;/_url&gt;&lt;_volume&gt;24&lt;/_volume&gt;&lt;/Details&gt;&lt;Extra&gt;&lt;DBUID&gt;{F96A950B-833F-4880-A151-76DA2D6A2879}&lt;/DBUID&gt;&lt;/Extra&gt;&lt;/Item&gt;&lt;/References&gt;&lt;/Group&gt;&lt;/Citation&gt;_x000a_"/>
    <w:docVar w:name="NE.Ref{9407AAD6-C058-43A4-A57C-66582D93F017}" w:val=" ADDIN NE.Ref.{9407AAD6-C058-43A4-A57C-66582D93F017}&lt;Citation&gt;&lt;Group&gt;&lt;References&gt;&lt;Item&gt;&lt;ID&gt;959&lt;/ID&gt;&lt;UID&gt;{29C24D5F-0B91-468D-AFB2-0B5C995F9124}&lt;/UID&gt;&lt;Title&gt;NR4A nuclear receptors in T and B lymphocytes: Gatekeepers of immune tolerance()&lt;/Title&gt;&lt;Template&gt;Journal Article&lt;/Template&gt;&lt;Star&gt;0&lt;/Star&gt;&lt;Tag&gt;0&lt;/Tag&gt;&lt;Author&gt;Hiwa, R; Brooks, J F; Mueller, J L; Nielsen, H V; Zikherman, J&lt;/Author&gt;&lt;Year&gt;2022&lt;/Year&gt;&lt;Details&gt;&lt;_accessed&gt;64867578&lt;/_accessed&gt;&lt;_accession_num&gt;35174510&lt;/_accession_num&gt;&lt;_author_adr&gt;Division of Rheumatology, Department of Medicine, Rosalind Russell and Ephraim P.  Engelman Arthritis Research Center, University of California, San Francisco,  California, USA.; Department of Rheumatology and Clinical Immunology, Kyoto University Hospital,  Kyoto, Japan.; Division of Rheumatology, Department of Medicine, Rosalind Russell and Ephraim P.  Engelman Arthritis Research Center, University of California, San Francisco,  California, USA.; Division of Rheumatology, Department of Medicine, Rosalind Russell and Ephraim P.  Engelman Arthritis Research Center, University of California, San Francisco,  California, USA.; Division of Rheumatology, Department of Medicine, Rosalind Russell and Ephraim P.  Engelman Arthritis Research Center, University of California, San Francisco,  California, USA.; Division of Rheumatology, Department of Medicine, Rosalind Russell and Ephraim P.  Engelman Arthritis Research Center, University of California, San Francisco,  California, USA.&lt;/_author_adr&gt;&lt;_collection_scope&gt;SCIE&lt;/_collection_scope&gt;&lt;_created&gt;64867577&lt;/_created&gt;&lt;_date&gt;2022-05-01&lt;/_date&gt;&lt;_date_display&gt;2022 May&lt;/_date_display&gt;&lt;_db_updated&gt;PubMed&lt;/_db_updated&gt;&lt;_doi&gt;10.1111/imr.13072&lt;/_doi&gt;&lt;_impact_factor&gt;  10.983&lt;/_impact_factor&gt;&lt;_isbn&gt;1600-065X (Electronic); 0105-2896 (Linking)&lt;/_isbn&gt;&lt;_issue&gt;1&lt;/_issue&gt;&lt;_journal&gt;Immunol Rev&lt;/_journal&gt;&lt;_keywords&gt;Nr4a1; Nr4a3; B cell tolerance; NOR1; NUR77; T cell tolerance; anergy; clonal diversity; immunodominance; negative selection; self-reactivity&lt;/_keywords&gt;&lt;_language&gt;eng&lt;/_language&gt;&lt;_modified&gt;64867578&lt;/_modified&gt;&lt;_ori_publication&gt;(c) 2022 John Wiley &amp;amp; Sons A/S. Published by John Wiley &amp;amp; Sons Ltd.&lt;/_ori_publication&gt;&lt;_pages&gt;116-133&lt;/_pages&gt;&lt;_social_category&gt;医学(1)&lt;/_social_category&gt;&lt;_subject_headings&gt;B-Lymphocytes; Humans; *Immune Tolerance; *Nuclear Receptor Subfamily 4, Group A, Member 1/genetics; Self Tolerance; T-Lymphocytes, Regulatory&lt;/_subject_headings&gt;&lt;_tertiary_title&gt;Immunological reviews&lt;/_tertiary_title&gt;&lt;_type_work&gt;Journal Article; Research Support, N.I.H., Extramural; Research Support, Non-U.S. Gov&amp;apos;t; Review&lt;/_type_work&gt;&lt;_url&gt;http://www.ncbi.nlm.nih.gov/entrez/query.fcgi?cmd=Retrieve&amp;amp;db=pubmed&amp;amp;dopt=Abstract&amp;amp;list_uids=35174510&amp;amp;query_hl=1&lt;/_url&gt;&lt;_volume&gt;307&lt;/_volume&gt;&lt;/Details&gt;&lt;Extra&gt;&lt;DBUID&gt;{F96A950B-833F-4880-A151-76DA2D6A2879}&lt;/DBUID&gt;&lt;/Extra&gt;&lt;/Item&gt;&lt;/References&gt;&lt;/Group&gt;&lt;/Citation&gt;_x000a_"/>
    <w:docVar w:name="NE.Ref{94175BA0-AFDF-4F7C-82ED-04DA47041F1D}" w:val=" ADDIN NE.Ref.{94175BA0-AFDF-4F7C-82ED-04DA47041F1D}&lt;Citation&gt;&lt;Group&gt;&lt;References&gt;&lt;Item&gt;&lt;ID&gt;949&lt;/ID&gt;&lt;UID&gt;{B58A9F82-CE1D-46A5-944B-CCA2E20710DB}&lt;/UID&gt;&lt;Title&gt;Focal-type, but not Diffuse-type, Amyloid Beta Plaques are Correlated with  Alzheimer&amp;apos;s Neuropathology, Cognitive Dysfunction, and Neuroinflammation in the  Human Hippocampus&lt;/Title&gt;&lt;Template&gt;Journal Article&lt;/Template&gt;&lt;Star&gt;0&lt;/Star&gt;&lt;Tag&gt;0&lt;/Tag&gt;&lt;Author&gt;Liu, F; Sun, J; Wang, X; Jin, S; Sun, F; Wang, T; Yuan, B; Qiu, W; Ma, C&lt;/Author&gt;&lt;Year&gt;2022&lt;/Year&gt;&lt;Details&gt;&lt;_accessed&gt;64867569&lt;/_accessed&gt;&lt;_accession_num&gt;36028642&lt;/_accession_num&gt;&lt;_author_adr&gt;National Human Brain Bank for Development and Function, School of Basic Medicine  Peking Union Medical College, Institute of Basic Medical Sciences Chinese Academy  of Medical Sciences, Beijing, 100005, China.; Department of Human Anatomy, Histology and Embryology, Neuroscience Center,  School of Basic Medicine Peking Union Medical College, Institute of Basic Medical  Sciences Chinese Academy of Medical Sciences, Beijing, 100005, China.; Department of Human Anatomy, Histology and Embryology, Neuroscience Center,  School of Basic Medicine Peking Union Medical College, Institute of Basic Medical  Sciences Chinese Academy of Medical Sciences, Beijing, 100005, China.; National Human Brain Bank for Development and Function, School of Basic Medicine  Peking Union Medical College, Institute of Basic Medical Sciences Chinese Academy  of Medical Sciences, Beijing, 100005, China.; Department of Human Anatomy, Histology and Embryology, Neuroscience Center,  School of Basic Medicine Peking Union Medical College, Institute of Basic Medical  Sciences Chinese Academy of Medical Sciences, Beijing, 100005, China.; Department of Human Anatomy, Histology and Embryology, Neuroscience Center,  School of Basic Medicine Peking Union Medical College, Institute of Basic Medical  Sciences Chinese Academy of Medical Sciences, Beijing, 100005, China.; Department of Human Anatomy, Histology and Embryology, Neuroscience Center,  School of Basic Medicine Peking Union Medical College, Institute of Basic Medical  Sciences Chinese Academy of Medical Sciences, Beijing, 100005, China.; Department of Human Anatomy, Histology and Embryology, Neuroscience Center,  School of Basic Medicine Peking Union Medical College, Institute of Basic Medical  Sciences Chinese Academy of Medical Sciences, Beijing, 100005, China.; Department of Human Anatomy, Histology and Embryology, Neuroscience Center,  School of Basic Medicine Peking Union Medical College, Institute of Basic Medical  Sciences Chinese Academy of Medical Sciences, Beijing, 100005, China.; National Human Brain Bank for Development and Function, School of Basic Medicine  Peking Union Medical College, Institute of Basic Medical Sciences Chinese Academy  of Medical Sciences, Beijing, 100005, China.; Department of Human Anatomy, Histology and Embryology, Neuroscience Center,  School of Basic Medicine Peking Union Medical College, Institute of Basic Medical  Sciences Chinese Academy of Medical Sciences, Beijing, 100005, China.; National Human Brain Bank for Development and Function, School of Basic Medicine  Peking Union Medical College, Institute of Basic Medical Sciences Chinese Academy  of Medical Sciences, Beijing, 100005, China. machao@ibms.cams.cn.; Department of Human Anatomy, Histology and Embryology, Neuroscience Center,  School of Basic Medicine Peking Union Medical College, Institute of Basic Medical  Sciences Chinese Academy of Medical Sciences, Beijing, 100005, China.  machao@ibms.cams.cn.; Chinese Institute for Brain Research, Beijing, 102206, China.  machao@ibms.cams.cn.&lt;/_author_adr&gt;&lt;_collection_scope&gt;CSCD;SCIE&lt;/_collection_scope&gt;&lt;_created&gt;64867569&lt;/_created&gt;&lt;_date&gt;2022-10-01&lt;/_date&gt;&lt;_date_display&gt;2022 Oct&lt;/_date_display&gt;&lt;_db_updated&gt;PubMed&lt;/_db_updated&gt;&lt;_doi&gt;10.1007/s12264-022-00927-5&lt;/_doi&gt;&lt;_impact_factor&gt;   5.271&lt;/_impact_factor&gt;&lt;_isbn&gt;1995-8218 (Electronic); 1673-7067 (Print); 1995-8218 (Linking)&lt;/_isbn&gt;&lt;_issue&gt;10&lt;/_issue&gt;&lt;_journal&gt;Neurosci Bull&lt;/_journal&gt;&lt;_keywords&gt;ABC score; Alzheimer&amp;apos;s disease; Clinicopathological correlation; ECog score; Focal Abeta plaques; Human brain bank; Neuroinflammation&lt;/_keywords&gt;&lt;_language&gt;eng&lt;/_language&gt;&lt;_modified&gt;64867569&lt;/_modified&gt;&lt;_ori_publication&gt;(c) 2022. The Author(s).&lt;/_ori_publication&gt;&lt;_pages&gt;1125-1138&lt;/_pages&gt;&lt;_social_category&gt;医学(2)&lt;/_social_category&gt;&lt;_subject_headings&gt;*Alzheimer Disease/pathology; Amyloid beta-Peptides/metabolism; Amyloid beta-Protein Precursor; Brain/pathology; *Cognitive Dysfunction/pathology; Hippocampus/metabolism; Humans; Neuroinflammatory Diseases; Plaque, Amyloid/pathology&lt;/_subject_headings&gt;&lt;_tertiary_title&gt;Neuroscience bulletin&lt;/_tertiary_title&gt;&lt;_type_work&gt;Journal Article&lt;/_type_work&gt;&lt;_url&gt;http://www.ncbi.nlm.nih.gov/entrez/query.fcgi?cmd=Retrieve&amp;amp;db=pubmed&amp;amp;dopt=Abstract&amp;amp;list_uids=36028642&amp;amp;query_hl=1&lt;/_url&gt;&lt;_volume&gt;38&lt;/_volume&gt;&lt;/Details&gt;&lt;Extra&gt;&lt;DBUID&gt;{F96A950B-833F-4880-A151-76DA2D6A2879}&lt;/DBUID&gt;&lt;/Extra&gt;&lt;/Item&gt;&lt;/References&gt;&lt;/Group&gt;&lt;/Citation&gt;_x000a_"/>
    <w:docVar w:name="NE.Ref{98AD95E4-FA53-475B-BA91-F6E62285C3E0}" w:val=" ADDIN NE.Ref.{98AD95E4-FA53-475B-BA91-F6E62285C3E0}&lt;Citation&gt;&lt;Group&gt;&lt;References&gt;&lt;Item&gt;&lt;ID&gt;970&lt;/ID&gt;&lt;UID&gt;{3951B596-00D2-488F-BAAD-AA9B67A5FF4A}&lt;/UID&gt;&lt;Title&gt;The bone marrow microenvironment at single-cell resolution&lt;/Title&gt;&lt;Template&gt;Journal Article&lt;/Template&gt;&lt;Star&gt;0&lt;/Star&gt;&lt;Tag&gt;0&lt;/Tag&gt;&lt;Author&gt;Tikhonova, A N; Dolgalev, I; Hu, H; Sivaraj, K K; Hoxha, E; Cuesta-Dominguez, A; Pinho, S; Akhmetzyanova, I; Gao, J; Witkowski, M; Guillamot, M; Gutkin, M C; Zhang, Y; Marier, C; Diefenbach, C; Kousteni, S; Heguy, A; Zhong, H; Fooksman, D R; Butler, J M; Economides, A; Frenette, P S; Adams, R H; Satija, R; Tsirigos, A; Aifantis, I&lt;/Author&gt;&lt;Year&gt;2019&lt;/Year&gt;&lt;Details&gt;&lt;_accessed&gt;64933867&lt;/_accessed&gt;&lt;_accession_num&gt;30971824&lt;/_accession_num&gt;&lt;_author_adr&gt;Department of Pathology, NYU School of Medicine, New York, NY, USA.  Anastasia.Tikhonova@nyumc.org.; Laura and Isaac Perlmutter Cancer Center, NYU School of Medicine, New York, NY,  USA. Anastasia.Tikhonova@nyumc.org.; Department of Pathology, NYU School of Medicine, New York, NY, USA.; Laura and Isaac Perlmutter Cancer Center, NYU School of Medicine, New York, NY,  USA.; Applied Bioinformatics Laboratories, NYU School of Medicine, New York, NY, USA.; Department of Pathology, NYU School of Medicine, New York, NY, USA.; Laura and Isaac Perlmutter Cancer Center, NYU School of Medicine, New York, NY,  USA.; Max Planck Institute for Molecular Biomedicine, Department of Tissue  Morphogenesis, and University of Munster, Faculty of Medicine, Munster, Germany.; Department of Pathology, NYU School of Medicine, New York, NY, USA.; Laura and Isaac Perlmutter Cancer Center, NYU School of Medicine, New York, NY,  USA.; Department of Physiology and Cellular Biophysics, College of Physicians and  Surgeons, Columbia University, New York, NY, USA.; Ruth L. and David S. Gottesman Institute for Stem Cell and Regenerative Medicine  Research, Albert Einstein College of Medicine, New York, NY, USA.; Department of Pathology, Albert Einstein College of Medicine, New York, NY, USA.; Regeneron Genetics Center, Tarrytown, NY, USA.; Department of Pathology, NYU School of Medicine, New York, NY, USA.; Laura and Isaac Perlmutter Cancer Center, NYU School of Medicine, New York, NY,  USA.; Department of Pathology, NYU School of Medicine, New York, NY, USA.; Laura and Isaac Perlmutter Cancer Center, NYU School of Medicine, New York, NY,  USA.; Center for Discovery and Innovation, Hackensack University Medical Center,  Nutley, NJ, USA.; Genome Technology Center, Division of Advanced Research Technologies, NYU School  of Medicine, New York, NY, USA.; Genome Technology Center, Division of Advanced Research Technologies, NYU School  of Medicine, New York, NY, USA.; Department of Pathology, NYU School of Medicine, New York, NY, USA.; Laura and Isaac Perlmutter Cancer Center, NYU School of Medicine, New York, NY,  USA.; Department of Physiology and Cellular Biophysics, College of Physicians and  Surgeons, Columbia University, New York, NY, USA.; Department of Pathology, NYU School of Medicine, New York, NY, USA.; Laura and Isaac Perlmutter Cancer Center, NYU School of Medicine, New York, NY,  USA.; Genome Technology Center, Division of Advanced Research Technologies, NYU School  of Medicine, New York, NY, USA.; Division of Biostatistics, Department of Population Health, NYU School of  Medicine, New York, NY, USA.; Department of Pathology, Albert Einstein College of Medicine, New York, NY, USA.; Center for Discovery and Innovation, Hackensack University Medical Center,  Nutley, NJ, USA.; Regeneron Genetics Center, Tarrytown, NY, USA.; Ruth L. and David S. Gottesman Institute for Stem Cell and Regenerative Medicine  Research, Albert Einstein College of Medicine, New York, NY, USA.; Max Planck Institute for Molecular Biomedicine, Department of Tissue  Morphogenesis, and University of Munster, Faculty of Medicine, Munster, Germany.; New York Genome Center, New York, NY, USA.; Department of Pathology, NYU School of Medicine, New York, NY, USA.  Aristotelis.Tsirigos@nyumc.org.; Laura and Isaac Perlmutter Cancer Center, NYU School of Medicine, New York, NY,  USA. Aristotelis.Tsirigos@nyumc.org.; Applied Bioinformatics Laboratories, NYU School of Medicine, New York, NY, USA.  Aristotelis.Tsirigos@nyumc.org.; Department of Pathology, NYU School of Medicine, New York, NY, USA.  Iannis.Aifantis@nyumc.org.; Laura and Isaac Perlmutter Cancer Center, NYU School of Medicine, New York, NY,  USA. Iannis.Aifantis@nyumc.org.&lt;/_author_adr&gt;&lt;_collection_scope&gt;SCIE&lt;/_collection_scope&gt;&lt;_created&gt;64867588&lt;/_created&gt;&lt;_date&gt;2019-05-01&lt;/_date&gt;&lt;_date_display&gt;2019 May&lt;/_date_display&gt;&lt;_db_updated&gt;PubMed&lt;/_db_updated&gt;&lt;_doi&gt;10.1038/s41586-019-1104-8&lt;/_doi&gt;&lt;_impact_factor&gt;  69.504&lt;/_impact_factor&gt;&lt;_isbn&gt;1476-4687 (Electronic); 0028-0836 (Print); 0028-0836 (Linking)&lt;/_isbn&gt;&lt;_issue&gt;7755&lt;/_issue&gt;&lt;_journal&gt;Nature&lt;/_journal&gt;&lt;_language&gt;eng&lt;/_language&gt;&lt;_modified&gt;64933867&lt;/_modified&gt;&lt;_pages&gt;222-228&lt;/_pages&gt;&lt;_social_category&gt;综合性期刊(1)&lt;/_social_category&gt;&lt;_subject_headings&gt;Adaptor Proteins, Signal Transducing/metabolism; Adipocytes/cytology/metabolism; Animals; Bone Marrow/*blood supply; Calcium-Binding Proteins/metabolism; Cell Differentiation; Cell Lineage; *Cellular Microenvironment; Endothelium, Vascular/cytology; Female; Gene Expression Regulation; *Hematopoiesis/genetics; *Hematopoietic Stem Cells/cytology/metabolism; Male; Mice; Myeloid Cells/cytology/metabolism; Osteoblasts/cytology/metabolism; RNA-Seq; Receptors, Notch/metabolism; *Single-Cell Analysis; *Stem Cell Niche/genetics; Stress, Physiological/genetics; Transcriptome/genetics&lt;/_subject_headings&gt;&lt;_tertiary_title&gt;Nature&lt;/_tertiary_title&gt;&lt;_type_work&gt;Journal Article; Research Support, N.I.H., Extramural; Research Support, Non-U.S. Gov&amp;apos;t&lt;/_type_work&gt;&lt;_url&gt;http://www.ncbi.nlm.nih.gov/entrez/query.fcgi?cmd=Retrieve&amp;amp;db=pubmed&amp;amp;dopt=Abstract&amp;amp;list_uids=30971824&amp;amp;query_hl=1&lt;/_url&gt;&lt;_volume&gt;569&lt;/_volume&gt;&lt;/Details&gt;&lt;Extra&gt;&lt;DBUID&gt;{F96A950B-833F-4880-A151-76DA2D6A2879}&lt;/DBUID&gt;&lt;/Extra&gt;&lt;/Item&gt;&lt;/References&gt;&lt;/Group&gt;&lt;/Citation&gt;_x000a_"/>
    <w:docVar w:name="NE.Ref{A0A5BBF5-583E-4EB5-908D-A0E0112E35C2}" w:val=" ADDIN NE.Ref.{A0A5BBF5-583E-4EB5-908D-A0E0112E35C2}&lt;Citation&gt;&lt;Group&gt;&lt;References&gt;&lt;Item&gt;&lt;ID&gt;983&lt;/ID&gt;&lt;UID&gt;{C67CAC71-4665-4332-8BA1-8827CDAF8807}&lt;/UID&gt;&lt;Title&gt;Trisomy 21-induced dysregulation of microglial homeostasis in Alzheimer&amp;apos;s brains  is mediated by USP25&lt;/Title&gt;&lt;Template&gt;Journal Article&lt;/Template&gt;&lt;Star&gt;0&lt;/Star&gt;&lt;Tag&gt;0&lt;/Tag&gt;&lt;Author&gt;Zheng, Q; Li, G; Wang, S; Zhou, Y; Liu, K; Gao, Y; Zhou, Y; Zheng, L; Zhu, L; Deng, Q; Wu, M; &amp;quot;Di A&amp;quot;; Zhang, L; Zhao, Y; Zhang, H; Sun, H; Dong, C; Xu, H; Wang, X&lt;/Author&gt;&lt;Year&gt;2021&lt;/Year&gt;&lt;Details&gt;&lt;_accessed&gt;64867614&lt;/_accessed&gt;&lt;_accession_num&gt;33523861&lt;/_accession_num&gt;&lt;_author_adr&gt;State Key Laboratory of Cellular Stress Biology, Fujian Provincial Key Laboratory  of Neurodegenerative Disease and Aging Research, Institute of Neuroscience,  School of Medicine, Xiamen University, Xiamen, Fujian 361005, China.; State Key Laboratory of Cellular Stress Biology, Fujian Provincial Key Laboratory  of Neurodegenerative Disease and Aging Research, Institute of Neuroscience,  School of Medicine, Xiamen University, Xiamen, Fujian 361005, China.; State Key Laboratory of Cellular Stress Biology, Fujian Provincial Key Laboratory  of Neurodegenerative Disease and Aging Research, Institute of Neuroscience,  School of Medicine, Xiamen University, Xiamen, Fujian 361005, China.; School of Medicine, Xizang Minzu University, Xianyang, Shaanxi 712082, China.; Department of Translational Medicine, School of Medicine, Xiamen University,  Xiamen, Fujian 361005, China.; Department of Translational Medicine, School of Medicine, Xiamen University,  Xiamen, Fujian 361005, China.; State Key Laboratory of Cellular Stress Biology, Fujian Provincial Key Laboratory  of Neurodegenerative Disease and Aging Research, Institute of Neuroscience,  School of Medicine, Xiamen University, Xiamen, Fujian 361005, China.; Women and Children&amp;apos;s Hospital, School of Medicine, Xiamen University, Xiamen,  Fujian 361003, China.; Women and Children&amp;apos;s Hospital, School of Medicine, Xiamen University, Xiamen,  Fujian 361003, China.; State Key Laboratory of Cellular Stress Biology, Fujian Provincial Key Laboratory  of Neurodegenerative Disease and Aging Research, Institute of Neuroscience,  School of Medicine, Xiamen University, Xiamen, Fujian 361005, China.; State Key Laboratory of Cellular Stress Biology, Fujian Provincial Key Laboratory  of Neurodegenerative Disease and Aging Research, Institute of Neuroscience,  School of Medicine, Xiamen University, Xiamen, Fujian 361005, China.; State Key Laboratory of Cellular Stress Biology, Fujian Provincial Key Laboratory  of Neurodegenerative Disease and Aging Research, Institute of Neuroscience,  School of Medicine, Xiamen University, Xiamen, Fujian 361005, China.; State Key Laboratory of Cellular Stress Biology, Fujian Provincial Key Laboratory  of Neurodegenerative Disease and Aging Research, Institute of Neuroscience,  School of Medicine, Xiamen University, Xiamen, Fujian 361005, China.; State Key Laboratory of Cellular Stress Biology, Fujian Provincial Key Laboratory  of Neurodegenerative Disease and Aging Research, Institute of Neuroscience,  School of Medicine, Xiamen University, Xiamen, Fujian 361005, China.; State Key Laboratory of Cellular Stress Biology, Fujian Provincial Key Laboratory  of Neurodegenerative Disease and Aging Research, Institute of Neuroscience,  School of Medicine, Xiamen University, Xiamen, Fujian 361005, China.; State Key Laboratory of Cellular Stress Biology, Fujian Provincial Key Laboratory  of Neurodegenerative Disease and Aging Research, Institute of Neuroscience,  School of Medicine, Xiamen University, Xiamen, Fujian 361005, China.; State Key Laboratory of Cellular Stress Biology, Fujian Provincial Key Laboratory  of Neurodegenerative Disease and Aging Research, Institute of Neuroscience,  School of Medicine, Xiamen University, Xiamen, Fujian 361005, China.; Institute for Immunology, School of Medicine, Tsinghua University, Beijing  100084, China.; State Key Laboratory of Cellular Stress Biology, Fujian Provincial Key Laboratory  of Neurodegenerative Disease and Aging Research, Institute of Neuroscience,  School of Medicine, Xiamen University, Xiamen, Fujian 361005, China.; Center for Brain Sciences, The First Affiliated Hospital of Xiamen University,  School of Medicine, Xiamen University, Xiamen, Fujian 361003, China.; State Key Laboratory of Cellular Stress Biology, Fujian Provincial Key Laboratory  of Neurodegenerative Disease and Aging Research, Institute of Neuroscience,  School of Medicine, Xiamen University, Xiamen, Fujian 361005, China.  wangx@xmu.edu.cn.&lt;/_author_adr&gt;&lt;_collection_scope&gt;SCIE;EI&lt;/_collection_scope&gt;&lt;_created&gt;64867613&lt;/_created&gt;&lt;_date&gt;2021-01-01&lt;/_date&gt;&lt;_date_display&gt;2021 Jan&lt;/_date_display&gt;&lt;_db_updated&gt;PubMed&lt;/_db_updated&gt;&lt;_doi&gt;10.1126/sciadv.abe1340&lt;/_doi&gt;&lt;_impact_factor&gt;  14.957&lt;/_impact_factor&gt;&lt;_isbn&gt;2375-2548 (Electronic); 2375-2548 (Linking)&lt;/_isbn&gt;&lt;_issue&gt;1&lt;/_issue&gt;&lt;_journal&gt;Sci Adv&lt;/_journal&gt;&lt;_language&gt;eng&lt;/_language&gt;&lt;_modified&gt;64867614&lt;/_modified&gt;&lt;_ori_publication&gt;Copyright (c) 2021 The Authors, some rights reserved; exclusive licensee American _x000d__x000a_      Association for the Advancement of Science. No claim to original U.S. Government _x000d__x000a_      Works. Distributed under a Creative Commons Attribution NonCommercial License 4.0 _x000d__x000a_      (CC BY-NC).&lt;/_ori_publication&gt;&lt;_social_category&gt;综合性期刊(1)&lt;/_social_category&gt;&lt;_tertiary_title&gt;Science advances&lt;/_tertiary_title&gt;&lt;_type_work&gt;Journal Article; Research Support, Non-U.S. Gov&amp;apos;t&lt;/_type_work&gt;&lt;_url&gt;http://www.ncbi.nlm.nih.gov/entrez/query.fcgi?cmd=Retrieve&amp;amp;db=pubmed&amp;amp;dopt=Abstract&amp;amp;list_uids=33523861&amp;amp;query_hl=1&lt;/_url&gt;&lt;_volume&gt;7&lt;/_volume&gt;&lt;/Details&gt;&lt;Extra&gt;&lt;DBUID&gt;{F96A950B-833F-4880-A151-76DA2D6A2879}&lt;/DBUID&gt;&lt;/Extra&gt;&lt;/Item&gt;&lt;/References&gt;&lt;/Group&gt;&lt;/Citation&gt;_x000a_"/>
    <w:docVar w:name="NE.Ref{A3504DAE-017D-4BFA-A35F-8C0C0289E06A}" w:val=" ADDIN NE.Ref.{A3504DAE-017D-4BFA-A35F-8C0C0289E06A}&lt;Citation&gt;&lt;Group&gt;&lt;References&gt;&lt;Item&gt;&lt;ID&gt;944&lt;/ID&gt;&lt;UID&gt;{A6D360F6-17E1-402A-9141-B6EF96029671}&lt;/UID&gt;&lt;Title&gt;Microglia-mediated T cell infiltration drives neurodegeneration in tauopathy&lt;/Title&gt;&lt;Template&gt;Journal Article&lt;/Template&gt;&lt;Star&gt;0&lt;/Star&gt;&lt;Tag&gt;0&lt;/Tag&gt;&lt;Author&gt;Chen, Xiaoying; Firulyova, Maria; Manis, Melissa; Herz, Jasmin; Smirnov, Igor; Aladyeva, Ekaterina; Wang, Chanung; Bao, Xin; Finn, Mary Beth; Hu, Hao; Shchukina, Irina; Kim, Min Woo; Yuede, Carla M; Kipnis, Jonathan; Artyomov, Maxim N; Ulrich, Jason D; Holtzman, David M&lt;/Author&gt;&lt;Year&gt;2023&lt;/Year&gt;&lt;Details&gt;&lt;_accessed&gt;64935327&lt;/_accessed&gt;&lt;_accession_num&gt;36890231&lt;/_accession_num&gt;&lt;_author_adr&gt;Department of Neurology, Hope Center for Neurological Disorders, Knight  Alzheimer&amp;apos;s Disease Research Center, Washington University School of Medicine, St  Louis, MO, USA.; Almazov National Medical Research Centre, St Petersburg, Russia.; Department of Neurology, Hope Center for Neurological Disorders, Knight  Alzheimer&amp;apos;s Disease Research Center, Washington University School of Medicine, St  Louis, MO, USA.; Department of Pathology and Immunology, Washington University School of Medicine,  St Louis, MO, USA.; Center for Brain Immunology and Glia (BIG), Washington University School of  Medicine, St Louis, MO, USA.; Department of Pathology and Immunology, Washington University School of Medicine,  St Louis, MO, USA.; Center for Brain Immunology and Glia (BIG), Washington University School of  Medicine, St Louis, MO, USA.; Department of Pathology and Immunology, Washington University School of Medicine,  St Louis, MO, USA.; Department of Neurology, Hope Center for Neurological Disorders, Knight  Alzheimer&amp;apos;s Disease Research Center, Washington University School of Medicine, St  Louis, MO, USA.; Department of Neurology, Hope Center for Neurological Disorders, Knight  Alzheimer&amp;apos;s Disease Research Center, Washington University School of Medicine, St  Louis, MO, USA.; Department of Neurology, Hope Center for Neurological Disorders, Knight  Alzheimer&amp;apos;s Disease Research Center, Washington University School of Medicine, St  Louis, MO, USA.; Department of Neurology, Hope Center for Neurological Disorders, Knight  Alzheimer&amp;apos;s Disease Research Center, Washington University School of Medicine, St  Louis, MO, USA.; Department of Pathology and Immunology, Washington University School of Medicine,  St Louis, MO, USA.; Department of Pathology and Immunology, Washington University School of Medicine,  St Louis, MO, USA.; Center for Brain Immunology and Glia (BIG), Washington University School of  Medicine, St Louis, MO, USA.; Department of Neurology, Hope Center for Neurological Disorders, Knight  Alzheimer&amp;apos;s Disease Research Center, Washington University School of Medicine, St  Louis, MO, USA.; Department of Neurology, Hope Center for Neurological Disorders, Knight  Alzheimer&amp;apos;s Disease Research Center, Washington University School of Medicine, St  Louis, MO, USA.; Department of Pathology and Immunology, Washington University School of Medicine,  St Louis, MO, USA.; Center for Brain Immunology and Glia (BIG), Washington University School of  Medicine, St Louis, MO, USA.; Department of Pathology and Immunology, Washington University School of Medicine,  St Louis, MO, USA.; Department of Neurology, Hope Center for Neurological Disorders, Knight  Alzheimer&amp;apos;s Disease Research Center, Washington University School of Medicine, St  Louis, MO, USA.; Department of Neurology, Hope Center for Neurological Disorders, Knight  Alzheimer&amp;apos;s Disease Research Center, Washington University School of Medicine, St  Louis, MO, USA. holtzman@wustl.edu.; Center for Brain Immunology and Glia (BIG), Washington University School of  Medicine, St Louis, MO, USA. holtzman@wustl.edu.&lt;/_author_adr&gt;&lt;_collection_scope&gt;SCIE&lt;/_collection_scope&gt;&lt;_created&gt;64867563&lt;/_created&gt;&lt;_date&gt;64808640&lt;/_date&gt;&lt;_date_display&gt;2023 Mar&lt;/_date_display&gt;&lt;_db_updated&gt;CrossRef&lt;/_db_updated&gt;&lt;_doi&gt;10.1038/s41586-023-05788-0&lt;/_doi&gt;&lt;_impact_factor&gt;  69.504&lt;/_impact_factor&gt;&lt;_isbn&gt;0028-0836&lt;/_isbn&gt;&lt;_issue&gt;7953&lt;/_issue&gt;&lt;_journal&gt;Nature&lt;/_journal&gt;&lt;_language&gt;eng&lt;/_language&gt;&lt;_modified&gt;64935327&lt;/_modified&gt;&lt;_ori_publication&gt;(c) 2023. The Author(s), under exclusive licence to Springer Nature Limited.&lt;/_ori_publication&gt;&lt;_pages&gt;668-677&lt;/_pages&gt;&lt;_social_category&gt;综合性期刊(1)&lt;/_social_category&gt;&lt;_subject_headings&gt;Animals; Mice; Alzheimer Disease/immunology/metabolism/pathology; Amyloid beta-Peptides/immunology/metabolism; *Brain/immunology/metabolism/pathology; *Microglia/immunology/metabolism; *Neurofibrillary Tangles/immunology/metabolism/pathology; tau Proteins/immunology/metabolism; *Tauopathies/immunology/metabolism/pathology; *T-Lymphocytes/immunology/metabolism/pathology; Plaque, Amyloid/immunology/metabolism/pathology; T-Lymphocytes, Cytotoxic/immunology/metabolism/pathology; Clone Cells/immunology/metabolism/pathology; Receptors, Antigen, T-Cell/immunology/metabolism; Immunity, Innate&lt;/_subject_headings&gt;&lt;_tertiary_title&gt;Nature&lt;/_tertiary_title&gt;&lt;_type_work&gt;Journal Article&lt;/_type_work&gt;&lt;_url&gt;https://www.nature.com/articles/s41586-023-05788-0_x000d__x000a_https://www.nature.com/articles/s41586-023-05788-0.pdf&lt;/_url&gt;&lt;_volume&gt;615&lt;/_volume&gt;&lt;/Details&gt;&lt;Extra&gt;&lt;DBUID&gt;{F96A950B-833F-4880-A151-76DA2D6A2879}&lt;/DBUID&gt;&lt;/Extra&gt;&lt;/Item&gt;&lt;/References&gt;&lt;/Group&gt;&lt;Group&gt;&lt;References&gt;&lt;Item&gt;&lt;ID&gt;945&lt;/ID&gt;&lt;UID&gt;{6A403D6F-457C-4E5C-8C8F-175F9CFCB0F9}&lt;/UID&gt;&lt;Title&gt;Extravascular CD3+ T Cells in Brains of Alzheimer Disease Patients Correlate with  Tau but Not with Amyloid Pathology: An Immunohistochemical Study&lt;/Title&gt;&lt;Template&gt;Journal Article&lt;/Template&gt;&lt;Star&gt;0&lt;/Star&gt;&lt;Tag&gt;0&lt;/Tag&gt;&lt;Author&gt;Merlini, M; Kirabali, T; Kulic, L; Nitsch, R M; Ferretti, M T&lt;/Author&gt;&lt;Year&gt;2018&lt;/Year&gt;&lt;Details&gt;&lt;_accessed&gt;64867564&lt;/_accessed&gt;&lt;_accession_num&gt;29402847&lt;/_accession_num&gt;&lt;_author_adr&gt;Institute for Regenerative Medicine (IREM), University of Zurich, Switzerland  Neuroscience Center Zurich (ZNZ), Zurich, Switzerland.&lt;/_author_adr&gt;&lt;_collection_scope&gt;SCIE&lt;/_collection_scope&gt;&lt;_created&gt;64867564&lt;/_created&gt;&lt;_date&gt;2018-01-20&lt;/_date&gt;&lt;_date_display&gt;2018&lt;/_date_display&gt;&lt;_db_updated&gt;PubMed&lt;/_db_updated&gt;&lt;_doi&gt;10.1159/000486200&lt;/_doi&gt;&lt;_impact_factor&gt;   3.417&lt;/_impact_factor&gt;&lt;_isbn&gt;1660-2862 (Electronic); 1660-2854 (Linking)&lt;/_isbn&gt;&lt;_issue&gt;1&lt;/_issue&gt;&lt;_journal&gt;Neurodegener Dis&lt;/_journal&gt;&lt;_keywords&gt;6E10; AT8; Alzheimer disease; Amyloid; CD3; Hippocampus; Mid frontal gyrus; T cells; Tau&lt;/_keywords&gt;&lt;_language&gt;eng&lt;/_language&gt;&lt;_modified&gt;64867564&lt;/_modified&gt;&lt;_ori_publication&gt;(c) 2018 S. Karger AG, Basel.&lt;/_ori_publication&gt;&lt;_pages&gt;49-56&lt;/_pages&gt;&lt;_social_category&gt;医学(4)&lt;/_social_category&gt;&lt;_subject_headings&gt;Aged, 80 and over; Alzheimer Disease/*immunology/metabolism/pathology; Brain/*immunology/metabolism/pathology; CD3 Complex/*immunology/metabolism; Female; Humans; Male; Plaque, Amyloid/*immunology/metabolism/pathology; T-Lymphocytes/*immunology/metabolism&lt;/_subject_headings&gt;&lt;_tertiary_title&gt;Neuro-degenerative diseases&lt;/_tertiary_title&gt;&lt;_type_work&gt;Journal Article; Research Support, Non-U.S. Gov&amp;apos;t&lt;/_type_work&gt;&lt;_url&gt;http://www.ncbi.nlm.nih.gov/entrez/query.fcgi?cmd=Retrieve&amp;amp;db=pubmed&amp;amp;dopt=Abstract&amp;amp;list_uids=29402847&amp;amp;query_hl=1&lt;/_url&gt;&lt;_volume&gt;18&lt;/_volume&gt;&lt;/Details&gt;&lt;Extra&gt;&lt;DBUID&gt;{F96A950B-833F-4880-A151-76DA2D6A2879}&lt;/DBUID&gt;&lt;/Extra&gt;&lt;/Item&gt;&lt;/References&gt;&lt;/Group&gt;&lt;Group&gt;&lt;References&gt;&lt;Item&gt;&lt;ID&gt;946&lt;/ID&gt;&lt;UID&gt;{566CB722-949C-4AFA-B90E-B2C4BF3050E1}&lt;/UID&gt;&lt;Title&gt;Hippocampal T cell infiltration promotes neuroinflammation and cognitive decline  in a mouse model of tauopathy&lt;/Title&gt;&lt;Template&gt;Journal Article&lt;/Template&gt;&lt;Star&gt;0&lt;/Star&gt;&lt;Tag&gt;0&lt;/Tag&gt;&lt;Author&gt;Laurent, C; Dorothee, G; Hunot, S; Martin, E; Monnet, Y; Duchamp, M; Dong, Y; Legeron, F P; Leboucher, A; Burnouf, S; Faivre, E; Carvalho, K; Caillierez, R; Zommer, N; Demeyer, D; Jouy, N; Sazdovitch, V; Schraen-Maschke, S; Delarasse, C; Buee, L; Blum, D&lt;/Author&gt;&lt;Year&gt;2017&lt;/Year&gt;&lt;Details&gt;&lt;_accessed&gt;64867568&lt;/_accessed&gt;&lt;_accession_num&gt;27818384&lt;/_accession_num&gt;&lt;_author_adr&gt;1 Univ. Lille, Inserm, CHU-Lille, UMR-S 1172, Alzheimer and Tauopathies, Lille,  France.; 2 INSERM, UMRS 938, CdR Saint-Antoine, Laboratory Immune System,  Neuroinflammation and Neurodegenerative Diseases, Hopital St-Antoine, Paris,  France.; 3 Sorbonne Universites, UPMC Univ Paris 06, UMRS 938, CdR Saint-Antoine, Hopital  Saint-Antoine, Paris, France.; 4 Inserm, U 1127, F-75013, Paris, France.; 5 CNRS, UMR 7225, F-75013, Paris, France.; 6 Sorbonne Universites, UPMC Univ Paris 06, UMR S 1127, F-75013, Paris, France.; 7 Institut du Cerveau et de la Moelle epiniere, ICM, F-75013, Paris, France.; 4 Inserm, U 1127, F-75013, Paris, France.; 5 CNRS, UMR 7225, F-75013, Paris, France.; 6 Sorbonne Universites, UPMC Univ Paris 06, UMR S 1127, F-75013, Paris, France.; 7 Institut du Cerveau et de la Moelle epiniere, ICM, F-75013, Paris, France.; 4 Inserm, U 1127, F-75013, Paris, France.; 5 CNRS, UMR 7225, F-75013, Paris, France.; 6 Sorbonne Universites, UPMC Univ Paris 06, UMR S 1127, F-75013, Paris, France.; 7 Institut du Cerveau et de la Moelle epiniere, ICM, F-75013, Paris, France.; 2 INSERM, UMRS 938, CdR Saint-Antoine, Laboratory Immune System,  Neuroinflammation and Neurodegenerative Diseases, Hopital St-Antoine, Paris,  France.; 3 Sorbonne Universites, UPMC Univ Paris 06, UMRS 938, CdR Saint-Antoine, Hopital  Saint-Antoine, Paris, France.; 2 INSERM, UMRS 938, CdR Saint-Antoine, Laboratory Immune System,  Neuroinflammation and Neurodegenerative Diseases, Hopital St-Antoine, Paris,  France.; 3 Sorbonne Universites, UPMC Univ Paris 06, UMRS 938, CdR Saint-Antoine, Hopital  Saint-Antoine, Paris, France.; 4 Inserm, U 1127, F-75013, Paris, France.; 5 CNRS, UMR 7225, F-75013, Paris, France.; 6 Sorbonne Universites, UPMC Univ Paris 06, UMR S 1127, F-75013, Paris, France.; 7 Institut du Cerveau et de la Moelle epiniere, ICM, F-75013, Paris, France.; 1 Univ. Lille, Inserm, CHU-Lille, UMR-S 1172, Alzheimer and Tauopathies, Lille,  France.; 1 Univ. Lille, Inserm, CHU-Lille, UMR-S 1172, Alzheimer and Tauopathies, Lille,  France.; 1 Univ. Lille, Inserm, CHU-Lille, UMR-S 1172, Alzheimer and Tauopathies, Lille,  France.; 1 Univ. Lille, Inserm, CHU-Lille, UMR-S 1172, Alzheimer and Tauopathies, Lille,  France.; 1 Univ. Lille, Inserm, CHU-Lille, UMR-S 1172, Alzheimer and Tauopathies, Lille,  France.; 1 Univ. Lille, Inserm, CHU-Lille, UMR-S 1172, Alzheimer and Tauopathies, Lille,  France.; 1 Univ. Lille, Inserm, CHU-Lille, UMR-S 1172, Alzheimer and Tauopathies, Lille,  France.; 1 Univ. Lille, Inserm, CHU-Lille, UMR-S 1172, Alzheimer and Tauopathies, Lille,  France.; 8 BioImaging center of Lille, 59045 Lille, France.; 4 Inserm, U 1127, F-75013, Paris, France.; 5 CNRS, UMR 7225, F-75013, Paris, France.; 9 Laboratoire de Neuropathologie Escourolle, Hopital de la Salpetriere, AP-HP,  Paris, France.; 1 Univ. Lille, Inserm, CHU-Lille, UMR-S 1172, Alzheimer and Tauopathies, Lille,  France.; 4 Inserm, U 1127, F-75013, Paris, France.; 5 CNRS, UMR 7225, F-75013, Paris, France.; 6 Sorbonne Universites, UPMC Univ Paris 06, UMR S 1127, F-75013, Paris, France.; 7 Institut du Cerveau et de la Moelle epiniere, ICM, F-75013, Paris, France.; 1 Univ. Lille, Inserm, CHU-Lille, UMR-S 1172, Alzheimer and Tauopathies, Lille,  France.; 1 Univ. Lille, Inserm, CHU-Lille, UMR-S 1172, Alzheimer and Tauopathies, Lille,  France david.blum@inserm.fr.&lt;/_author_adr&gt;&lt;_collection_scope&gt;SCIE&lt;/_collection_scope&gt;&lt;_created&gt;64867564&lt;/_created&gt;&lt;_date&gt;2017-01-01&lt;/_date&gt;&lt;_date_display&gt;2017 Jan&lt;/_date_display&gt;&lt;_db_updated&gt;PubMed&lt;/_db_updated&gt;&lt;_doi&gt;10.1093/brain/aww270&lt;/_doi&gt;&lt;_impact_factor&gt;  15.255&lt;/_impact_factor&gt;&lt;_isbn&gt;1460-2156 (Electronic); 0006-8950 (Print); 0006-8950 (Linking)&lt;/_isbn&gt;&lt;_issue&gt;1&lt;/_issue&gt;&lt;_journal&gt;Brain&lt;/_journal&gt;&lt;_keywords&gt;T cells; chemokines; frontotemporal lobar degeneration; neuroinflammation; tauopathy&lt;/_keywords&gt;&lt;_language&gt;eng&lt;/_language&gt;&lt;_modified&gt;64867568&lt;/_modified&gt;&lt;_ori_publication&gt;(c) The Author (2016). Published by Oxford University Press on behalf of the _x000d__x000a_      Guarantors of Brain.&lt;/_ori_publication&gt;&lt;_pages&gt;184-200&lt;/_pages&gt;&lt;_social_category&gt;医学(1)&lt;/_social_category&gt;&lt;_subject_headings&gt;Aged; Animals; Antibodies/*therapeutic use; CD3 Complex/*immunology; CD4-Positive T-Lymphocytes/*immunology; CD8-Positive T-Lymphocytes/*immunology; Cerebral Cortex/*immunology; Chemokines/*immunology; Cognitive Dysfunction/*immunology/therapy; Disease Models, Animal; Hippocampus/*immunology; Humans; Inflammation/*immunology/therapy; Mice; Mice, Inbred C57BL; Mice, Transgenic; Middle Aged; Tauopathies/*immunology/therapy&lt;/_subject_headings&gt;&lt;_tertiary_title&gt;Brain : a journal of neurology&lt;/_tertiary_title&gt;&lt;_type_work&gt;Journal Article&lt;/_type_work&gt;&lt;_url&gt;http://www.ncbi.nlm.nih.gov/entrez/query.fcgi?cmd=Retrieve&amp;amp;db=pubmed&amp;amp;dopt=Abstract&amp;amp;list_uids=27818384&amp;amp;query_hl=1&lt;/_url&gt;&lt;_volume&gt;140&lt;/_volume&gt;&lt;/Details&gt;&lt;Extra&gt;&lt;DBUID&gt;{F96A950B-833F-4880-A151-76DA2D6A2879}&lt;/DBUID&gt;&lt;/Extra&gt;&lt;/Item&gt;&lt;/References&gt;&lt;/Group&gt;&lt;/Citation&gt;_x000a_"/>
    <w:docVar w:name="NE.Ref{A6E115EF-3D34-4CAB-BBC8-E6D0F32E1B9A}" w:val=" ADDIN NE.Ref.{A6E115EF-3D34-4CAB-BBC8-E6D0F32E1B9A}&lt;Citation&gt;&lt;Group&gt;&lt;References&gt;&lt;Item&gt;&lt;ID&gt;964&lt;/ID&gt;&lt;UID&gt;{2CC87708-DCD3-414C-AFE6-F3D3951EDDA4}&lt;/UID&gt;&lt;Title&gt;Direct vascular channels connect skull bone marrow and the brain surface enabling  myeloid cell migration&lt;/Title&gt;&lt;Template&gt;Journal Article&lt;/Template&gt;&lt;Star&gt;0&lt;/Star&gt;&lt;Tag&gt;0&lt;/Tag&gt;&lt;Author&gt;Herisson, F; Frodermann, V; Courties, G; Rohde, D; Sun, Y; Vandoorne, K; Wojtkiewicz, G R; Masson, G S; Vinegoni, C; Kim, J; Kim, D E; Weissleder, R; Swirski, F K; Moskowitz, M A; Nahrendorf, M&lt;/Author&gt;&lt;Year&gt;2018&lt;/Year&gt;&lt;Details&gt;&lt;_accessed&gt;64867613&lt;/_accessed&gt;&lt;_accession_num&gt;30150661&lt;/_accession_num&gt;&lt;_author_adr&gt;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Molecular Imaging and Neurovascular Research Laboratory, Department of Neurology,  Dongguk University College of Medicine, Goyang, South Korea.; Molecular Imaging and Neurovascular Research Laboratory, Department of Neurology,  Dongguk University College of Medicine, Goyang, South Korea.; Center for Systems Biology, Department of Imaging, Massachusetts General Hospital  and Harvard Medical School, Boston, MA, USA.; Department of Systems Biology, Harvard Medical School, Boston, MA, USA.; Center for Systems Biology, Department of Imaging, Massachusetts General Hospital  and Harvard Medical School, Boston, MA, USA.; Stroke and Neurovascular Regulation Laboratory, Departments of Radiology and  Neurology, Massachusetts General Hospital and Harvard Medical School, Boston, MA,  USA.; Center for Systems Biology, Department of Imaging, Massachusetts General Hospital  and Harvard Medical School, Boston, MA, USA. mnahrendorf@mgh.harvard.edu.; Cardiovascular Research Center, Massachusetts General Hospital and Harvard  Medical School, Boston, MA, USA. mnahrendorf@mgh.harvard.edu.&lt;/_author_adr&gt;&lt;_collection_scope&gt;SCIE&lt;/_collection_scope&gt;&lt;_created&gt;64867580&lt;/_created&gt;&lt;_date&gt;2018-09-01&lt;/_date&gt;&lt;_date_display&gt;2018 Sep&lt;/_date_display&gt;&lt;_db_updated&gt;PubMed&lt;/_db_updated&gt;&lt;_doi&gt;10.1038/s41593-018-0213-2&lt;/_doi&gt;&lt;_impact_factor&gt;  28.771&lt;/_impact_factor&gt;&lt;_isbn&gt;1546-1726 (Electronic); 1097-6256 (Print); 1097-6256 (Linking)&lt;/_isbn&gt;&lt;_issue&gt;9&lt;/_issue&gt;&lt;_journal&gt;Nat Neurosci&lt;/_journal&gt;&lt;_language&gt;eng&lt;/_language&gt;&lt;_modified&gt;64867613&lt;/_modified&gt;&lt;_pages&gt;1209-1217&lt;/_pages&gt;&lt;_social_category&gt;医学(1)&lt;/_social_category&gt;&lt;_subject_headings&gt;Adult; Animals; Bone Marrow/*physiology/ultrastructure; Cell Movement/*physiology; Female; Humans; Inflammation/pathology; Male; Meningitis, Aseptic/pathology; Mice; Mice, Inbred C57BL; Middle Aged; Myeloid Cells/*physiology/ultrastructure; Neutrophils; Skull/cytology/*physiology/ultrastructure; Stroke/pathology; Tibia/physiology/ultrastructure; Tomography, X-Ray Computed&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0150661&amp;amp;query_hl=1&lt;/_url&gt;&lt;_volume&gt;21&lt;/_volume&gt;&lt;/Details&gt;&lt;Extra&gt;&lt;DBUID&gt;{F96A950B-833F-4880-A151-76DA2D6A2879}&lt;/DBUID&gt;&lt;/Extra&gt;&lt;/Item&gt;&lt;/References&gt;&lt;/Group&gt;&lt;/Citation&gt;_x000a_"/>
    <w:docVar w:name="NE.Ref{A8D5F52F-E958-4735-A7D3-ABC4E01E2547}" w:val=" ADDIN NE.Ref.{A8D5F52F-E958-4735-A7D3-ABC4E01E2547}&lt;Citation&gt;&lt;Group&gt;&lt;References&gt;&lt;Item&gt;&lt;ID&gt;967&lt;/ID&gt;&lt;UID&gt;{33EFED29-B3A1-4FD8-A948-7F37F1544347}&lt;/UID&gt;&lt;Title&gt;Skull and vertebral bone marrow are myeloid cell reservoirs for the meninges and  CNS parenchyma&lt;/Title&gt;&lt;Template&gt;Journal Article&lt;/Template&gt;&lt;Star&gt;0&lt;/Star&gt;&lt;Tag&gt;0&lt;/Tag&gt;&lt;Author&gt;Cugurra, A; Mamuladze, T; Rustenhoven, J; Dykstra, T; Beroshvili, G; Greenberg, Z J; Baker, W; Papadopoulos, Z; Drieu, A; Blackburn, S; Kanamori, M; Brioschi, S; Herz, J; Schuettpelz, L G; Colonna, M; Smirnov, I; Kipnis, J&lt;/Author&gt;&lt;Year&gt;2021&lt;/Year&gt;&lt;Details&gt;&lt;_accession_num&gt;34083447&lt;/_accession_num&gt;&lt;_author_adr&gt;Gutenberg Research Fellowship Group of Neuroimmunology, Focus Program  Translational Neuroscience (FTN) and Immunotherapy (FZI), Rhine Main Neuroscience  Network (rmn), University Medical Center of the Johannes Gutenberg University  Mainz, Mainz, Germany.; Department of Neuroscience, School of Medicine, University of Virginia,  Charlottesville, VA,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Pathology and Immunology, Washington University in St. Louis, St.  Louis, MO, USA.; Department of Pathology and Immunology, Washington University in St. Louis, St.  Louis, MO, USA.; Gutenberg Research Fellowship Group of Neuroimmunology, Focus Program  Translational Neuroscience (FTN) and Immunotherapy (FZI), Rhine Main Neuroscience  Network (rmn), University Medical Center of the Johannes Gutenberg University  Mainz, Mainz, Germany. kipnis@wustl.edu.;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lt;/_author_adr&gt;&lt;_date_display&gt;2021 Jul 23&lt;/_date_display&gt;&lt;_date&gt;2021-07-23&lt;/_date&gt;&lt;_doi&gt;10.1126/science.abf7844&lt;/_doi&gt;&lt;_isbn&gt;1095-9203 (Electronic); 0036-8075 (Print); 0036-8075 (Linking)&lt;/_isbn&gt;&lt;_issue&gt;6553&lt;/_issue&gt;&lt;_journal&gt;Science&lt;/_journal&gt;&lt;_language&gt;eng&lt;/_language&gt;&lt;_ori_publication&gt;Copyright (c) 2021 The Authors, some rights reserved; exclusive licensee American _x000d__x000a_      Association for the Advancement of Science. No claim to original U.S. Government _x000d__x000a_      Works.&lt;/_ori_publication&gt;&lt;_subject_headings&gt;Animals; Bone Marrow/physiology; Bone Marrow Cells/*physiology; Brain/cytology/immunology/physiology; Cell Movement; Central Nervous System/cytology/*immunology; Central Nervous System Diseases/*immunology/pathology; Dura Mater/cytology/immunology/physiology; Encephalomyelitis, Autoimmune, Experimental/immunology/pathology; Homeostasis; Meninges/cytology/*immunology/physiology; Mice; Monocytes/physiology; Myeloid Cells/*physiology; Neutrophils/physiology; Skull/*anatomy &amp;amp; histology; Spinal Cord/cytology/immunology/physiology; Spinal Cord Injuries/immunology/pathology; Spine/*anatomy &amp;amp; histology&lt;/_subject_headings&gt;&lt;_tertiary_title&gt;Science (New York, N.Y.)&lt;/_tertiary_title&gt;&lt;_type_work&gt;Journal Article; Research Support, N.I.H., Extramural&lt;/_type_work&gt;&lt;_url&gt;http://www.ncbi.nlm.nih.gov/entrez/query.fcgi?cmd=Retrieve&amp;amp;db=pubmed&amp;amp;dopt=Abstract&amp;amp;list_uids=34083447&amp;amp;query_hl=1&lt;/_url&gt;&lt;_volume&gt;373&lt;/_volume&gt;&lt;_created&gt;64867581&lt;/_created&gt;&lt;_modified&gt;64867582&lt;/_modified&gt;&lt;_db_updated&gt;PubMed&lt;/_db_updated&gt;&lt;_impact_factor&gt;  63.714&lt;/_impact_factor&gt;&lt;_social_category&gt;综合性期刊(1)&lt;/_social_category&gt;&lt;_collection_scope&gt;SCIE&lt;/_collection_scope&gt;&lt;_accessed&gt;64867582&lt;/_accessed&gt;&lt;/Details&gt;&lt;Extra&gt;&lt;DBUID&gt;{F96A950B-833F-4880-A151-76DA2D6A2879}&lt;/DBUID&gt;&lt;/Extra&gt;&lt;/Item&gt;&lt;/References&gt;&lt;/Group&gt;&lt;/Citation&gt;_x000a_"/>
    <w:docVar w:name="NE.Ref{AAC35AB5-B420-4405-9A61-179EC0D50E38}" w:val=" ADDIN NE.Ref.{AAC35AB5-B420-4405-9A61-179EC0D50E38}&lt;Citation&gt;&lt;Group&gt;&lt;References&gt;&lt;Item&gt;&lt;ID&gt;896&lt;/ID&gt;&lt;UID&gt;{9B449911-0167-4D0D-84B2-ABDDFE7A9461}&lt;/UID&gt;&lt;Title&gt;Skull and vertebral bone marrow are myeloid cell reservoirs for the meninges and CNS parenchyma&lt;/Title&gt;&lt;Template&gt;Journal Article&lt;/Template&gt;&lt;Star&gt;0&lt;/Star&gt;&lt;Tag&gt;0&lt;/Tag&gt;&lt;Author&gt;Cugurra, Andrea; Mamuladze, Tornike; Rustenhoven, Justin; Dykstra, Taitea; Beroshvili, Giorgi; Greenberg, Zev J; Baker, Wendy; Papadopoulos, Zach; Drieu, Antoine; Blackburn, Susan; Kanamori, Mitsuhiro; Brioschi, Simone; Herz, Jasmin; Schuettpelz, Laura G; Colonna, Marco; Smirnov, Igor; Kipnis, Jonathan&lt;/Author&gt;&lt;Year&gt;2021&lt;/Year&gt;&lt;Details&gt;&lt;_accessed&gt;65613246&lt;/_accessed&gt;&lt;_accession_num&gt;34083447&lt;/_accession_num&gt;&lt;_author_adr&gt;Gutenberg Research Fellowship Group of Neuroimmunology, Focus Program Translational Neuroscience (FTN) and Immunotherapy (FZI), Rhine Main Neuroscience Network (rmn), University Medical Center of the Johannes Gutenberg University Mainz, Mainz, Germany.; Department of Neuroscience, School of Medicine, University of Virginia, Charlottesville, VA,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Pathology and Immunology, Washington University in St. Louis, St. Louis, MO, USA.; Department of Pathology and Immunology, Washington University in St. Louis, St. Louis, MO, USA.; Gutenberg Research Fellowship Group of Neuroimmunology, Focus Program Translational Neuroscience (FTN) and Immunotherapy (FZI), Rhine Main Neuroscience Network (rmn), University Medical Center of the Johannes Gutenberg University Mainz, Mainz, Germany. kipnis@wustl.edu.;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lt;/_author_adr&gt;&lt;_collection_scope&gt;SCI;SCIE&lt;/_collection_scope&gt;&lt;_created&gt;64239024&lt;/_created&gt;&lt;_date&gt;63933120&lt;/_date&gt;&lt;_date_display&gt;2021 Jul 23&lt;/_date_display&gt;&lt;_db_updated&gt;CrossRef&lt;/_db_updated&gt;&lt;_doi&gt;10.1126/science.abf7844&lt;/_doi&gt;&lt;_impact_factor&gt;  56.900&lt;/_impact_factor&gt;&lt;_isbn&gt;0036-8075&lt;/_isbn&gt;&lt;_issue&gt;6553&lt;/_issue&gt;&lt;_journal&gt;Science&lt;/_journal&gt;&lt;_language&gt;eng&lt;/_language&gt;&lt;_modified&gt;65613246&lt;/_modified&gt;&lt;_ori_publication&gt;Copyright (c) 2021 The Authors, some rights reserved; exclusive licensee American_x000d__x000a_      Association for the Advancement of Science. No claim to original U.S. Government _x000d__x000a_      Works.&lt;/_ori_publication&gt;&lt;_subject_headings&gt;Animals; Bone Marrow/physiology; Bone Marrow Cells/*physiology; Brain/cytology/immunology/physiology; Cell Movement; Central Nervous System/cytology/*immunology; Central Nervous System Diseases/*immunology/pathology; Dura Mater/cytology/immunology/physiology; Encephalomyelitis, Autoimmune, Experimental/immunology/pathology; Homeostasis; Meninges/cytology/*immunology/physiology; Mice; Monocytes/physiology; Myeloid Cells/*physiology; Neutrophils/physiology; Skull/*anatomy &amp;amp; histology; Spinal Cord/cytology/immunology/physiology; Spinal Cord Injuries/immunology/pathology; Spine/*anatomy &amp;amp; histology&lt;/_subject_headings&gt;&lt;_tertiary_title&gt;Science&lt;/_tertiary_title&gt;&lt;_type_work&gt;Journal Article; Research Support, N.I.H., Extramural&lt;/_type_work&gt;&lt;_url&gt;https://www.science.org/doi/10.1126/science.abf7844_x000d__x000a_https://syndication.highwire.org/content/doi/10.1126/science.abf7844&lt;/_url&gt;&lt;_volume&gt;373&lt;/_volume&gt;&lt;_social_category&gt;综合性期刊(1)&lt;/_social_category&gt;&lt;/Details&gt;&lt;Extra&gt;&lt;DBUID&gt;{F96A950B-833F-4880-A151-76DA2D6A2879}&lt;/DBUID&gt;&lt;/Extra&gt;&lt;/Item&gt;&lt;/References&gt;&lt;/Group&gt;&lt;/Citation&gt;_x000a_"/>
    <w:docVar w:name="NE.Ref{B0160886-52C1-4A61-9459-8EFEFE42CE97}" w:val=" ADDIN NE.Ref.{B0160886-52C1-4A61-9459-8EFEFE42CE97}&lt;Citation&gt;&lt;Group&gt;&lt;References&gt;&lt;Item&gt;&lt;ID&gt;968&lt;/ID&gt;&lt;UID&gt;{21FB5C67-1C22-4911-8F55-F6A3C4E2F28E}&lt;/UID&gt;&lt;Title&gt;Therapeutic B-cell depletion reverses progression of Alzheimer&amp;apos;s disease&lt;/Title&gt;&lt;Template&gt;Journal Article&lt;/Template&gt;&lt;Star&gt;0&lt;/Star&gt;&lt;Tag&gt;0&lt;/Tag&gt;&lt;Author&gt;Kim, K; Wang, X; Ragonnaud, E; Bodogai, M; Illouz, T; DeLuca, M; McDevitt, R A; Gusev, F; Okun, E; Rogaev, E; Biragyn, A&lt;/Author&gt;&lt;Year&gt;2021&lt;/Year&gt;&lt;Details&gt;&lt;_accessed&gt;64933871&lt;/_accessed&gt;&lt;_accession_num&gt;33846335&lt;/_accession_num&gt;&lt;_author_adr&gt;Immunoregulation Section, Laboratory of Immunology and Molecular Biology,  National Institute on Aging, Baltimore, MD, USA.; Immunoregulation Section, Laboratory of Immunology and Molecular Biology,  National Institute on Aging, Baltimore, MD, USA.; Immunoregulation Section, Laboratory of Immunology and Molecular Biology,  National Institute on Aging, Baltimore, MD, USA.; Immunoregulation Section, Laboratory of Immunology and Molecular Biology,  National Institute on Aging, Baltimore, MD, USA.; The Mina and Everard Goodman faculty of Life Sciences, Ramat Gan, Israel.; The Gonda Brain Research Center, Bar Ilan University, Ramat Gan, Israel.; The Paul Feder Laboratory on Alzheimer&amp;apos;s disease research, Bar Ilan University,  Ramat Gan, Israel.; Immunoregulation Section, Laboratory of Immunology and Molecular Biology,  National Institute on Aging, Baltimore, MD, USA.; Mouse Phenotyping Unit, Comparative Medicine Section, National Institute on  Aging, Baltimore, MD, USA.; Department of Genomics and Human Genetics, Institute of General Genetics, Russian  Academy of Sciences, Moscow, Russia.; The Mina and Everard Goodman faculty of Life Sciences, Ramat Gan, Israel.; The Gonda Brain Research Center, Bar Ilan University, Ramat Gan, Israel.; The Paul Feder Laboratory on Alzheimer&amp;apos;s disease research, Bar Ilan University,  Ramat Gan, Israel.; Department of Genomics and Human Genetics, Institute of General Genetics, Russian  Academy of Sciences, Moscow, Russia.; Center for Genetics and Genetic Technologies, Faculty of Biology, Faculty of  Bioengineering and Bioinformatics, Lomonosov Moscow State University, Moscow,  Russia.; Department of Psychiatry, University of Massachusetts Medical School, Worcester,  MA, USA.; Sirius University of Science and Technology, Sochi, Russia.; Immunoregulation Section, Laboratory of Immunology and Molecular Biology,  National Institute on Aging, Baltimore, MD, USA. biragyna@mail.nih.gov.&lt;/_author_adr&gt;&lt;_collection_scope&gt;SCIE&lt;/_collection_scope&gt;&lt;_created&gt;64867585&lt;/_created&gt;&lt;_date&gt;2021-04-12&lt;/_date&gt;&lt;_date_display&gt;2021 Apr 12&lt;/_date_display&gt;&lt;_db_updated&gt;PubMed&lt;/_db_updated&gt;&lt;_doi&gt;10.1038/s41467-021-22479-4&lt;/_doi&gt;&lt;_impact_factor&gt;  17.694&lt;/_impact_factor&gt;&lt;_isbn&gt;2041-1723 (Electronic); 2041-1723 (Linking)&lt;/_isbn&gt;&lt;_issue&gt;1&lt;/_issue&gt;&lt;_journal&gt;Nat Commun&lt;/_journal&gt;&lt;_language&gt;eng&lt;/_language&gt;&lt;_modified&gt;64933871&lt;/_modified&gt;&lt;_pages&gt;2185&lt;/_pages&gt;&lt;_social_category&gt;综合性期刊(1)&lt;/_social_category&gt;&lt;_subject_headings&gt;Alzheimer Disease/*immunology/*pathology; Amyloid beta-Peptides/metabolism; Animals; B-Lymphocytes/*immunology; *Disease Progression; Female; Hippocampus/pathology; Humans; Interleukin-1beta/metabolism; Lymphocyte Activation/immunology; *Lymphocyte Depletion; Mice, Inbred C57BL; Mice, Transgenic; Microglia/metabolism; Phenotype; Plaque, Amyloid/metabolism; Transforming Growth Factor beta/metabolism&lt;/_subject_headings&gt;&lt;_tertiary_title&gt;Nature communications&lt;/_tertiary_title&gt;&lt;_type_work&gt;Journal Article; Research Support, N.I.H., Extramural; Research Support, N.I.H., Intramural&lt;/_type_work&gt;&lt;_url&gt;http://www.ncbi.nlm.nih.gov/entrez/query.fcgi?cmd=Retrieve&amp;amp;db=pubmed&amp;amp;dopt=Abstract&amp;amp;list_uids=33846335&amp;amp;query_hl=1&lt;/_url&gt;&lt;_volume&gt;12&lt;/_volume&gt;&lt;/Details&gt;&lt;Extra&gt;&lt;DBUID&gt;{F96A950B-833F-4880-A151-76DA2D6A2879}&lt;/DBUID&gt;&lt;/Extra&gt;&lt;/Item&gt;&lt;/References&gt;&lt;/Group&gt;&lt;/Citation&gt;_x000a_"/>
    <w:docVar w:name="NE.Ref{B1496D55-2449-46C7-A0DE-F133C5DB494C}" w:val=" ADDIN NE.Ref.{B1496D55-2449-46C7-A0DE-F133C5DB494C}&lt;Citation&gt;&lt;Group&gt;&lt;References&gt;&lt;Item&gt;&lt;ID&gt;965&lt;/ID&gt;&lt;UID&gt;{424A80B3-F1A7-4490-A9AF-27310FD140FD}&lt;/UID&gt;&lt;Title&gt;Direct vascular channels connect skull bone marrow and the brain surface enabling  myeloid cell migration&lt;/Title&gt;&lt;Template&gt;Journal Article&lt;/Template&gt;&lt;Star&gt;0&lt;/Star&gt;&lt;Tag&gt;0&lt;/Tag&gt;&lt;Author&gt;Herisson, F; Frodermann, V; Courties, G; Rohde, D; Sun, Y; Vandoorne, K; Wojtkiewicz, G R; Masson, G S; Vinegoni, C; Kim, J; Kim, D E; Weissleder, R; Swirski, F K; Moskowitz, M A; Nahrendorf, M&lt;/Author&gt;&lt;Year&gt;2018&lt;/Year&gt;&lt;Details&gt;&lt;_accession_num&gt;30150661&lt;/_accession_num&gt;&lt;_author_adr&gt;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Molecular Imaging and Neurovascular Research Laboratory, Department of Neurology,  Dongguk University College of Medicine, Goyang, South Korea.; Molecular Imaging and Neurovascular Research Laboratory, Department of Neurology,  Dongguk University College of Medicine, Goyang, South Korea.; Center for Systems Biology, Department of Imaging, Massachusetts General Hospital  and Harvard Medical School, Boston, MA, USA.; Department of Systems Biology, Harvard Medical School, Boston, MA, USA.; Center for Systems Biology, Department of Imaging, Massachusetts General Hospital  and Harvard Medical School, Boston, MA, USA.; Stroke and Neurovascular Regulation Laboratory, Departments of Radiology and  Neurology, Massachusetts General Hospital and Harvard Medical School, Boston, MA,  USA.; Center for Systems Biology, Department of Imaging, Massachusetts General Hospital  and Harvard Medical School, Boston, MA, USA. mnahrendorf@mgh.harvard.edu.; Cardiovascular Research Center, Massachusetts General Hospital and Harvard  Medical School, Boston, MA, USA. mnahrendorf@mgh.harvard.edu.&lt;/_author_adr&gt;&lt;_date_display&gt;2018 Sep&lt;/_date_display&gt;&lt;_date&gt;2018-09-01&lt;/_date&gt;&lt;_doi&gt;10.1038/s41593-018-0213-2&lt;/_doi&gt;&lt;_isbn&gt;1546-1726 (Electronic); 1097-6256 (Print); 1097-6256 (Linking)&lt;/_isbn&gt;&lt;_issue&gt;9&lt;/_issue&gt;&lt;_journal&gt;Nat Neurosci&lt;/_journal&gt;&lt;_language&gt;eng&lt;/_language&gt;&lt;_pages&gt;1209-1217&lt;/_pages&gt;&lt;_subject_headings&gt;Adult; Animals; Bone Marrow/*physiology/ultrastructure; Cell Movement/*physiology; Female; Humans; Inflammation/pathology; Male; Meningitis, Aseptic/pathology; Mice; Mice, Inbred C57BL; Middle Aged; Myeloid Cells/*physiology/ultrastructure; Neutrophils; Skull/cytology/*physiology/ultrastructure; Stroke/pathology; Tibia/physiology/ultrastructure; Tomography, X-Ray Computed&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0150661&amp;amp;query_hl=1&lt;/_url&gt;&lt;_volume&gt;21&lt;/_volume&gt;&lt;_created&gt;64867580&lt;/_created&gt;&lt;_modified&gt;64867581&lt;/_modified&gt;&lt;_db_updated&gt;PubMed&lt;/_db_updated&gt;&lt;_impact_factor&gt;  28.771&lt;/_impact_factor&gt;&lt;_social_category&gt;医学(1)&lt;/_social_category&gt;&lt;_collection_scope&gt;SCIE&lt;/_collection_scope&gt;&lt;_accessed&gt;64867581&lt;/_accessed&gt;&lt;/Details&gt;&lt;Extra&gt;&lt;DBUID&gt;{F96A950B-833F-4880-A151-76DA2D6A2879}&lt;/DBUID&gt;&lt;/Extra&gt;&lt;/Item&gt;&lt;/References&gt;&lt;/Group&gt;&lt;/Citation&gt;_x000a_"/>
    <w:docVar w:name="NE.Ref{B24271CC-0E93-4179-A0AE-7567A3EE009E}" w:val=" ADDIN NE.Ref.{B24271CC-0E93-4179-A0AE-7567A3EE009E}&lt;Citation&gt;&lt;Group&gt;&lt;References&gt;&lt;Item&gt;&lt;ID&gt;981&lt;/ID&gt;&lt;UID&gt;{FCF5DB4C-2568-4E93-9C40-6DDAF42AA8CC}&lt;/UID&gt;&lt;Title&gt;Bone marrow hematopoiesis drives multiple sclerosis progression&lt;/Title&gt;&lt;Template&gt;Journal Article&lt;/Template&gt;&lt;Star&gt;0&lt;/Star&gt;&lt;Tag&gt;0&lt;/Tag&gt;&lt;Author&gt;Shi, K; Li, H; Chang, T; He, W; Kong, Y; Qi, C; Li, R; Huang, H; Zhu, Z; Zheng, P; Ruan, Z; Zhou, J; Shi, F D; Liu, Q&lt;/Author&gt;&lt;Year&gt;2022&lt;/Year&gt;&lt;Details&gt;&lt;_accessed&gt;64867611&lt;/_accessed&gt;&lt;_accession_num&gt;35709748&lt;/_accession_num&gt;&lt;_author_adr&gt;Department of Neurology, Institute of Neuroimmunology, Tianjin Medical University  General Hospital, Tianjin 300052, China; Center for Neurological Diseases, China  National Clinical Research Center for Neurological Diseases, Beijing Tiantan  Hospital, Capital Medical University, Beijing 100070, China.; Department of Neurology, Institute of Neuroimmunology, Tianjin Medical University  General Hospital, Tianjin 300052, China.; Department of Neurology, Tangdu Hospital, Air Force Medical University, Xi&amp;apos;an,  Shaanxi 710038, China.; Center for Neurological Diseases, China National Clinical Research Center for  Neurological Diseases, Beijing Tiantan Hospital, Capital Medical University,  Beijing 100070, China.; Department of Neurology, Institute of Neuroimmunology, Tianjin Medical University  General Hospital, Tianjin 300052, China.; Department of Neurology, Institute of Neuroimmunology, Tianjin Medical University  General Hospital, Tianjin 300052, China.; Department of Neurology, Institute of Neuroimmunology, Tianjin Medical University  General Hospital, Tianjin 300052, China.; Department of Neurology, Institute of Neuroimmunology, Tianjin Medical University  General Hospital, Tianjin 300052, China.; Department of Neurology, Institute of Neurology of First Affiliated Hospital,  Institute of Neuroscience, and Fujian Key Laboratory of Molecular Neurology,  Fujian Medical University, Fuzhou, Fujian 350005, China.; Department of Neurology, Institute of Neuroimmunology, Tianjin Medical University  General Hospital, Tianjin 300052, China.; Department of Neurology, Tangdu Hospital, Air Force Medical University, Xi&amp;apos;an,  Shaanxi 710038, China.; Department of Immunology, School of Basic Medical Sciences, Tianjin Medical  University, Tianjin 300070, China.; Department of Neurology, Institute of Neuroimmunology, Tianjin Medical University  General Hospital, Tianjin 300052, China; Center for Neurological Diseases, China  National Clinical Research Center for Neurological Diseases, Beijing Tiantan  Hospital, Capital Medical University, Beijing 100070, China.; Department of Neurology, Institute of Neuroimmunology, Tianjin Medical University  General Hospital, Tianjin 300052, China. Electronic address: qliu@tmu.edu.cn.&lt;/_author_adr&gt;&lt;_collection_scope&gt;SCIE&lt;/_collection_scope&gt;&lt;_created&gt;64867610&lt;/_created&gt;&lt;_date&gt;2022-06-23&lt;/_date&gt;&lt;_date_display&gt;2022 Jun 23&lt;/_date_display&gt;&lt;_db_updated&gt;PubMed&lt;/_db_updated&gt;&lt;_doi&gt;10.1016/j.cell.2022.05.020&lt;/_doi&gt;&lt;_impact_factor&gt;  66.850&lt;/_impact_factor&gt;&lt;_isbn&gt;1097-4172 (Electronic); 0092-8674 (Linking)&lt;/_isbn&gt;&lt;_issue&gt;13&lt;/_issue&gt;&lt;_journal&gt;Cell&lt;/_journal&gt;&lt;_keywords&gt;autoreactive T cells; bone marrow; multiple sclerosis; myelopoiesis; neuroinflammation&lt;/_keywords&gt;&lt;_language&gt;eng&lt;/_language&gt;&lt;_modified&gt;64867611&lt;/_modified&gt;&lt;_ori_publication&gt;Copyright (c) 2022 The Author(s). Published by Elsevier Inc. All rights reserved.&lt;/_ori_publication&gt;&lt;_pages&gt;2234-2247.e17&lt;/_pages&gt;&lt;_social_category&gt;生物学(1)&lt;/_social_category&gt;&lt;_subject_headings&gt;Animals; Bone Marrow; *Encephalomyelitis, Autoimmune, Experimental; Hematopoiesis; Humans; Mice; Mice, Inbred C57BL; *Multiple Sclerosis&lt;/_subject_headings&gt;&lt;_tertiary_title&gt;Cell&lt;/_tertiary_title&gt;&lt;_type_work&gt;Journal Article; Research Support, Non-U.S. Gov&amp;apos;t&lt;/_type_work&gt;&lt;_url&gt;http://www.ncbi.nlm.nih.gov/entrez/query.fcgi?cmd=Retrieve&amp;amp;db=pubmed&amp;amp;dopt=Abstract&amp;amp;list_uids=35709748&amp;amp;query_hl=1&lt;/_url&gt;&lt;_volume&gt;185&lt;/_volume&gt;&lt;/Details&gt;&lt;Extra&gt;&lt;DBUID&gt;{F96A950B-833F-4880-A151-76DA2D6A2879}&lt;/DBUID&gt;&lt;/Extra&gt;&lt;/Item&gt;&lt;/References&gt;&lt;/Group&gt;&lt;/Citation&gt;_x000a_"/>
    <w:docVar w:name="NE.Ref{B2B7A424-A8C9-47BE-AA2D-DCFBD629E87B}" w:val=" ADDIN NE.Ref.{B2B7A424-A8C9-47BE-AA2D-DCFBD629E87B}&lt;Citation&gt;&lt;Group&gt;&lt;References&gt;&lt;Item&gt;&lt;ID&gt;1052&lt;/ID&gt;&lt;UID&gt;{2CDF2A1E-309F-45BE-9649-A432A70CACB3}&lt;/UID&gt;&lt;Title&gt;Neuroinflammation and microglial activation in Alzheimer disease: where do we go  from here?&lt;/Title&gt;&lt;Template&gt;Journal Article&lt;/Template&gt;&lt;Star&gt;0&lt;/Star&gt;&lt;Tag&gt;0&lt;/Tag&gt;&lt;Author&gt;Leng, F; Edison, P&lt;/Author&gt;&lt;Year&gt;2021&lt;/Year&gt;&lt;Details&gt;&lt;_accessed&gt;65613197&lt;/_accessed&gt;&lt;_accession_num&gt;33318676&lt;/_accession_num&gt;&lt;_author_adr&gt;Department of Brain Sciences, Imperial College London, Hammersmith Hospital  Campus, London, UK.; Department of Brain Sciences, Imperial College London, Hammersmith Hospital  Campus, London, UK. paul.edison@imperial.ac.uk.&lt;/_author_adr&gt;&lt;_collection_scope&gt;SCIE&lt;/_collection_scope&gt;&lt;_created&gt;65613197&lt;/_created&gt;&lt;_date&gt;2021-03-01&lt;/_date&gt;&lt;_date_display&gt;2021 Mar&lt;/_date_display&gt;&lt;_db_updated&gt;PubMed&lt;/_db_updated&gt;&lt;_doi&gt;10.1038/s41582-020-00435-y&lt;/_doi&gt;&lt;_impact_factor&gt;  38.100&lt;/_impact_factor&gt;&lt;_isbn&gt;1759-4766 (Electronic); 1759-4758 (Linking)&lt;/_isbn&gt;&lt;_issue&gt;3&lt;/_issue&gt;&lt;_journal&gt;Nat Rev Neurol&lt;/_journal&gt;&lt;_language&gt;eng&lt;/_language&gt;&lt;_modified&gt;65613197&lt;/_modified&gt;&lt;_pages&gt;157-172&lt;/_pages&gt;&lt;_social_category&gt;临床神经病学(1)&lt;/_social_category&gt;&lt;_subject_headings&gt;Alzheimer Disease/drug therapy/*metabolism; Brain/drug effects/physiopathology; Humans; Macrophage Activation/drug effects/*physiology; Microglia/*metabolism; Neurodegenerative Diseases/drug therapy/metabolism; Neuroinflammatory Diseases/*drug therapy/metabolism&lt;/_subject_headings&gt;&lt;_tertiary_title&gt;Nature reviews. Neurology&lt;/_tertiary_title&gt;&lt;_type_work&gt;Journal Article; Review&lt;/_type_work&gt;&lt;_url&gt;http://www.ncbi.nlm.nih.gov/entrez/query.fcgi?cmd=Retrieve&amp;amp;db=pubmed&amp;amp;dopt=Abstract&amp;amp;list_uids=33318676&amp;amp;query_hl=1&lt;/_url&gt;&lt;_volume&gt;17&lt;/_volume&gt;&lt;/Details&gt;&lt;Extra&gt;&lt;DBUID&gt;{F96A950B-833F-4880-A151-76DA2D6A2879}&lt;/DBUID&gt;&lt;/Extra&gt;&lt;/Item&gt;&lt;/References&gt;&lt;/Group&gt;&lt;/Citation&gt;_x000a_"/>
    <w:docVar w:name="NE.Ref{BB80FB10-750D-4039-95AC-C2AB20A32E86}" w:val=" ADDIN NE.Ref.{BB80FB10-750D-4039-95AC-C2AB20A32E86}&lt;Citation&gt;&lt;Group&gt;&lt;References&gt;&lt;Item&gt;&lt;ID&gt;939&lt;/ID&gt;&lt;UID&gt;{9263E26C-6E9D-417E-A80D-C90291CDC5D1}&lt;/UID&gt;&lt;Title&gt;Emerging roles of innate and adaptive immunity in Alzheimer&amp;apos;s disease&lt;/Title&gt;&lt;Template&gt;Journal Article&lt;/Template&gt;&lt;Star&gt;0&lt;/Star&gt;&lt;Tag&gt;0&lt;/Tag&gt;&lt;Author&gt;Chen, X; Holtzman, D M&lt;/Author&gt;&lt;Year&gt;2022&lt;/Year&gt;&lt;Details&gt;&lt;_accessed&gt;64867561&lt;/_accessed&gt;&lt;_accession_num&gt;36351425&lt;/_accession_num&gt;&lt;_author_adr&gt;Department of Neurology, Hope Center for Neurological Disorders, Knight  Alzheimer&amp;apos;s Disease Research Center, Washington University School of Medicine,  St. Louis, MO 63110, USA.; Department of Neurology, Hope Center for Neurological Disorders, Knight  Alzheimer&amp;apos;s Disease Research Center, Washington University School of Medicine,  St. Louis, MO 63110, USA. Electronic address: holtzman@wustl.edu.&lt;/_author_adr&gt;&lt;_collection_scope&gt;SCIE&lt;/_collection_scope&gt;&lt;_created&gt;64867561&lt;/_created&gt;&lt;_date&gt;2022-12-13&lt;/_date&gt;&lt;_date_display&gt;2022 Dec 13&lt;/_date_display&gt;&lt;_db_updated&gt;PubMed&lt;/_db_updated&gt;&lt;_doi&gt;10.1016/j.immuni.2022.10.016&lt;/_doi&gt;&lt;_impact_factor&gt;  43.474&lt;/_impact_factor&gt;&lt;_isbn&gt;1097-4180 (Electronic); 1074-7613 (Print); 1074-7613 (Linking)&lt;/_isbn&gt;&lt;_issue&gt;12&lt;/_issue&gt;&lt;_journal&gt;Immunity&lt;/_journal&gt;&lt;_keywords&gt;Alzheimer&amp;apos;s disease; adaptive immunity; immune niche; innate immunity&lt;/_keywords&gt;&lt;_language&gt;eng&lt;/_language&gt;&lt;_modified&gt;64867561&lt;/_modified&gt;&lt;_ori_publication&gt;Copyright (c) 2022 Elsevier Inc. All rights reserved.&lt;/_ori_publication&gt;&lt;_pages&gt;2236-2254&lt;/_pages&gt;&lt;_social_category&gt;医学(1)&lt;/_social_category&gt;&lt;_subject_headings&gt;Humans; *Alzheimer Disease/genetics; *Neurodegenerative Diseases/pathology; Immunity, Innate/physiology; Amyloid beta-Peptides/metabolism; Adaptive Immunity; Microglia&lt;/_subject_headings&gt;&lt;_tertiary_title&gt;Immunity&lt;/_tertiary_title&gt;&lt;_type_work&gt;Journal Article; Research Support, N.I.H., Extramural; Research Support, Non-U.S. Gov&amp;apos;t; Review&lt;/_type_work&gt;&lt;_url&gt;http://www.ncbi.nlm.nih.gov/entrez/query.fcgi?cmd=Retrieve&amp;amp;db=pubmed&amp;amp;dopt=Abstract&amp;amp;list_uids=36351425&amp;amp;query_hl=1&lt;/_url&gt;&lt;_volume&gt;55&lt;/_volume&gt;&lt;/Details&gt;&lt;Extra&gt;&lt;DBUID&gt;{F96A950B-833F-4880-A151-76DA2D6A2879}&lt;/DBUID&gt;&lt;/Extra&gt;&lt;/Item&gt;&lt;/References&gt;&lt;/Group&gt;&lt;Group&gt;&lt;References&gt;&lt;Item&gt;&lt;ID&gt;1007&lt;/ID&gt;&lt;UID&gt;{B9C00014-86F6-4456-87F7-7107FA2CFD8D}&lt;/UID&gt;&lt;Title&gt;The adaptive immune system restrains Alzheimer&amp;apos;s disease pathogenesis by  modulating microglial function&lt;/Title&gt;&lt;Template&gt;Journal Article&lt;/Template&gt;&lt;Star&gt;0&lt;/Star&gt;&lt;Tag&gt;0&lt;/Tag&gt;&lt;Author&gt;Marsh, S E; Abud, E M; Lakatos, A; Karimzadeh, A; Yeung, S T; Davtyan, H; Fote, G M; Lau, L; Weinger, J G; Lane, T E; Inlay, M A; Poon, W W; Blurton-Jones, M&lt;/Author&gt;&lt;Year&gt;2016&lt;/Year&gt;&lt;Details&gt;&lt;_accessed&gt;65618560&lt;/_accessed&gt;&lt;_accession_num&gt;26884167&lt;/_accession_num&gt;&lt;_author_adr&gt;Department of Neurobiology and Behavior, University of California, Irvine, CA  92697; Sue and Bill Gross Stem Cell Research Center, University of California,  Irvine, CA 92697;; Department of Neurobiology and Behavior, University of California, Irvine, CA  92697; Sue and Bill Gross Stem Cell Research Center, University of California,  Irvine, CA 92697;; Institute for Memory Impairments and Neurological Disorders, University of  California, Irvine, CA 92697;; Sue and Bill Gross Stem Cell Research Center, University of California, Irvine,  CA 92697; Department of Molecular Biology and Biochemistry, University of  California, Irvine, CA 92697;; Institute for Memory Impairments and Neurological Disorders, University of  California, Irvine, CA 92697;; Department of Molecular Immunology, Institute for Molecular Medicine, Huntington  Beach, CA 92647.; Department of Neurobiology and Behavior, University of California, Irvine, CA  92697; Sue and Bill Gross Stem Cell Research Center, University of California,  Irvine, CA 92697;; Institute for Memory Impairments and Neurological Disorders, University of  California, Irvine, CA 92697;; Department of Molecular Biology and Biochemistry, University of California,  Irvine, CA 92697;; Sue and Bill Gross Stem Cell Research Center, University of California, Irvine,  CA 92697; Institute for Memory Impairments and Neurological Disorders, University  of California, Irvine, CA 92697; Department of Molecular Biology and  Biochemistry, University of California, Irvine, CA 92697;; Sue and Bill Gross Stem Cell Research Center, University of California, Irvine,  CA 92697; Department of Molecular Biology and Biochemistry, University of  California, Irvine, CA 92697;; Institute for Memory Impairments and Neurological Disorders, University of  California, Irvine, CA 92697;; Department of Neurobiology and Behavior, University of California, Irvine, CA  92697; Sue and Bill Gross Stem Cell Research Center, University of California,  Irvine, CA 92697; Institute for Memory Impairments and Neurological Disorders,  University of California, Irvine, CA 92697; mblurton@uci.edu.&lt;/_author_adr&gt;&lt;_collection_scope&gt;SCIE&lt;/_collection_scope&gt;&lt;_created&gt;65146831&lt;/_created&gt;&lt;_date&gt;2016-03-01&lt;/_date&gt;&lt;_date_display&gt;2016 Mar 1&lt;/_date_display&gt;&lt;_db_updated&gt;PubMed&lt;/_db_updated&gt;&lt;_doi&gt;10.1073/pnas.1525466113&lt;/_doi&gt;&lt;_impact_factor&gt;  11.100&lt;/_impact_factor&gt;&lt;_isbn&gt;1091-6490 (Electronic); 0027-8424 (Print); 0027-8424 (Linking)&lt;/_isbn&gt;&lt;_issue&gt;9&lt;/_issue&gt;&lt;_journal&gt;Proc Natl Acad Sci U S A&lt;/_journal&gt;&lt;_keywords&gt;Alzheimer&amp;apos;s; IgG; amyloid; inflammation; microglia&lt;/_keywords&gt;&lt;_language&gt;eng&lt;/_language&gt;&lt;_modified&gt;65618560&lt;/_modified&gt;&lt;_pages&gt;E1316-25&lt;/_pages&gt;&lt;_social_category&gt;综合性期刊(1)&lt;/_social_category&gt;&lt;_subject_headings&gt;*Adaptation, Physiological; Alzheimer Disease/immunology/*physiopathology; Amyloid beta-Peptides/metabolism; Animals; Humans; Immunoglobulin G/blood; Mice; Microglia/*pathology; Phagocytosis&lt;/_subject_heading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26884167&amp;amp;query_hl=1&lt;/_url&gt;&lt;_volume&gt;113&lt;/_volume&gt;&lt;/Details&gt;&lt;Extra&gt;&lt;DBUID&gt;{F96A950B-833F-4880-A151-76DA2D6A2879}&lt;/DBUID&gt;&lt;/Extra&gt;&lt;/Item&gt;&lt;/References&gt;&lt;/Group&gt;&lt;/Citation&gt;_x000a_"/>
    <w:docVar w:name="NE.Ref{BCB2EB25-69D1-4C7F-BB14-961BAE9192C1}" w:val=" ADDIN NE.Ref.{BCB2EB25-69D1-4C7F-BB14-961BAE9192C1}&lt;Citation&gt;&lt;Group&gt;&lt;References&gt;&lt;Item&gt;&lt;ID&gt;986&lt;/ID&gt;&lt;UID&gt;{18C67721-F86A-44F9-BF89-614EAB80BBEE}&lt;/UID&gt;&lt;Title&gt;Age-dependent amyloid deposition is associated with white matter alterations in  cognitively normal adults during the adult life span&lt;/Title&gt;&lt;Template&gt;Journal Article&lt;/Template&gt;&lt;Star&gt;0&lt;/Star&gt;&lt;Tag&gt;0&lt;/Tag&gt;&lt;Author&gt;Caballero, MAA; Song, Z; Rubinski, A; Duering, M; Dichgans, M; Park, D C; Ewers, M&lt;/Author&gt;&lt;Year&gt;2020&lt;/Year&gt;&lt;Details&gt;&lt;_accessed&gt;64867622&lt;/_accessed&gt;&lt;_accession_num&gt;32147939&lt;/_accession_num&gt;&lt;_author_adr&gt;Institute for Stroke and Dementia Research, University Hospital, LMU Munich,  Munich, Germany.; Center for Vital Longevity, University of Texas at Dallas, Dallas, Texas.; Institute for Stroke and Dementia Research, University Hospital, LMU Munich,  Munich, Germany.; Institute for Stroke and Dementia Research, University Hospital, LMU Munich,  Munich, Germany.; Institute for Stroke and Dementia Research, University Hospital, LMU Munich,  Munich, Germany.; Munich Cluster for Systems Neurology (SyNergy), Munich, Germany.; Center for Vital Longevity, University of Texas at Dallas, Dallas, Texas.; Institute for Stroke and Dementia Research, University Hospital, LMU Munich,  Munich, Germany.&lt;/_author_adr&gt;&lt;_collection_scope&gt;SCIE&lt;/_collection_scope&gt;&lt;_created&gt;64867621&lt;/_created&gt;&lt;_date&gt;2020-04-01&lt;/_date&gt;&lt;_date_display&gt;2020 Apr&lt;/_date_display&gt;&lt;_db_updated&gt;PubMed&lt;/_db_updated&gt;&lt;_doi&gt;10.1002/alz.12062&lt;/_doi&gt;&lt;_impact_factor&gt;  16.655&lt;/_impact_factor&gt;&lt;_isbn&gt;1552-5279 (Electronic); 1552-5260 (Linking)&lt;/_isbn&gt;&lt;_issue&gt;4&lt;/_issue&gt;&lt;_journal&gt;Alzheimers Dement&lt;/_journal&gt;&lt;_keywords&gt;Alzheimer&amp;apos;s disease; amyloid beta; diffusion tensor imaging; life span; mean diffusivity; white matter; white matter hyperintensities&lt;/_keywords&gt;&lt;_language&gt;eng&lt;/_language&gt;&lt;_modified&gt;64867622&lt;/_modified&gt;&lt;_ori_publication&gt;(c) 2020 The Authors. Alzheimer&amp;apos;s &amp;amp; Dementia published by Wiley Periodicals, Inc. _x000d__x000a_      on behalf of Alzheimer&amp;apos;s Association.&lt;/_ori_publication&gt;&lt;_pages&gt;651-661&lt;/_pages&gt;&lt;_social_category&gt;医学(1)&lt;/_social_category&gt;&lt;_subject_headings&gt;Adult; Aged; Alzheimer Disease; Amyloid beta-Peptides/*metabolism; Cognition/*physiology; Diffusion Tensor Imaging; Female; *Healthy Volunteers; Humans; *Longevity; Male; Middle Aged; Neuropsychological Tests; Positron-Emission Tomography; White Matter/*metabolism&lt;/_subject_headings&gt;&lt;_tertiary_title&gt;Alzheimer&amp;apos;s &amp;amp; dementia : the journal of the Alzheimer&amp;apos;s Association&lt;/_tertiary_title&gt;&lt;_type_work&gt;Journal Article; Research Support, N.I.H., Extramural; Research Support, Non-U.S. Gov&amp;apos;t&lt;/_type_work&gt;&lt;_url&gt;http://www.ncbi.nlm.nih.gov/entrez/query.fcgi?cmd=Retrieve&amp;amp;db=pubmed&amp;amp;dopt=Abstract&amp;amp;list_uids=32147939&amp;amp;query_hl=1&lt;/_url&gt;&lt;_volume&gt;16&lt;/_volume&gt;&lt;/Details&gt;&lt;Extra&gt;&lt;DBUID&gt;{F96A950B-833F-4880-A151-76DA2D6A2879}&lt;/DBUID&gt;&lt;/Extra&gt;&lt;/Item&gt;&lt;/References&gt;&lt;/Group&gt;&lt;Group&gt;&lt;References&gt;&lt;Item&gt;&lt;ID&gt;987&lt;/ID&gt;&lt;UID&gt;{61D24822-6220-4A44-B11A-3A49AA0613C3}&lt;/UID&gt;&lt;Title&gt;Prevalence of cerebral amyloid pathology in persons without dementia: a  meta-analysis&lt;/Title&gt;&lt;Template&gt;Journal Article&lt;/Template&gt;&lt;Star&gt;0&lt;/Star&gt;&lt;Tag&gt;0&lt;/Tag&gt;&lt;Author&gt;Jansen, W J; Ossenkoppele, R; Knol, D L; Tijms, B M; Scheltens, P; Verhey, F R; Visser, P J; Aalten, P; Aarsland, D; Alcolea, D; Alexander, M; Almdahl, I S; Arnold, S E; Baldeiras, I; Barthel, H; van Berckel, B N; Bibeau, K; Blennow, K; Brooks, D J; van Buchem, M A; Camus, V; Cavedo, E; Chen, K; Chetelat, G; Cohen, A D; Drzezga, A; Engelborghs, S; Fagan, A M; Fladby, T; Fleisher, A S; van der Flier, W M; Ford, L; Forster, S; Fortea, J; Foskett, N; Frederiksen, K S; Freund-Levi, Y; Frisoni, G B; Froelich, L; Gabryelewicz, T; Gill, K D; Gkatzima, O; Gomez-Tortosa, E; Gordon, M F; Grimmer, T; Hampel, H; Hausner, L; Hellwig, S; Herukka, S K; Hildebrandt, H; Ishihara, L; Ivanoiu, A; Jagust, W J; Johannsen, P; Kandimalla, R; Kapaki, E; Klimkowicz-Mrowiec, A; Klunk, W E; Kohler, S; Koglin, N; Kornhuber, J; Kramberger, M G; Van Laere, K; Landau, S M; Lee, D Y; de Leon, M; Lisetti, V; Lleo, A; Madsen, K; Maier, W; Marcusson, J; Mattsson, N; de Mendonca, A; Meulenbroek, O; Meyer, P T; Mintun, M A; Mok, V; Molinuevo, J L; Mollergard, H M; Morris, J C; Mroczko, B; Van der Mussele, S; Na, D L; Newberg, A; Nordberg, A; Nordlund, A; Novak, G P; Paraskevas, G P; Parnetti, L; Perera, G; Peters, O; Popp, J; Prabhakar, S; Rabinovici, G D; Ramakers, I H; Rami, L; Resende, De Oliveira C; Rinne, J O; Rodrigue, K M; Rodriguez-Rodriguez, E; Roe, C M; Rot, U; Rowe, C C; Ruther, E; Sabri, O; Sanchez-Juan, P; Santana, I; Sarazin, M; Schroder, J; Schutte, C; Seo, S W; Soetewey, F; Soininen, H; Spiru, L; Struyfs, H; Teunissen, C E; Tsolaki, M; Vandenberghe, R; Verbeek, M M; Villemagne, V L; Vos, S J; van Waalwijk, Van Doorn LJ; Waldemar, G; Wallin, A; Wallin, A K; Wiltfang, J; Wolk, D A; Zboch, M; Zetterberg, H&lt;/Author&gt;&lt;Year&gt;2015&lt;/Year&gt;&lt;Details&gt;&lt;_accessed&gt;64867623&lt;/_accessed&gt;&lt;_accession_num&gt;25988462&lt;/_accession_num&gt;&lt;_author_adr&gt;Department of Psychiatry and Neuropsychology, School for Mental Health and  Neuroscience, Alzheimer Center Limburg, Maastricht University, Maastricht, the  Netherlands.; Department of Neurology and Alzheimer Center, VU University Medical Center,  Neuroscience Campus Amsterdam, Amsterdam, the Netherlands3Department of Radiology  and Nuclear Medicine, VU University Medical Center, Neuroscience Campus  Amsterdam, Amsterdam, the.; Department of Epidemiology and Biostatistics, VU University Medical Center,  Amsterdam, the Netherlands.; Department of Neurology and Alzheimer Center, VU University Medical Center,  Neuroscience Campus Amsterdam, Amsterdam, the Netherlands.; Department of Neurology and Alzheimer Center, VU University Medical Center,  Neuroscience Campus Amsterdam, Amsterdam, the Netherlands.; Department of Psychiatry and Neuropsychology, School for Mental Health and  Neuroscience, Alzheimer Center Limburg, Maastricht University, Maastricht, the  Netherlands.; Department of Psychiatry and Neuropsychology, School for Mental Health and  Neuroscience, Alzheimer Center Limburg, Maastricht University, Maastricht, the  Netherlands2Department of Neurology and Alzheimer Center, VU University Medical  Center, Neuroscience.; Department of Psychiatry and Neuropsychology, School for Mental Health and  Neuroscience, Alzheimer Center Limburg, Maastricht University, Maastricht, the  Netherlands.; Center for Age-Related Medicine, Stavanger University Hospital, Stavanger,  Norway.; Neurology Department, Hospital de Sant Pau, Barcelona, Spain.; Roche Products, Welwyn Garden City, United Kingdom.; Department of Neurology, Akershus University Hospital, Lorenskog, Norway.; Department of Neurology, University of Pennsylvania, Philadelphia.; Center for Neuroscience and Cell Biology, Faculty of Medicine, Hospital Center  University of Coimbra, Portugal.; Department of Nuclear Medicine, University of Leipzig, Leipzig, Germany.; Department of Radiology and Nuclear Medicine, VU University Medical Center,  Neuroscience Campus Amsterdam, Amsterdam, the Netherlands.; GlaxoSmithKline, Worldwide Epidemiology, Research Triangle Park, North Carolina.; Institute of Neuroscience and Physiology, Sahlgrenska Academy at University of  Gothenburg, Molndal, Sweden.; Division of Neuroscience, Medical Research Council Clinical Sciences Centre,  Imperial College London, London, United Kingdom.; Department of Radiology, Leiden University Medical Center, Leiden, the  Netherlands.; CHRU de Tours, CIC INSERM 1415, INSERM U930, and Universite Francois Rabelais de  Tours, Tours, France.; Laboratory of Epidemiology, Neuroimaging and Telemedicine, IRCCS San Giovanni di  Dio Fatebenefratelli, Brescia, Italy20Sorbonne University, University Pierre et  Marie Curie, Paris 06, Institut de la Memoire et de la Maladie d&amp;apos;Alzheimer (IM2A)  and Institut.; Banner Alzheimer&amp;apos;s Institute, Phoenix, Arizona.; Institut National de la Sante et de la Recherche Medicale (Inserm), U1077, Caen,  France.; University of Pittsburgh School of Medicine, Department of Psychiatry,  Pittsburgh, Pennsylvania.; Department of Nuclear Medicine, University of Cologne, Cologne, Germany.; Reference Center for Biological Markers of Dementia (BIODEM), University of  Antwerp, Antwerp, Belgium.; Knight Alzheimer&amp;apos;s Disease Research Center, Department of Neurology, Washington  University School of Medicine, St Louis, Missouri.; Department of Neurology, Akershus University Hospital, Lorenskog, Norway.; Banner Alzheimer&amp;apos;s Institute, Phoenix, Arizona27Eli Lilly, Indianapolis,  Indiana28Department of Neurosciences, University of California, San Diego.; Department of Neurology and Alzheimer Center, VU University Medical Center,  Neuroscience Campus Amsterdam, Amsterdam, the Netherlands6Department of  Epidemiology and Biostatistics, VU University Medical Center, Amsterdam, the  Netherlands.; Janssen Research and Development, Titusville, New Jersey.; Department of Nuclear Medicine, Technischen Universitaet Munchen, Munich,  Germany.; Neurology Department, Hospital de Sant Pau, Barcelona, Spain.; Roche Products, Welwyn Garden City, United Kingdom.; Danish Dementia Research Center, Department of Neurology, Rigshospitalet,  University of Copenhagen, Denmark.; Department of Geriatrics, Institution of NVS, Section of Clinical Geriatrics,  Karolinska Institutet, Stockholm, Sweden.; Laboratory of Epidemiology, Neuroimaging and Telemedicine, IRCCS San Giovanni di  Dio Fatebenefratelli, Brescia, Italy88Memory Clinic and LANVIE-Laboratory of  Neuroimaging of Aging, University Hospitals, and University of Geneva, Geneva,  Switzerland.; Department of Geriatric Psychiatry, Central Institute of Mental Health, Medical  Faculty Mannheim, University of Heidelberg, Mannheim, Germany.; Department of Neurodegenerative Disorders, Mossakowski Medical Research Centre  Polish Academy of Sciences, Warsaw, Poland.; Postgraduate Institute of Medical Education and Research (PGIMER), Department of  Biochemistry, Research Block-A, Chandigarh, India.; Third Department of Neurology, Aristotle University of Thessaloniki,  Thessaloniki, Greece.; Department of Neurology, Fundacion Jimenez Diaz, Madrid, Spain.; Boehringer Ingelheim Pharmaceuticals, Ridgefield, Connecticut.; Department of Psychiatry and Psychotherapy, Klinikum rechts der Isar der  Technischen Universitaet Munchen, Munich, Germany.; AXA Research Fund and UPMC ChairSorbonne Universites, Universite Pierre et Marie  Curie, Paris 06, Institut de la Memoire et de la Maladie d&amp;apos;Alzheimer and INSERM  U1127, Institut du Cerveau et de la Moelle epiniere (ICM), Departement de  Neurologie, Hopital.; Department of Geriatric Psychiatry, Central Institute of Mental Health, Medical  Faculty Mannheim, University of Heidelberg, Mannheim, Germany.; Center of Geriatrics and Gerontology, University Hospital Freiburg, Freiburg,  Germany.; Department of Neurology, University of Eastern Finland and Kuopio University  Hospital, Kuopio, Finland.; Center for Neurology, Hospital of Bremen-Ost, Bremen, Germany.; GlaxoSmithKline, Worldwide Epidemiology, Epidemiology, Genetic Epidemiology and  Neurology, United Kingdom.; Memory Clinic and Neurochemistry Laboratory, Saint Luc University Hospital,  Institute of Neuroscience, Universite catholique de Louvain, Brussels, Belgium.; Helen Wills Neuroscience Institute, University of California, Berkeley.; Memory Clinic, Danish Dementia Research Center, Rigshospitalet, Copenhagen,  Denmark.; Postgraduate Institute of Medical Education and Research (PGIMER), Department of  Biochemistry, Research Block-A, Chandigarh, India46Radiation Oncology, Emory  University, Atlanta, Georgia.; First Department of Neurology, Neurochemistry Unit and Cognitive and Movement  Disorders Clinic, National and Kapodistrian University of Athens, Eginition  Hospital, Athens, Greece.; Jagiellonian University College of Medicine, Krakow, Poland.; University of Pittsburgh School of Medicine, Department of Psychiatry,  Pittsburgh, Pennsylvania.; Department of Psychiatry and Neuropsychology, School for Mental Health and  Neuroscience, Alzheimer Center Limburg, Maastricht University, Maastricht, the  Netherlands.; Piramal Imaging, Berlin, Germany.; Department of Psychiatry and Psychotherapy, Friedrich-Alexander University of  Erlangen-Nuremberg, Erlangen, Germany.; Center for Cognitive Impairments, University Medical Centre Ljubljana, Ljubljana,  Slovenia.; Department of Imaging and Pathology, Catholic University Leuven, Leuven, Belgium.; Helen Wills Neuroscience Institute, University of California, Berkeley.; Department of Neuropsychiatry, Seoul National University, College of Medicine,  Seoul, South Korea.; School of Medicine, Center for Brain Health, New York University, New York.; Section of Neurology, Center for Memory Disturbances, University of Perugia,  Perugia, Italy.; Neurology Department, Hospital de Sant Pau, Barcelona, Spain.; Neurobiology Research Unit, Copenhagen University Hospital, Copenhagen, Denmark.; Department of Psychiatry and Psychotherapy, University of Bonn, German Center for  Neurodegenerative Diseases (DZNE), Bonn, Germany.; Geriatric Medicine, Department of Clinical and Experimental Medicine, University  of Linkoping, Linkoping, Sweden.; Clinical Memory Research Unit, Clinical Sciences Malmo, Lund University, Lund,  Sweden.; Institute of Molecular Medicine and Faculty of Medicine, University of Lisbon,  Portugal.; Department of Geriatric Medicine, Radboud Alzheimer Center, Radboud University  Medical Center, Nijmegen, the Netherlands.; Department of Nuclear Medicine, University Hospital Freiburg, Freiburg, Germany.; Avid Radiopharmaceuticals, Philadelphia, Pennsylvania.; Lui Che Woo Institute of Innovative Medicine, Department of Medicine and  Therapeutics, The Chinese University of Hong Kong, Hong Kong SAR, China.; Alzheimer&amp;apos;s Disease and Other Cognitive Disorders Unit, IDIBAPS, Clinic  University Hospital, Barcelona, Spain.; Department of Neurology, Akershus University Hospital, Lorenskog, Norway.; Knight Alzheimer&amp;apos;s Disease Research Center, Department of Neurology, Washington  University School of Medicine, St Louis, Missouri.; Department of Neurodegeneration Diagnostics, Leading National Research Centre in  Bialystok (KNOW), Medical University of Bialystok, Bialystok, Poland.; Reference Center for Biological Markers of Dementia (BIODEM), University of  Antwerp, Antwerp, Belgium.; Department of Neurology, Samsung Medical Center, Sungkyunkwan University School  of Medicine, Seoul, Korea.; Myrna Brind Center of Integrative Medicine, Thomas Jefferson University and  Hospital, Philadelphia, Pennsylvania.; Dept NVS, Center for Alzheimer, Translational Alzheimer Neurobiology, Karolinska  Institutet, and Geriatric Medicine, Karolinska University Hospital, Stockholm,  Sweden.; Institute of Neuroscience and Physiology, Sahlgrenska Academy at University of  Gothenburg, Molndal, Sweden.; Janssen Research and Development, Titusville, New Jersey.; First Department of Neurology, Neurochemistry Unit and Cognitive and Movement  Disorders Clinic, National and Kapodistrian University of Athens, Eginition  Hospital, Athens, Greece.; Section of Neurology, Center for Memory Disturbances, University of Perugia,  Perugia, Italy.; Roche Products, Welwyn Garden City, United Kingdom69Department of Psychological  Medicine, Institute of Psychiatry, Kings College London, London, United Kingdom.; Department of Psychiatry and Psychotherapy, Charite Berlin, German Center for  Neurodegenrative Diseases (DZNE), Berlin, Germany.; Department of Psychiatry, Service of Old Age Psychiatry and Department of  Clinical Neurosciences, Leenaards Memory Centre, University Hospital of Lausanne,  Lausanne, Switzerland.; Postgraduate Institute of Medical Education and Research (PGIMER), Department of  Neurology, Nehru Hospital, Chandigarh, India.; Department of Neurology, Memory and Aging Center, University of California, San  Francisco.; Department of Psychiatry and Neuropsychology, School for Mental Health and  Neuroscience, Alzheimer Center Limburg, Maastricht University, Maastricht, the  Netherlands.; Alzheimer&amp;apos;s Disease and Other Cognitive Disorders Unit, IDIBAPS, Clinic  University Hospital, Barcelona, Spain.; Center for Neuroscience and Cell Biology, Faculty of Medicine, Hospital Center  University of Coimbra, Portugal.; Turku PET Centre and Division of Clinical Neurosciences Turku, University of  Turku and Turku University Hospital, Turku, Finland.; Center for Vital Longevity, University of Texas at Dallas.; Neurology Service, Universitary Hospital Marques de Valdecilla, IDIVAL,  Santander, Spain.; Knight Alzheimer&amp;apos;s Disease Research Center, Department of Neurology, Washington  University School of Medicine, St Louis, Missouri.; Center for Cognitive Impairments, University Medical Centre Ljubljana, Ljubljana,  Slovenia.; Department of Nuclear Medicine and Centre for PET, Austin Health, Melbourne,  Australia.; Department of Psychiatry and Psychotherapy, University Medical Center,  Georg-August University, Gottingen, Germany.; Department of Nuclear Medicine, University of Leipzig, Leipzig, Germany.; Neurology Service, Universitary Hospital Marques de Valdecilla, IDIVAL,  Santander, Spain.; Center for Neuroscience and Cell Biology, Faculty of Medicine, Hospital Center  University of Coimbra, Portugal.; Neurologie de la Memoire et du Langage, Centre Hospitalier Sainte-Anne,  Universite Paris 5, Paris, France.; Sektion Gerontopsychiatrie, Universitat Heidelberg, Heidelberg, Germany.; Center for Neurology, Hospital of Bremen-Ost, Bremen, Germany.; Department of Neurology, Samsung Medical Center, Sungkyunkwan University School  of Medicine, Seoul, Korea.; Reference Center for Biological Markers of Dementia (BIODEM), University of  Antwerp, Antwerp, Belgium.; Department of Neurology, University of Eastern Finland and Kuopio University  Hospital, Kuopio, Finland.; Department of Geriatrics-Gerontology-Gerontopsychiatry, Carol Davila University  of Medicine and Pharmacy, Bucharest, Romania.; Reference Center for Biological Markers of Dementia (BIODEM), University of  Antwerp, Antwerp, Belgium.; Neurochemistry Laboratory and Biobank, Department of Clinical Chemistry,  Neuroscience Campus Amsterdam, VU University Medical Center, Amsterdam, the  Netherlands.; Third Department of Neurology, Aristotle University of Thessaloniki,  Thessaloniki, Greece.; Laboratory for Cognitive Neurology and Alzheimer Research Centre KU Leuven,  Catholic University Leuven, Leuven, Belgium.; Departments of Neurology and Laboratory Medicine, Donders Institute for Brain,  Cognition and Behaviour, Radboud Alzheimer Center, Radboud University Medical  Center, Nijmegen, the Netherlands.; Department of Nuclear Medicine and Centre for PET, Austin Health, Melbourne,  Australia.; Department of Psychiatry and Neuropsychology, School for Mental Health and  Neuroscience, Alzheimer Center Limburg, Maastricht University, Maastricht, the  Netherlands.; Departments of Neurology and Laboratory Medicine, Donders Institute for Brain,  Cognition and Behaviour, Radboud Alzheimer Center, Radboud University Medical  Center, Nijmegen, the Netherlands.; Danish Dementia Research Center, Department of Neurology, Rigshospitalet,  University of Copenhagen, Denmark.; Institute of Neuroscience and Physiology, Sahlgrenska Academy at University of  Gothenburg, Molndal, Sweden.; Clinical Memory Research Unit, Clinical Sciences Malmo, Lund University, Lund,  Sweden.; Department of Psychiatry and Psychotherapy, University Medical Center,  Georg-August University, Gottingen, Germany.; Department of Neurology, University of Pennsylvania, Philadelphia.; Alzheimer Center, Wroclaw Medical University, Scinawa, Poland.; Institute of Neuroscience and Physiology, Sahlgrenska Academy at University of  Gothenburg, Molndal, Sweden87UCL Institute of Neurology, Queen Square, London,  United Kingdom.&lt;/_author_adr&gt;&lt;_collection_scope&gt;SCIE&lt;/_collection_scope&gt;&lt;_created&gt;64867622&lt;/_created&gt;&lt;_date&gt;2015-05-19&lt;/_date&gt;&lt;_date_display&gt;2015 May 19&lt;/_date_display&gt;&lt;_db_updated&gt;PubMed&lt;/_db_updated&gt;&lt;_doi&gt;10.1001/jama.2015.4668&lt;/_doi&gt;&lt;_impact_factor&gt; 157.335&lt;/_impact_factor&gt;&lt;_isbn&gt;1538-3598 (Electronic); 0098-7484 (Print); 0098-7484 (Linking)&lt;/_isbn&gt;&lt;_issue&gt;19&lt;/_issue&gt;&lt;_journal&gt;JAMA&lt;/_journal&gt;&lt;_language&gt;eng&lt;/_language&gt;&lt;_modified&gt;64867623&lt;/_modified&gt;&lt;_pages&gt;1924-38&lt;/_pages&gt;&lt;_social_category&gt;医学(1)&lt;/_social_category&gt;&lt;_subject_headings&gt;Adult; Age Factors; Aged; Aged, 80 and over; Amyloid beta-Peptides/*analysis; Apolipoprotein E4/*genetics; Biomarkers/analysis; Brain/*pathology; Cerebrospinal Fluid/chemistry; Cognitive Dysfunction/*pathology; Dementia/pathology; Female; Genotype; Humans; Male; Middle Aged; Positron-Emission Tomography; Prevalence; Risk Factors&lt;/_subject_headings&gt;&lt;_tertiary_title&gt;JAMA&lt;/_tertiary_title&gt;&lt;_type_work&gt;Journal Article; Meta-Analysis; Research Support, N.I.H., Extramural; Research Support, Non-U.S. Gov&amp;apos;t; Research Support, U.S. Gov&amp;apos;t, Non-P.H.S.&lt;/_type_work&gt;&lt;_url&gt;http://www.ncbi.nlm.nih.gov/entrez/query.fcgi?cmd=Retrieve&amp;amp;db=pubmed&amp;amp;dopt=Abstract&amp;amp;list_uids=25988462&amp;amp;query_hl=1&lt;/_url&gt;&lt;_volume&gt;313&lt;/_volume&gt;&lt;/Details&gt;&lt;Extra&gt;&lt;DBUID&gt;{F96A950B-833F-4880-A151-76DA2D6A2879}&lt;/DBUID&gt;&lt;/Extra&gt;&lt;/Item&gt;&lt;/References&gt;&lt;/Group&gt;&lt;Group&gt;&lt;References&gt;&lt;Item&gt;&lt;ID&gt;988&lt;/ID&gt;&lt;UID&gt;{838607D8-032B-4526-8283-74FDC73D3555}&lt;/UID&gt;&lt;Title&gt;Age-specific population frequencies of cerebral beta-amyloidosis and  neurodegeneration among people with normal cognitive function aged 50-89 years: a  cross-sectional study&lt;/Title&gt;&lt;Template&gt;Journal Article&lt;/Template&gt;&lt;Star&gt;0&lt;/Star&gt;&lt;Tag&gt;0&lt;/Tag&gt;&lt;Author&gt;Jack, CR Jr; Wiste, H J; Weigand, S D; Rocca, W A; Knopman, D S; Mielke, M M; Lowe, V J; Senjem, M L; Gunter, J L; Preboske, G M; Pankratz, V S; Vemuri, P; Petersen, R C&lt;/Author&gt;&lt;Year&gt;2014&lt;/Year&gt;&lt;Details&gt;&lt;_accessed&gt;64914803&lt;/_accessed&gt;&lt;_accession_num&gt;25201514&lt;/_accession_num&gt;&lt;_author_adr&gt;Department of Radiology, Mayo Clinic and Foundation, Rochester, MN, USA.  Electronic address: jack.clifford@mayo.edu.; Department of Health Sciences Research, Mayo Clinic and Foundation, Rochester,  MN, USA.; Department of Health Sciences Research, Mayo Clinic and Foundation, Rochester,  MN, USA.; Department of Health Sciences Research, Mayo Clinic and Foundation, Rochester,  MN, USA; Department of Neurology, Mayo Clinic and Foundation, Rochester, MN, USA.; Department of Neurology, Mayo Clinic and Foundation, Rochester, MN, USA.; Department of Health Sciences Research, Mayo Clinic and Foundation, Rochester,  MN, USA.; Department of Radiology, Mayo Clinic and Foundation, Rochester, MN, USA.; Department of Radiology, Mayo Clinic and Foundation, Rochester, MN, USA.; Department of Radiology, Mayo Clinic and Foundation, Rochester, MN, USA.; Department of Radiology, Mayo Clinic and Foundation, Rochester, MN, USA.; Department of Health Sciences Research, Mayo Clinic and Foundation, Rochester,  MN, USA.; Department of Radiology, Mayo Clinic and Foundation, Rochester, MN, USA.; Department of Neurology, Mayo Clinic and Foundation, Rochester, MN, USA.&lt;/_author_adr&gt;&lt;_collection_scope&gt;SCIE&lt;/_collection_scope&gt;&lt;_created&gt;64867622&lt;/_created&gt;&lt;_date&gt;2014-10-01&lt;/_date&gt;&lt;_date_display&gt;2014 Oct&lt;/_date_display&gt;&lt;_db_updated&gt;PubMed&lt;/_db_updated&gt;&lt;_doi&gt;10.1016/S1474-4422(14)70194-2&lt;/_doi&gt;&lt;_impact_factor&gt;  59.935&lt;/_impact_factor&gt;&lt;_isbn&gt;1474-4465 (Electronic); 1474-4422 (Print); 1474-4422 (Linking)&lt;/_isbn&gt;&lt;_issue&gt;10&lt;/_issue&gt;&lt;_journal&gt;Lancet Neurol&lt;/_journal&gt;&lt;_language&gt;eng&lt;/_language&gt;&lt;_modified&gt;64914803&lt;/_modified&gt;&lt;_ori_publication&gt;Copyright (c) 2014 Elsevier Ltd. All rights reserved.&lt;/_ori_publication&gt;&lt;_pages&gt;997-1005&lt;/_pages&gt;&lt;_social_category&gt;医学(1)&lt;/_social_category&gt;&lt;_subject_headings&gt;Age Distribution; Aged; Aged, 80 and over; Alzheimer Disease/epidemiology/psychology; Amyloidosis/diagnostic imaging/*epidemiology/*psychology; Aniline Compounds; Apolipoproteins E/genetics; Cognition/*physiology; Cohort Studies; Cross-Sectional Studies; DNA/genetics/isolation &amp;amp; purification; Educational Status; Female; Humans; Male; Middle Aged; Neurodegenerative Diseases/diagnostic imaging/*epidemiology/*psychology; Neuropsychological Tests; Positron-Emission Tomography; Radiopharmaceuticals; Thiazoles; Verbal Learning&lt;/_subject_headings&gt;&lt;_tertiary_title&gt;The Lancet. Neurology&lt;/_tertiary_title&gt;&lt;_type_work&gt;Journal Article; Research Support, N.I.H., Extramural; Research Support, Non-U.S. Gov&amp;apos;t&lt;/_type_work&gt;&lt;_url&gt;http://www.ncbi.nlm.nih.gov/entrez/query.fcgi?cmd=Retrieve&amp;amp;db=pubmed&amp;amp;dopt=Abstract&amp;amp;list_uids=25201514&amp;amp;query_hl=1&lt;/_url&gt;&lt;_volume&gt;13&lt;/_volume&gt;&lt;/Details&gt;&lt;Extra&gt;&lt;DBUID&gt;{F96A950B-833F-4880-A151-76DA2D6A2879}&lt;/DBUID&gt;&lt;/Extra&gt;&lt;/Item&gt;&lt;/References&gt;&lt;/Group&gt;&lt;/Citation&gt;_x000a_"/>
    <w:docVar w:name="NE.Ref{BD08AEFC-B918-49EF-93D6-E92E6E5C517C}" w:val=" ADDIN NE.Ref.{BD08AEFC-B918-49EF-93D6-E92E6E5C517C}&lt;Citation&gt;&lt;Group&gt;&lt;References&gt;&lt;Item&gt;&lt;ID&gt;979&lt;/ID&gt;&lt;UID&gt;{E8476B29-B6B4-43DE-8CB9-BF10D806B78B}&lt;/UID&gt;&lt;Title&gt;Curcumin Ameliorates Memory Decline via Inhibiting BACE1 Expression and beta-Amyloid  Pathology in 5xFAD Transgenic Mice&lt;/Title&gt;&lt;Template&gt;Journal Article&lt;/Template&gt;&lt;Star&gt;0&lt;/Star&gt;&lt;Tag&gt;0&lt;/Tag&gt;&lt;Author&gt;Zheng, K; Dai, X; Xiao, N; Wu, X; Wei, Z; Fang, W; Zhu, Y; Zhang, J; Chen, X&lt;/Author&gt;&lt;Year&gt;2017&lt;/Year&gt;&lt;Details&gt;&lt;_accessed&gt;64867616&lt;/_accessed&gt;&lt;_accession_num&gt;26910813&lt;/_accession_num&gt;&lt;_author_adr&gt;Department of Neurology and Geriatrics, Fujian Institute of Geriatrics,  Affiliated Union Hospital of Fujian Medical University, 29 Xinquan Road, Fuzhou,  Fujian, 350001, People&amp;apos;s Republic of China.; Key Laboratory of Brain Aging and Neurodegenerative Diseases, Fujian Key  Laboratory of Molecular Neurology, Fujian Medical University, 29 Xinquan Road,  Fuzhou, 350001, China.; Department of Neurology, The First Affiliated Hospital of Xiamen University,  Xiamen, 361000, China.; Department of Neurology and Geriatrics, Fujian Institute of Geriatrics,  Affiliated Union Hospital of Fujian Medical University, 29 Xinquan Road, Fuzhou,  Fujian, 350001, People&amp;apos;s Republic of China.; Key Laboratory of Brain Aging and Neurodegenerative Diseases, Fujian Key  Laboratory of Molecular Neurology, Fujian Medical University, 29 Xinquan Road,  Fuzhou, 350001, China.; Key Laboratory of Brain Aging and Neurodegenerative Diseases, Fujian Key  Laboratory of Molecular Neurology, Fujian Medical University, 29 Xinquan Road,  Fuzhou, 350001, China.; Department of Neurology, The First Affiliated Hospital of Xiamen University,  Xiamen, 361000, China.; Key Laboratory of Brain Aging and Neurodegenerative Diseases, Fujian Key  Laboratory of Molecular Neurology, Fujian Medical University, 29 Xinquan Road,  Fuzhou, 350001, China.; Key Laboratory of Brain Aging and Neurodegenerative Diseases, Fujian Key  Laboratory of Molecular Neurology, Fujian Medical University, 29 Xinquan Road,  Fuzhou, 350001, China.; Key Laboratory of Brain Aging and Neurodegenerative Diseases, Fujian Key  Laboratory of Molecular Neurology, Fujian Medical University, 29 Xinquan Road,  Fuzhou, 350001, China.; Department of Neurology and Geriatrics, Fujian Institute of Geriatrics,  Affiliated Union Hospital of Fujian Medical University, 29 Xinquan Road, Fuzhou,  Fujian, 350001, People&amp;apos;s Republic of China.; Key Laboratory of Brain Aging and Neurodegenerative Diseases, Fujian Key  Laboratory of Molecular Neurology, Fujian Medical University, 29 Xinquan Road,  Fuzhou, 350001, China.; Department of Neurology and Geriatrics, Fujian Institute of Geriatrics,  Affiliated Union Hospital of Fujian Medical University, 29 Xinquan Road, Fuzhou,  Fujian, 350001, People&amp;apos;s Republic of China. drzj@163.com.; Key Laboratory of Brain Aging and Neurodegenerative Diseases, Fujian Key  Laboratory of Molecular Neurology, Fujian Medical University, 29 Xinquan Road,  Fuzhou, 350001, China. drzj@163.com.; Department of Neurology and Geriatrics, Fujian Institute of Geriatrics,  Affiliated Union Hospital of Fujian Medical University, 29 Xinquan Road, Fuzhou,  Fujian, 350001, People&amp;apos;s Republic of China. chenxc998@163.com.; Key Laboratory of Brain Aging and Neurodegenerative Diseases, Fujian Key  Laboratory of Molecular Neurology, Fujian Medical University, 29 Xinquan Road,  Fuzhou, 350001, China. chenxc998@163.com.&lt;/_author_adr&gt;&lt;_collection_scope&gt;SCIE&lt;/_collection_scope&gt;&lt;_created&gt;64867608&lt;/_created&gt;&lt;_date&gt;2017-04-01&lt;/_date&gt;&lt;_date_display&gt;2017 Apr&lt;/_date_display&gt;&lt;_db_updated&gt;PubMed&lt;/_db_updated&gt;&lt;_doi&gt;10.1007/s12035-016-9802-9&lt;/_doi&gt;&lt;_impact_factor&gt;   5.682&lt;/_impact_factor&gt;&lt;_isbn&gt;1559-1182 (Electronic); 0893-7648 (Linking)&lt;/_isbn&gt;&lt;_issue&gt;3&lt;/_issue&gt;&lt;_journal&gt;Mol Neurobiol&lt;/_journal&gt;&lt;_keywords&gt;Alzheimer&amp;apos;s disease (AD); Curcumin; beta-Amyloid protein (Abeta); beta-Site amyloid precursor protein cleavage enzyme 1 (BACE1)&lt;/_keywords&gt;&lt;_language&gt;eng&lt;/_language&gt;&lt;_modified&gt;64867616&lt;/_modified&gt;&lt;_pages&gt;1967-1977&lt;/_pages&gt;&lt;_social_category&gt;医学(2)&lt;/_social_category&gt;&lt;_subject_headings&gt;Amyloid Precursor Protein Secretases/*antagonists &amp;amp; _x000d__x000a_      inhibitors/*biosynthesis/genetics; Amyloid beta-Peptides/*antagonists &amp;amp; inhibitors/*metabolism; Animals; Anti-Inflammatory Agents, Non-Steroidal/pharmacology/therapeutic use; Aspartic Acid Endopeptidases/*antagonists &amp;amp; inhibitors/*biosynthesis/genetics; Curcumin/pharmacology/*therapeutic use; Gene Expression; Male; Memory Disorders/drug therapy/*metabolism/pathology; Mice; Mice, Inbred C57BL; Mice, Transgenic; Peptide Fragments/*antagonists &amp;amp; inhibitors/*metabolism&lt;/_subject_headings&gt;&lt;_tertiary_title&gt;Molecular neurobiology&lt;/_tertiary_title&gt;&lt;_type_work&gt;Journal Article; Research Support, Non-U.S. Gov&amp;apos;t&lt;/_type_work&gt;&lt;_url&gt;http://www.ncbi.nlm.nih.gov/entrez/query.fcgi?cmd=Retrieve&amp;amp;db=pubmed&amp;amp;dopt=Abstract&amp;amp;list_uids=26910813&amp;amp;query_hl=1&lt;/_url&gt;&lt;_volume&gt;54&lt;/_volume&gt;&lt;/Details&gt;&lt;Extra&gt;&lt;DBUID&gt;{F96A950B-833F-4880-A151-76DA2D6A2879}&lt;/DBUID&gt;&lt;/Extra&gt;&lt;/Item&gt;&lt;/References&gt;&lt;/Group&gt;&lt;/Citation&gt;_x000a_"/>
    <w:docVar w:name="NE.Ref{C41EF30C-4EE5-41E7-A08D-4259B4EE0BAC}" w:val=" ADDIN NE.Ref.{C41EF30C-4EE5-41E7-A08D-4259B4EE0BAC}&lt;Citation&gt;&lt;Group&gt;&lt;References&gt;&lt;Item&gt;&lt;ID&gt;969&lt;/ID&gt;&lt;UID&gt;{975C8588-57CB-4956-94E0-BFDAD46B44B7}&lt;/UID&gt;&lt;Title&gt;Molecular mechanisms controlling age-associated B cells in autoimmunity&lt;/Title&gt;&lt;Template&gt;Journal Article&lt;/Template&gt;&lt;Star&gt;0&lt;/Star&gt;&lt;Tag&gt;0&lt;/Tag&gt;&lt;Author&gt;Phalke, S; Rivera-Correa, J; Jenkins, D; Flores, Castro D; Giannopoulou, E; Pernis, A B&lt;/Author&gt;&lt;Year&gt;2022&lt;/Year&gt;&lt;Details&gt;&lt;_accessed&gt;64867588&lt;/_accessed&gt;&lt;_accession_num&gt;35102602&lt;/_accession_num&gt;&lt;_author_adr&gt;Autoimmunity and Inflammation Program, Hospital for Special Surgery, New York,  New York, USA.; Autoimmunity and Inflammation Program, Hospital for Special Surgery, New York,  New York, USA.; Autoimmunity and Inflammation Program, Hospital for Special Surgery, New York,  New York, USA.; Autoimmunity and Inflammation Program, Hospital for Special Surgery, New York,  New York, USA.; Arthritis and Tissue Degeneration Program, Hospital for Special Surgery, New  York, New York, USA.; Biological Sciences Department, New York City College of Technology, City  University of New York, Brooklyn, New York, USA.; David Z. Rosensweig Genomics Research Center, Hospital for Special Surgery, New  York, New York, USA.; Autoimmunity and Inflammation Program, Hospital for Special Surgery, New York,  New York, USA.; David Z. Rosensweig Genomics Research Center, Hospital for Special Surgery, New  York, New York, USA.; Department of Medicine, Weill Cornell Medicine, New York, New York, USA.; Immunology &amp;amp; Microbial Pathogenesis, Weill Cornell Medicine, New York, New York,  USA.&lt;/_author_adr&gt;&lt;_collection_scope&gt;SCIE&lt;/_collection_scope&gt;&lt;_created&gt;64867585&lt;/_created&gt;&lt;_date&gt;2022-05-01&lt;/_date&gt;&lt;_date_display&gt;2022 May&lt;/_date_display&gt;&lt;_db_updated&gt;PubMed&lt;/_db_updated&gt;&lt;_doi&gt;10.1111/imr.13068&lt;/_doi&gt;&lt;_impact_factor&gt;  10.983&lt;/_impact_factor&gt;&lt;_isbn&gt;1600-065X (Electronic); 0105-2896 (Linking)&lt;/_isbn&gt;&lt;_issue&gt;1&lt;/_issue&gt;&lt;_journal&gt;Immunol Rev&lt;/_journal&gt;&lt;_keywords&gt;CD11c+T-bet+; Def6; IRF; IRF5; IRF8; SWAP-70; SWEF; T-bet; age-associated B cells&lt;/_keywords&gt;&lt;_language&gt;eng&lt;/_language&gt;&lt;_modified&gt;64867588&lt;/_modified&gt;&lt;_ori_publication&gt;(c) 2022 John Wiley &amp;amp; Sons A/S. Published by John Wiley &amp;amp; Sons Ltd.&lt;/_ori_publication&gt;&lt;_pages&gt;79-100&lt;/_pages&gt;&lt;_social_category&gt;医学(1)&lt;/_social_category&gt;&lt;_subject_headings&gt;Aging; *Autoimmune Diseases/therapy; *Autoimmunity; B-Lymphocytes; CD11c Antigen; Female; Humans; Male&lt;/_subject_headings&gt;&lt;_tertiary_title&gt;Immunological reviews&lt;/_tertiary_title&gt;&lt;_type_work&gt;Journal Article; Research Support, N.I.H., Extramural; Research Support, Non-U.S. Gov&amp;apos;t; Review&lt;/_type_work&gt;&lt;_url&gt;http://www.ncbi.nlm.nih.gov/entrez/query.fcgi?cmd=Retrieve&amp;amp;db=pubmed&amp;amp;dopt=Abstract&amp;amp;list_uids=35102602&amp;amp;query_hl=1&lt;/_url&gt;&lt;_volume&gt;307&lt;/_volume&gt;&lt;/Details&gt;&lt;Extra&gt;&lt;DBUID&gt;{F96A950B-833F-4880-A151-76DA2D6A2879}&lt;/DBUID&gt;&lt;/Extra&gt;&lt;/Item&gt;&lt;/References&gt;&lt;/Group&gt;&lt;/Citation&gt;_x000a_"/>
    <w:docVar w:name="NE.Ref{C50337FD-9A5F-453B-89EF-DDEB8EF9C1E9}" w:val=" ADDIN NE.Ref.{C50337FD-9A5F-453B-89EF-DDEB8EF9C1E9}&lt;Citation&gt;&lt;Group&gt;&lt;References&gt;&lt;Item&gt;&lt;ID&gt;896&lt;/ID&gt;&lt;UID&gt;{9B449911-0167-4D0D-84B2-ABDDFE7A9461}&lt;/UID&gt;&lt;Title&gt;Skull and vertebral bone marrow are myeloid cell reservoirs for the meninges and CNS parenchyma&lt;/Title&gt;&lt;Template&gt;Journal Article&lt;/Template&gt;&lt;Star&gt;0&lt;/Star&gt;&lt;Tag&gt;0&lt;/Tag&gt;&lt;Author&gt;Cugurra, Andrea; Mamuladze, Tornike; Rustenhoven, Justin; Dykstra, Taitea; Beroshvili, Giorgi; Greenberg, Zev J; Baker, Wendy; Papadopoulos, Zach; Drieu, Antoine; Blackburn, Susan; Kanamori, Mitsuhiro; Brioschi, Simone; Herz, Jasmin; Schuettpelz, Laura G; Colonna, Marco; Smirnov, Igor; Kipnis, Jonathan&lt;/Author&gt;&lt;Year&gt;2021&lt;/Year&gt;&lt;Details&gt;&lt;_accessed&gt;65613235&lt;/_accessed&gt;&lt;_accession_num&gt;34083447&lt;/_accession_num&gt;&lt;_author_adr&gt;Gutenberg Research Fellowship Group of Neuroimmunology, Focus Program Translational Neuroscience (FTN) and Immunotherapy (FZI), Rhine Main Neuroscience Network (rmn), University Medical Center of the Johannes Gutenberg University Mainz, Mainz, Germany.; Department of Neuroscience, School of Medicine, University of Virginia, Charlottesville, VA,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Pathology and Immunology, Washington University in St. Louis, St. Louis, MO, USA.; Department of Pathology and Immunology, Washington University in St. Louis, St. Louis, MO, USA.; Gutenberg Research Fellowship Group of Neuroimmunology, Focus Program Translational Neuroscience (FTN) and Immunotherapy (FZI), Rhine Main Neuroscience Network (rmn), University Medical Center of the Johannes Gutenberg University Mainz, Mainz, Germany. kipnis@wustl.edu.;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lt;/_author_adr&gt;&lt;_collection_scope&gt;SCI;SCIE&lt;/_collection_scope&gt;&lt;_created&gt;64239024&lt;/_created&gt;&lt;_date&gt;63933120&lt;/_date&gt;&lt;_date_display&gt;2021 Jul 23&lt;/_date_display&gt;&lt;_db_updated&gt;CrossRef&lt;/_db_updated&gt;&lt;_doi&gt;10.1126/science.abf7844&lt;/_doi&gt;&lt;_impact_factor&gt;  56.900&lt;/_impact_factor&gt;&lt;_isbn&gt;0036-8075&lt;/_isbn&gt;&lt;_issue&gt;6553&lt;/_issue&gt;&lt;_journal&gt;Science&lt;/_journal&gt;&lt;_language&gt;eng&lt;/_language&gt;&lt;_modified&gt;64254127&lt;/_modified&gt;&lt;_ori_publication&gt;Copyright (c) 2021 The Authors, some rights reserved; exclusive licensee American_x000d__x000a_      Association for the Advancement of Science. No claim to original U.S. Government _x000d__x000a_      Works.&lt;/_ori_publication&gt;&lt;_subject_headings&gt;Animals; Bone Marrow/physiology; Bone Marrow Cells/*physiology; Brain/cytology/immunology/physiology; Cell Movement; Central Nervous System/cytology/*immunology; Central Nervous System Diseases/*immunology/pathology; Dura Mater/cytology/immunology/physiology; Encephalomyelitis, Autoimmune, Experimental/immunology/pathology; Homeostasis; Meninges/cytology/*immunology/physiology; Mice; Monocytes/physiology; Myeloid Cells/*physiology; Neutrophils/physiology; Skull/*anatomy &amp;amp; histology; Spinal Cord/cytology/immunology/physiology; Spinal Cord Injuries/immunology/pathology; Spine/*anatomy &amp;amp; histology&lt;/_subject_headings&gt;&lt;_tertiary_title&gt;Science&lt;/_tertiary_title&gt;&lt;_type_work&gt;Journal Article; Research Support, N.I.H., Extramural&lt;/_type_work&gt;&lt;_url&gt;https://www.science.org/doi/10.1126/science.abf7844_x000d__x000a_https://syndication.highwire.org/content/doi/10.1126/science.abf7844&lt;/_url&gt;&lt;_volume&gt;373&lt;/_volume&gt;&lt;_social_category&gt;综合性期刊(1)&lt;/_social_category&gt;&lt;/Details&gt;&lt;Extra&gt;&lt;DBUID&gt;{F96A950B-833F-4880-A151-76DA2D6A2879}&lt;/DBUID&gt;&lt;/Extra&gt;&lt;/Item&gt;&lt;/References&gt;&lt;/Group&gt;&lt;/Citation&gt;_x000a_"/>
    <w:docVar w:name="NE.Ref{CB32E54A-42DF-4E76-B061-899A8DCDAD22}" w:val=" ADDIN NE.Ref.{CB32E54A-42DF-4E76-B061-899A8DCDAD22}&lt;Citation&gt;&lt;Group&gt;&lt;References&gt;&lt;Item&gt;&lt;ID&gt;1009&lt;/ID&gt;&lt;UID&gt;{C28363D6-B035-407D-AC80-F84732E42C36}&lt;/UID&gt;&lt;Title&gt;Comparative Risk of Alzheimer Disease and Related Dementia Among Medicare  Beneficiaries With Rheumatoid Arthritis Treated With Targeted Disease-Modifying  Antirheumatic Agents&lt;/Title&gt;&lt;Template&gt;Journal Article&lt;/Template&gt;&lt;Star&gt;0&lt;/Star&gt;&lt;Tag&gt;0&lt;/Tag&gt;&lt;Author&gt;Desai, R J; Varma, V R; Gerhard, T; Segal, J; Mahesri, M; Chin, K; Horton, D B; Kim, S C; Schneeweiss, S; Thambisetty, M&lt;/Author&gt;&lt;Year&gt;2022&lt;/Year&gt;&lt;Details&gt;&lt;_accessed&gt;65613358&lt;/_accessed&gt;&lt;_accession_num&gt;35394510&lt;/_accession_num&gt;&lt;_author_adr&gt;Division of Pharmacoepidemiology and Pharmacoeconomics, Department of Medicine,  Brigham and Women&amp;apos;s Hospital and Harvard Medical School, Boston, Massachusetts.; Clinical and Translational Neuroscience Section, Laboratory of Behavioral  Neuroscience, National Institute on Aging, Baltimore, Maryland.; Center for Pharmacoepidemiology and Treatment Science, Ernest Mario School of  Pharmacy, Rutgers University, New Brunswick, New Jersey.; Department of Medicine, Johns Hopkins University School of Medicine, Baltimore,  Maryland.; Division of Pharmacoepidemiology and Pharmacoeconomics, Department of Medicine,  Brigham and Women&amp;apos;s Hospital and Harvard Medical School, Boston, Massachusetts.; Division of Pharmacoepidemiology and Pharmacoeconomics, Department of Medicine,  Brigham and Women&amp;apos;s Hospital and Harvard Medical School, Boston, Massachusetts.; Center for Pharmacoepidemiology and Treatment Science, Ernest Mario School of  Pharmacy, Rutgers University, New Brunswick, New Jersey.; Division of Pharmacoepidemiology and Pharmacoeconomics, Department of Medicine,  Brigham and Women&amp;apos;s Hospital and Harvard Medical School, Boston, Massachusetts.; Division of Rheumatology, Inflammation, and Immunity, Department of Medicine,  Brigham and Women&amp;apos;s Hospital and Harvard Medical School, Boston, Massachusetts.; Division of Pharmacoepidemiology and Pharmacoeconomics, Department of Medicine,  Brigham and Women&amp;apos;s Hospital and Harvard Medical School, Boston, Massachusetts.; Clinical and Translational Neuroscience Section, Laboratory of Behavioral  Neuroscience, National Institute on Aging, Baltimore, Maryland.&lt;/_author_adr&gt;&lt;_collection_scope&gt;SCIE&lt;/_collection_scope&gt;&lt;_created&gt;65146833&lt;/_created&gt;&lt;_date&gt;2022-04-01&lt;/_date&gt;&lt;_date_display&gt;2022 Apr 1&lt;/_date_display&gt;&lt;_db_updated&gt;PubMed&lt;/_db_updated&gt;&lt;_doi&gt;10.1001/jamanetworkopen.2022.6567&lt;/_doi&gt;&lt;_impact_factor&gt;  13.800&lt;/_impact_factor&gt;&lt;_isbn&gt;2574-3805 (Electronic); 2574-3805 (Linking)&lt;/_isbn&gt;&lt;_issue&gt;4&lt;/_issue&gt;&lt;_journal&gt;JAMA Netw Open&lt;/_journal&gt;&lt;_language&gt;eng&lt;/_language&gt;&lt;_modified&gt;65613358&lt;/_modified&gt;&lt;_pages&gt;e226567&lt;/_pages&gt;&lt;_social_category&gt;医学(1)&lt;/_social_category&gt;&lt;_subject_headings&gt;Abatacept/therapeutic use; Aged; *Alzheimer Disease/chemically induced/drug therapy/epidemiology; *Antirheumatic Agents/adverse effects; *Arthritis, Rheumatoid/chemically induced/drug therapy/epidemiology; *Cardiovascular Diseases/drug therapy; Cohort Studies; Female; Humans; Medicare; Tumor Necrosis Factor Inhibitors; United States/epidemiology&lt;/_subject_headings&gt;&lt;_tertiary_title&gt;JAMA network open&lt;/_tertiary_title&gt;&lt;_type_work&gt;Journal Article; Research Support, N.I.H., Intramural&lt;/_type_work&gt;&lt;_url&gt;http://www.ncbi.nlm.nih.gov/entrez/query.fcgi?cmd=Retrieve&amp;amp;db=pubmed&amp;amp;dopt=Abstract&amp;amp;list_uids=35394510&amp;amp;query_hl=1&lt;/_url&gt;&lt;_volume&gt;5&lt;/_volume&gt;&lt;/Details&gt;&lt;Extra&gt;&lt;DBUID&gt;{F96A950B-833F-4880-A151-76DA2D6A2879}&lt;/DBUID&gt;&lt;/Extra&gt;&lt;/Item&gt;&lt;/References&gt;&lt;/Group&gt;&lt;/Citation&gt;_x000a_"/>
    <w:docVar w:name="NE.Ref{DE550EE4-B5A2-4C47-9F87-6DA8C6BEB7CE}" w:val=" ADDIN NE.Ref.{DE550EE4-B5A2-4C47-9F87-6DA8C6BEB7CE}&lt;Citation&gt;&lt;Group&gt;&lt;References&gt;&lt;Item&gt;&lt;ID&gt;1061&lt;/ID&gt;&lt;UID&gt;{D78864D9-09E9-4B49-9761-3B0AB4E282C0}&lt;/UID&gt;&lt;Title&gt;Cerebrospinal fluid regulates skull bone marrow niches via direct access through  dural channels&lt;/Title&gt;&lt;Template&gt;Journal Article&lt;/Template&gt;&lt;Star&gt;0&lt;/Star&gt;&lt;Tag&gt;0&lt;/Tag&gt;&lt;Author&gt;Mazzitelli, J A; Smyth, LCD; Cross, K A; Dykstra, T; Sun, J; &amp;quot;Du S&amp;quot;; Mamuladze, T; Smirnov, I; Rustenhoven, J; Kipnis, J&lt;/Author&gt;&lt;Year&gt;2022&lt;/Year&gt;&lt;Details&gt;&lt;_accessed&gt;65613364&lt;/_accessed&gt;&lt;_accession_num&gt;35301477&lt;/_accession_num&gt;&lt;_author_adr&gt;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Neuroscience Graduate Program, Washington University School of Medicine, St.  Louis, MO, USA.; Department of Pathology and Immunology, Washington University School of Medicine,  St. Louis, MO, USA.; Center for Brain Immunology and Glia (BIG), Washington University School of  Medicine, St. Louis, MO, USA.; Center for Brain Immunology and Glia (BIG), Washington University School of  Medicine, St. Louis, MO, USA.; Department of Neurological Surgery, Washington University School of Medicine, St.  Louis, MO, USA.; 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Department of Pathology and Immunology, Washington University School of Medicine,  St. Louis, MO, USA. rustenhoven@wustl.edu.; Center for Brain Immunology and Glia (BIG), Washington University School of  Medicine, St. Louis, MO, USA. rustenhoven@wustl.edu.; Department of Pharmacology and Clinical Pharmacology, The University of Auckland,  Auckland, New Zealand. rustenhoven@wustl.edu.; Department of Pathology and Immunology, Washington University School of Medicine,  St. Louis, MO, USA. kipnis@wustl.edu.; Center for Brain Immunology and Glia (BIG), Washington University School of  Medicine, St. Louis, MO, USA. kipnis@wustl.edu.; Medical Scientist Training Program, Washington University School of Medicine, St.  Louis, MO, USA. kipnis@wustl.edu.; Neuroscience Graduate Program, Washington University School of Medicine, St.  Louis, MO, USA. kipnis@wustl.edu.; Department of Neurological Surgery, Washington University School of Medicine, St.  Louis, MO, USA. kipnis@wustl.edu.; Immunology Graduate Program, Washington University School of Medicine, St. Louis,  MO, USA. kipnis@wustl.edu.&lt;/_author_adr&gt;&lt;_collection_scope&gt;SCIE&lt;/_collection_scope&gt;&lt;_created&gt;65613204&lt;/_created&gt;&lt;_date&gt;2022-05-01&lt;/_date&gt;&lt;_date_display&gt;2022 May&lt;/_date_display&gt;&lt;_db_updated&gt;PubMed&lt;/_db_updated&gt;&lt;_doi&gt;10.1038/s41593-022-01029-1&lt;/_doi&gt;&lt;_impact_factor&gt;  25.000&lt;/_impact_factor&gt;&lt;_isbn&gt;1546-1726 (Electronic); 1097-6256 (Print); 1097-6256 (Linking)&lt;/_isbn&gt;&lt;_issue&gt;5&lt;/_issue&gt;&lt;_journal&gt;Nat Neurosci&lt;/_journal&gt;&lt;_language&gt;eng&lt;/_language&gt;&lt;_modified&gt;65613364&lt;/_modified&gt;&lt;_ori_publication&gt;(c) 2022. The Author(s), under exclusive licence to Springer Nature America, Inc.&lt;/_ori_publication&gt;&lt;_pages&gt;555-560&lt;/_pages&gt;&lt;_social_category&gt;神经科学(1)&lt;/_social_category&gt;&lt;_subject_headings&gt;*Bone Marrow/physiology; Cerebrospinal Fluid; Head; Meninges; Myeloid Cells/metabolism; *Skull&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5301477&amp;amp;query_hl=1&lt;/_url&gt;&lt;_volume&gt;25&lt;/_volume&gt;&lt;/Details&gt;&lt;Extra&gt;&lt;DBUID&gt;{F96A950B-833F-4880-A151-76DA2D6A2879}&lt;/DBUID&gt;&lt;/Extra&gt;&lt;/Item&gt;&lt;/References&gt;&lt;/Group&gt;&lt;/Citation&gt;_x000a_"/>
    <w:docVar w:name="NE.Ref{E4AAEB8A-7DD0-415A-AF2F-E347D081A421}" w:val=" ADDIN NE.Ref.{E4AAEB8A-7DD0-415A-AF2F-E347D081A421}&lt;Citation&gt;&lt;Group&gt;&lt;References&gt;&lt;Item&gt;&lt;ID&gt;937&lt;/ID&gt;&lt;UID&gt;{E82A5BFC-C9FA-4EF7-A593-77615A19887D}&lt;/UID&gt;&lt;Title&gt;The TREM2-APOE Pathway Drives the Transcriptional Phenotype of Dysfunctional  Microglia in Neurodegenerative Diseases&lt;/Title&gt;&lt;Template&gt;Journal Article&lt;/Template&gt;&lt;Star&gt;0&lt;/Star&gt;&lt;Tag&gt;0&lt;/Tag&gt;&lt;Author&gt;Krasemann, S; Madore, C; Cialic, R; Baufeld, C; Calcagno, N; El, Fatimy R; Beckers, L; O&amp;apos;Loughlin, E; Xu, Y; Fanek, Z; Greco, D J; Smith, S T; Tweet, G; Humulock, Z; Zrzavy, T; Conde-Sanroman, P; Gacias, M; Weng, Z; Chen, H; Tjon, E; Mazaheri, F; Hartmann, K; Madi, A; Ulrich, J D; Glatzel, M; Worthmann, A; Heeren, J; Budnik, B; Lemere, C; Ikezu, T; Heppner, F L; Litvak, V; Holtzman, D M; Lassmann, H; Weiner, H L; Ochando, J; Haass, C; Butovsky, O&lt;/Author&gt;&lt;Year&gt;2017&lt;/Year&gt;&lt;Details&gt;&lt;_accessed&gt;64933881&lt;/_accessed&gt;&lt;_accession_num&gt;28930663&lt;/_accession_num&gt;&lt;_author_adr&gt;Ann Romney Center for Neurologic Diseases, Department of Neurology, Brigham and  Women&amp;apos;s Hospital, Harvard Medical School, Boston, MA, USA; Institute of  Neuropathology, University Medical Center Hamburg-Eppendorf, Hamburg, Germany.;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Department of Microbiology and Physiological Systems, University of Massachusetts  Medical School, Worcester,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Center for Brain Research, Medical University of Vienna, Vienna, Austria.; Department of Medicine, Icahn School of Medicine at Mount Sinai, NY, USA.; Department of Medicine, Icahn School of Medicine at Mount Sinai, NY, USA.; Department of Biochemistry and Molecular Pharmacology, University of  Massachusetts Medical School, Worcester, MA, USA.; Department of Biochemistry and Molecular Pharmacology, University of  Massachusetts Medical School, Worcester, MA, USA.; Ann Romney Center for Neurologic Diseases, Department of Neurology, Brigham and  Women&amp;apos;s Hospital, Harvard Medical School, Boston, MA, USA.; German Center for Neurodegenerative Diseases, Munich, Germany.; Institute of Neuropathology, University Medical Center Hamburg-Eppendorf,  Hamburg, Germany.; Ann Romney Center for Neurologic Diseases, Department of Neurology, Brigham and  Women&amp;apos;s Hospital, Harvard Medical School, Boston, MA, USA.; Department of Neurology, Hope Center for Neurological Disorders, Knight  Alzheimer&amp;apos;s Disease Research Center, Washington University School of Medicine,  St. Louis, USA.; Institute of Neuropathology, University Medical Center Hamburg-Eppendorf,  Hamburg, Germany.; Department of Biochemistry and Molecular Cell Biology, University Medical Center  Hamburg-Eppendorf, Hamburg, Germany.; Department of Biochemistry and Molecular Cell Biology, University Medical Center  Hamburg-Eppendorf, Hamburg, Germany.; Mass Spectrometry and Proteomics Resource Laboratory, Faculty of Arts and  Sciences Division of Science, Harvard University, Cambridge MA, USA.; Ann Romney Center for Neurologic Diseases, Department of Neurology, Brigham and  Women&amp;apos;s Hospital, Harvard Medical School, Boston, MA, USA.; Department of Pharmacology and Experimental Therapeutics and Department of  Neurology, Boston University School of Medicine, MA, USA.; Department of Neuropathology, Charite-Universitatsmedizin Berlin, Berlin,  Germany; Cluster of Excellence, NeuroCure, Chariteplatz 1, 10117 Berlin, Germany.; Department of Microbiology and Physiological Systems, University of Massachusetts  Medical School, Worcester, MA, USA.; Department of Neurology, Hope Center for Neurological Disorders, Knight  Alzheimer&amp;apos;s Disease Research Center, Washington University School of Medicine,  St. Louis, USA.; Center for Brain Research, Medical University of Vienna, Vienna, Austria.; Ann Romney Center for Neurologic Diseases, Department of Neurology, Brigham and  Women&amp;apos;s Hospital, Harvard Medical School, Boston, MA, USA; Evergrande Center for  Immunologic Diseases, Brigham and Women&amp;apos;s Hospital, Harvard Medical School,  Boston, MA, USA.; Department of Medicine, Icahn School of Medicine at Mount Sinai, NY, USA.; German Center for Neurodegenerative Diseases, Munich, Germany; Biomedical Center,  Biochemistry, Ludwig-Maximilians-Universitat Munich, Munich, Germany; Munich  Cluster for Systems Neurology, Munich, Germany.; Ann Romney Center for Neurologic Diseases, Department of Neurology, Brigham and  Women&amp;apos;s Hospital, Harvard Medical School, Boston, MA, USA; Evergrande Center for  Immunologic Diseases, Brigham and Women&amp;apos;s Hospital, Harvard Medical School,  Boston, MA, USA. Electronic address: obutovsky@rics.bwh.harvard.edu.&lt;/_author_adr&gt;&lt;_collection_scope&gt;SCIE&lt;/_collection_scope&gt;&lt;_created&gt;64867560&lt;/_created&gt;&lt;_date&gt;2017-09-19&lt;/_date&gt;&lt;_date_display&gt;2017 Sep 19&lt;/_date_display&gt;&lt;_db_updated&gt;PubMed&lt;/_db_updated&gt;&lt;_doi&gt;10.1016/j.immuni.2017.08.008&lt;/_doi&gt;&lt;_impact_factor&gt;  43.474&lt;/_impact_factor&gt;&lt;_isbn&gt;1097-4180 (Electronic); 1074-7613 (Print); 1074-7613 (Linking)&lt;/_isbn&gt;&lt;_issue&gt;3&lt;/_issue&gt;&lt;_journal&gt;Immunity&lt;/_journal&gt;&lt;_keywords&gt;APOE; Alzheimer&amp;apos;s disease; TREM2; amyotrophic lateral sclerosis; microglia; multiple sclerosis; neurodegeneration; transcriptional regulation&lt;/_keywords&gt;&lt;_language&gt;eng&lt;/_language&gt;&lt;_modified&gt;64933881&lt;/_modified&gt;&lt;_ori_publication&gt;Copyright (c) 2017 Elsevier Inc. All rights reserved.&lt;/_ori_publication&gt;&lt;_pages&gt;566-581.e9&lt;/_pages&gt;&lt;_social_category&gt;医学(1)&lt;/_social_category&gt;&lt;_subject_headings&gt;Alzheimer Disease/genetics/metabolism/pathology; Amyloid beta-Peptides/metabolism; Amyloid beta-Protein Precursor/metabolism; Animals; Apolipoproteins E/deficiency/genetics/*metabolism; Apoptosis/genetics/immunology; Cerebral Cortex/metabolism/pathology; Cluster Analysis; Disease Models, Animal; Encephalomyelitis, Autoimmune, Experimental; Female; Gene Expression Profiling; Gene Expression Regulation; Gene Targeting; Humans; Immune Tolerance; Membrane Glycoproteins/*metabolism; Mice; Mice, Knockout; Mice, Transgenic; Microglia/immunology/*metabolism; Monocytes/immunology/metabolism; Neurodegenerative Diseases/*genetics/immunology/*metabolism; Neurons/metabolism; Phagocytosis/genetics/immunology; Phenotype; Plaque, Amyloid/metabolism/pathology; Receptors, Immunologic/*metabolism; *Signal Transduction; Superoxide Dismutase-1/genetics/metabolism; *Transcriptome; Transforming Growth Factor beta/metabolism&lt;/_subject_headings&gt;&lt;_tertiary_title&gt;Immunity&lt;/_tertiary_title&gt;&lt;_type_work&gt;Journal Article; Research Support, N.I.H., Extramural; Research Support, Non-U.S. Gov&amp;apos;t; Research Support, U.S. Gov&amp;apos;t, Non-P.H.S.&lt;/_type_work&gt;&lt;_url&gt;http://www.ncbi.nlm.nih.gov/entrez/query.fcgi?cmd=Retrieve&amp;amp;db=pubmed&amp;amp;dopt=Abstract&amp;amp;list_uids=28930663&amp;amp;query_hl=1&lt;/_url&gt;&lt;_volume&gt;47&lt;/_volume&gt;&lt;/Details&gt;&lt;Extra&gt;&lt;DBUID&gt;{F96A950B-833F-4880-A151-76DA2D6A2879}&lt;/DBUID&gt;&lt;/Extra&gt;&lt;/Item&gt;&lt;/References&gt;&lt;/Group&gt;&lt;Group&gt;&lt;References&gt;&lt;Item&gt;&lt;ID&gt;995&lt;/ID&gt;&lt;UID&gt;{6295F7B8-A607-4FDA-99E2-5B80C2752DAC}&lt;/UID&gt;&lt;Title&gt;A Unique Microglia Type Associated with Restricting Development of Alzheimer&amp;apos;s  Disease&lt;/Title&gt;&lt;Template&gt;Journal Article&lt;/Template&gt;&lt;Star&gt;0&lt;/Star&gt;&lt;Tag&gt;0&lt;/Tag&gt;&lt;Author&gt;Keren-Shaul, H; Spinrad, A; Weiner, A; Matcovitch-Natan, O; Dvir-Szternfeld, R; Ulland, T K; David, E; Baruch, K; Lara-Astaiso, D; Toth, B; Itzkovitz, S; Colonna, M; Schwartz, M; Amit, I&lt;/Author&gt;&lt;Year&gt;2017&lt;/Year&gt;&lt;Details&gt;&lt;_accessed&gt;64933882&lt;/_accessed&gt;&lt;_accession_num&gt;28602351&lt;/_accession_num&gt;&lt;_author_adr&gt;Department of Immunology, Weizmann Institute of Science, Rehovot 7610001, Israel.; Department of Immunology, Weizmann Institute of Science, Rehovot 7610001, Israel;  Department of Neurobiology, Weizmann Institute of Science, Rehovot 7610001,  Israel.; Department of Immunology, Weizmann Institute of Science, Rehovot 7610001, Israel;  Hubrecht Institute-KNAW (Royal Netherlands Academy of Arts and Sciences), and  University Medical Center, Cancer Genomics Netherlands, 3584 CG Utrecht, the  Netherlands. Electronic address: assaf.weiner@weizmann.ac.il.; Department of Immunology, Weizmann Institute of Science, Rehovot 7610001, Israel;  Department of Neurobiology, Weizmann Institute of Science, Rehovot 7610001,  Israel.; Department of Neurobiology, Weizmann Institute of Science, Rehovot 7610001,  Israel.; Department of Pathology and Immunology, Washington University School of Medicine,  St. Louis, MO 63110, USA.; Department of Immunology, Weizmann Institute of Science, Rehovot 7610001, Israel.; Department of Neurobiology, Weizmann Institute of Science, Rehovot 7610001,  Israel.; Department of Immunology, Weizmann Institute of Science, Rehovot 7610001, Israel.; Department of Molecular Cell Biology, Weizmann Institute of Science, Rehovot  7610001, Israel.; Department of Molecular Cell Biology, Weizmann Institute of Science, Rehovot  7610001, Israel.; Department of Pathology and Immunology, Washington University School of Medicine,  St. Louis, MO 63110, USA.; Department of Neurobiology, Weizmann Institute of Science, Rehovot 7610001,  Israel. Electronic address: michal.schwartz@weizmann.ac.il.; Department of Immunology, Weizmann Institute of Science, Rehovot 7610001, Israel.  Electronic address: ido.amit@weizmann.ac.il.&lt;/_author_adr&gt;&lt;_collection_scope&gt;SCIE&lt;/_collection_scope&gt;&lt;_created&gt;64933856&lt;/_created&gt;&lt;_date&gt;2017-06-15&lt;/_date&gt;&lt;_date_display&gt;2017 Jun 15&lt;/_date_display&gt;&lt;_db_updated&gt;PubMed&lt;/_db_updated&gt;&lt;_doi&gt;10.1016/j.cell.2017.05.018&lt;/_doi&gt;&lt;_impact_factor&gt;  66.850&lt;/_impact_factor&gt;&lt;_isbn&gt;1097-4172 (Electronic); 0092-8674 (Linking)&lt;/_isbn&gt;&lt;_issue&gt;7&lt;/_issue&gt;&lt;_journal&gt;Cell&lt;/_journal&gt;&lt;_keywords&gt;Alzheimer&amp;apos;s disease; immunology; microglia; single cell RNA-seq; systems biology&lt;/_keywords&gt;&lt;_language&gt;eng&lt;/_language&gt;&lt;_modified&gt;64933882&lt;/_modified&gt;&lt;_ori_publication&gt;Copyright (c) 2017 Elsevier Inc. All rights reserved.&lt;/_ori_publication&gt;&lt;_pages&gt;1276-1290.e17&lt;/_pages&gt;&lt;_social_category&gt;生物学(1)&lt;/_social_category&gt;&lt;_subject_headings&gt;Alzheimer Disease/genetics/*immunology/*pathology; Animals; Humans; Mice; Mice, Transgenic; Microglia/metabolism/*pathology; Neurodegenerative Diseases/genetics/immunology/pathology; Phagocytes/metabolism/*pathology; Receptors, Immunologic/metabolism; Sequence Analysis, RNA; Single-Cell Analysis&lt;/_subject_headings&gt;&lt;_tertiary_title&gt;Cell&lt;/_tertiary_title&gt;&lt;_type_work&gt;Journal Article&lt;/_type_work&gt;&lt;_url&gt;http://www.ncbi.nlm.nih.gov/entrez/query.fcgi?cmd=Retrieve&amp;amp;db=pubmed&amp;amp;dopt=Abstract&amp;amp;list_uids=28602351&amp;amp;query_hl=1&lt;/_url&gt;&lt;_volume&gt;169&lt;/_volume&gt;&lt;/Details&gt;&lt;Extra&gt;&lt;DBUID&gt;{F96A950B-833F-4880-A151-76DA2D6A2879}&lt;/DBUID&gt;&lt;/Extra&gt;&lt;/Item&gt;&lt;/References&gt;&lt;/Group&gt;&lt;Group&gt;&lt;References&gt;&lt;Item&gt;&lt;ID&gt;999&lt;/ID&gt;&lt;UID&gt;{7149E103-53E4-4524-80E3-6F5E25983EB2}&lt;/UID&gt;&lt;Title&gt;A CRISPRi/a platform in human iPSC-derived microglia uncovers regulators of  disease states&lt;/Title&gt;&lt;Template&gt;Journal Article&lt;/Template&gt;&lt;Star&gt;0&lt;/Star&gt;&lt;Tag&gt;0&lt;/Tag&gt;&lt;Author&gt;Drager, N M; Sattler, S M; Huang, C T; Teter, O M; Leng, K; Hashemi, S H; Hong, J; Aviles, G; Clelland, C D; Zhan, L; Udeochu, J C; Kodama, L; Singleton, A B; Nalls, M A; Ichida, J; Ward, M E; Faghri, F; Gan, L; Kampmann, M&lt;/Author&gt;&lt;Year&gt;2022&lt;/Year&gt;&lt;Details&gt;&lt;_accessed&gt;64933881&lt;/_accessed&gt;&lt;_accession_num&gt;35953545&lt;/_accession_num&gt;&lt;_author_adr&gt;Institute for Neurodegenerative Diseases, University of California, San  Francisco, San Francisco, CA, USA.; Institute for Neurodegenerative Diseases, University of California, San  Francisco, San Francisco, CA, USA.; Gladstone Institute of Neurological Disease, San Francisco, CA, USA.; Institute for Neurodegenerative Diseases, University of California, San  Francisco, San Francisco, CA, USA.; UC Berkeley-UCSF Graduate Program in Bioengineering, University of California,  San Francisco, San Francisco, CA, USA.; Institute for Neurodegenerative Diseases, University of California, San  Francisco, San Francisco, CA, USA.; Biomedical Sciences Graduate Program, University of California, San Francisco,  San Francisco, CA, USA.; Medical Scientist Training Program, University of California, San Francisco, San  Francisco, CA, USA.; Department of Computer Science, University of Illinois at Urbana-Champaign,  Urbana, IL, USA.; Institute for Neurodegenerative Diseases, University of California, San  Francisco, San Francisco, CA, USA.; Institute for Neurodegenerative Diseases, University of California, San  Francisco, San Francisco, CA, USA.; Gladstone Institute of Neurological Disease, San Francisco, CA, USA.; Department of Neurology, University of California, San Francisco, San Francisco,  CA, USA.; Gladstone Institute of Neurological Disease, San Francisco, CA, USA.; Gladstone Institute of Neurological Disease, San Francisco, CA, USA.; Gladstone Institute of Neurological Disease, San Francisco, CA, USA.; Medical Scientist Training Program, University of California, San Francisco, San  Francisco, CA, USA.; Neuroscience Graduate Program, University of California, San Francisco, San  Francisco, CA, USA.; Center for Alzheimer&amp;apos;s and Related Dementias, National Institutes of Health,  Bethesda, MD, USA.; Laboratory of Neurogenetics, National Institute on Aging, National Institutes of  Health, Bethesda, MD, USA.; Center for Alzheimer&amp;apos;s and Related Dementias, National Institutes of Health,  Bethesda, MD, USA.; Laboratory of Neurogenetics, National Institute on Aging, National Institutes of  Health, Bethesda, MD, USA.; Data Tecnica International, LLC, Glen Echo, MD, USA.; Department of Stem Cell Biology and Regenerative Medicine, Keck School of  Medicine, University of Southern California, Los Angeles, CA, USA.; Eli and Edythe Broad CIRM Center for Regenerative Medicine and Stem Cell Research  at USC, Los Angeles, CA, USA.; Zilkha Neurogenetic Institute, Keck School of Medicine, University of Southern  California, Los Angeles, CA, USA.; National Institute of Neurological Disorders and Stroke, National Institutes of  Health, Bethesda, MD, USA.; Department of Computer Science, University of Illinois at Urbana-Champaign,  Urbana, IL, USA.; Center for Alzheimer&amp;apos;s and Related Dementias, National Institutes of Health,  Bethesda, MD, USA.; Laboratory of Neurogenetics, National Institute on Aging, National Institutes of  Health, Bethesda, MD, USA.; Data Tecnica International, LLC, Glen Echo, MD, USA.; Gladstone Institute of Neurological Disease, San Francisco, CA, USA.  lig2033@med.cornell.edu.; Helen and Robert Appel Alzheimer&amp;apos;s Disease Research Institute, Brain and Mind  Research Institute, Weill Cornell Medicine, New York, NY, USA.  lig2033@med.cornell.edu.; Institute for Neurodegenerative Diseases, University of California, San  Francisco, San Francisco, CA, USA. martin.kampmann@ucsf.edu.; Department of Biochemistry and Biophysics, University of California, San  Francisco, San Francisco, CA, USA. martin.kampmann@ucsf.edu.&lt;/_author_adr&gt;&lt;_collection_scope&gt;SCIE&lt;/_collection_scope&gt;&lt;_created&gt;64933859&lt;/_created&gt;&lt;_date&gt;2022-09-01&lt;/_date&gt;&lt;_date_display&gt;2022 Sep&lt;/_date_display&gt;&lt;_db_updated&gt;PubMed&lt;/_db_updated&gt;&lt;_doi&gt;10.1038/s41593-022-01131-4&lt;/_doi&gt;&lt;_impact_factor&gt;  28.771&lt;/_impact_factor&gt;&lt;_isbn&gt;1546-1726 (Electronic); 1097-6256 (Print); 1097-6256 (Linking)&lt;/_isbn&gt;&lt;_issue&gt;9&lt;/_issue&gt;&lt;_journal&gt;Nat Neurosci&lt;/_journal&gt;&lt;_language&gt;eng&lt;/_language&gt;&lt;_modified&gt;64933881&lt;/_modified&gt;&lt;_ori_publication&gt;(c) 2022. The Author(s).&lt;/_ori_publication&gt;&lt;_pages&gt;1149-1162&lt;/_pages&gt;&lt;_social_category&gt;医学(1)&lt;/_social_category&gt;&lt;_subject_headings&gt;Brain/metabolism; Clustered Regularly Interspaced Short Palindromic Repeats/genetics; Humans; *Induced Pluripotent Stem Cells/metabolism; *Microglia/metabolism; Phagocytosis/genetics&lt;/_subject_headings&gt;&lt;_tertiary_title&gt;Nature neuroscience&lt;/_tertiary_title&gt;&lt;_type_work&gt;Journal Article; Research Support, N.I.H., Extramural; Research Support, N.I.H., Intramural; Research Support, Non-U.S. Gov&amp;apos;t; Research Support, U.S. Gov&amp;apos;t, Non-P.H.S.&lt;/_type_work&gt;&lt;_url&gt;http://www.ncbi.nlm.nih.gov/entrez/query.fcgi?cmd=Retrieve&amp;amp;db=pubmed&amp;amp;dopt=Abstract&amp;amp;list_uids=35953545&amp;amp;query_hl=1&lt;/_url&gt;&lt;_volume&gt;25&lt;/_volume&gt;&lt;/Details&gt;&lt;Extra&gt;&lt;DBUID&gt;{F96A950B-833F-4880-A151-76DA2D6A2879}&lt;/DBUID&gt;&lt;/Extra&gt;&lt;/Item&gt;&lt;/References&gt;&lt;/Group&gt;&lt;/Citation&gt;_x000a_"/>
    <w:docVar w:name="NE.Ref{EDA8039C-AB42-41C5-9F6D-D52BAC07C053}" w:val=" ADDIN NE.Ref.{EDA8039C-AB42-41C5-9F6D-D52BAC07C053}&lt;Citation&gt;&lt;Group&gt;&lt;References&gt;&lt;Item&gt;&lt;ID&gt;896&lt;/ID&gt;&lt;UID&gt;{9B449911-0167-4D0D-84B2-ABDDFE7A9461}&lt;/UID&gt;&lt;Title&gt;Skull and vertebral bone marrow are myeloid cell reservoirs for the meninges and CNS parenchyma&lt;/Title&gt;&lt;Template&gt;Journal Article&lt;/Template&gt;&lt;Star&gt;0&lt;/Star&gt;&lt;Tag&gt;0&lt;/Tag&gt;&lt;Author&gt;Cugurra, Andrea; Mamuladze, Tornike; Rustenhoven, Justin; Dykstra, Taitea; Beroshvili, Giorgi; Greenberg, Zev J; Baker, Wendy; Papadopoulos, Zach; Drieu, Antoine; Blackburn, Susan; Kanamori, Mitsuhiro; Brioschi, Simone; Herz, Jasmin; Schuettpelz, Laura G; Colonna, Marco; Smirnov, Igor; Kipnis, Jonathan&lt;/Author&gt;&lt;Year&gt;2021&lt;/Year&gt;&lt;Details&gt;&lt;_accessed&gt;65613349&lt;/_accessed&gt;&lt;_accession_num&gt;34083447&lt;/_accession_num&gt;&lt;_author_adr&gt;Gutenberg Research Fellowship Group of Neuroimmunology, Focus Program Translational Neuroscience (FTN) and Immunotherapy (FZI), Rhine Main Neuroscience Network (rmn), University Medical Center of the Johannes Gutenberg University Mainz, Mainz, Germany.; Department of Neuroscience, School of Medicine, University of Virginia, Charlottesville, VA,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Pathology and Immunology, Washington University in St. Louis, St. Louis, MO, USA.; Department of Pathology and Immunology, Washington University in St. Louis, St. Louis, MO, USA.; Gutenberg Research Fellowship Group of Neuroimmunology, Focus Program Translational Neuroscience (FTN) and Immunotherapy (FZI), Rhine Main Neuroscience Network (rmn), University Medical Center of the Johannes Gutenberg University Mainz, Mainz, Germany. kipnis@wustl.edu.;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lt;/_author_adr&gt;&lt;_collection_scope&gt;SCI;SCIE&lt;/_collection_scope&gt;&lt;_created&gt;64239024&lt;/_created&gt;&lt;_date&gt;63933120&lt;/_date&gt;&lt;_date_display&gt;2021 Jul 23&lt;/_date_display&gt;&lt;_db_updated&gt;CrossRef&lt;/_db_updated&gt;&lt;_doi&gt;10.1126/science.abf7844&lt;/_doi&gt;&lt;_impact_factor&gt;  56.900&lt;/_impact_factor&gt;&lt;_isbn&gt;0036-8075&lt;/_isbn&gt;&lt;_issue&gt;6553&lt;/_issue&gt;&lt;_journal&gt;Science&lt;/_journal&gt;&lt;_language&gt;eng&lt;/_language&gt;&lt;_modified&gt;65613349&lt;/_modified&gt;&lt;_ori_publication&gt;Copyright (c) 2021 The Authors, some rights reserved; exclusive licensee American_x000d__x000a_      Association for the Advancement of Science. No claim to original U.S. Government _x000d__x000a_      Works.&lt;/_ori_publication&gt;&lt;_subject_headings&gt;Animals; Bone Marrow/physiology; Bone Marrow Cells/*physiology; Brain/cytology/immunology/physiology; Cell Movement; Central Nervous System/cytology/*immunology; Central Nervous System Diseases/*immunology/pathology; Dura Mater/cytology/immunology/physiology; Encephalomyelitis, Autoimmune, Experimental/immunology/pathology; Homeostasis; Meninges/cytology/*immunology/physiology; Mice; Monocytes/physiology; Myeloid Cells/*physiology; Neutrophils/physiology; Skull/*anatomy &amp;amp; histology; Spinal Cord/cytology/immunology/physiology; Spinal Cord Injuries/immunology/pathology; Spine/*anatomy &amp;amp; histology&lt;/_subject_headings&gt;&lt;_tertiary_title&gt;Science&lt;/_tertiary_title&gt;&lt;_type_work&gt;Journal Article; Research Support, N.I.H., Extramural&lt;/_type_work&gt;&lt;_url&gt;https://www.science.org/doi/10.1126/science.abf7844_x000d__x000a_https://syndication.highwire.org/content/doi/10.1126/science.abf7844&lt;/_url&gt;&lt;_volume&gt;373&lt;/_volume&gt;&lt;_social_category&gt;综合性期刊(1)&lt;/_social_category&gt;&lt;/Details&gt;&lt;Extra&gt;&lt;DBUID&gt;{F96A950B-833F-4880-A151-76DA2D6A2879}&lt;/DBUID&gt;&lt;/Extra&gt;&lt;/Item&gt;&lt;/References&gt;&lt;/Group&gt;&lt;Group&gt;&lt;References&gt;&lt;Item&gt;&lt;ID&gt;1062&lt;/ID&gt;&lt;UID&gt;{6D5E6AD5-020B-49AC-A1C3-CA0E6DA1C7FF}&lt;/UID&gt;&lt;Title&gt;Heterogeneity of meningeal B cells reveals a lymphopoietic niche at the CNS  borders&lt;/Title&gt;&lt;Template&gt;Journal Article&lt;/Template&gt;&lt;Star&gt;0&lt;/Star&gt;&lt;Tag&gt;0&lt;/Tag&gt;&lt;Author&gt;Brioschi, S; Wang, W L; Peng, V; Wang, M; Shchukina, I; Greenberg, Z J; Bando, J K; Jaeger, N; Czepielewski, R S; Swain, A; Mogilenko, D A; Beatty, W L; Bayguinov, P; Fitzpatrick, JAJ; Schuettpelz, L G; Fronick, C C; Smirnov, I; Kipnis, J; Shapiro, V S; Wu, G F; Gilfillan, S; Cella, M; Artyomov, M N; Kleinstein, S H; Colonna, M&lt;/Author&gt;&lt;Year&gt;2021&lt;/Year&gt;&lt;Details&gt;&lt;_accession_num&gt;34083450&lt;/_accession_num&gt;&lt;_author_adr&gt;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Interdepartmental Program in Computational Biology and Bioinformatics, Yale  University, New Haven, CT 06511, USA.; Department of Pathology and Immunology, Washington University School of Medicine,  Saint Louis, MO 63110, USA.; Department of Pediatrics, Washington University School of Medicine, Saint Louis,  MO 63110, USA.; Department of Microbiology and Immunology, Stanford University School of  Medicine, Stanford, CA 94305,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Molecular Microbiology, Center for Infectious Disease Research,  Washington University School of Medicine, Saint Louis, MO 63110, USA.; Washington University Center for Cellular Imaging, Washington University School  of Medicine, Saint Louis, MO 63110, USA.; Washington University Center for Cellular Imaging, Washington University School  of Medicine, Saint Louis, MO 63110, USA.; Departments of Cell Biology and Physiology and Neuroscience, Washington  University School of Medicine, Saint Louis, MO 63110, USA.; Department of Biomedical Engineering, Washington University in Saint Louis, Saint  Louis, MO 63130, USA.; Department of Pediatrics, Washington University School of Medicine, Saint Louis,  MO 63110, USA.; McDonnell Genome Institute,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Immunology, Mayo Clinic, Rochester, MN 55905, USA.; Department of Neurology, Washington University in Saint Louis, Saint Louis, MO  63110,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Interdepartmental Program in Computational Biology and Bioinformatics, Yale  University, New Haven, CT 06511, USA.; Department of Pathology, Yale School of Medicine, New Haven, CT 06520, USA.; Department of Pathology and Immunology, Washington University School of Medicine,  Saint Louis, MO 63110, USA. mcolonna@wustl.edu.&lt;/_author_adr&gt;&lt;_date_display&gt;2021 Jul 23&lt;/_date_display&gt;&lt;_date&gt;2021-07-23&lt;/_date&gt;&lt;_doi&gt;10.1126/science.abf9277&lt;/_doi&gt;&lt;_isbn&gt;1095-9203 (Electronic); 0036-8075 (Print); 0036-8075 (Linking)&lt;/_isbn&gt;&lt;_issue&gt;6553&lt;/_issue&gt;&lt;_journal&gt;Science&lt;/_journal&gt;&lt;_language&gt;eng&lt;/_language&gt;&lt;_ori_publication&gt;Copyright (c) 2021 The Authors, some rights reserved; exclusive licensee American _x000d__x000a_      Association for the Advancement of Science. No claim to original U.S. Government _x000d__x000a_      Works.&lt;/_ori_publication&gt;&lt;_subject_headings&gt;Aging; Animals; B-Lymphocyte Subsets/immunology/*physiology; B-Lymphocytes/*physiology; Bone Marrow Cells/*physiology; Cell Movement; Central Nervous System/*immunology/physiology; Dura Mater/*cytology/immunology; Fibroblasts/physiology; Homeostasis; Immune Privilege; *Lymphopoiesis; Meninges/*cytology/*immunology; Mice; Plasma Cells/physiology; Single-Cell Analysis; Skull/*anatomy &amp;amp; histology&lt;/_subject_headings&gt;&lt;_tertiary_title&gt;Science (New York, N.Y.)&lt;/_tertiary_title&gt;&lt;_type_work&gt;Journal Article; Research Support, N.I.H., Extramural&lt;/_type_work&gt;&lt;_url&gt;http://www.ncbi.nlm.nih.gov/entrez/query.fcgi?cmd=Retrieve&amp;amp;db=pubmed&amp;amp;dopt=Abstract&amp;amp;list_uids=34083450&amp;amp;query_hl=1&lt;/_url&gt;&lt;_volume&gt;373&lt;/_volume&gt;&lt;_created&gt;65613244&lt;/_created&gt;&lt;_modified&gt;65613350&lt;/_modified&gt;&lt;_db_updated&gt;PubMed&lt;/_db_updated&gt;&lt;_impact_factor&gt;  56.900&lt;/_impact_factor&gt;&lt;_social_category&gt;综合性期刊(1)&lt;/_social_category&gt;&lt;_collection_scope&gt;SCIE&lt;/_collection_scope&gt;&lt;_accessed&gt;65613350&lt;/_accessed&gt;&lt;/Details&gt;&lt;Extra&gt;&lt;DBUID&gt;{F96A950B-833F-4880-A151-76DA2D6A2879}&lt;/DBUID&gt;&lt;/Extra&gt;&lt;/Item&gt;&lt;/References&gt;&lt;/Group&gt;&lt;Group&gt;&lt;References&gt;&lt;Item&gt;&lt;ID&gt;1061&lt;/ID&gt;&lt;UID&gt;{D78864D9-09E9-4B49-9761-3B0AB4E282C0}&lt;/UID&gt;&lt;Title&gt;Cerebrospinal fluid regulates skull bone marrow niches via direct access through  dural channels&lt;/Title&gt;&lt;Template&gt;Journal Article&lt;/Template&gt;&lt;Star&gt;0&lt;/Star&gt;&lt;Tag&gt;0&lt;/Tag&gt;&lt;Author&gt;Mazzitelli, J A; Smyth, LCD; Cross, K A; Dykstra, T; Sun, J; &amp;quot;Du S&amp;quot;; Mamuladze, T; Smirnov, I; Rustenhoven, J; Kipnis, J&lt;/Author&gt;&lt;Year&gt;2022&lt;/Year&gt;&lt;Details&gt;&lt;_accessed&gt;65613361&lt;/_accessed&gt;&lt;_accession_num&gt;35301477&lt;/_accession_num&gt;&lt;_author_adr&gt;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Neuroscience Graduate Program, Washington University School of Medicine, St.  Louis, MO, USA.; Department of Pathology and Immunology, Washington University School of Medicine,  St. Louis, MO, USA.; Center for Brain Immunology and Glia (BIG), Washington University School of  Medicine, St. Louis, MO, USA.; Center for Brain Immunology and Glia (BIG), Washington University School of  Medicine, St. Louis, MO, USA.; Department of Neurological Surgery, Washington University School of Medicine, St.  Louis, MO, USA.; 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Department of Pathology and Immunology, Washington University School of Medicine,  St. Louis, MO, USA. rustenhoven@wustl.edu.; Center for Brain Immunology and Glia (BIG), Washington University School of  Medicine, St. Louis, MO, USA. rustenhoven@wustl.edu.; Department of Pharmacology and Clinical Pharmacology, The University of Auckland,  Auckland, New Zealand. rustenhoven@wustl.edu.; Department of Pathology and Immunology, Washington University School of Medicine,  St. Louis, MO, USA. kipnis@wustl.edu.; Center for Brain Immunology and Glia (BIG), Washington University School of  Medicine, St. Louis, MO, USA. kipnis@wustl.edu.; Medical Scientist Training Program, Washington University School of Medicine, St.  Louis, MO, USA. kipnis@wustl.edu.; Neuroscience Graduate Program, Washington University School of Medicine, St.  Louis, MO, USA. kipnis@wustl.edu.; Department of Neurological Surgery, Washington University School of Medicine, St.  Louis, MO, USA. kipnis@wustl.edu.; Immunology Graduate Program, Washington University School of Medicine, St. Louis,  MO, USA. kipnis@wustl.edu.&lt;/_author_adr&gt;&lt;_collection_scope&gt;SCIE&lt;/_collection_scope&gt;&lt;_created&gt;65613204&lt;/_created&gt;&lt;_date&gt;2022-05-01&lt;/_date&gt;&lt;_date_display&gt;2022 May&lt;/_date_display&gt;&lt;_db_updated&gt;PubMed&lt;/_db_updated&gt;&lt;_doi&gt;10.1038/s41593-022-01029-1&lt;/_doi&gt;&lt;_impact_factor&gt;  25.000&lt;/_impact_factor&gt;&lt;_isbn&gt;1546-1726 (Electronic); 1097-6256 (Print); 1097-6256 (Linking)&lt;/_isbn&gt;&lt;_issue&gt;5&lt;/_issue&gt;&lt;_journal&gt;Nat Neurosci&lt;/_journal&gt;&lt;_language&gt;eng&lt;/_language&gt;&lt;_modified&gt;65613361&lt;/_modified&gt;&lt;_ori_publication&gt;(c) 2022. The Author(s), under exclusive licence to Springer Nature America, Inc.&lt;/_ori_publication&gt;&lt;_pages&gt;555-560&lt;/_pages&gt;&lt;_social_category&gt;神经科学(1)&lt;/_social_category&gt;&lt;_subject_headings&gt;*Bone Marrow/physiology; Cerebrospinal Fluid; Head; Meninges; Myeloid Cells/metabolism; *Skull&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5301477&amp;amp;query_hl=1&lt;/_url&gt;&lt;_volume&gt;25&lt;/_volume&gt;&lt;/Details&gt;&lt;Extra&gt;&lt;DBUID&gt;{F96A950B-833F-4880-A151-76DA2D6A2879}&lt;/DBUID&gt;&lt;/Extra&gt;&lt;/Item&gt;&lt;/References&gt;&lt;/Group&gt;&lt;Group&gt;&lt;References&gt;&lt;Item&gt;&lt;ID&gt;1064&lt;/ID&gt;&lt;UID&gt;{5A3F2182-85C1-4763-BFA9-24C658921AF8}&lt;/UID&gt;&lt;Title&gt;Distinct molecular profiles of skull bone marrow in health and neurological  disorders&lt;/Title&gt;&lt;Template&gt;Journal Article&lt;/Template&gt;&lt;Star&gt;0&lt;/Star&gt;&lt;Tag&gt;0&lt;/Tag&gt;&lt;Author&gt;Kolabas, Z I; Kuemmerle, L B; Perneczky, R; Forstera, B; Ulukaya, S; Ali, M; Kapoor, S; Bartos, L M; Buttner, M; Caliskan, O S; Rong, Z; Mai, H; Hoher, L; Jeridi, D; Molbay, M; Khalin, I; Deligiannis, I K; Negwer, M; Roberts, K; Simats, A; Carofiglio, O; Todorov, M I; Horvath, I; Ozturk, F; Hummel, S; Biechele, G; Zatcepin, A; Unterrainer, M; Gnorich, J; Roodselaar, J; Shrouder, J; Khosravani, P; Tast, B; Richter, L; Diaz-Marugan, L; Kaltenecker, D; Lux, L; Chen, Y; Zhao, S; Rauchmann, B S; Sterr, M; Kunze, I; Stanic, K; Kan, VWY; Besson-Girard, S; Katzdobler, S; Palleis, C; Schadler, J; Paetzold, J C; Liebscher, S; Hauser, A E; Gokce, O; Lickert, H; Steinke, H; Benakis, C; Braun, C; Martinez-Jimenez, C P; Buerger, K; Albert, N L; Hoglinger, G; Levin, J; Haass, C; Kopczak, A; Dichgans, M; Havla, J; Kumpfel, T; Kerschensteiner, M; Schifferer, M; Simons, M; Liesz, A; Krahmer, N; Bayraktar, O A; Franzmeier, N; Plesnila, N; Erener, S; Puelles, V G; Delbridge, C; Bhatia, H S; Hellal, F; Elsner, M; Bechmann, I; Ondruschka, B; Brendel, M; Theis, F J; Erturk, A&lt;/Author&gt;&lt;Year&gt;2023&lt;/Year&gt;&lt;Details&gt;&lt;_accession_num&gt;37562402&lt;/_accession_num&gt;&lt;_author_adr&gt;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Institute for Tissue Engineering and Regenerative Medicine (iTERM), Helmholtz  Center, Neuherberg, Munich, Germany; Institute of Computational Biology,  Helmholtz Zentrum Munchen, German Research Center for Environmental Health,  Neuherberg, Germany.; Division of Mental Health in Older Adults and Alzheimer Therapy and Research  Center, Department of Psychiatry and Psychotherapy, University Hospital, Ludwig  Maximilian University Munich, 80336 Munich, Germany; German Center for  Neurodegenerative Diseases (DZNE) Munich, Munich, Germany; Ageing Epidemiology  (AGE) Research Unit, School of Public Health, Imperial College London, London,  UK; Munich Cluster for Systems Neurology (SyNergy), Munich, Germany; Sheffield  Institute for Translational Neuroscience, University of Sheffield, Sheffield, UK.;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Tissue Engineering and Regenerative Medicine (iTERM), Helmholtz  Center, Neuherberg, Munich, Germany; Graduate School of Systemic Neurosciences  (GSN), Munich, Germany; Institute of Computational Biology, Helmholtz Zentrum  Munchen, German Research Center for Environmental Health, Neuherberg, Germany.; Institute for Tissue Engineering and Regenerative Medicine (iTERM), Helmholtz  Center, Neuherberg, Munich, Germany.; Department of Nuclear Medicine, University Hospital,  Ludwig-Maximilians-Universitat Munchen, Munich, Germany.; Institute of Computational Biology, Helmholtz Zentrum Munchen, German Research  Center for Environmental Health, Neuherberg, Germany.; Institute for Diabetes and Obesity, Helmholtz Center Munich and German Center for  Diabetes Research (DZD), 85764 Neuherberg,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Tissue Engineering and Regenerative Medicine (iTERM), Helmholtz  Center, Neuherberg, Munich, Germany.; Institute for Tissue Engineering and Regenerative Medicine (iTERM), Helmholtz  Center, Neuherberg, Munich, Germany.; Institute for Stroke and Dementia Research, LMU University Hospital,  Ludwig-Maximilians University Munich, Munich, Germany.; Helmholtz Pioneer Campus (HPC), Helmholtz Munich, Neuherberg, Germany.; Institute for Tissue Engineering and Regenerative Medicine (iTERM), Helmholtz  Center, Neuherberg, Munich,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School of Computation, Information and  Technology (CIT), TUM, Boltzmannstr. 3, 85748 Garching, Germany.; Institute for Tissue Engineering and Regenerative Medicine (iTERM), Helmholtz  Center, Neuherberg,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Department of Radiology,  University Hospital, LMU Munich, Munich, Germany.; Department of Nuclear Medicine, University Hospital,  Ludwig-Maximilians-Universitat Munchen,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Biomedical Center (BMC), Core Facility Flow Cytometry, Faculty of Medicine, LMU  Munich, Munich, Germany.; Biomedical Center (BMC), Core Facility Flow Cytometry, Faculty of Medicine, LMU  Munich, Munich, Germany.; Biomedical Center (BMC), Core Facility Flow Cytometry, Faculty of Medicine, LMU  Munich, Munich, Germany.; Institute for Stroke and Dementia Research, LMU University Hospital,  Ludwig-Maximilians University Munich, Munich, Germany.; Institute for Tissue Engineering and Regenerative Medicine (iTERM), Helmholtz  Center, Neuherberg, Munich, Germany; Institute for Diabetes and Cancer, Helmholtz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Division of Mental Health in Older Adults and Alzheimer Therapy and Research  Center, Department of Psychiatry and Psychotherapy, University Hospital, Ludwig  Maximilian University Munich, 80336 Munich, Germany; Sheffield Institute for  Translational Neuroscience, University of Sheffield, Sheffield, UK; Institute of  Neuroradiology, University Hospital LMU, Munich, Germany.; Institute of Diabetes and Regeneration Research, Helmholtz Diabetes Center,  Helmholtz Zentrum Munchen, Neuherberg, Germany; Institute of Stem Cell Research,  Helmholtz Zentrum Munchen, Neuherberg, Germany.; Institute of Diabetes and Regeneration Research, Helmholtz Diabetes Center,  Helmholtz Zentrum Munchen, Neuherberg, Germany; Institute of Stem Cell Research,  Helmholtz Zentrum Munchen, Neuherberg, Germany.; Institute for Tissue Engineering and Regenerative Medicine (iTERM), Helmholtz  Center, Neuherberg, Munich, Germany; Institute for Stroke and Dementia Research,  LMU University Hospital, Ludwig-Maximilians University Munich, Munich, Germany.; Institute of Clinical Neuroimmunology, University Hospital Munich,  Ludwig-Maximilians University Munich, Munich, Germany.; Institute for Stroke and Dementia Research, LMU University Hospital,  Ludwig-Maximilians University Munich, Munich, Germany; Graduate School of  Systemic Neurosciences (GSN), Munich, Germany.; German Center for Neurodegenerative Diseases (DZNE) Munich, Munich, Germany;  Department of Neurology, Ludwig-Maximilians-Universitat Munchen, Munich, Germany.; German Center for Neurodegenerative Diseases (DZNE) Munich, Munich, Germany;  Department of Neurology, Ludwig-Maximilians-Universitat Munchen, Munich, Germany.; Institute of Legal Medicine, University Medical Center Hamburg-Eppendorf,  Hamburg, Germany.; Institute for Tissue Engineering and Regenerative Medicine (iTERM), Helmholtz  Center, Neuherberg, Munich, Germany; Department of Computing, Imperial College  London, London, UK.; Munich Cluster for Systems Neurology (SyNergy), Munich, Germany; Institute of  Clinical Neuroimmunology, University Hospital Munich, Ludwig-Maximilians  University Munich, Munich, Germany; Biomedical Center (BMC), Medical Faculty,  Ludwig-Maximilians Universitat Munich,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Munich Cluster for Systems  Neurology (SyNergy), Munich, Germany.; Institute of Diabetes and Regeneration Research, Helmholtz Diabetes Center,  Helmholtz Zentrum Munchen, Neuherberg, Germany; Institute of Stem Cell Research,  Helmholtz Zentrum Munchen, Neuherberg, Germany; TUM School of Medicine, Technical  University of Munich, Munich, Germany.; Institute of Anatomy, University of Leipzig, 04109 Leipzig, Germany.; Institute for Stroke and Dementia Research, LMU University Hospital,  Ludwig-Maximilians University Munich, Munich, Germany.; Institute of Legal Medicine, Faculty of Medicine, LMU Munich, Germany.; Helmholtz Pioneer Campus (HPC), Helmholtz Munich, Neuherberg, Germany; TUM School  of Medicine, Technical University of Munich, Munich, Germany.; Institute for Stroke and Dementia Research, LMU University Hospital,  Ludwig-Maximilians University Munich, Munich, Germany; German Center for  Neurodegenerative Diseases (DZNE) Munich, Munich, Germany.; Department of Nuclear Medicine, University Hospital,  Ludwig-Maximilians-Universitat Munchen, Munich, Germany.; German Center for Neurodegenerative Diseases (DZNE) Munich, Munich, Germany;  Department of Neurology, Ludwig-Maximilians-Universitat Munchen, Munich, Germany.; German Center for Neurodegenerative Diseases (DZNE) Munich, Munich, Germany;  Munich Cluster for Systems Neurology (SyNergy), Munich, Germany; Department of  Neurology, Ludwig-Maximilians-Universitat Munchen, Munich, Germany.; German Center for Neurodegenerative Diseases (DZNE) Munich, Munich, Germany;  Munich Cluster for Systems Neurology (SyNergy), Munich, Germany; Metabolic  Biochemistry, Biomedical Center (BMC), Faculty of Medicine,  Ludwig-Maximilians-Universitat Munchen, Munich, Germany.; Institute for Stroke and Dementia Research, LMU University Hospital,  Ludwig-Maximilians University Munich, Munich, Germany.; Institute for Stroke and Dementia Research, LMU University Hospital,  Ludwig-Maximilians University Munich, Munich, Germany; German Center for  Neurodegenerative Diseases (DZNE)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Institute of Clinical Neuroimmunology, University Hospital Munich,  Ludwig-Maximilians University Munich, Munich, Germany; Biomedical Center (BMC),  Medical Faculty, Ludwig-Maximilians Universitat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German Center for Neurodegenerative Diseases (DZNE) Munich, Munich, Germany;  Munich Cluster for Systems Neurology (SyNergy), Munich, Germany.; German Center for Neurodegenerative Diseases (DZNE) Munich, Munich, Germany;  Munich Cluster for Systems Neurology (SyNergy), Munich, Germany.; Institute for Stroke and Dementia Research, LMU University Hospital,  Ludwig-Maximilians University Munich, Munich, Germany; Graduate School of  Systemic Neurosciences (GSN), Munich, Germany; Munich Cluster for Systems  Neurology (SyNergy), Munich, Germany.; Institute for Diabetes and Obesity, Helmholtz Center Munich and German Center for  Diabetes Research (DZD), 85764 Neuherberg,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II. Department of Medicine, University Medical Center Hamburg-Eppendorf,  Hamburg, Germany; Hamburg Center for Kidney Health (HCKH), University Medical  Center Hamburg-Eppendorf, Hamburg, Germany; Department of Clinical Medicine,  Aarhus University, Aarhus, Denmark; Department of Pathology, Aarhus University  Hospital, Aarhus, Denmark.; Institute of Pathology, Department of Neuropathology, Technical University  Munich, TUM School of Medicine,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nstitute of Anatomy, University of Leipzig, 04109 Leipzig, Germany.; Institute of Legal Medicine, University Medical Center Hamburg-Eppendorf,  Hamburg, Germany.; German Center for Neurodegenerative Diseases (DZNE) Munich, Munich, Germany;  Munich Cluster for Systems Neurology (SyNergy), Munich, Germany; Department of  Nuclear Medicine, University Hospital, Ludwig-Maximilians-Universitat Munchen,  Munich, Germany.; Institute of Computational Biology, Helmholtz Zentrum Munchen, German Research  Center for Environmental Health, Neuherberg, Germany; Department of Mathematics,  Technische Universitat Munchen, Garching bei Munchen, Germany.; 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Munich Cluster  for Systems Neurology (SyNergy), Munich, Germany. Electronic address:  ali.erturk@helmholtz-munich.de.&lt;/_author_adr&gt;&lt;_date_display&gt;2023 Aug 17&lt;/_date_display&gt;&lt;_date&gt;2023-08-17&lt;/_date&gt;&lt;_doi&gt;10.1016/j.cell.2023.07.009&lt;/_doi&gt;&lt;_isbn&gt;1097-4172 (Electronic); 0092-8674 (Print); 0092-8674 (Linking)&lt;/_isbn&gt;&lt;_issue&gt;17&lt;/_issue&gt;&lt;_journal&gt;Cell&lt;/_journal&gt;&lt;_keywords&gt;3D-imaging; DISCO clearing; PET imaging; immune cell trafficking; neuroinflammation; neurological disorders; non-invasive monitoring; proteomics; scRNA-seq; skull-brain connection&lt;/_keywords&gt;&lt;_language&gt;eng&lt;/_language&gt;&lt;_ori_publication&gt;Copyright (c) 2023 The Author(s). Published by Elsevier Inc. All rights reserved.&lt;/_ori_publication&gt;&lt;_pages&gt;3706-3725.e29&lt;/_pages&gt;&lt;_subject_headings&gt;Animals; Humans; Mice; *Bone Marrow/metabolism; Brain/diagnostic imaging/metabolism; Carrier Proteins/metabolism; *Nervous System Diseases/metabolism/pathology; Positron-Emission Tomography/methods; Receptors, GABA/metabolism; *Skull/cytology/diagnostic imaging&lt;/_subject_headings&gt;&lt;_tertiary_title&gt;Cell&lt;/_tertiary_title&gt;&lt;_type_work&gt;Journal Article; Research Support, Non-U.S. Gov&amp;apos;t&lt;/_type_work&gt;&lt;_url&gt;http://www.ncbi.nlm.nih.gov/entrez/query.fcgi?cmd=Retrieve&amp;amp;db=pubmed&amp;amp;dopt=Abstract&amp;amp;list_uids=37562402&amp;amp;query_hl=1&lt;/_url&gt;&lt;_volume&gt;186&lt;/_volume&gt;&lt;_created&gt;65613248&lt;/_created&gt;&lt;_modified&gt;65613362&lt;/_modified&gt;&lt;_db_updated&gt;PubMed&lt;/_db_updated&gt;&lt;_impact_factor&gt;  64.500&lt;/_impact_factor&gt;&lt;_social_category&gt;生化与分子生物学(1) &amp;amp; 细胞生物学(1)&lt;/_social_category&gt;&lt;_collection_scope&gt;SCIE&lt;/_collection_scope&gt;&lt;_accessed&gt;65613362&lt;/_accessed&gt;&lt;/Details&gt;&lt;Extra&gt;&lt;DBUID&gt;{F96A950B-833F-4880-A151-76DA2D6A2879}&lt;/DBUID&gt;&lt;/Extra&gt;&lt;/Item&gt;&lt;/References&gt;&lt;/Group&gt;&lt;/Citation&gt;_x000a_"/>
    <w:docVar w:name="NE.Ref{EF5B815D-6C68-4AB7-9E50-AC7DF2DCACFD}" w:val=" ADDIN NE.Ref.{EF5B815D-6C68-4AB7-9E50-AC7DF2DCACFD}&lt;Citation&gt;&lt;Group&gt;&lt;References&gt;&lt;Item&gt;&lt;ID&gt;964&lt;/ID&gt;&lt;UID&gt;{2CC87708-DCD3-414C-AFE6-F3D3951EDDA4}&lt;/UID&gt;&lt;Title&gt;Direct vascular channels connect skull bone marrow and the brain surface enabling  myeloid cell migration&lt;/Title&gt;&lt;Template&gt;Journal Article&lt;/Template&gt;&lt;Star&gt;0&lt;/Star&gt;&lt;Tag&gt;0&lt;/Tag&gt;&lt;Author&gt;Herisson, F; Frodermann, V; Courties, G; Rohde, D; Sun, Y; Vandoorne, K; Wojtkiewicz, G R; Masson, G S; Vinegoni, C; Kim, J; Kim, D E; Weissleder, R; Swirski, F K; Moskowitz, M A; Nahrendorf, M&lt;/Author&gt;&lt;Year&gt;2018&lt;/Year&gt;&lt;Details&gt;&lt;_accessed&gt;64867613&lt;/_accessed&gt;&lt;_accession_num&gt;30150661&lt;/_accession_num&gt;&lt;_author_adr&gt;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Center for Systems Biology, Department of Imaging, Massachusetts General Hospital  and Harvard Medical School, Boston, MA, USA.; Molecular Imaging and Neurovascular Research Laboratory, Department of Neurology,  Dongguk University College of Medicine, Goyang, South Korea.; Molecular Imaging and Neurovascular Research Laboratory, Department of Neurology,  Dongguk University College of Medicine, Goyang, South Korea.; Center for Systems Biology, Department of Imaging, Massachusetts General Hospital  and Harvard Medical School, Boston, MA, USA.; Department of Systems Biology, Harvard Medical School, Boston, MA, USA.; Center for Systems Biology, Department of Imaging, Massachusetts General Hospital  and Harvard Medical School, Boston, MA, USA.; Stroke and Neurovascular Regulation Laboratory, Departments of Radiology and  Neurology, Massachusetts General Hospital and Harvard Medical School, Boston, MA,  USA.; Center for Systems Biology, Department of Imaging, Massachusetts General Hospital  and Harvard Medical School, Boston, MA, USA. mnahrendorf@mgh.harvard.edu.; Cardiovascular Research Center, Massachusetts General Hospital and Harvard  Medical School, Boston, MA, USA. mnahrendorf@mgh.harvard.edu.&lt;/_author_adr&gt;&lt;_collection_scope&gt;SCIE&lt;/_collection_scope&gt;&lt;_created&gt;64867580&lt;/_created&gt;&lt;_date&gt;2018-09-01&lt;/_date&gt;&lt;_date_display&gt;2018 Sep&lt;/_date_display&gt;&lt;_db_updated&gt;PubMed&lt;/_db_updated&gt;&lt;_doi&gt;10.1038/s41593-018-0213-2&lt;/_doi&gt;&lt;_impact_factor&gt;  28.771&lt;/_impact_factor&gt;&lt;_isbn&gt;1546-1726 (Electronic); 1097-6256 (Print); 1097-6256 (Linking)&lt;/_isbn&gt;&lt;_issue&gt;9&lt;/_issue&gt;&lt;_journal&gt;Nat Neurosci&lt;/_journal&gt;&lt;_language&gt;eng&lt;/_language&gt;&lt;_modified&gt;64867613&lt;/_modified&gt;&lt;_pages&gt;1209-1217&lt;/_pages&gt;&lt;_social_category&gt;医学(1)&lt;/_social_category&gt;&lt;_subject_headings&gt;Adult; Animals; Bone Marrow/*physiology/ultrastructure; Cell Movement/*physiology; Female; Humans; Inflammation/pathology; Male; Meningitis, Aseptic/pathology; Mice; Mice, Inbred C57BL; Middle Aged; Myeloid Cells/*physiology/ultrastructure; Neutrophils; Skull/cytology/*physiology/ultrastructure; Stroke/pathology; Tibia/physiology/ultrastructure; Tomography, X-Ray Computed&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0150661&amp;amp;query_hl=1&lt;/_url&gt;&lt;_volume&gt;21&lt;/_volume&gt;&lt;/Details&gt;&lt;Extra&gt;&lt;DBUID&gt;{F96A950B-833F-4880-A151-76DA2D6A2879}&lt;/DBUID&gt;&lt;/Extra&gt;&lt;/Item&gt;&lt;/References&gt;&lt;/Group&gt;&lt;/Citation&gt;_x000a_"/>
    <w:docVar w:name="NE.Ref{F12A1FBC-97E7-4FED-94F7-9FD186F138D0}" w:val=" ADDIN NE.Ref.{F12A1FBC-97E7-4FED-94F7-9FD186F138D0}&lt;Citation&gt;&lt;Group&gt;&lt;References&gt;&lt;Item&gt;&lt;ID&gt;937&lt;/ID&gt;&lt;UID&gt;{E82A5BFC-C9FA-4EF7-A593-77615A19887D}&lt;/UID&gt;&lt;Title&gt;The TREM2-APOE Pathway Drives the Transcriptional Phenotype of Dysfunctional  Microglia in Neurodegenerative Diseases&lt;/Title&gt;&lt;Template&gt;Journal Article&lt;/Template&gt;&lt;Star&gt;0&lt;/Star&gt;&lt;Tag&gt;0&lt;/Tag&gt;&lt;Author&gt;Krasemann, S; Madore, C; Cialic, R; Baufeld, C; Calcagno, N; El, Fatimy R; Beckers, L; O&amp;apos;Loughlin, E; Xu, Y; Fanek, Z; Greco, D J; Smith, S T; Tweet, G; Humulock, Z; Zrzavy, T; Conde-Sanroman, P; Gacias, M; Weng, Z; Chen, H; Tjon, E; Mazaheri, F; Hartmann, K; Madi, A; Ulrich, J D; Glatzel, M; Worthmann, A; Heeren, J; Budnik, B; Lemere, C; Ikezu, T; Heppner, F L; Litvak, V; Holtzman, D M; Lassmann, H; Weiner, H L; Ochando, J; Haass, C; Butovsky, O&lt;/Author&gt;&lt;Year&gt;2017&lt;/Year&gt;&lt;Details&gt;&lt;_accessed&gt;64933881&lt;/_accessed&gt;&lt;_accession_num&gt;28930663&lt;/_accession_num&gt;&lt;_author_adr&gt;Ann Romney Center for Neurologic Diseases, Department of Neurology, Brigham and  Women&amp;apos;s Hospital, Harvard Medical School, Boston, MA, USA; Institute of  Neuropathology, University Medical Center Hamburg-Eppendorf, Hamburg, Germany.;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Department of Microbiology and Physiological Systems, University of Massachusetts  Medical School, Worcester,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Ann Romney Center for Neurologic Diseases, Department of Neurology, Brigham and  Women&amp;apos;s Hospital, Harvard Medical School, Boston, MA, USA.; Center for Brain Research, Medical University of Vienna, Vienna, Austria.; Department of Medicine, Icahn School of Medicine at Mount Sinai, NY, USA.; Department of Medicine, Icahn School of Medicine at Mount Sinai, NY, USA.; Department of Biochemistry and Molecular Pharmacology, University of  Massachusetts Medical School, Worcester, MA, USA.; Department of Biochemistry and Molecular Pharmacology, University of  Massachusetts Medical School, Worcester, MA, USA.; Ann Romney Center for Neurologic Diseases, Department of Neurology, Brigham and  Women&amp;apos;s Hospital, Harvard Medical School, Boston, MA, USA.; German Center for Neurodegenerative Diseases, Munich, Germany.; Institute of Neuropathology, University Medical Center Hamburg-Eppendorf,  Hamburg, Germany.; Ann Romney Center for Neurologic Diseases, Department of Neurology, Brigham and  Women&amp;apos;s Hospital, Harvard Medical School, Boston, MA, USA.; Department of Neurology, Hope Center for Neurological Disorders, Knight  Alzheimer&amp;apos;s Disease Research Center, Washington University School of Medicine,  St. Louis, USA.; Institute of Neuropathology, University Medical Center Hamburg-Eppendorf,  Hamburg, Germany.; Department of Biochemistry and Molecular Cell Biology, University Medical Center  Hamburg-Eppendorf, Hamburg, Germany.; Department of Biochemistry and Molecular Cell Biology, University Medical Center  Hamburg-Eppendorf, Hamburg, Germany.; Mass Spectrometry and Proteomics Resource Laboratory, Faculty of Arts and  Sciences Division of Science, Harvard University, Cambridge MA, USA.; Ann Romney Center for Neurologic Diseases, Department of Neurology, Brigham and  Women&amp;apos;s Hospital, Harvard Medical School, Boston, MA, USA.; Department of Pharmacology and Experimental Therapeutics and Department of  Neurology, Boston University School of Medicine, MA, USA.; Department of Neuropathology, Charite-Universitatsmedizin Berlin, Berlin,  Germany; Cluster of Excellence, NeuroCure, Chariteplatz 1, 10117 Berlin, Germany.; Department of Microbiology and Physiological Systems, University of Massachusetts  Medical School, Worcester, MA, USA.; Department of Neurology, Hope Center for Neurological Disorders, Knight  Alzheimer&amp;apos;s Disease Research Center, Washington University School of Medicine,  St. Louis, USA.; Center for Brain Research, Medical University of Vienna, Vienna, Austria.; Ann Romney Center for Neurologic Diseases, Department of Neurology, Brigham and  Women&amp;apos;s Hospital, Harvard Medical School, Boston, MA, USA; Evergrande Center for  Immunologic Diseases, Brigham and Women&amp;apos;s Hospital, Harvard Medical School,  Boston, MA, USA.; Department of Medicine, Icahn School of Medicine at Mount Sinai, NY, USA.; German Center for Neurodegenerative Diseases, Munich, Germany; Biomedical Center,  Biochemistry, Ludwig-Maximilians-Universitat Munich, Munich, Germany; Munich  Cluster for Systems Neurology, Munich, Germany.; Ann Romney Center for Neurologic Diseases, Department of Neurology, Brigham and  Women&amp;apos;s Hospital, Harvard Medical School, Boston, MA, USA; Evergrande Center for  Immunologic Diseases, Brigham and Women&amp;apos;s Hospital, Harvard Medical School,  Boston, MA, USA. Electronic address: obutovsky@rics.bwh.harvard.edu.&lt;/_author_adr&gt;&lt;_collection_scope&gt;SCIE&lt;/_collection_scope&gt;&lt;_created&gt;64867560&lt;/_created&gt;&lt;_date&gt;2017-09-19&lt;/_date&gt;&lt;_date_display&gt;2017 Sep 19&lt;/_date_display&gt;&lt;_db_updated&gt;PubMed&lt;/_db_updated&gt;&lt;_doi&gt;10.1016/j.immuni.2017.08.008&lt;/_doi&gt;&lt;_impact_factor&gt;  43.474&lt;/_impact_factor&gt;&lt;_isbn&gt;1097-4180 (Electronic); 1074-7613 (Print); 1074-7613 (Linking)&lt;/_isbn&gt;&lt;_issue&gt;3&lt;/_issue&gt;&lt;_journal&gt;Immunity&lt;/_journal&gt;&lt;_keywords&gt;APOE; Alzheimer&amp;apos;s disease; TREM2; amyotrophic lateral sclerosis; microglia; multiple sclerosis; neurodegeneration; transcriptional regulation&lt;/_keywords&gt;&lt;_language&gt;eng&lt;/_language&gt;&lt;_modified&gt;64933881&lt;/_modified&gt;&lt;_ori_publication&gt;Copyright (c) 2017 Elsevier Inc. All rights reserved.&lt;/_ori_publication&gt;&lt;_pages&gt;566-581.e9&lt;/_pages&gt;&lt;_social_category&gt;医学(1)&lt;/_social_category&gt;&lt;_subject_headings&gt;Alzheimer Disease/genetics/metabolism/pathology; Amyloid beta-Peptides/metabolism; Amyloid beta-Protein Precursor/metabolism; Animals; Apolipoproteins E/deficiency/genetics/*metabolism; Apoptosis/genetics/immunology; Cerebral Cortex/metabolism/pathology; Cluster Analysis; Disease Models, Animal; Encephalomyelitis, Autoimmune, Experimental; Female; Gene Expression Profiling; Gene Expression Regulation; Gene Targeting; Humans; Immune Tolerance; Membrane Glycoproteins/*metabolism; Mice; Mice, Knockout; Mice, Transgenic; Microglia/immunology/*metabolism; Monocytes/immunology/metabolism; Neurodegenerative Diseases/*genetics/immunology/*metabolism; Neurons/metabolism; Phagocytosis/genetics/immunology; Phenotype; Plaque, Amyloid/metabolism/pathology; Receptors, Immunologic/*metabolism; *Signal Transduction; Superoxide Dismutase-1/genetics/metabolism; *Transcriptome; Transforming Growth Factor beta/metabolism&lt;/_subject_headings&gt;&lt;_tertiary_title&gt;Immunity&lt;/_tertiary_title&gt;&lt;_type_work&gt;Journal Article; Research Support, N.I.H., Extramural; Research Support, Non-U.S. Gov&amp;apos;t; Research Support, U.S. Gov&amp;apos;t, Non-P.H.S.&lt;/_type_work&gt;&lt;_url&gt;http://www.ncbi.nlm.nih.gov/entrez/query.fcgi?cmd=Retrieve&amp;amp;db=pubmed&amp;amp;dopt=Abstract&amp;amp;list_uids=28930663&amp;amp;query_hl=1&lt;/_url&gt;&lt;_volume&gt;47&lt;/_volume&gt;&lt;/Details&gt;&lt;Extra&gt;&lt;DBUID&gt;{F96A950B-833F-4880-A151-76DA2D6A2879}&lt;/DBUID&gt;&lt;/Extra&gt;&lt;/Item&gt;&lt;/References&gt;&lt;/Group&gt;&lt;Group&gt;&lt;References&gt;&lt;Item&gt;&lt;ID&gt;995&lt;/ID&gt;&lt;UID&gt;{6295F7B8-A607-4FDA-99E2-5B80C2752DAC}&lt;/UID&gt;&lt;Title&gt;A Unique Microglia Type Associated with Restricting Development of Alzheimer&amp;apos;s  Disease&lt;/Title&gt;&lt;Template&gt;Journal Article&lt;/Template&gt;&lt;Star&gt;0&lt;/Star&gt;&lt;Tag&gt;0&lt;/Tag&gt;&lt;Author&gt;Keren-Shaul, H; Spinrad, A; Weiner, A; Matcovitch-Natan, O; Dvir-Szternfeld, R; Ulland, T K; David, E; Baruch, K; Lara-Astaiso, D; Toth, B; Itzkovitz, S; Colonna, M; Schwartz, M; Amit, I&lt;/Author&gt;&lt;Year&gt;2017&lt;/Year&gt;&lt;Details&gt;&lt;_accessed&gt;64933882&lt;/_accessed&gt;&lt;_accession_num&gt;28602351&lt;/_accession_num&gt;&lt;_author_adr&gt;Department of Immunology, Weizmann Institute of Science, Rehovot 7610001, Israel.; Department of Immunology, Weizmann Institute of Science, Rehovot 7610001, Israel;  Department of Neurobiology, Weizmann Institute of Science, Rehovot 7610001,  Israel.; Department of Immunology, Weizmann Institute of Science, Rehovot 7610001, Israel;  Hubrecht Institute-KNAW (Royal Netherlands Academy of Arts and Sciences), and  University Medical Center, Cancer Genomics Netherlands, 3584 CG Utrecht, the  Netherlands. Electronic address: assaf.weiner@weizmann.ac.il.; Department of Immunology, Weizmann Institute of Science, Rehovot 7610001, Israel;  Department of Neurobiology, Weizmann Institute of Science, Rehovot 7610001,  Israel.; Department of Neurobiology, Weizmann Institute of Science, Rehovot 7610001,  Israel.; Department of Pathology and Immunology, Washington University School of Medicine,  St. Louis, MO 63110, USA.; Department of Immunology, Weizmann Institute of Science, Rehovot 7610001, Israel.; Department of Neurobiology, Weizmann Institute of Science, Rehovot 7610001,  Israel.; Department of Immunology, Weizmann Institute of Science, Rehovot 7610001, Israel.; Department of Molecular Cell Biology, Weizmann Institute of Science, Rehovot  7610001, Israel.; Department of Molecular Cell Biology, Weizmann Institute of Science, Rehovot  7610001, Israel.; Department of Pathology and Immunology, Washington University School of Medicine,  St. Louis, MO 63110, USA.; Department of Neurobiology, Weizmann Institute of Science, Rehovot 7610001,  Israel. Electronic address: michal.schwartz@weizmann.ac.il.; Department of Immunology, Weizmann Institute of Science, Rehovot 7610001, Israel.  Electronic address: ido.amit@weizmann.ac.il.&lt;/_author_adr&gt;&lt;_collection_scope&gt;SCIE&lt;/_collection_scope&gt;&lt;_created&gt;64933856&lt;/_created&gt;&lt;_date&gt;2017-06-15&lt;/_date&gt;&lt;_date_display&gt;2017 Jun 15&lt;/_date_display&gt;&lt;_db_updated&gt;PubMed&lt;/_db_updated&gt;&lt;_doi&gt;10.1016/j.cell.2017.05.018&lt;/_doi&gt;&lt;_impact_factor&gt;  66.850&lt;/_impact_factor&gt;&lt;_isbn&gt;1097-4172 (Electronic); 0092-8674 (Linking)&lt;/_isbn&gt;&lt;_issue&gt;7&lt;/_issue&gt;&lt;_journal&gt;Cell&lt;/_journal&gt;&lt;_keywords&gt;Alzheimer&amp;apos;s disease; immunology; microglia; single cell RNA-seq; systems biology&lt;/_keywords&gt;&lt;_language&gt;eng&lt;/_language&gt;&lt;_modified&gt;64933882&lt;/_modified&gt;&lt;_ori_publication&gt;Copyright (c) 2017 Elsevier Inc. All rights reserved.&lt;/_ori_publication&gt;&lt;_pages&gt;1276-1290.e17&lt;/_pages&gt;&lt;_social_category&gt;生物学(1)&lt;/_social_category&gt;&lt;_subject_headings&gt;Alzheimer Disease/genetics/*immunology/*pathology; Animals; Humans; Mice; Mice, Transgenic; Microglia/metabolism/*pathology; Neurodegenerative Diseases/genetics/immunology/pathology; Phagocytes/metabolism/*pathology; Receptors, Immunologic/metabolism; Sequence Analysis, RNA; Single-Cell Analysis&lt;/_subject_headings&gt;&lt;_tertiary_title&gt;Cell&lt;/_tertiary_title&gt;&lt;_type_work&gt;Journal Article&lt;/_type_work&gt;&lt;_url&gt;http://www.ncbi.nlm.nih.gov/entrez/query.fcgi?cmd=Retrieve&amp;amp;db=pubmed&amp;amp;dopt=Abstract&amp;amp;list_uids=28602351&amp;amp;query_hl=1&lt;/_url&gt;&lt;_volume&gt;169&lt;/_volume&gt;&lt;/Details&gt;&lt;Extra&gt;&lt;DBUID&gt;{F96A950B-833F-4880-A151-76DA2D6A2879}&lt;/DBUID&gt;&lt;/Extra&gt;&lt;/Item&gt;&lt;/References&gt;&lt;/Group&gt;&lt;Group&gt;&lt;References&gt;&lt;Item&gt;&lt;ID&gt;999&lt;/ID&gt;&lt;UID&gt;{7149E103-53E4-4524-80E3-6F5E25983EB2}&lt;/UID&gt;&lt;Title&gt;A CRISPRi/a platform in human iPSC-derived microglia uncovers regulators of  disease states&lt;/Title&gt;&lt;Template&gt;Journal Article&lt;/Template&gt;&lt;Star&gt;0&lt;/Star&gt;&lt;Tag&gt;0&lt;/Tag&gt;&lt;Author&gt;Drager, N M; Sattler, S M; Huang, C T; Teter, O M; Leng, K; Hashemi, S H; Hong, J; Aviles, G; Clelland, C D; Zhan, L; Udeochu, J C; Kodama, L; Singleton, A B; Nalls, M A; Ichida, J; Ward, M E; Faghri, F; Gan, L; Kampmann, M&lt;/Author&gt;&lt;Year&gt;2022&lt;/Year&gt;&lt;Details&gt;&lt;_accessed&gt;64933881&lt;/_accessed&gt;&lt;_accession_num&gt;35953545&lt;/_accession_num&gt;&lt;_author_adr&gt;Institute for Neurodegenerative Diseases, University of California, San  Francisco, San Francisco, CA, USA.; Institute for Neurodegenerative Diseases, University of California, San  Francisco, San Francisco, CA, USA.; Gladstone Institute of Neurological Disease, San Francisco, CA, USA.; Institute for Neurodegenerative Diseases, University of California, San  Francisco, San Francisco, CA, USA.; UC Berkeley-UCSF Graduate Program in Bioengineering, University of California,  San Francisco, San Francisco, CA, USA.; Institute for Neurodegenerative Diseases, University of California, San  Francisco, San Francisco, CA, USA.; Biomedical Sciences Graduate Program, University of California, San Francisco,  San Francisco, CA, USA.; Medical Scientist Training Program, University of California, San Francisco, San  Francisco, CA, USA.; Department of Computer Science, University of Illinois at Urbana-Champaign,  Urbana, IL, USA.; Institute for Neurodegenerative Diseases, University of California, San  Francisco, San Francisco, CA, USA.; Institute for Neurodegenerative Diseases, University of California, San  Francisco, San Francisco, CA, USA.; Gladstone Institute of Neurological Disease, San Francisco, CA, USA.; Department of Neurology, University of California, San Francisco, San Francisco,  CA, USA.; Gladstone Institute of Neurological Disease, San Francisco, CA, USA.; Gladstone Institute of Neurological Disease, San Francisco, CA, USA.; Gladstone Institute of Neurological Disease, San Francisco, CA, USA.; Medical Scientist Training Program, University of California, San Francisco, San  Francisco, CA, USA.; Neuroscience Graduate Program, University of California, San Francisco, San  Francisco, CA, USA.; Center for Alzheimer&amp;apos;s and Related Dementias, National Institutes of Health,  Bethesda, MD, USA.; Laboratory of Neurogenetics, National Institute on Aging, National Institutes of  Health, Bethesda, MD, USA.; Center for Alzheimer&amp;apos;s and Related Dementias, National Institutes of Health,  Bethesda, MD, USA.; Laboratory of Neurogenetics, National Institute on Aging, National Institutes of  Health, Bethesda, MD, USA.; Data Tecnica International, LLC, Glen Echo, MD, USA.; Department of Stem Cell Biology and Regenerative Medicine, Keck School of  Medicine, University of Southern California, Los Angeles, CA, USA.; Eli and Edythe Broad CIRM Center for Regenerative Medicine and Stem Cell Research  at USC, Los Angeles, CA, USA.; Zilkha Neurogenetic Institute, Keck School of Medicine, University of Southern  California, Los Angeles, CA, USA.; National Institute of Neurological Disorders and Stroke, National Institutes of  Health, Bethesda, MD, USA.; Department of Computer Science, University of Illinois at Urbana-Champaign,  Urbana, IL, USA.; Center for Alzheimer&amp;apos;s and Related Dementias, National Institutes of Health,  Bethesda, MD, USA.; Laboratory of Neurogenetics, National Institute on Aging, National Institutes of  Health, Bethesda, MD, USA.; Data Tecnica International, LLC, Glen Echo, MD, USA.; Gladstone Institute of Neurological Disease, San Francisco, CA, USA.  lig2033@med.cornell.edu.; Helen and Robert Appel Alzheimer&amp;apos;s Disease Research Institute, Brain and Mind  Research Institute, Weill Cornell Medicine, New York, NY, USA.  lig2033@med.cornell.edu.; Institute for Neurodegenerative Diseases, University of California, San  Francisco, San Francisco, CA, USA. martin.kampmann@ucsf.edu.; Department of Biochemistry and Biophysics, University of California, San  Francisco, San Francisco, CA, USA. martin.kampmann@ucsf.edu.&lt;/_author_adr&gt;&lt;_collection_scope&gt;SCIE&lt;/_collection_scope&gt;&lt;_created&gt;64933859&lt;/_created&gt;&lt;_date&gt;2022-09-01&lt;/_date&gt;&lt;_date_display&gt;2022 Sep&lt;/_date_display&gt;&lt;_db_updated&gt;PubMed&lt;/_db_updated&gt;&lt;_doi&gt;10.1038/s41593-022-01131-4&lt;/_doi&gt;&lt;_impact_factor&gt;  28.771&lt;/_impact_factor&gt;&lt;_isbn&gt;1546-1726 (Electronic); 1097-6256 (Print); 1097-6256 (Linking)&lt;/_isbn&gt;&lt;_issue&gt;9&lt;/_issue&gt;&lt;_journal&gt;Nat Neurosci&lt;/_journal&gt;&lt;_language&gt;eng&lt;/_language&gt;&lt;_modified&gt;64933881&lt;/_modified&gt;&lt;_ori_publication&gt;(c) 2022. The Author(s).&lt;/_ori_publication&gt;&lt;_pages&gt;1149-1162&lt;/_pages&gt;&lt;_social_category&gt;医学(1)&lt;/_social_category&gt;&lt;_subject_headings&gt;Brain/metabolism; Clustered Regularly Interspaced Short Palindromic Repeats/genetics; Humans; *Induced Pluripotent Stem Cells/metabolism; *Microglia/metabolism; Phagocytosis/genetics&lt;/_subject_headings&gt;&lt;_tertiary_title&gt;Nature neuroscience&lt;/_tertiary_title&gt;&lt;_type_work&gt;Journal Article; Research Support, N.I.H., Extramural; Research Support, N.I.H., Intramural; Research Support, Non-U.S. Gov&amp;apos;t; Research Support, U.S. Gov&amp;apos;t, Non-P.H.S.&lt;/_type_work&gt;&lt;_url&gt;http://www.ncbi.nlm.nih.gov/entrez/query.fcgi?cmd=Retrieve&amp;amp;db=pubmed&amp;amp;dopt=Abstract&amp;amp;list_uids=35953545&amp;amp;query_hl=1&lt;/_url&gt;&lt;_volume&gt;25&lt;/_volume&gt;&lt;/Details&gt;&lt;Extra&gt;&lt;DBUID&gt;{F96A950B-833F-4880-A151-76DA2D6A2879}&lt;/DBUID&gt;&lt;/Extra&gt;&lt;/Item&gt;&lt;/References&gt;&lt;/Group&gt;&lt;/Citation&gt;_x000a_"/>
    <w:docVar w:name="NE.Ref{F8644687-5F7E-47C8-B314-EFB51F1FD31C}" w:val=" ADDIN NE.Ref.{F8644687-5F7E-47C8-B314-EFB51F1FD31C}&lt;Citation&gt;&lt;Group&gt;&lt;References&gt;&lt;Item&gt;&lt;ID&gt;1058&lt;/ID&gt;&lt;UID&gt;{F5527CA6-0970-4E40-84B0-70133F73BE84}&lt;/UID&gt;&lt;Title&gt;Rejuvenation of peripheral immune cells attenuates Alzheimer&amp;apos;s disease-like  pathologies and behavioral deficits in a mouse model&lt;/Title&gt;&lt;Template&gt;Journal Article&lt;/Template&gt;&lt;Star&gt;0&lt;/Star&gt;&lt;Tag&gt;0&lt;/Tag&gt;&lt;Author&gt;Sun, P Y; Liu, J; Hu, J N; Tu, Y F; Jiang, Q; Jia, Y J; Sun, H L; Chen, S H; Xin, J Y; Yu, Z Y; Liu, Z H; Tan, C R; Zeng, G H; Shi, A Y; Liu, Y H; Bu, X L; Wang, Y J; Wang, J&lt;/Author&gt;&lt;Year&gt;2024&lt;/Year&gt;&lt;Details&gt;&lt;_accessed&gt;65613355&lt;/_accessed&gt;&lt;_accession_num&gt;38809977&lt;/_accession_num&gt;&lt;_author_adr&gt;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Shigatse Branch, Xinqiao Hospital, Third Military Medical University, Shigatse,  China.; Department of Neurology, Daping Hospital, Third Military Medical University,  Chongqing, China.; Chongqing Key Laboratory of Aging and Brain Diseases, Chongqing, China.; Department of Neurology, Nanchong Central Hospital, The Second Clinical Medical  School, North Sichuan Medical College, Nancho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Department of Neurology, Daping Hospital, Third Military Medical University,  Chongqing, China.; Chongqing Key Laboratory of Aging and Brain Diseases, Chongqing, China.; Institute of Brain and Intelligence, Third Military Medical University,  Chongqing, China.; Department of Neurology, Daping Hospital, Third Military Medical University,  Chongqing, China.; Chongqing Key Laboratory of Aging and Brain Diseases, Chongqing, China.; Institute of Brain and Intelligence, Third Military Medical University,  Chongqing, China.; Department of Neurology, Daping Hospital, Third Military Medical University,  Chongqing, China.; Chongqing Key Laboratory of Aging and Brain Diseases, Chongqing, China.; Institute of Brain and Intelligence, Third Military Medical University,  Chongqing, China.; Chongqing Institute for Brain and Intelligence, Guangyang Bay Laboratory,  Chongqing, China.; Center for Excellence in Brain Science and Intelligence Technology, Chinese  Academy of Sciences, Shanghai, China.; Department of Neurology, Daping Hospital, Third Military Medical University,  Chongqing, China.; Chongqing Key Laboratory of Aging and Brain Diseases, Chongqing, China.&lt;/_author_adr&gt;&lt;_collection_scope&gt;SCIE;EI&lt;/_collection_scope&gt;&lt;_created&gt;65613202&lt;/_created&gt;&lt;_date&gt;2024-05-31&lt;/_date&gt;&lt;_date_display&gt;2024 May 31&lt;/_date_display&gt;&lt;_db_updated&gt;PubMed&lt;/_db_updated&gt;&lt;_doi&gt;10.1126/sciadv.adl1123&lt;/_doi&gt;&lt;_impact_factor&gt;  13.600&lt;/_impact_factor&gt;&lt;_isbn&gt;2375-2548 (Electronic); 2375-2548 (Linking)&lt;/_isbn&gt;&lt;_issue&gt;22&lt;/_issue&gt;&lt;_journal&gt;Sci Adv&lt;/_journal&gt;&lt;_language&gt;eng&lt;/_language&gt;&lt;_modified&gt;65613240&lt;/_modified&gt;&lt;_pages&gt;eadl1123&lt;/_pages&gt;&lt;_social_category&gt;综合性期刊(1)&lt;/_social_category&gt;&lt;_subject_headings&gt;Animals; *Alzheimer Disease/therapy/metabolism/immunology; *Disease Models, Animal; Mice; *Rejuvenation; Mice, Transgenic; Bone Marrow Transplantation; Behavior, Animal; Amyloid beta-Peptides/metabolism; Monocytes/immunology/metabolism; Plaque, Amyloid/pathology/metabolism; Aging/immunology; Humans&lt;/_subject_headings&gt;&lt;_tertiary_title&gt;Science advances&lt;/_tertiary_title&gt;&lt;_type_work&gt;Journal Article&lt;/_type_work&gt;&lt;_url&gt;http://www.ncbi.nlm.nih.gov/entrez/query.fcgi?cmd=Retrieve&amp;amp;db=pubmed&amp;amp;dopt=Abstract&amp;amp;list_uids=38809977&amp;amp;query_hl=1&lt;/_url&gt;&lt;_volume&gt;10&lt;/_volume&gt;&lt;/Details&gt;&lt;Extra&gt;&lt;DBUID&gt;{F96A950B-833F-4880-A151-76DA2D6A2879}&lt;/DBUID&gt;&lt;/Extra&gt;&lt;/Item&gt;&lt;/References&gt;&lt;/Group&gt;&lt;/Citation&gt;_x000a_"/>
    <w:docVar w:name="NE.Ref{FAE31F7E-6D27-40D6-B9DC-D1C2E7D816D3}" w:val=" ADDIN NE.Ref.{FAE31F7E-6D27-40D6-B9DC-D1C2E7D816D3}&lt;Citation&gt;&lt;Group&gt;&lt;References&gt;&lt;Item&gt;&lt;ID&gt;1119&lt;/ID&gt;&lt;UID&gt;{5F203A5E-3068-40D4-8050-A1B678A21BF9}&lt;/UID&gt;&lt;Title&gt;Soluble TREM2 ameliorates pathological phenotypes by modulating microglial  functions in an Alzheimer&amp;apos;s disease model&lt;/Title&gt;&lt;Template&gt;Journal Article&lt;/Template&gt;&lt;Star&gt;0&lt;/Star&gt;&lt;Tag&gt;0&lt;/Tag&gt;&lt;Author&gt;Zhong, L; Xu, Y; Zhuo, R; Wang, T; Wang, K; Huang, R; Wang, D; Gao, Y; Zhu, Y; Sheng, X; Chen, K; Wang, N; Zhu, L; Can, D; Marten, Y; Shinohara, M; Liu, C C; &amp;quot;Du D&amp;quot;; Sun, H; Wen, L; Xu, H; Bu, G; Chen, X F&lt;/Author&gt;&lt;Year&gt;2019&lt;/Year&gt;&lt;Details&gt;&lt;_accessed&gt;65967825&lt;/_accessed&gt;&lt;_accession_num&gt;30911003&lt;/_accession_num&gt;&lt;_author_adr&gt;Fujian Provincial Key Laboratory of Neurodegenerative Disease and Aging Research,  Institute of Neuroscience, School of Medicine, Xiamen University, Xiamen, 361102,  China.; Fujian Provincial Key Laboratory of Neurodegenerative Disease and Aging Research,  Institute of Neuroscience, School of Medicine, Xiamen University, Xiamen, 361102,  China.; Department of Traditional Chinese Medicine, School of Medicine, Xiamen  University, Xiamen, 361102, China.; Xiamen Key Laboratory of Chiral Drugs, School of Medicine, Xiamen University,  Xiamen, 361102, China.; Shenzhen Research Institute of Xiamen University, Shenzhen, 518063, China.; Fujian Provincial Key Laboratory of Neurodegenerative Disease and Aging Research,  Institute of Neuroscience, School of Medicine, Xiamen University, Xiamen, 361102,  China.; Fujian Provincial Key Laboratory of Neurodegenerative Disease and Aging Research,  Institute of Neuroscience, School of Medicine, Xiamen University, Xiamen, 361102,  China.; Fujian Provincial Key Laboratory of Neurodegenerative Disease and Aging Research,  Institute of Neuroscience, School of Medicine, Xiamen University, Xiamen, 361102,  China.; Fujian Provincial Key Laboratory of Neurodegenerative Disease and Aging Research,  Institute of Neuroscience, School of Medicine, Xiamen University, Xiamen, 361102,  China.; Fujian Provincial Key Laboratory of Neurodegenerative Disease and Aging Research,  Institute of Neuroscience, School of Medicine, Xiamen University, Xiamen, 361102,  China.; Fujian Provincial Key Laboratory of Neurodegenerative Disease and Aging Research,  Institute of Neuroscience, School of Medicine, Xiamen University, Xiamen, 361102,  China.; Fujian Provincial Key Laboratory of Neurodegenerative Disease and Aging Research,  Institute of Neuroscience, School of Medicine, Xiamen University, Xiamen, 361102,  China.; Fujian Provincial Key Laboratory of Neurodegenerative Disease and Aging Research,  Institute of Neuroscience, School of Medicine, Xiamen University, Xiamen, 361102,  China.; Fujian Provincial Key Laboratory of Neurodegenerative Disease and Aging Research,  Institute of Neuroscience, School of Medicine, Xiamen University, Xiamen, 361102,  China.; Fujian Provincial Key Laboratory of Neurodegenerative Disease and Aging Research,  Institute of Neuroscience, School of Medicine, Xiamen University, Xiamen, 361102,  China.; Fujian Provincial Key Laboratory of Neurodegenerative Disease and Aging Research,  Institute of Neuroscience, School of Medicine, Xiamen University, Xiamen, 361102,  China.; Department of Neuroscience, Mayo Clinic, Jacksonville, FL, 32224, USA.; Department of Neuroscience, Mayo Clinic, Jacksonville, FL, 32224, USA.; Department of Neuroscience, Mayo Clinic, Jacksonville, FL, 32224, USA.; School of Medicine, Xiamen University, Xiamen, 361102, China.; Fujian Provincial Key Laboratory of Neurodegenerative Disease and Aging Research,  Institute of Neuroscience, School of Medicine, Xiamen University, Xiamen, 361102,  China.; Department of Traditional Chinese Medicine, School of Medicine, Xiamen  University, Xiamen, 361102, China.; Neuroscience Initiative, Sanford-Burnham-Prebys Medical Discovery Institute, La  Jolla, CA, 92037, USA.; Department of Neuroscience, Mayo Clinic, Jacksonville, FL, 32224, USA.  bu.guojun@mayo.edu.; Fujian Provincial Key Laboratory of Neurodegenerative Disease and Aging Research,  Institute of Neuroscience, School of Medicine, Xiamen University, Xiamen, 361102,  China. chenxf@xmu.edu.cn.; Shenzhen Research Institute of Xiamen University, Shenzhen, 518063, China.  chenxf@xmu.edu.cn.&lt;/_author_adr&gt;&lt;_collection_scope&gt;SCIE&lt;/_collection_scope&gt;&lt;_created&gt;65967822&lt;/_created&gt;&lt;_date&gt;2019-03-25&lt;/_date&gt;&lt;_date_display&gt;2019 Mar 25&lt;/_date_display&gt;&lt;_db_updated&gt;PubMed&lt;/_db_updated&gt;&lt;_doi&gt;10.1038/s41467-019-09118-9&lt;/_doi&gt;&lt;_impact_factor&gt;  16.600&lt;/_impact_factor&gt;&lt;_isbn&gt;2041-1723 (Electronic); 2041-1723 (Linking)&lt;/_isbn&gt;&lt;_issue&gt;1&lt;/_issue&gt;&lt;_journal&gt;Nat Commun&lt;/_journal&gt;&lt;_language&gt;eng&lt;/_language&gt;&lt;_modified&gt;65967825&lt;/_modified&gt;&lt;_pages&gt;1365&lt;/_pages&gt;&lt;_social_category&gt;综合性期刊(1)&lt;/_social_category&gt;&lt;_subject_headings&gt;Alzheimer Disease/genetics/metabolism/pathology/*therapy; Amyloid beta-Peptides/chemistry/metabolism; Animals; Animals, Newborn; Brain/drug effects/metabolism/pathology; Cell Movement/drug effects; Cell Proliferation/drug effects; Dependovirus/genetics/metabolism; Disease Models, Animal; Female; Gene Expression; Genetic Vectors/chemistry/metabolism; Green Fluorescent Proteins/genetics/metabolism; Humans; Injections, Intraventricular; Long-Term Potentiation/*drug effects/physiology; Male; Membrane Glycoproteins/administration &amp;amp; dosage/*genetics/metabolism; Mice; Microglia/*drug effects/metabolism/pathology; Neurons/drug effects/metabolism/pathology; Peptide Fragments/chemistry/metabolism; Phenotype; Plaque, Amyloid/genetics/metabolism/pathology/*therapy; Primary Cell Culture; Proteolysis; Receptors, Immunologic/administration &amp;amp; dosage/*genetics/metabolism; Recombinant Fusion Proteins/administration &amp;amp; dosage/genetics/metabolism; Spatial Memory/*drug effects/physiology; Stereotaxic Techniques&lt;/_subject_headings&gt;&lt;_tertiary_title&gt;Nature communications&lt;/_tertiary_title&gt;&lt;_type_work&gt;Journal Article; Research Support, N.I.H., Extramural; Research Support, Non-U.S. Gov&amp;apos;t&lt;/_type_work&gt;&lt;_url&gt;http://www.ncbi.nlm.nih.gov/entrez/query.fcgi?cmd=Retrieve&amp;amp;db=pubmed&amp;amp;dopt=Abstract&amp;amp;list_uids=30911003&amp;amp;query_hl=1&lt;/_url&gt;&lt;_volume&gt;10&lt;/_volume&gt;&lt;/Details&gt;&lt;Extra&gt;&lt;DBUID&gt;{F96A950B-833F-4880-A151-76DA2D6A2879}&lt;/DBUID&gt;&lt;/Extra&gt;&lt;/Item&gt;&lt;/References&gt;&lt;/Group&gt;&lt;/Citation&gt;_x000a_"/>
    <w:docVar w:name="NE.Ref{FB977270-12EB-4AB1-8793-D16A322C9BCC}" w:val=" ADDIN NE.Ref.{FB977270-12EB-4AB1-8793-D16A322C9BCC}&lt;Citation&gt;&lt;Group&gt;&lt;References&gt;&lt;Item&gt;&lt;ID&gt;896&lt;/ID&gt;&lt;UID&gt;{9B449911-0167-4D0D-84B2-ABDDFE7A9461}&lt;/UID&gt;&lt;Title&gt;Skull and vertebral bone marrow are myeloid cell reservoirs for the meninges and CNS parenchyma&lt;/Title&gt;&lt;Template&gt;Journal Article&lt;/Template&gt;&lt;Star&gt;0&lt;/Star&gt;&lt;Tag&gt;0&lt;/Tag&gt;&lt;Author&gt;Cugurra, Andrea; Mamuladze, Tornike; Rustenhoven, Justin; Dykstra, Taitea; Beroshvili, Giorgi; Greenberg, Zev J; Baker, Wendy; Papadopoulos, Zach; Drieu, Antoine; Blackburn, Susan; Kanamori, Mitsuhiro; Brioschi, Simone; Herz, Jasmin; Schuettpelz, Laura G; Colonna, Marco; Smirnov, Igor; Kipnis, Jonathan&lt;/Author&gt;&lt;Year&gt;2021&lt;/Year&gt;&lt;Details&gt;&lt;_accessed&gt;65613240&lt;/_accessed&gt;&lt;_accession_num&gt;34083447&lt;/_accession_num&gt;&lt;_author_adr&gt;Gutenberg Research Fellowship Group of Neuroimmunology, Focus Program Translational Neuroscience (FTN) and Immunotherapy (FZI), Rhine Main Neuroscience Network (rmn), University Medical Center of the Johannes Gutenberg University Mainz, Mainz, Germany.; Department of Neuroscience, School of Medicine, University of Virginia, Charlottesville, VA,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Pathology and Immunology, Washington University in St. Louis, St. Louis, MO, USA.; Department of Pathology and Immunology, Washington University in St. Louis, St. Louis, MO, USA.; Gutenberg Research Fellowship Group of Neuroimmunology, Focus Program Translational Neuroscience (FTN) and Immunotherapy (FZI), Rhine Main Neuroscience Network (rmn), University Medical Center of the Johannes Gutenberg University Mainz, Mainz, Germany. kipnis@wustl.edu.;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lt;/_author_adr&gt;&lt;_collection_scope&gt;SCI;SCIE&lt;/_collection_scope&gt;&lt;_created&gt;64239024&lt;/_created&gt;&lt;_date&gt;63933120&lt;/_date&gt;&lt;_date_display&gt;2021 Jul 23&lt;/_date_display&gt;&lt;_db_updated&gt;CrossRef&lt;/_db_updated&gt;&lt;_doi&gt;10.1126/science.abf7844&lt;/_doi&gt;&lt;_impact_factor&gt;  56.900&lt;/_impact_factor&gt;&lt;_isbn&gt;0036-8075&lt;/_isbn&gt;&lt;_issue&gt;6553&lt;/_issue&gt;&lt;_journal&gt;Science&lt;/_journal&gt;&lt;_language&gt;eng&lt;/_language&gt;&lt;_modified&gt;65613236&lt;/_modified&gt;&lt;_ori_publication&gt;Copyright (c) 2021 The Authors, some rights reserved; exclusive licensee American_x000d__x000a_      Association for the Advancement of Science. No claim to original U.S. Government _x000d__x000a_      Works.&lt;/_ori_publication&gt;&lt;_subject_headings&gt;Animals; Bone Marrow/physiology; Bone Marrow Cells/*physiology; Brain/cytology/immunology/physiology; Cell Movement; Central Nervous System/cytology/*immunology; Central Nervous System Diseases/*immunology/pathology; Dura Mater/cytology/immunology/physiology; Encephalomyelitis, Autoimmune, Experimental/immunology/pathology; Homeostasis; Meninges/cytology/*immunology/physiology; Mice; Monocytes/physiology; Myeloid Cells/*physiology; Neutrophils/physiology; Skull/*anatomy &amp;amp; histology; Spinal Cord/cytology/immunology/physiology; Spinal Cord Injuries/immunology/pathology; Spine/*anatomy &amp;amp; histology&lt;/_subject_headings&gt;&lt;_tertiary_title&gt;Science&lt;/_tertiary_title&gt;&lt;_type_work&gt;Journal Article; Research Support, N.I.H., Extramural&lt;/_type_work&gt;&lt;_url&gt;https://www.science.org/doi/10.1126/science.abf7844_x000d__x000a_https://syndication.highwire.org/content/doi/10.1126/science.abf7844&lt;/_url&gt;&lt;_volume&gt;373&lt;/_volume&gt;&lt;_social_category&gt;综合性期刊(1)&lt;/_social_category&gt;&lt;/Details&gt;&lt;Extra&gt;&lt;DBUID&gt;{F96A950B-833F-4880-A151-76DA2D6A2879}&lt;/DBUID&gt;&lt;/Extra&gt;&lt;/Item&gt;&lt;/References&gt;&lt;/Group&gt;&lt;/Citation&gt;_x000a_"/>
    <w:docVar w:name="NE.Ref{FD2C46EA-6636-415D-96A2-D6316024D811}" w:val=" ADDIN NE.Ref.{FD2C46EA-6636-415D-96A2-D6316024D811}&lt;Citation&gt;&lt;Group&gt;&lt;References&gt;&lt;Item&gt;&lt;ID&gt;896&lt;/ID&gt;&lt;UID&gt;{9B449911-0167-4D0D-84B2-ABDDFE7A9461}&lt;/UID&gt;&lt;Title&gt;Skull and vertebral bone marrow are myeloid cell reservoirs for the meninges and CNS parenchyma&lt;/Title&gt;&lt;Template&gt;Journal Article&lt;/Template&gt;&lt;Star&gt;0&lt;/Star&gt;&lt;Tag&gt;0&lt;/Tag&gt;&lt;Author&gt;Cugurra, Andrea; Mamuladze, Tornike; Rustenhoven, Justin; Dykstra, Taitea; Beroshvili, Giorgi; Greenberg, Zev J; Baker, Wendy; Papadopoulos, Zach; Drieu, Antoine; Blackburn, Susan; Kanamori, Mitsuhiro; Brioschi, Simone; Herz, Jasmin; Schuettpelz, Laura G; Colonna, Marco; Smirnov, Igor; Kipnis, Jonathan&lt;/Author&gt;&lt;Year&gt;2021&lt;/Year&gt;&lt;Details&gt;&lt;_accessed&gt;65613364&lt;/_accessed&gt;&lt;_accession_num&gt;34083447&lt;/_accession_num&gt;&lt;_author_adr&gt;Gutenberg Research Fellowship Group of Neuroimmunology, Focus Program Translational Neuroscience (FTN) and Immunotherapy (FZI), Rhine Main Neuroscience Network (rmn), University Medical Center of the Johannes Gutenberg University Mainz, Mainz, Germany.; Department of Neuroscience, School of Medicine, University of Virginia, Charlottesville, VA,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athology and Immunology, Washington University in St. Louis, St. Louis, MO, USA.; Department of Pediatrics, Washington University School of Medicine, Saint Louis,  MO, USA.; Department of Pathology and Immunology, Washington University in St. Louis, St. Louis, MO, USA.; Department of Pathology and Immunology, Washington University in St. Louis, St. Louis, MO, USA.; Gutenberg Research Fellowship Group of Neuroimmunology, Focus Program Translational Neuroscience (FTN) and Immunotherapy (FZI), Rhine Main Neuroscience Network (rmn), University Medical Center of the Johannes Gutenberg University Mainz, Mainz, Germany. kipnis@wustl.edu.; Department of Neuroscience, School of Medicine, University of Virginia, Charlottesville, VA, USA.; Department of Pathology and Immunology, Washington University in St. Louis, St. Louis, MO, USA.; Neuroscience Graduate Program, School of Medicine, Washington University in St. Louis, St. Louis, MO, USA.&lt;/_author_adr&gt;&lt;_collection_scope&gt;SCI;SCIE&lt;/_collection_scope&gt;&lt;_created&gt;64239024&lt;/_created&gt;&lt;_date&gt;63933120&lt;/_date&gt;&lt;_date_display&gt;2021 Jul 23&lt;/_date_display&gt;&lt;_db_updated&gt;CrossRef&lt;/_db_updated&gt;&lt;_doi&gt;10.1126/science.abf7844&lt;/_doi&gt;&lt;_impact_factor&gt;  56.900&lt;/_impact_factor&gt;&lt;_isbn&gt;0036-8075&lt;/_isbn&gt;&lt;_issue&gt;6553&lt;/_issue&gt;&lt;_journal&gt;Science&lt;/_journal&gt;&lt;_language&gt;eng&lt;/_language&gt;&lt;_modified&gt;65613364&lt;/_modified&gt;&lt;_ori_publication&gt;Copyright (c) 2021 The Authors, some rights reserved; exclusive licensee American_x000d__x000a_      Association for the Advancement of Science. No claim to original U.S. Government _x000d__x000a_      Works.&lt;/_ori_publication&gt;&lt;_social_category&gt;综合性期刊(1)&lt;/_social_category&gt;&lt;_subject_headings&gt;Animals; Bone Marrow/physiology; Bone Marrow Cells/*physiology; Brain/cytology/immunology/physiology; Cell Movement; Central Nervous System/cytology/*immunology; Central Nervous System Diseases/*immunology/pathology; Dura Mater/cytology/immunology/physiology; Encephalomyelitis, Autoimmune, Experimental/immunology/pathology; Homeostasis; Meninges/cytology/*immunology/physiology; Mice; Monocytes/physiology; Myeloid Cells/*physiology; Neutrophils/physiology; Skull/*anatomy &amp;amp; histology; Spinal Cord/cytology/immunology/physiology; Spinal Cord Injuries/immunology/pathology; Spine/*anatomy &amp;amp; histology&lt;/_subject_headings&gt;&lt;_tertiary_title&gt;Science&lt;/_tertiary_title&gt;&lt;_type_work&gt;Journal Article; Research Support, N.I.H., Extramural&lt;/_type_work&gt;&lt;_url&gt;https://www.science.org/doi/10.1126/science.abf7844_x000d__x000a_https://syndication.highwire.org/content/doi/10.1126/science.abf7844&lt;/_url&gt;&lt;_volume&gt;373&lt;/_volume&gt;&lt;/Details&gt;&lt;Extra&gt;&lt;DBUID&gt;{F96A950B-833F-4880-A151-76DA2D6A2879}&lt;/DBUID&gt;&lt;/Extra&gt;&lt;/Item&gt;&lt;/References&gt;&lt;/Group&gt;&lt;Group&gt;&lt;References&gt;&lt;Item&gt;&lt;ID&gt;1062&lt;/ID&gt;&lt;UID&gt;{6D5E6AD5-020B-49AC-A1C3-CA0E6DA1C7FF}&lt;/UID&gt;&lt;Title&gt;Heterogeneity of meningeal B cells reveals a lymphopoietic niche at the CNS  borders&lt;/Title&gt;&lt;Template&gt;Journal Article&lt;/Template&gt;&lt;Star&gt;0&lt;/Star&gt;&lt;Tag&gt;0&lt;/Tag&gt;&lt;Author&gt;Brioschi, S; Wang, W L; Peng, V; Wang, M; Shchukina, I; Greenberg, Z J; Bando, J K; Jaeger, N; Czepielewski, R S; Swain, A; Mogilenko, D A; Beatty, W L; Bayguinov, P; Fitzpatrick, JAJ; Schuettpelz, L G; Fronick, C C; Smirnov, I; Kipnis, J; Shapiro, V S; Wu, G F; Gilfillan, S; Cella, M; Artyomov, M N; Kleinstein, S H; Colonna, M&lt;/Author&gt;&lt;Year&gt;2021&lt;/Year&gt;&lt;Details&gt;&lt;_accessed&gt;65613364&lt;/_accessed&gt;&lt;_accession_num&gt;34083450&lt;/_accession_num&gt;&lt;_author_adr&gt;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Interdepartmental Program in Computational Biology and Bioinformatics, Yale  University, New Haven, CT 06511, USA.; Department of Pathology and Immunology, Washington University School of Medicine,  Saint Louis, MO 63110, USA.; Department of Pediatrics, Washington University School of Medicine, Saint Louis,  MO 63110, USA.; Department of Microbiology and Immunology, Stanford University School of  Medicine, Stanford, CA 94305,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Molecular Microbiology, Center for Infectious Disease Research,  Washington University School of Medicine, Saint Louis, MO 63110, USA.; Washington University Center for Cellular Imaging, Washington University School  of Medicine, Saint Louis, MO 63110, USA.; Washington University Center for Cellular Imaging, Washington University School  of Medicine, Saint Louis, MO 63110, USA.; Departments of Cell Biology and Physiology and Neuroscience, Washington  University School of Medicine, Saint Louis, MO 63110, USA.; Department of Biomedical Engineering, Washington University in Saint Louis, Saint  Louis, MO 63130, USA.; Department of Pediatrics, Washington University School of Medicine, Saint Louis,  MO 63110, USA.; McDonnell Genome Institute, Washington University School of Medicine, Saint  Louis, MO 63110, USA.; Department of Pathology and Immunology, Washington University School of Medicine,  Saint Louis, MO 63110, USA.; Department of Pathology and Immunology, Washington University School of Medicine,  Saint Louis, MO 63110, USA.; Department of Immunology, Mayo Clinic, Rochester, MN 55905, USA.; Department of Neurology, Washington University in Saint Louis, Saint Louis, MO  63110, USA.; Department of Pathology and Immunology, Washington University School of Medicine,  Saint Louis, MO 63110, USA.; Department of Pathology and Immunology, Washington University School of Medicine,  Saint Louis, MO 63110, USA.; Department of Pathology and Immunology, Washington University School of Medicine,  Saint Louis, MO 63110, USA.; Interdepartmental Program in Computational Biology and Bioinformatics, Yale  University, New Haven, CT 06511, USA.; Department of Pathology, Yale School of Medicine, New Haven, CT 06520, USA.; Department of Pathology and Immunology, Washington University School of Medicine,  Saint Louis, MO 63110, USA. mcolonna@wustl.edu.&lt;/_author_adr&gt;&lt;_collection_scope&gt;SCIE&lt;/_collection_scope&gt;&lt;_created&gt;65613244&lt;/_created&gt;&lt;_date&gt;2021-07-23&lt;/_date&gt;&lt;_date_display&gt;2021 Jul 23&lt;/_date_display&gt;&lt;_db_updated&gt;PubMed&lt;/_db_updated&gt;&lt;_doi&gt;10.1126/science.abf9277&lt;/_doi&gt;&lt;_impact_factor&gt;  56.900&lt;/_impact_factor&gt;&lt;_isbn&gt;1095-9203 (Electronic); 0036-8075 (Print); 0036-8075 (Linking)&lt;/_isbn&gt;&lt;_issue&gt;6553&lt;/_issue&gt;&lt;_journal&gt;Science&lt;/_journal&gt;&lt;_language&gt;eng&lt;/_language&gt;&lt;_modified&gt;65613364&lt;/_modified&gt;&lt;_ori_publication&gt;Copyright (c) 2021 The Authors, some rights reserved; exclusive licensee American _x000d__x000a_      Association for the Advancement of Science. No claim to original U.S. Government _x000d__x000a_      Works.&lt;/_ori_publication&gt;&lt;_social_category&gt;综合性期刊(1)&lt;/_social_category&gt;&lt;_subject_headings&gt;Aging; Animals; B-Lymphocyte Subsets/immunology/*physiology; B-Lymphocytes/*physiology; Bone Marrow Cells/*physiology; Cell Movement; Central Nervous System/*immunology/physiology; Dura Mater/*cytology/immunology; Fibroblasts/physiology; Homeostasis; Immune Privilege; *Lymphopoiesis; Meninges/*cytology/*immunology; Mice; Plasma Cells/physiology; Single-Cell Analysis; Skull/*anatomy &amp;amp; histology&lt;/_subject_headings&gt;&lt;_tertiary_title&gt;Science (New York, N.Y.)&lt;/_tertiary_title&gt;&lt;_type_work&gt;Journal Article; Research Support, N.I.H., Extramural&lt;/_type_work&gt;&lt;_url&gt;http://www.ncbi.nlm.nih.gov/entrez/query.fcgi?cmd=Retrieve&amp;amp;db=pubmed&amp;amp;dopt=Abstract&amp;amp;list_uids=34083450&amp;amp;query_hl=1&lt;/_url&gt;&lt;_volume&gt;373&lt;/_volume&gt;&lt;/Details&gt;&lt;Extra&gt;&lt;DBUID&gt;{F96A950B-833F-4880-A151-76DA2D6A2879}&lt;/DBUID&gt;&lt;/Extra&gt;&lt;/Item&gt;&lt;/References&gt;&lt;/Group&gt;&lt;Group&gt;&lt;References&gt;&lt;Item&gt;&lt;ID&gt;1061&lt;/ID&gt;&lt;UID&gt;{D78864D9-09E9-4B49-9761-3B0AB4E282C0}&lt;/UID&gt;&lt;Title&gt;Cerebrospinal fluid regulates skull bone marrow niches via direct access through  dural channels&lt;/Title&gt;&lt;Template&gt;Journal Article&lt;/Template&gt;&lt;Star&gt;0&lt;/Star&gt;&lt;Tag&gt;0&lt;/Tag&gt;&lt;Author&gt;Mazzitelli, J A; Smyth, LCD; Cross, K A; Dykstra, T; Sun, J; &amp;quot;Du S&amp;quot;; Mamuladze, T; Smirnov, I; Rustenhoven, J; Kipnis, J&lt;/Author&gt;&lt;Year&gt;2022&lt;/Year&gt;&lt;Details&gt;&lt;_accessed&gt;65613364&lt;/_accessed&gt;&lt;_accession_num&gt;35301477&lt;/_accession_num&gt;&lt;_author_adr&gt;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Neuroscience Graduate Program, Washington University School of Medicine, St.  Louis, MO, USA.; Department of Pathology and Immunology, Washington University School of Medicine,  St. Louis, MO, USA.; Center for Brain Immunology and Glia (BIG), Washington University School of  Medicine, St. Louis, MO, USA.; Center for Brain Immunology and Glia (BIG), Washington University School of  Medicine, St. Louis, MO, USA.; Department of Neurological Surgery, Washington University School of Medicine, St.  Louis, MO, USA.; Department of Pathology and Immunology, Washington University School of Medicine,  St. Louis, MO, USA.; Center for Brain Immunology and Glia (BIG), Washington University School of  Medicine, St. Louis, MO, USA.; Medical Scientist Training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Immunology Graduate Program, Washington University School of Medicine, St. Louis,  MO, USA.; Department of Pathology and Immunology, Washington University School of Medicine,  St. Louis, MO, USA.; Center for Brain Immunology and Glia (BIG), Washington University School of  Medicine, St. Louis, MO, USA.; Department of Pathology and Immunology, Washington University School of Medicine,  St. Louis, MO, USA. rustenhoven@wustl.edu.; Center for Brain Immunology and Glia (BIG), Washington University School of  Medicine, St. Louis, MO, USA. rustenhoven@wustl.edu.; Department of Pharmacology and Clinical Pharmacology, The University of Auckland,  Auckland, New Zealand. rustenhoven@wustl.edu.; Department of Pathology and Immunology, Washington University School of Medicine,  St. Louis, MO, USA. kipnis@wustl.edu.; Center for Brain Immunology and Glia (BIG), Washington University School of  Medicine, St. Louis, MO, USA. kipnis@wustl.edu.; Medical Scientist Training Program, Washington University School of Medicine, St.  Louis, MO, USA. kipnis@wustl.edu.; Neuroscience Graduate Program, Washington University School of Medicine, St.  Louis, MO, USA. kipnis@wustl.edu.; Department of Neurological Surgery, Washington University School of Medicine, St.  Louis, MO, USA. kipnis@wustl.edu.; Immunology Graduate Program, Washington University School of Medicine, St. Louis,  MO, USA. kipnis@wustl.edu.&lt;/_author_adr&gt;&lt;_collection_scope&gt;SCIE&lt;/_collection_scope&gt;&lt;_created&gt;65613204&lt;/_created&gt;&lt;_date&gt;2022-05-01&lt;/_date&gt;&lt;_date_display&gt;2022 May&lt;/_date_display&gt;&lt;_db_updated&gt;PubMed&lt;/_db_updated&gt;&lt;_doi&gt;10.1038/s41593-022-01029-1&lt;/_doi&gt;&lt;_impact_factor&gt;  25.000&lt;/_impact_factor&gt;&lt;_isbn&gt;1546-1726 (Electronic); 1097-6256 (Print); 1097-6256 (Linking)&lt;/_isbn&gt;&lt;_issue&gt;5&lt;/_issue&gt;&lt;_journal&gt;Nat Neurosci&lt;/_journal&gt;&lt;_language&gt;eng&lt;/_language&gt;&lt;_modified&gt;65613364&lt;/_modified&gt;&lt;_ori_publication&gt;(c) 2022. The Author(s), under exclusive licence to Springer Nature America, Inc.&lt;/_ori_publication&gt;&lt;_pages&gt;555-560&lt;/_pages&gt;&lt;_social_category&gt;神经科学(1)&lt;/_social_category&gt;&lt;_subject_headings&gt;*Bone Marrow/physiology; Cerebrospinal Fluid; Head; Meninges; Myeloid Cells/metabolism; *Skull&lt;/_subject_headings&gt;&lt;_tertiary_title&gt;Nature neuroscience&lt;/_tertiary_title&gt;&lt;_type_work&gt;Journal Article; Research Support, N.I.H., Extramural; Research Support, Non-U.S. Gov&amp;apos;t&lt;/_type_work&gt;&lt;_url&gt;http://www.ncbi.nlm.nih.gov/entrez/query.fcgi?cmd=Retrieve&amp;amp;db=pubmed&amp;amp;dopt=Abstract&amp;amp;list_uids=35301477&amp;amp;query_hl=1&lt;/_url&gt;&lt;_volume&gt;25&lt;/_volume&gt;&lt;/Details&gt;&lt;Extra&gt;&lt;DBUID&gt;{F96A950B-833F-4880-A151-76DA2D6A2879}&lt;/DBUID&gt;&lt;/Extra&gt;&lt;/Item&gt;&lt;/References&gt;&lt;/Group&gt;&lt;Group&gt;&lt;References&gt;&lt;Item&gt;&lt;ID&gt;1005&lt;/ID&gt;&lt;UID&gt;{6DB237D2-920E-40CE-9993-72A1F5C9F63A}&lt;/UID&gt;&lt;Title&gt;Distinct molecular profiles of skull bone marrow in health and neurological  disorders&lt;/Title&gt;&lt;Template&gt;Journal Article&lt;/Template&gt;&lt;Star&gt;0&lt;/Star&gt;&lt;Tag&gt;0&lt;/Tag&gt;&lt;Author&gt;Kolabas, Z I; Kuemmerle, L B; Perneczky, R; Forstera, B; Ulukaya, S; Ali, M; Kapoor, S; Bartos, L M; Buttner, M; Caliskan, O S; Rong, Z; Mai, H; Hoher, L; Jeridi, D; Molbay, M; Khalin, I; Deligiannis, I K; Negwer, M; Roberts, K; Simats, A; Carofiglio, O; Todorov, M I; Horvath, I; Ozturk, F; Hummel, S; Biechele, G; Zatcepin, A; Unterrainer, M; Gnorich, J; Roodselaar, J; Shrouder, J; Khosravani, P; Tast, B; Richter, L; Diaz-Marugan, L; Kaltenecker, D; Lux, L; Chen, Y; Zhao, S; Rauchmann, B S; Sterr, M; Kunze, I; Stanic, K; Kan, VWY; Besson-Girard, S; Katzdobler, S; Palleis, C; Schadler, J; Paetzold, J C; Liebscher, S; Hauser, A E; Gokce, O; Lickert, H; Steinke, H; Benakis, C; Braun, C; Martinez-Jimenez, C P; Buerger, K; Albert, N L; Hoglinger, G; Levin, J; Haass, C; Kopczak, A; Dichgans, M; Havla, J; Kumpfel, T; Kerschensteiner, M; Schifferer, M; Simons, M; Liesz, A; Krahmer, N; Bayraktar, O A; Franzmeier, N; Plesnila, N; Erener, S; Puelles, V G; Delbridge, C; Bhatia, H S; Hellal, F; Elsner, M; Bechmann, I; Ondruschka, B; Brendel, M; Theis, F J; Erturk, A&lt;/Author&gt;&lt;Year&gt;2023&lt;/Year&gt;&lt;Details&gt;&lt;_accessed&gt;65613370&lt;/_accessed&gt;&lt;_accession_num&gt;37562402&lt;/_accession_num&gt;&lt;_author_adr&gt;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Institute for Tissue Engineering and Regenerative Medicine (iTERM), Helmholtz  Center, Neuherberg, Munich, Germany; Institute of Computational Biology,  Helmholtz Zentrum Munchen, German Research Center for Environmental Health,  Neuherberg, Germany.; Division of Mental Health in Older Adults and Alzheimer Therapy and Research  Center, Department of Psychiatry and Psychotherapy, University Hospital, Ludwig  Maximilian University Munich, 80336 Munich, Germany; German Center for  Neurodegenerative Diseases (DZNE) Munich, Munich, Germany; Ageing Epidemiology  (AGE) Research Unit, School of Public Health, Imperial College London, London,  UK; Munich Cluster for Systems Neurology (SyNergy), Munich, Germany; Sheffield  Institute for Translational Neuroscience, University of Sheffield, Sheffield, UK.;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Tissue Engineering and Regenerative Medicine (iTERM), Helmholtz  Center, Neuherberg, Munich, Germany; Graduate School of Systemic Neurosciences  (GSN), Munich, Germany; Institute of Computational Biology, Helmholtz Zentrum  Munchen, German Research Center for Environmental Health, Neuherberg, Germany.; Institute for Tissue Engineering and Regenerative Medicine (iTERM), Helmholtz  Center, Neuherberg, Munich, Germany.; Department of Nuclear Medicine, University Hospital,  Ludwig-Maximilians-Universitat Munchen, Munich, Germany.; Institute of Computational Biology, Helmholtz Zentrum Munchen, German Research  Center for Environmental Health, Neuherberg, Germany.; Institute for Diabetes and Obesity, Helmholtz Center Munich and German Center for  Diabetes Research (DZD), 85764 Neuherberg,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Stroke and Dementia Research,  LMU University Hospital, Ludwig-Maximilians University Munich, Munich, Germany;  Munich Medical Research School (MMRS), 80336 Munich, Germany.; Institute for Tissue Engineering and Regenerative Medicine (iTERM), Helmholtz  Center, Neuherberg, Munich, Germany.; Institute for Tissue Engineering and Regenerative Medicine (iTERM), Helmholtz  Center, Neuherberg, Munich, Germany.; Institute for Tissue Engineering and Regenerative Medicine (iTERM), Helmholtz  Center, Neuherberg, Munich, Germany.; Institute for Stroke and Dementia Research, LMU University Hospital,  Ludwig-Maximilians University Munich, Munich, Germany.; Helmholtz Pioneer Campus (HPC), Helmholtz Munich, Neuherberg, Germany.; Institute for Tissue Engineering and Regenerative Medicine (iTERM), Helmholtz  Center, Neuherberg, Munich,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School of Computation, Information and  Technology (CIT), TUM, Boltzmannstr. 3, 85748 Garching, Germany.; Institute for Tissue Engineering and Regenerative Medicine (iTERM), Helmholtz  Center, Neuherberg,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German Center for Neurodegenerative Diseases (DZNE) Munich, Munich, Germany;  Department of Nuclear Medicine, University Hospital,  Ludwig-Maximilians-Universitat Munchen, Munich, Germany.; Department of Nuclear Medicine, University Hospital,  Ludwig-Maximilians-Universitat Munchen, Munich, Germany; Department of Radiology,  University Hospital, LMU Munich, Munich, Germany.; Department of Nuclear Medicine, University Hospital,  Ludwig-Maximilians-Universitat Munchen,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Biomedical Center (BMC), Core Facility Flow Cytometry, Faculty of Medicine, LMU  Munich, Munich, Germany.; Biomedical Center (BMC), Core Facility Flow Cytometry, Faculty of Medicine, LMU  Munich, Munich, Germany.; Biomedical Center (BMC), Core Facility Flow Cytometry, Faculty of Medicine, LMU  Munich, Munich, Germany.; Institute for Stroke and Dementia Research, LMU University Hospital,  Ludwig-Maximilians University Munich, Munich, Germany.; Institute for Tissue Engineering and Regenerative Medicine (iTERM), Helmholtz  Center, Neuherberg, Munich, Germany; Institute for Diabetes and Cancer, Helmholtz  Munich,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Division of Mental Health in Older Adults and Alzheimer Therapy and Research  Center, Department of Psychiatry and Psychotherapy, University Hospital, Ludwig  Maximilian University Munich, 80336 Munich, Germany; Sheffield Institute for  Translational Neuroscience, University of Sheffield, Sheffield, UK; Institute of  Neuroradiology, University Hospital LMU, Munich, Germany.; Institute of Diabetes and Regeneration Research, Helmholtz Diabetes Center,  Helmholtz Zentrum Munchen, Neuherberg, Germany; Institute of Stem Cell Research,  Helmholtz Zentrum Munchen, Neuherberg, Germany.; Institute of Diabetes and Regeneration Research, Helmholtz Diabetes Center,  Helmholtz Zentrum Munchen, Neuherberg, Germany; Institute of Stem Cell Research,  Helmholtz Zentrum Munchen, Neuherberg, Germany.; Institute for Tissue Engineering and Regenerative Medicine (iTERM), Helmholtz  Center, Neuherberg, Munich, Germany; Institute for Stroke and Dementia Research,  LMU University Hospital, Ludwig-Maximilians University Munich, Munich, Germany.; Institute of Clinical Neuroimmunology, University Hospital Munich,  Ludwig-Maximilians University Munich, Munich, Germany.; Institute for Stroke and Dementia Research, LMU University Hospital,  Ludwig-Maximilians University Munich, Munich, Germany; Graduate School of  Systemic Neurosciences (GSN), Munich, Germany.; German Center for Neurodegenerative Diseases (DZNE) Munich, Munich, Germany;  Department of Neurology, Ludwig-Maximilians-Universitat Munchen, Munich, Germany.; German Center for Neurodegenerative Diseases (DZNE) Munich, Munich, Germany;  Department of Neurology, Ludwig-Maximilians-Universitat Munchen, Munich, Germany.; Institute of Legal Medicine, University Medical Center Hamburg-Eppendorf,  Hamburg, Germany.; Institute for Tissue Engineering and Regenerative Medicine (iTERM), Helmholtz  Center, Neuherberg, Munich, Germany; Department of Computing, Imperial College  London, London, UK.; Munich Cluster for Systems Neurology (SyNergy), Munich, Germany; Institute of  Clinical Neuroimmunology, University Hospital Munich, Ludwig-Maximilians  University Munich, Munich, Germany; Biomedical Center (BMC), Medical Faculty,  Ludwig-Maximilians Universitat Munich, Munich, Germany.; Charite - Universitatsmedizin Berlin, Department of Rheumatology and Clinical  Immunology, Berlin, Germany; Immune Dynamics, Deutsches Rheuma-Forschungszentrum  (DRFZ), a Leibniz Institute, Berlin, Germany.; Institute for Stroke and Dementia Research, LMU University Hospital,  Ludwig-Maximilians University Munich, Munich, Germany; Munich Cluster for Systems  Neurology (SyNergy), Munich, Germany.; Institute of Diabetes and Regeneration Research, Helmholtz Diabetes Center,  Helmholtz Zentrum Munchen, Neuherberg, Germany; Institute of Stem Cell Research,  Helmholtz Zentrum Munchen, Neuherberg, Germany; TUM School of Medicine, Technical  University of Munich, Munich, Germany.; Institute of Anatomy, University of Leipzig, 04109 Leipzig, Germany.; Institute for Stroke and Dementia Research, LMU University Hospital,  Ludwig-Maximilians University Munich, Munich, Germany.; Institute of Legal Medicine, Faculty of Medicine, LMU Munich, Germany.; Helmholtz Pioneer Campus (HPC), Helmholtz Munich, Neuherberg, Germany; TUM School  of Medicine, Technical University of Munich, Munich, Germany.; Institute for Stroke and Dementia Research, LMU University Hospital,  Ludwig-Maximilians University Munich, Munich, Germany; German Center for  Neurodegenerative Diseases (DZNE) Munich, Munich, Germany.; Department of Nuclear Medicine, University Hospital,  Ludwig-Maximilians-Universitat Munchen, Munich, Germany.; German Center for Neurodegenerative Diseases (DZNE) Munich, Munich, Germany;  Department of Neurology, Ludwig-Maximilians-Universitat Munchen, Munich, Germany.; German Center for Neurodegenerative Diseases (DZNE) Munich, Munich, Germany;  Munich Cluster for Systems Neurology (SyNergy), Munich, Germany; Department of  Neurology, Ludwig-Maximilians-Universitat Munchen, Munich, Germany.; German Center for Neurodegenerative Diseases (DZNE) Munich, Munich, Germany;  Munich Cluster for Systems Neurology (SyNergy), Munich, Germany; Metabolic  Biochemistry, Biomedical Center (BMC), Faculty of Medicine,  Ludwig-Maximilians-Universitat Munchen, Munich, Germany.; Institute for Stroke and Dementia Research, LMU University Hospital,  Ludwig-Maximilians University Munich, Munich, Germany.; Institute for Stroke and Dementia Research, LMU University Hospital,  Ludwig-Maximilians University Munich, Munich, Germany; German Center for  Neurodegenerative Diseases (DZNE)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Institute of Clinical Neuroimmunology, University Hospital Munich,  Ludwig-Maximilians University Munich, Munich, Germany; Biomedical Center (BMC),  Medical Faculty, Ludwig-Maximilians Universitat Munich, Munich, Germany.; Munich Cluster for Systems Neurology (SyNergy), Munich, Germany; Institute of  Clinical Neuroimmunology, University Hospital Munich, Ludwig-Maximilians  University Munich, Munich, Germany; Biomedical Center (BMC), Medical Faculty,  Ludwig-Maximilians Universitat Munich, Munich, Germany.; German Center for Neurodegenerative Diseases (DZNE) Munich, Munich, Germany;  Munich Cluster for Systems Neurology (SyNergy), Munich, Germany.; German Center for Neurodegenerative Diseases (DZNE) Munich, Munich, Germany;  Munich Cluster for Systems Neurology (SyNergy), Munich, Germany.; Institute for Stroke and Dementia Research, LMU University Hospital,  Ludwig-Maximilians University Munich, Munich, Germany; Graduate School of  Systemic Neurosciences (GSN), Munich, Germany; Munich Cluster for Systems  Neurology (SyNergy), Munich, Germany.; Institute for Diabetes and Obesity, Helmholtz Center Munich and German Center for  Diabetes Research (DZD), 85764 Neuherberg, Germany.; Wellcome Sanger Institute, Cambridge, UK.; Institute for Stroke and Dementia Research, LMU University Hospital,  Ludwig-Maximilians University Munich,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II. Department of Medicine, University Medical Center Hamburg-Eppendorf,  Hamburg, Germany; Hamburg Center for Kidney Health (HCKH), University Medical  Center Hamburg-Eppendorf, Hamburg, Germany; Department of Clinical Medicine,  Aarhus University, Aarhus, Denmark; Department of Pathology, Aarhus University  Hospital, Aarhus, Denmark.; Institute of Pathology, Department of Neuropathology, Technical University  Munich, TUM School of Medicine, Munich, Germany.; Institute for Tissue Engineering and Regenerative Medicine (iTERM), Helmholtz  Center, Neuherberg, Munich, Germany; Institute for Stroke and Dementia Research,  LMU University Hospital, Ludwig-Maximilians University Munich, Munich, Germany.; Institute for Tissue Engineering and Regenerative Medicine (iTERM), Helmholtz  Center, Neuherberg, Munich, Germany; Institute for Stroke and Dementia Research,  LMU University Hospital, Ludwig-Maximilians University Munich, Munich, Germany;  Munich Cluster for Systems Neurology (SyNergy), Munich, Germany.; Institute for Tissue Engineering and Regenerative Medicine (iTERM), Helmholtz  Center, Neuherberg, Munich, Germany.; Institute of Anatomy, University of Leipzig, 04109 Leipzig, Germany.; Institute of Legal Medicine, University Medical Center Hamburg-Eppendorf,  Hamburg, Germany.; German Center for Neurodegenerative Diseases (DZNE) Munich, Munich, Germany;  Munich Cluster for Systems Neurology (SyNergy), Munich, Germany; Department of  Nuclear Medicine, University Hospital, Ludwig-Maximilians-Universitat Munchen,  Munich, Germany.; Institute of Computational Biology, Helmholtz Zentrum Munchen, German Research  Center for Environmental Health, Neuherberg, Germany; Department of Mathematics,  Technische Universitat Munchen, Garching bei Munchen, Germany.; Institute for Tissue Engineering and Regenerative Medicine (iTERM), Helmholtz  Center, Neuherberg, Munich, Germany; Institute for Stroke and Dementia Research,  LMU University Hospital, Ludwig-Maximilians University Munich, Munich, Germany;  Graduate School of Systemic Neurosciences (GSN), Munich, Germany; Munich Cluster  for Systems Neurology (SyNergy), Munich, Germany. Electronic address:  ali.erturk@helmholtz-munich.de.&lt;/_author_adr&gt;&lt;_collection_scope&gt;SCIE&lt;/_collection_scope&gt;&lt;_created&gt;65025916&lt;/_created&gt;&lt;_date&gt;2023-08-17&lt;/_date&gt;&lt;_date_display&gt;2023 Aug 17&lt;/_date_display&gt;&lt;_db_updated&gt;PubMed&lt;/_db_updated&gt;&lt;_doi&gt;10.1016/j.cell.2023.07.009&lt;/_doi&gt;&lt;_impact_factor&gt;  64.500&lt;/_impact_factor&gt;&lt;_isbn&gt;1097-4172 (Electronic); 0092-8674 (Linking)&lt;/_isbn&gt;&lt;_issue&gt;17&lt;/_issue&gt;&lt;_journal&gt;Cell&lt;/_journal&gt;&lt;_keywords&gt;3D-imaging; DISCO clearing; PET imaging; immune cell trafficking; neuroinflammation; neurological disorders; non-invasive monitoring; proteomics; scRNA-seq; skull-brain connection&lt;/_keywords&gt;&lt;_language&gt;eng&lt;/_language&gt;&lt;_modified&gt;65613370&lt;/_modified&gt;&lt;_ori_publication&gt;Copyright (c) 2023 The Author(s). Published by Elsevier Inc. All rights reserved.&lt;/_ori_publication&gt;&lt;_pages&gt;3706-3725.e29&lt;/_pages&gt;&lt;_social_category&gt;生物学(1)&lt;/_social_category&gt;&lt;_tertiary_title&gt;Cell&lt;/_tertiary_title&gt;&lt;_type_work&gt;Journal Article&lt;/_type_work&gt;&lt;_url&gt;http://www.ncbi.nlm.nih.gov/entrez/query.fcgi?cmd=Retrieve&amp;amp;db=pubmed&amp;amp;dopt=Abstract&amp;amp;list_uids=37562402&amp;amp;query_hl=1&lt;/_url&gt;&lt;_volume&gt;186&lt;/_volume&gt;&lt;/Details&gt;&lt;Extra&gt;&lt;DBUID&gt;{F96A950B-833F-4880-A151-76DA2D6A2879}&lt;/DBUID&gt;&lt;/Extra&gt;&lt;/Item&gt;&lt;/References&gt;&lt;/Group&gt;&lt;/Citation&gt;_x000a_"/>
    <w:docVar w:name="NE.Ref{FDE87210-64A6-45D6-A5C7-DDFE8815C51E}" w:val=" ADDIN NE.Ref.{FDE87210-64A6-45D6-A5C7-DDFE8815C51E}&lt;Citation&gt;&lt;Group&gt;&lt;References&gt;&lt;Item&gt;&lt;ID&gt;943&lt;/ID&gt;&lt;UID&gt;{1196F2CC-55E9-44C7-94CB-CBCCDB61DAC5}&lt;/UID&gt;&lt;Title&gt;TREM2-independent oligodendrocyte, astrocyte, and T cell responses to tau and  amyloid pathology in mouse models of Alzheimer disease&lt;/Title&gt;&lt;Template&gt;Journal Article&lt;/Template&gt;&lt;Star&gt;0&lt;/Star&gt;&lt;Tag&gt;0&lt;/Tag&gt;&lt;Author&gt;Lee, S H; Rezzonico, M G; Friedman, B A; Huntley, M H; Meilandt, W J; Pandey, S; Chen, Y J; Easton, A; Modrusan, Z; Hansen, D V; Sheng, M; Bohlen, C J&lt;/Author&gt;&lt;Year&gt;2021&lt;/Year&gt;&lt;Details&gt;&lt;_accessed&gt;64933862&lt;/_accessed&gt;&lt;_accession_num&gt;34965428&lt;/_accession_num&gt;&lt;_author_adr&gt;Department of Neuroscience, Genentech, Inc., 1 DNA Way, South San Francisco, CA  94080, USA.; Department of OMNI Bioinformatics, Genentech, Inc., 1 DNA Way, South San  Francisco, CA 94080, USA.; Department of OMNI Bioinformatics, Genentech, Inc., 1 DNA Way, South San  Francisco, CA 94080, USA.; Department of OMNI Bioinformatics, Genentech, Inc., 1 DNA Way, South San  Francisco, CA 94080, USA.; Department of Neuroscience, Genentech, Inc., 1 DNA Way, South San Francisco, CA  94080, USA.; Department of OMNI Bioinformatics, Genentech, Inc., 1 DNA Way, South San  Francisco, CA 94080, USA.; Department of Microchemistry Proteomics Lipidomics and Next Generation  Sequencing, Genentech, Inc., 1 DNA Way, South San Francisco, CA 94080, USA.; Department of Neuroscience, Genentech, Inc., 1 DNA Way, South San Francisco, CA  94080, USA.; Department of Microchemistry Proteomics Lipidomics and Next Generation  Sequencing, Genentech, Inc., 1 DNA Way, South San Francisco, CA 94080, USA.; Department of Neuroscience, Genentech, Inc., 1 DNA Way, South San Francisco, CA  94080, USA.; Department of Neuroscience, Genentech, Inc., 1 DNA Way, South San Francisco, CA  94080, USA.; Department of Neuroscience, Genentech, Inc., 1 DNA Way, South San Francisco, CA  94080, USA. Electronic address: bohlen.christopher@gene.com.&lt;/_author_adr&gt;&lt;_collection_scope&gt;SCIE&lt;/_collection_scope&gt;&lt;_created&gt;64867563&lt;/_created&gt;&lt;_date&gt;2021-12-28&lt;/_date&gt;&lt;_date_display&gt;2021 Dec 28&lt;/_date_display&gt;&lt;_db_updated&gt;PubMed&lt;/_db_updated&gt;&lt;_doi&gt;10.1016/j.celrep.2021.110158&lt;/_doi&gt;&lt;_impact_factor&gt;   9.995&lt;/_impact_factor&gt;&lt;_isbn&gt;2211-1247 (Electronic)&lt;/_isbn&gt;&lt;_issue&gt;13&lt;/_issue&gt;&lt;_journal&gt;Cell Rep&lt;/_journal&gt;&lt;_keywords&gt;Alzheimer disease; T cell; TREM2; amyloid; astrocyte; microglia; oligodendrocyte; single-cell RNA sequencing; tau&lt;/_keywords&gt;&lt;_language&gt;eng&lt;/_language&gt;&lt;_modified&gt;64933862&lt;/_modified&gt;&lt;_ori_publication&gt;Copyright (c) 2021 The Author(s). Published by Elsevier Inc. All rights reserved.&lt;/_ori_publication&gt;&lt;_pages&gt;110158&lt;/_pages&gt;&lt;_social_category&gt;生物学(1)&lt;/_social_category&gt;&lt;_subject_headings&gt;Alzheimer Disease/immunology/metabolism/*pathology; Amyloid/*chemistry; Animals; Astrocytes/immunology/metabolism/*pathology; Female; Male; Membrane Glycoproteins/*physiology; Mice; Mice, Inbred C57BL; Mice, Knockout; Oligodendroglia/immunology/metabolism/*pathology; Receptors, Immunologic/*physiology; T-Lymphocytes/*immunology; tau Proteins/*metabolism&lt;/_subject_headings&gt;&lt;_tertiary_title&gt;Cell reports&lt;/_tertiary_title&gt;&lt;_type_work&gt;Journal Article; Research Support, Non-U.S. Gov&amp;apos;t&lt;/_type_work&gt;&lt;_url&gt;http://www.ncbi.nlm.nih.gov/entrez/query.fcgi?cmd=Retrieve&amp;amp;db=pubmed&amp;amp;dopt=Abstract&amp;amp;list_uids=34965428&amp;amp;query_hl=1&lt;/_url&gt;&lt;_volume&gt;37&lt;/_volume&gt;&lt;/Details&gt;&lt;Extra&gt;&lt;DBUID&gt;{F96A950B-833F-4880-A151-76DA2D6A2879}&lt;/DBUID&gt;&lt;/Extra&gt;&lt;/Item&gt;&lt;/References&gt;&lt;/Group&gt;&lt;/Citation&gt;_x000a_"/>
    <w:docVar w:name="ne_docsoft" w:val="MSWord"/>
    <w:docVar w:name="ne_docversion" w:val="NoteExpress 2.0"/>
    <w:docVar w:name="ne_stylename" w:val="2"/>
  </w:docVars>
  <w:rsids>
    <w:rsidRoot w:val="00172A27"/>
    <w:rsid w:val="00000415"/>
    <w:rsid w:val="000004FE"/>
    <w:rsid w:val="00002BC4"/>
    <w:rsid w:val="0000348D"/>
    <w:rsid w:val="000055AF"/>
    <w:rsid w:val="00005627"/>
    <w:rsid w:val="00005DF9"/>
    <w:rsid w:val="00006A7E"/>
    <w:rsid w:val="00012396"/>
    <w:rsid w:val="00012751"/>
    <w:rsid w:val="00013AB8"/>
    <w:rsid w:val="00013C07"/>
    <w:rsid w:val="000142C0"/>
    <w:rsid w:val="00014957"/>
    <w:rsid w:val="000151EC"/>
    <w:rsid w:val="000160E9"/>
    <w:rsid w:val="000164A1"/>
    <w:rsid w:val="00016AB1"/>
    <w:rsid w:val="00020E73"/>
    <w:rsid w:val="00021A19"/>
    <w:rsid w:val="00022867"/>
    <w:rsid w:val="00022D56"/>
    <w:rsid w:val="000242C0"/>
    <w:rsid w:val="00024483"/>
    <w:rsid w:val="00026115"/>
    <w:rsid w:val="00026A61"/>
    <w:rsid w:val="0003083D"/>
    <w:rsid w:val="000326E9"/>
    <w:rsid w:val="00032A18"/>
    <w:rsid w:val="00033E27"/>
    <w:rsid w:val="00034B58"/>
    <w:rsid w:val="00036D98"/>
    <w:rsid w:val="0003730F"/>
    <w:rsid w:val="00041BDC"/>
    <w:rsid w:val="00042878"/>
    <w:rsid w:val="00043AFA"/>
    <w:rsid w:val="0004428F"/>
    <w:rsid w:val="00045A8E"/>
    <w:rsid w:val="00047EB5"/>
    <w:rsid w:val="000508A0"/>
    <w:rsid w:val="00050AE3"/>
    <w:rsid w:val="00051394"/>
    <w:rsid w:val="000515A1"/>
    <w:rsid w:val="000525AA"/>
    <w:rsid w:val="00052700"/>
    <w:rsid w:val="00054E42"/>
    <w:rsid w:val="00056AF0"/>
    <w:rsid w:val="00056CE9"/>
    <w:rsid w:val="000605D3"/>
    <w:rsid w:val="0006068E"/>
    <w:rsid w:val="00061E54"/>
    <w:rsid w:val="00061FB1"/>
    <w:rsid w:val="00062260"/>
    <w:rsid w:val="00062F3A"/>
    <w:rsid w:val="00063190"/>
    <w:rsid w:val="000634A2"/>
    <w:rsid w:val="0006409E"/>
    <w:rsid w:val="00064F3A"/>
    <w:rsid w:val="00066D66"/>
    <w:rsid w:val="0006765F"/>
    <w:rsid w:val="0007167A"/>
    <w:rsid w:val="00071A96"/>
    <w:rsid w:val="00074072"/>
    <w:rsid w:val="000744C5"/>
    <w:rsid w:val="00074C50"/>
    <w:rsid w:val="00074DD6"/>
    <w:rsid w:val="0008036B"/>
    <w:rsid w:val="00083395"/>
    <w:rsid w:val="000839B5"/>
    <w:rsid w:val="00086FCD"/>
    <w:rsid w:val="00087B79"/>
    <w:rsid w:val="00087EF0"/>
    <w:rsid w:val="00091325"/>
    <w:rsid w:val="00091B53"/>
    <w:rsid w:val="00093377"/>
    <w:rsid w:val="0009489D"/>
    <w:rsid w:val="000951F4"/>
    <w:rsid w:val="0009607B"/>
    <w:rsid w:val="00096621"/>
    <w:rsid w:val="000A2F51"/>
    <w:rsid w:val="000A442E"/>
    <w:rsid w:val="000A5CAB"/>
    <w:rsid w:val="000A5CC1"/>
    <w:rsid w:val="000A733A"/>
    <w:rsid w:val="000A7C1E"/>
    <w:rsid w:val="000A7E3B"/>
    <w:rsid w:val="000B0B5E"/>
    <w:rsid w:val="000B13F6"/>
    <w:rsid w:val="000B429E"/>
    <w:rsid w:val="000B4C4A"/>
    <w:rsid w:val="000B5015"/>
    <w:rsid w:val="000B502D"/>
    <w:rsid w:val="000B593B"/>
    <w:rsid w:val="000C14E7"/>
    <w:rsid w:val="000C1B5E"/>
    <w:rsid w:val="000C3749"/>
    <w:rsid w:val="000C3895"/>
    <w:rsid w:val="000C3948"/>
    <w:rsid w:val="000C3DEA"/>
    <w:rsid w:val="000C4D95"/>
    <w:rsid w:val="000C6B11"/>
    <w:rsid w:val="000D0367"/>
    <w:rsid w:val="000D1522"/>
    <w:rsid w:val="000D15E5"/>
    <w:rsid w:val="000D410D"/>
    <w:rsid w:val="000D4358"/>
    <w:rsid w:val="000D4EEA"/>
    <w:rsid w:val="000D7372"/>
    <w:rsid w:val="000D7C5D"/>
    <w:rsid w:val="000E2D1A"/>
    <w:rsid w:val="000E3F6D"/>
    <w:rsid w:val="000E4F9D"/>
    <w:rsid w:val="000E5729"/>
    <w:rsid w:val="000E5808"/>
    <w:rsid w:val="000E6C29"/>
    <w:rsid w:val="000E7685"/>
    <w:rsid w:val="000E7F0D"/>
    <w:rsid w:val="000F3406"/>
    <w:rsid w:val="000F4CF6"/>
    <w:rsid w:val="000F5EB6"/>
    <w:rsid w:val="000F62AC"/>
    <w:rsid w:val="000F70A0"/>
    <w:rsid w:val="000F7964"/>
    <w:rsid w:val="00100A56"/>
    <w:rsid w:val="00101752"/>
    <w:rsid w:val="001019EC"/>
    <w:rsid w:val="00101B0F"/>
    <w:rsid w:val="00101C1C"/>
    <w:rsid w:val="00105056"/>
    <w:rsid w:val="0010532D"/>
    <w:rsid w:val="00105F4B"/>
    <w:rsid w:val="001063C3"/>
    <w:rsid w:val="00107392"/>
    <w:rsid w:val="001103EB"/>
    <w:rsid w:val="001126E4"/>
    <w:rsid w:val="001132EB"/>
    <w:rsid w:val="00115633"/>
    <w:rsid w:val="001209D7"/>
    <w:rsid w:val="001223A5"/>
    <w:rsid w:val="001249A1"/>
    <w:rsid w:val="00130016"/>
    <w:rsid w:val="00130B83"/>
    <w:rsid w:val="00130E66"/>
    <w:rsid w:val="001323DA"/>
    <w:rsid w:val="00132634"/>
    <w:rsid w:val="00132647"/>
    <w:rsid w:val="00132CAA"/>
    <w:rsid w:val="00133A05"/>
    <w:rsid w:val="00134538"/>
    <w:rsid w:val="001367B1"/>
    <w:rsid w:val="001435E5"/>
    <w:rsid w:val="0014470B"/>
    <w:rsid w:val="00144DF3"/>
    <w:rsid w:val="00145E3D"/>
    <w:rsid w:val="00146345"/>
    <w:rsid w:val="001464B1"/>
    <w:rsid w:val="001512B0"/>
    <w:rsid w:val="0015232A"/>
    <w:rsid w:val="00152446"/>
    <w:rsid w:val="00154A1A"/>
    <w:rsid w:val="00154B06"/>
    <w:rsid w:val="00156AE7"/>
    <w:rsid w:val="001574A1"/>
    <w:rsid w:val="00160B65"/>
    <w:rsid w:val="001647EA"/>
    <w:rsid w:val="00164C7A"/>
    <w:rsid w:val="00165E36"/>
    <w:rsid w:val="00165E66"/>
    <w:rsid w:val="0016756D"/>
    <w:rsid w:val="00167857"/>
    <w:rsid w:val="001678BC"/>
    <w:rsid w:val="00170F49"/>
    <w:rsid w:val="00172A27"/>
    <w:rsid w:val="001752AF"/>
    <w:rsid w:val="00175906"/>
    <w:rsid w:val="00176CAE"/>
    <w:rsid w:val="0018068B"/>
    <w:rsid w:val="00180725"/>
    <w:rsid w:val="00181872"/>
    <w:rsid w:val="00181B50"/>
    <w:rsid w:val="00182163"/>
    <w:rsid w:val="00182DCD"/>
    <w:rsid w:val="00183190"/>
    <w:rsid w:val="00183955"/>
    <w:rsid w:val="001852EF"/>
    <w:rsid w:val="0018629A"/>
    <w:rsid w:val="00190C76"/>
    <w:rsid w:val="00191997"/>
    <w:rsid w:val="0019224A"/>
    <w:rsid w:val="00193295"/>
    <w:rsid w:val="00194BC4"/>
    <w:rsid w:val="00195AD8"/>
    <w:rsid w:val="00195FEA"/>
    <w:rsid w:val="001962B3"/>
    <w:rsid w:val="001A033E"/>
    <w:rsid w:val="001A5BA9"/>
    <w:rsid w:val="001A5CC7"/>
    <w:rsid w:val="001B0084"/>
    <w:rsid w:val="001B131D"/>
    <w:rsid w:val="001B45E0"/>
    <w:rsid w:val="001B47E5"/>
    <w:rsid w:val="001B4B2D"/>
    <w:rsid w:val="001B6AB5"/>
    <w:rsid w:val="001B7AD0"/>
    <w:rsid w:val="001B7B5D"/>
    <w:rsid w:val="001B7ED9"/>
    <w:rsid w:val="001B7FD8"/>
    <w:rsid w:val="001C2BC8"/>
    <w:rsid w:val="001C5A99"/>
    <w:rsid w:val="001D09DD"/>
    <w:rsid w:val="001D14AC"/>
    <w:rsid w:val="001D1847"/>
    <w:rsid w:val="001D1DB1"/>
    <w:rsid w:val="001D22D5"/>
    <w:rsid w:val="001D235E"/>
    <w:rsid w:val="001D2C2C"/>
    <w:rsid w:val="001D41F6"/>
    <w:rsid w:val="001E13B3"/>
    <w:rsid w:val="001E3C2E"/>
    <w:rsid w:val="001E4498"/>
    <w:rsid w:val="001E545E"/>
    <w:rsid w:val="001E6BD2"/>
    <w:rsid w:val="001E7F73"/>
    <w:rsid w:val="001F17B8"/>
    <w:rsid w:val="001F21CD"/>
    <w:rsid w:val="001F254B"/>
    <w:rsid w:val="001F2622"/>
    <w:rsid w:val="001F4044"/>
    <w:rsid w:val="001F6044"/>
    <w:rsid w:val="0020137D"/>
    <w:rsid w:val="00202F64"/>
    <w:rsid w:val="002050E0"/>
    <w:rsid w:val="00205B38"/>
    <w:rsid w:val="0020641C"/>
    <w:rsid w:val="002077AD"/>
    <w:rsid w:val="002112C5"/>
    <w:rsid w:val="00211635"/>
    <w:rsid w:val="002149BD"/>
    <w:rsid w:val="0021665A"/>
    <w:rsid w:val="00217C4A"/>
    <w:rsid w:val="00217F34"/>
    <w:rsid w:val="00220816"/>
    <w:rsid w:val="002210EC"/>
    <w:rsid w:val="002214B7"/>
    <w:rsid w:val="00224C95"/>
    <w:rsid w:val="0022519F"/>
    <w:rsid w:val="002304A4"/>
    <w:rsid w:val="00234C9F"/>
    <w:rsid w:val="00235F94"/>
    <w:rsid w:val="00237D18"/>
    <w:rsid w:val="002404B8"/>
    <w:rsid w:val="00240AE3"/>
    <w:rsid w:val="00252C0D"/>
    <w:rsid w:val="00252EAF"/>
    <w:rsid w:val="00254B75"/>
    <w:rsid w:val="00255854"/>
    <w:rsid w:val="00257BB2"/>
    <w:rsid w:val="002620E0"/>
    <w:rsid w:val="00262EB0"/>
    <w:rsid w:val="00264D4F"/>
    <w:rsid w:val="002673DC"/>
    <w:rsid w:val="00267A60"/>
    <w:rsid w:val="00271E8F"/>
    <w:rsid w:val="00271FB8"/>
    <w:rsid w:val="0027250E"/>
    <w:rsid w:val="00273986"/>
    <w:rsid w:val="00276C8B"/>
    <w:rsid w:val="00281827"/>
    <w:rsid w:val="00282015"/>
    <w:rsid w:val="00282363"/>
    <w:rsid w:val="002828F5"/>
    <w:rsid w:val="0028487D"/>
    <w:rsid w:val="00290741"/>
    <w:rsid w:val="00293446"/>
    <w:rsid w:val="00295B71"/>
    <w:rsid w:val="00297776"/>
    <w:rsid w:val="002977A1"/>
    <w:rsid w:val="002A0AAE"/>
    <w:rsid w:val="002A0AEA"/>
    <w:rsid w:val="002A1FB4"/>
    <w:rsid w:val="002A2003"/>
    <w:rsid w:val="002A207F"/>
    <w:rsid w:val="002A3220"/>
    <w:rsid w:val="002A42C0"/>
    <w:rsid w:val="002A5C5A"/>
    <w:rsid w:val="002A620D"/>
    <w:rsid w:val="002B350A"/>
    <w:rsid w:val="002B3B60"/>
    <w:rsid w:val="002B456F"/>
    <w:rsid w:val="002B78D1"/>
    <w:rsid w:val="002C05B5"/>
    <w:rsid w:val="002C1F27"/>
    <w:rsid w:val="002C3ED3"/>
    <w:rsid w:val="002C4388"/>
    <w:rsid w:val="002C59D2"/>
    <w:rsid w:val="002C6887"/>
    <w:rsid w:val="002C6CA5"/>
    <w:rsid w:val="002C722D"/>
    <w:rsid w:val="002D07C9"/>
    <w:rsid w:val="002D22A4"/>
    <w:rsid w:val="002D5329"/>
    <w:rsid w:val="002D6E9F"/>
    <w:rsid w:val="002D6FC1"/>
    <w:rsid w:val="002D79D0"/>
    <w:rsid w:val="002E01CA"/>
    <w:rsid w:val="002E1F81"/>
    <w:rsid w:val="002E33E9"/>
    <w:rsid w:val="002E3990"/>
    <w:rsid w:val="002E7FF9"/>
    <w:rsid w:val="002F012A"/>
    <w:rsid w:val="002F058D"/>
    <w:rsid w:val="002F05E3"/>
    <w:rsid w:val="002F0661"/>
    <w:rsid w:val="002F0DF0"/>
    <w:rsid w:val="002F112C"/>
    <w:rsid w:val="002F141C"/>
    <w:rsid w:val="002F1EA1"/>
    <w:rsid w:val="002F37D8"/>
    <w:rsid w:val="002F54AD"/>
    <w:rsid w:val="002F625D"/>
    <w:rsid w:val="002F6401"/>
    <w:rsid w:val="002F6BD5"/>
    <w:rsid w:val="002F6F77"/>
    <w:rsid w:val="002F76A7"/>
    <w:rsid w:val="00301857"/>
    <w:rsid w:val="00304A03"/>
    <w:rsid w:val="00304BD7"/>
    <w:rsid w:val="00305F6B"/>
    <w:rsid w:val="003065E9"/>
    <w:rsid w:val="00307001"/>
    <w:rsid w:val="00307C97"/>
    <w:rsid w:val="00310A33"/>
    <w:rsid w:val="00312E7D"/>
    <w:rsid w:val="00313C48"/>
    <w:rsid w:val="0031651D"/>
    <w:rsid w:val="00317812"/>
    <w:rsid w:val="00317BEB"/>
    <w:rsid w:val="003216B2"/>
    <w:rsid w:val="00321887"/>
    <w:rsid w:val="00324B9E"/>
    <w:rsid w:val="00330214"/>
    <w:rsid w:val="00330F70"/>
    <w:rsid w:val="00333F9F"/>
    <w:rsid w:val="00340BB9"/>
    <w:rsid w:val="00341A3A"/>
    <w:rsid w:val="003428CF"/>
    <w:rsid w:val="003435E7"/>
    <w:rsid w:val="00345724"/>
    <w:rsid w:val="00345BDD"/>
    <w:rsid w:val="00345E07"/>
    <w:rsid w:val="00346067"/>
    <w:rsid w:val="00347399"/>
    <w:rsid w:val="00351F3F"/>
    <w:rsid w:val="00352380"/>
    <w:rsid w:val="00352518"/>
    <w:rsid w:val="00352CBA"/>
    <w:rsid w:val="00354BBB"/>
    <w:rsid w:val="00354DB3"/>
    <w:rsid w:val="00355D31"/>
    <w:rsid w:val="00356BDC"/>
    <w:rsid w:val="00360DA8"/>
    <w:rsid w:val="00361029"/>
    <w:rsid w:val="00363A93"/>
    <w:rsid w:val="0036475A"/>
    <w:rsid w:val="00364C83"/>
    <w:rsid w:val="003650B4"/>
    <w:rsid w:val="00366157"/>
    <w:rsid w:val="0036796B"/>
    <w:rsid w:val="00371B81"/>
    <w:rsid w:val="00371E9E"/>
    <w:rsid w:val="003731F3"/>
    <w:rsid w:val="00374ED9"/>
    <w:rsid w:val="003755C1"/>
    <w:rsid w:val="00377AC2"/>
    <w:rsid w:val="00377B12"/>
    <w:rsid w:val="00380345"/>
    <w:rsid w:val="00382C72"/>
    <w:rsid w:val="00382EEF"/>
    <w:rsid w:val="00384189"/>
    <w:rsid w:val="003842B7"/>
    <w:rsid w:val="00384665"/>
    <w:rsid w:val="003853EC"/>
    <w:rsid w:val="0038688C"/>
    <w:rsid w:val="003877D2"/>
    <w:rsid w:val="00387F02"/>
    <w:rsid w:val="00390198"/>
    <w:rsid w:val="00390377"/>
    <w:rsid w:val="003914C4"/>
    <w:rsid w:val="003917C5"/>
    <w:rsid w:val="00392C86"/>
    <w:rsid w:val="00393675"/>
    <w:rsid w:val="003940CF"/>
    <w:rsid w:val="00394C6F"/>
    <w:rsid w:val="00395BD8"/>
    <w:rsid w:val="003A2DD6"/>
    <w:rsid w:val="003A3419"/>
    <w:rsid w:val="003A5CAA"/>
    <w:rsid w:val="003A6EEF"/>
    <w:rsid w:val="003A7FFD"/>
    <w:rsid w:val="003B1DDC"/>
    <w:rsid w:val="003B4C24"/>
    <w:rsid w:val="003B61E9"/>
    <w:rsid w:val="003B6BD2"/>
    <w:rsid w:val="003C08D7"/>
    <w:rsid w:val="003C0E0E"/>
    <w:rsid w:val="003C13C7"/>
    <w:rsid w:val="003C1669"/>
    <w:rsid w:val="003C7116"/>
    <w:rsid w:val="003C7CF4"/>
    <w:rsid w:val="003D08AF"/>
    <w:rsid w:val="003D3E24"/>
    <w:rsid w:val="003D6428"/>
    <w:rsid w:val="003D6C0D"/>
    <w:rsid w:val="003D6C92"/>
    <w:rsid w:val="003D6E92"/>
    <w:rsid w:val="003E2624"/>
    <w:rsid w:val="003E2FC6"/>
    <w:rsid w:val="003E5DC3"/>
    <w:rsid w:val="003E658C"/>
    <w:rsid w:val="003E6C1B"/>
    <w:rsid w:val="003E6C86"/>
    <w:rsid w:val="003F34F8"/>
    <w:rsid w:val="003F6C93"/>
    <w:rsid w:val="00400B36"/>
    <w:rsid w:val="0040302C"/>
    <w:rsid w:val="00403150"/>
    <w:rsid w:val="004035C0"/>
    <w:rsid w:val="00410001"/>
    <w:rsid w:val="00412E53"/>
    <w:rsid w:val="00414447"/>
    <w:rsid w:val="00414E21"/>
    <w:rsid w:val="00417323"/>
    <w:rsid w:val="00420DC8"/>
    <w:rsid w:val="0042118A"/>
    <w:rsid w:val="00421746"/>
    <w:rsid w:val="0042228E"/>
    <w:rsid w:val="00422546"/>
    <w:rsid w:val="0042430D"/>
    <w:rsid w:val="004251FC"/>
    <w:rsid w:val="00427954"/>
    <w:rsid w:val="00430CD9"/>
    <w:rsid w:val="00433300"/>
    <w:rsid w:val="00433C33"/>
    <w:rsid w:val="00434CC5"/>
    <w:rsid w:val="00435D46"/>
    <w:rsid w:val="00436E0F"/>
    <w:rsid w:val="004407B9"/>
    <w:rsid w:val="00441B87"/>
    <w:rsid w:val="004425F9"/>
    <w:rsid w:val="00442D60"/>
    <w:rsid w:val="0044419B"/>
    <w:rsid w:val="00444E31"/>
    <w:rsid w:val="004453A9"/>
    <w:rsid w:val="00445A8B"/>
    <w:rsid w:val="00445B04"/>
    <w:rsid w:val="00445B31"/>
    <w:rsid w:val="00450151"/>
    <w:rsid w:val="00450EF6"/>
    <w:rsid w:val="0045103B"/>
    <w:rsid w:val="004513EA"/>
    <w:rsid w:val="00455D95"/>
    <w:rsid w:val="00455E07"/>
    <w:rsid w:val="00455F2B"/>
    <w:rsid w:val="004567D2"/>
    <w:rsid w:val="00456DAC"/>
    <w:rsid w:val="004570AC"/>
    <w:rsid w:val="00462A5D"/>
    <w:rsid w:val="00464D2A"/>
    <w:rsid w:val="00467952"/>
    <w:rsid w:val="00471BBD"/>
    <w:rsid w:val="004738E1"/>
    <w:rsid w:val="00474093"/>
    <w:rsid w:val="0047473A"/>
    <w:rsid w:val="00477028"/>
    <w:rsid w:val="00477104"/>
    <w:rsid w:val="0048063E"/>
    <w:rsid w:val="0048132E"/>
    <w:rsid w:val="004814F7"/>
    <w:rsid w:val="00482761"/>
    <w:rsid w:val="00484234"/>
    <w:rsid w:val="004842CB"/>
    <w:rsid w:val="00484886"/>
    <w:rsid w:val="00486C35"/>
    <w:rsid w:val="00486D8A"/>
    <w:rsid w:val="00487DB9"/>
    <w:rsid w:val="00496CEE"/>
    <w:rsid w:val="00497B4A"/>
    <w:rsid w:val="004A0E6E"/>
    <w:rsid w:val="004A1B13"/>
    <w:rsid w:val="004A25BA"/>
    <w:rsid w:val="004A3891"/>
    <w:rsid w:val="004A412F"/>
    <w:rsid w:val="004A56BA"/>
    <w:rsid w:val="004A7DB2"/>
    <w:rsid w:val="004B0D3A"/>
    <w:rsid w:val="004B3CDE"/>
    <w:rsid w:val="004B468B"/>
    <w:rsid w:val="004B4F09"/>
    <w:rsid w:val="004B6DE4"/>
    <w:rsid w:val="004B771E"/>
    <w:rsid w:val="004B78EA"/>
    <w:rsid w:val="004C1155"/>
    <w:rsid w:val="004C2410"/>
    <w:rsid w:val="004C2419"/>
    <w:rsid w:val="004C2FD2"/>
    <w:rsid w:val="004C3CAA"/>
    <w:rsid w:val="004C4E1F"/>
    <w:rsid w:val="004C5661"/>
    <w:rsid w:val="004C6F7C"/>
    <w:rsid w:val="004C74F4"/>
    <w:rsid w:val="004C777E"/>
    <w:rsid w:val="004C79EE"/>
    <w:rsid w:val="004C7E4F"/>
    <w:rsid w:val="004C7F3F"/>
    <w:rsid w:val="004D0418"/>
    <w:rsid w:val="004D10E7"/>
    <w:rsid w:val="004D196F"/>
    <w:rsid w:val="004D29F3"/>
    <w:rsid w:val="004D7572"/>
    <w:rsid w:val="004F0DA2"/>
    <w:rsid w:val="004F102D"/>
    <w:rsid w:val="004F1535"/>
    <w:rsid w:val="004F19E0"/>
    <w:rsid w:val="004F1A04"/>
    <w:rsid w:val="004F36F4"/>
    <w:rsid w:val="004F3842"/>
    <w:rsid w:val="004F3D04"/>
    <w:rsid w:val="004F3E2C"/>
    <w:rsid w:val="004F5B30"/>
    <w:rsid w:val="004F7350"/>
    <w:rsid w:val="00503D67"/>
    <w:rsid w:val="00504E1A"/>
    <w:rsid w:val="00510082"/>
    <w:rsid w:val="0051019C"/>
    <w:rsid w:val="0051117E"/>
    <w:rsid w:val="00511F9F"/>
    <w:rsid w:val="005133B0"/>
    <w:rsid w:val="00517257"/>
    <w:rsid w:val="005207F9"/>
    <w:rsid w:val="00522909"/>
    <w:rsid w:val="00523411"/>
    <w:rsid w:val="00523A53"/>
    <w:rsid w:val="005241F1"/>
    <w:rsid w:val="00525F6F"/>
    <w:rsid w:val="005263B3"/>
    <w:rsid w:val="0053040F"/>
    <w:rsid w:val="005311A8"/>
    <w:rsid w:val="00532B52"/>
    <w:rsid w:val="00534399"/>
    <w:rsid w:val="005346E7"/>
    <w:rsid w:val="00534AD6"/>
    <w:rsid w:val="00534BA0"/>
    <w:rsid w:val="00534FE5"/>
    <w:rsid w:val="005367E1"/>
    <w:rsid w:val="005378CB"/>
    <w:rsid w:val="00540F0E"/>
    <w:rsid w:val="00543465"/>
    <w:rsid w:val="0054501B"/>
    <w:rsid w:val="00550907"/>
    <w:rsid w:val="005545CE"/>
    <w:rsid w:val="00556813"/>
    <w:rsid w:val="0056201B"/>
    <w:rsid w:val="00564A58"/>
    <w:rsid w:val="00565FFF"/>
    <w:rsid w:val="00566BFC"/>
    <w:rsid w:val="00567073"/>
    <w:rsid w:val="00570023"/>
    <w:rsid w:val="00570DCE"/>
    <w:rsid w:val="00571219"/>
    <w:rsid w:val="00571F6D"/>
    <w:rsid w:val="00571FE0"/>
    <w:rsid w:val="0057347E"/>
    <w:rsid w:val="0057360C"/>
    <w:rsid w:val="0057489E"/>
    <w:rsid w:val="005752C1"/>
    <w:rsid w:val="0057706F"/>
    <w:rsid w:val="00581628"/>
    <w:rsid w:val="00581772"/>
    <w:rsid w:val="00583EDD"/>
    <w:rsid w:val="005840D9"/>
    <w:rsid w:val="0058601A"/>
    <w:rsid w:val="00587168"/>
    <w:rsid w:val="0058742E"/>
    <w:rsid w:val="005914E8"/>
    <w:rsid w:val="00593163"/>
    <w:rsid w:val="005936B3"/>
    <w:rsid w:val="00593C77"/>
    <w:rsid w:val="00596BB2"/>
    <w:rsid w:val="005974E4"/>
    <w:rsid w:val="005A09B4"/>
    <w:rsid w:val="005A0BD4"/>
    <w:rsid w:val="005A2C0F"/>
    <w:rsid w:val="005A442C"/>
    <w:rsid w:val="005A728E"/>
    <w:rsid w:val="005B0DD4"/>
    <w:rsid w:val="005B0EF9"/>
    <w:rsid w:val="005B4C93"/>
    <w:rsid w:val="005B5A20"/>
    <w:rsid w:val="005B7509"/>
    <w:rsid w:val="005C0817"/>
    <w:rsid w:val="005C19C8"/>
    <w:rsid w:val="005C2236"/>
    <w:rsid w:val="005C4A80"/>
    <w:rsid w:val="005D0DF8"/>
    <w:rsid w:val="005D21CD"/>
    <w:rsid w:val="005D22BE"/>
    <w:rsid w:val="005E1E9B"/>
    <w:rsid w:val="005E232E"/>
    <w:rsid w:val="005E3D60"/>
    <w:rsid w:val="005E5A8B"/>
    <w:rsid w:val="005E71C8"/>
    <w:rsid w:val="005E780A"/>
    <w:rsid w:val="005F00A8"/>
    <w:rsid w:val="005F26FE"/>
    <w:rsid w:val="005F379B"/>
    <w:rsid w:val="005F3EC3"/>
    <w:rsid w:val="005F43DC"/>
    <w:rsid w:val="005F478C"/>
    <w:rsid w:val="005F5AAA"/>
    <w:rsid w:val="005F767D"/>
    <w:rsid w:val="00601A09"/>
    <w:rsid w:val="0060217D"/>
    <w:rsid w:val="006052F9"/>
    <w:rsid w:val="00606D4D"/>
    <w:rsid w:val="00610147"/>
    <w:rsid w:val="00611AA2"/>
    <w:rsid w:val="00612601"/>
    <w:rsid w:val="00614B79"/>
    <w:rsid w:val="00616133"/>
    <w:rsid w:val="00617E0E"/>
    <w:rsid w:val="0062137C"/>
    <w:rsid w:val="00622189"/>
    <w:rsid w:val="00622538"/>
    <w:rsid w:val="00627590"/>
    <w:rsid w:val="006305B3"/>
    <w:rsid w:val="00633501"/>
    <w:rsid w:val="00635587"/>
    <w:rsid w:val="006360FC"/>
    <w:rsid w:val="006368BB"/>
    <w:rsid w:val="00643798"/>
    <w:rsid w:val="00644431"/>
    <w:rsid w:val="00646D3B"/>
    <w:rsid w:val="0064742E"/>
    <w:rsid w:val="00650E6B"/>
    <w:rsid w:val="006528EF"/>
    <w:rsid w:val="00652AE5"/>
    <w:rsid w:val="00652C77"/>
    <w:rsid w:val="00655D13"/>
    <w:rsid w:val="0065692B"/>
    <w:rsid w:val="00660DB1"/>
    <w:rsid w:val="00660F22"/>
    <w:rsid w:val="00661306"/>
    <w:rsid w:val="006619D2"/>
    <w:rsid w:val="00662116"/>
    <w:rsid w:val="0066302B"/>
    <w:rsid w:val="00665335"/>
    <w:rsid w:val="006672C0"/>
    <w:rsid w:val="00670020"/>
    <w:rsid w:val="00671063"/>
    <w:rsid w:val="0067162A"/>
    <w:rsid w:val="0067171F"/>
    <w:rsid w:val="00671EC8"/>
    <w:rsid w:val="00672BDF"/>
    <w:rsid w:val="00672E57"/>
    <w:rsid w:val="00673E1D"/>
    <w:rsid w:val="006761B2"/>
    <w:rsid w:val="00677817"/>
    <w:rsid w:val="006801FD"/>
    <w:rsid w:val="00681609"/>
    <w:rsid w:val="00684496"/>
    <w:rsid w:val="0068631F"/>
    <w:rsid w:val="0068750A"/>
    <w:rsid w:val="006907A2"/>
    <w:rsid w:val="00691E36"/>
    <w:rsid w:val="00694178"/>
    <w:rsid w:val="00694F6F"/>
    <w:rsid w:val="00695DB9"/>
    <w:rsid w:val="00695E80"/>
    <w:rsid w:val="00696177"/>
    <w:rsid w:val="00696F44"/>
    <w:rsid w:val="00697B59"/>
    <w:rsid w:val="00697CB3"/>
    <w:rsid w:val="006A0C57"/>
    <w:rsid w:val="006A1164"/>
    <w:rsid w:val="006A1F2E"/>
    <w:rsid w:val="006A33D5"/>
    <w:rsid w:val="006B2402"/>
    <w:rsid w:val="006B24D7"/>
    <w:rsid w:val="006B3325"/>
    <w:rsid w:val="006B5998"/>
    <w:rsid w:val="006B6CA1"/>
    <w:rsid w:val="006B764F"/>
    <w:rsid w:val="006B7A4F"/>
    <w:rsid w:val="006C06AC"/>
    <w:rsid w:val="006C1408"/>
    <w:rsid w:val="006C1644"/>
    <w:rsid w:val="006C16EC"/>
    <w:rsid w:val="006C1A8D"/>
    <w:rsid w:val="006C20E3"/>
    <w:rsid w:val="006C2AD5"/>
    <w:rsid w:val="006C4217"/>
    <w:rsid w:val="006C5103"/>
    <w:rsid w:val="006C5944"/>
    <w:rsid w:val="006C68EE"/>
    <w:rsid w:val="006C6F0D"/>
    <w:rsid w:val="006D0698"/>
    <w:rsid w:val="006D3320"/>
    <w:rsid w:val="006D4089"/>
    <w:rsid w:val="006D43CD"/>
    <w:rsid w:val="006D6899"/>
    <w:rsid w:val="006D69BF"/>
    <w:rsid w:val="006D79E1"/>
    <w:rsid w:val="006E3508"/>
    <w:rsid w:val="006F3097"/>
    <w:rsid w:val="006F34C5"/>
    <w:rsid w:val="006F4E4A"/>
    <w:rsid w:val="006F598D"/>
    <w:rsid w:val="007012BD"/>
    <w:rsid w:val="00702D53"/>
    <w:rsid w:val="00703F67"/>
    <w:rsid w:val="007042C7"/>
    <w:rsid w:val="00704482"/>
    <w:rsid w:val="00704A4F"/>
    <w:rsid w:val="00705185"/>
    <w:rsid w:val="00705FAD"/>
    <w:rsid w:val="0071189F"/>
    <w:rsid w:val="007153FA"/>
    <w:rsid w:val="0072190E"/>
    <w:rsid w:val="00722C67"/>
    <w:rsid w:val="00723DA9"/>
    <w:rsid w:val="00724683"/>
    <w:rsid w:val="00724A63"/>
    <w:rsid w:val="0072540C"/>
    <w:rsid w:val="007300B7"/>
    <w:rsid w:val="00730615"/>
    <w:rsid w:val="0073574B"/>
    <w:rsid w:val="0073656A"/>
    <w:rsid w:val="00741E9E"/>
    <w:rsid w:val="00742E1C"/>
    <w:rsid w:val="00743660"/>
    <w:rsid w:val="0074478B"/>
    <w:rsid w:val="00744C21"/>
    <w:rsid w:val="00744E42"/>
    <w:rsid w:val="00744F24"/>
    <w:rsid w:val="007452BA"/>
    <w:rsid w:val="00750769"/>
    <w:rsid w:val="007519C4"/>
    <w:rsid w:val="00752400"/>
    <w:rsid w:val="0075324C"/>
    <w:rsid w:val="00754B67"/>
    <w:rsid w:val="00756838"/>
    <w:rsid w:val="00762589"/>
    <w:rsid w:val="00762BFA"/>
    <w:rsid w:val="007646CB"/>
    <w:rsid w:val="00770C99"/>
    <w:rsid w:val="007712E3"/>
    <w:rsid w:val="00772B55"/>
    <w:rsid w:val="0077306A"/>
    <w:rsid w:val="00774D18"/>
    <w:rsid w:val="007757A2"/>
    <w:rsid w:val="00775AD6"/>
    <w:rsid w:val="00775E3E"/>
    <w:rsid w:val="00777581"/>
    <w:rsid w:val="0077768A"/>
    <w:rsid w:val="00777FE4"/>
    <w:rsid w:val="00781438"/>
    <w:rsid w:val="00785F67"/>
    <w:rsid w:val="00787690"/>
    <w:rsid w:val="00787BA1"/>
    <w:rsid w:val="00791D40"/>
    <w:rsid w:val="00794315"/>
    <w:rsid w:val="00794C75"/>
    <w:rsid w:val="007951C3"/>
    <w:rsid w:val="007964EB"/>
    <w:rsid w:val="007A08AC"/>
    <w:rsid w:val="007A0AB7"/>
    <w:rsid w:val="007A1021"/>
    <w:rsid w:val="007A7923"/>
    <w:rsid w:val="007B21EF"/>
    <w:rsid w:val="007B397C"/>
    <w:rsid w:val="007B4B86"/>
    <w:rsid w:val="007B6456"/>
    <w:rsid w:val="007B68D8"/>
    <w:rsid w:val="007B6D19"/>
    <w:rsid w:val="007B6FD1"/>
    <w:rsid w:val="007C081C"/>
    <w:rsid w:val="007C1A74"/>
    <w:rsid w:val="007C28EB"/>
    <w:rsid w:val="007C2E23"/>
    <w:rsid w:val="007C3E94"/>
    <w:rsid w:val="007C6215"/>
    <w:rsid w:val="007C6546"/>
    <w:rsid w:val="007C795F"/>
    <w:rsid w:val="007D1A3E"/>
    <w:rsid w:val="007D1D89"/>
    <w:rsid w:val="007D3F9D"/>
    <w:rsid w:val="007D4884"/>
    <w:rsid w:val="007D56F6"/>
    <w:rsid w:val="007D57CD"/>
    <w:rsid w:val="007D5C3A"/>
    <w:rsid w:val="007D6C87"/>
    <w:rsid w:val="007E0D88"/>
    <w:rsid w:val="007E171D"/>
    <w:rsid w:val="007E29BD"/>
    <w:rsid w:val="007E2AF1"/>
    <w:rsid w:val="007E77A8"/>
    <w:rsid w:val="007E796E"/>
    <w:rsid w:val="007E7BA2"/>
    <w:rsid w:val="007E7CD2"/>
    <w:rsid w:val="007F05C7"/>
    <w:rsid w:val="00801EA2"/>
    <w:rsid w:val="00802119"/>
    <w:rsid w:val="00802ACC"/>
    <w:rsid w:val="0080343C"/>
    <w:rsid w:val="00803BE6"/>
    <w:rsid w:val="00805912"/>
    <w:rsid w:val="0081073A"/>
    <w:rsid w:val="008124FC"/>
    <w:rsid w:val="00812822"/>
    <w:rsid w:val="00813D6A"/>
    <w:rsid w:val="00814209"/>
    <w:rsid w:val="00814A59"/>
    <w:rsid w:val="008213B7"/>
    <w:rsid w:val="0082149D"/>
    <w:rsid w:val="00821789"/>
    <w:rsid w:val="00823B36"/>
    <w:rsid w:val="008249F9"/>
    <w:rsid w:val="00824D4A"/>
    <w:rsid w:val="0083002C"/>
    <w:rsid w:val="008306CD"/>
    <w:rsid w:val="00831CE2"/>
    <w:rsid w:val="00832161"/>
    <w:rsid w:val="00832BAA"/>
    <w:rsid w:val="00833203"/>
    <w:rsid w:val="00833C9B"/>
    <w:rsid w:val="0083523F"/>
    <w:rsid w:val="0083612A"/>
    <w:rsid w:val="00836704"/>
    <w:rsid w:val="00837A26"/>
    <w:rsid w:val="008412E6"/>
    <w:rsid w:val="008417F1"/>
    <w:rsid w:val="0084340D"/>
    <w:rsid w:val="00843708"/>
    <w:rsid w:val="00843A78"/>
    <w:rsid w:val="0084473F"/>
    <w:rsid w:val="00845361"/>
    <w:rsid w:val="00847F9F"/>
    <w:rsid w:val="00850331"/>
    <w:rsid w:val="008517F5"/>
    <w:rsid w:val="008527C5"/>
    <w:rsid w:val="0085286A"/>
    <w:rsid w:val="008529BB"/>
    <w:rsid w:val="00855898"/>
    <w:rsid w:val="00856537"/>
    <w:rsid w:val="008570D1"/>
    <w:rsid w:val="0086025E"/>
    <w:rsid w:val="0086043A"/>
    <w:rsid w:val="008607FE"/>
    <w:rsid w:val="00860CB5"/>
    <w:rsid w:val="00861692"/>
    <w:rsid w:val="00861903"/>
    <w:rsid w:val="008632E5"/>
    <w:rsid w:val="00863B45"/>
    <w:rsid w:val="00867D3D"/>
    <w:rsid w:val="00867DC1"/>
    <w:rsid w:val="00874BBB"/>
    <w:rsid w:val="00877FB8"/>
    <w:rsid w:val="0088102D"/>
    <w:rsid w:val="00882716"/>
    <w:rsid w:val="008858C6"/>
    <w:rsid w:val="00885F11"/>
    <w:rsid w:val="008876FE"/>
    <w:rsid w:val="00887706"/>
    <w:rsid w:val="0088773E"/>
    <w:rsid w:val="0089028A"/>
    <w:rsid w:val="00891F57"/>
    <w:rsid w:val="00891FA1"/>
    <w:rsid w:val="00892A18"/>
    <w:rsid w:val="00894228"/>
    <w:rsid w:val="00896897"/>
    <w:rsid w:val="00897F81"/>
    <w:rsid w:val="008A0B0F"/>
    <w:rsid w:val="008A10CF"/>
    <w:rsid w:val="008A1600"/>
    <w:rsid w:val="008A27E8"/>
    <w:rsid w:val="008A2877"/>
    <w:rsid w:val="008A30CF"/>
    <w:rsid w:val="008A5FD0"/>
    <w:rsid w:val="008B02D3"/>
    <w:rsid w:val="008B0A33"/>
    <w:rsid w:val="008B0A5C"/>
    <w:rsid w:val="008B3105"/>
    <w:rsid w:val="008B41E9"/>
    <w:rsid w:val="008B55F8"/>
    <w:rsid w:val="008C06BB"/>
    <w:rsid w:val="008C0CB1"/>
    <w:rsid w:val="008C383F"/>
    <w:rsid w:val="008C43CC"/>
    <w:rsid w:val="008C4B5D"/>
    <w:rsid w:val="008C4D90"/>
    <w:rsid w:val="008C5C45"/>
    <w:rsid w:val="008C7CD9"/>
    <w:rsid w:val="008D19A1"/>
    <w:rsid w:val="008D2FD2"/>
    <w:rsid w:val="008E3B38"/>
    <w:rsid w:val="008E6F03"/>
    <w:rsid w:val="008E7839"/>
    <w:rsid w:val="008E7B14"/>
    <w:rsid w:val="008F1C5F"/>
    <w:rsid w:val="008F2139"/>
    <w:rsid w:val="008F247A"/>
    <w:rsid w:val="008F3119"/>
    <w:rsid w:val="008F56D1"/>
    <w:rsid w:val="008F6FF2"/>
    <w:rsid w:val="008F715A"/>
    <w:rsid w:val="009000F5"/>
    <w:rsid w:val="009012B7"/>
    <w:rsid w:val="00901F30"/>
    <w:rsid w:val="00902B28"/>
    <w:rsid w:val="00903106"/>
    <w:rsid w:val="00903F8D"/>
    <w:rsid w:val="009046F6"/>
    <w:rsid w:val="009057FA"/>
    <w:rsid w:val="009076D5"/>
    <w:rsid w:val="009079E2"/>
    <w:rsid w:val="0091033B"/>
    <w:rsid w:val="0091057B"/>
    <w:rsid w:val="00914665"/>
    <w:rsid w:val="00920F1C"/>
    <w:rsid w:val="00921738"/>
    <w:rsid w:val="009334C2"/>
    <w:rsid w:val="00934E2A"/>
    <w:rsid w:val="00937858"/>
    <w:rsid w:val="00940CE0"/>
    <w:rsid w:val="00941A8E"/>
    <w:rsid w:val="00942ED0"/>
    <w:rsid w:val="00944E7C"/>
    <w:rsid w:val="00945220"/>
    <w:rsid w:val="00945FB3"/>
    <w:rsid w:val="009463CF"/>
    <w:rsid w:val="009479F2"/>
    <w:rsid w:val="00953022"/>
    <w:rsid w:val="009535D4"/>
    <w:rsid w:val="00953E80"/>
    <w:rsid w:val="009555C2"/>
    <w:rsid w:val="00956434"/>
    <w:rsid w:val="00957112"/>
    <w:rsid w:val="00957E24"/>
    <w:rsid w:val="00962064"/>
    <w:rsid w:val="009652E7"/>
    <w:rsid w:val="00966C69"/>
    <w:rsid w:val="00972F8D"/>
    <w:rsid w:val="009739F9"/>
    <w:rsid w:val="0097437D"/>
    <w:rsid w:val="0097661F"/>
    <w:rsid w:val="00977D28"/>
    <w:rsid w:val="009814A9"/>
    <w:rsid w:val="0098178D"/>
    <w:rsid w:val="00981EB2"/>
    <w:rsid w:val="00983392"/>
    <w:rsid w:val="00983E98"/>
    <w:rsid w:val="00985AF1"/>
    <w:rsid w:val="00991602"/>
    <w:rsid w:val="009929EC"/>
    <w:rsid w:val="009934E0"/>
    <w:rsid w:val="00995B49"/>
    <w:rsid w:val="00995BF0"/>
    <w:rsid w:val="00996CD9"/>
    <w:rsid w:val="009973B4"/>
    <w:rsid w:val="009A282D"/>
    <w:rsid w:val="009A4327"/>
    <w:rsid w:val="009A5327"/>
    <w:rsid w:val="009A5576"/>
    <w:rsid w:val="009A7308"/>
    <w:rsid w:val="009B2959"/>
    <w:rsid w:val="009B2C49"/>
    <w:rsid w:val="009B2DD8"/>
    <w:rsid w:val="009B3506"/>
    <w:rsid w:val="009B41AA"/>
    <w:rsid w:val="009B437F"/>
    <w:rsid w:val="009B67A4"/>
    <w:rsid w:val="009B69E8"/>
    <w:rsid w:val="009C07CA"/>
    <w:rsid w:val="009C22AA"/>
    <w:rsid w:val="009C2C59"/>
    <w:rsid w:val="009C3AD0"/>
    <w:rsid w:val="009C44B9"/>
    <w:rsid w:val="009C653A"/>
    <w:rsid w:val="009D0069"/>
    <w:rsid w:val="009D00E2"/>
    <w:rsid w:val="009D2ABB"/>
    <w:rsid w:val="009D2C6A"/>
    <w:rsid w:val="009D4EC2"/>
    <w:rsid w:val="009D6900"/>
    <w:rsid w:val="009E08B9"/>
    <w:rsid w:val="009E1576"/>
    <w:rsid w:val="009E1598"/>
    <w:rsid w:val="009E18E2"/>
    <w:rsid w:val="009E38CF"/>
    <w:rsid w:val="009E3AE3"/>
    <w:rsid w:val="009F0263"/>
    <w:rsid w:val="009F050D"/>
    <w:rsid w:val="009F165F"/>
    <w:rsid w:val="009F512E"/>
    <w:rsid w:val="009F5C8E"/>
    <w:rsid w:val="009F663B"/>
    <w:rsid w:val="009F67B3"/>
    <w:rsid w:val="00A001B6"/>
    <w:rsid w:val="00A00212"/>
    <w:rsid w:val="00A009BC"/>
    <w:rsid w:val="00A0262C"/>
    <w:rsid w:val="00A039F2"/>
    <w:rsid w:val="00A0653F"/>
    <w:rsid w:val="00A06D93"/>
    <w:rsid w:val="00A07C4D"/>
    <w:rsid w:val="00A10B08"/>
    <w:rsid w:val="00A10F98"/>
    <w:rsid w:val="00A11F43"/>
    <w:rsid w:val="00A12180"/>
    <w:rsid w:val="00A137E3"/>
    <w:rsid w:val="00A13D3F"/>
    <w:rsid w:val="00A149C3"/>
    <w:rsid w:val="00A20228"/>
    <w:rsid w:val="00A202D1"/>
    <w:rsid w:val="00A21D63"/>
    <w:rsid w:val="00A25933"/>
    <w:rsid w:val="00A26779"/>
    <w:rsid w:val="00A26B2B"/>
    <w:rsid w:val="00A26CE0"/>
    <w:rsid w:val="00A27909"/>
    <w:rsid w:val="00A3129C"/>
    <w:rsid w:val="00A317D1"/>
    <w:rsid w:val="00A326F0"/>
    <w:rsid w:val="00A329ED"/>
    <w:rsid w:val="00A35C62"/>
    <w:rsid w:val="00A401CB"/>
    <w:rsid w:val="00A4092F"/>
    <w:rsid w:val="00A41AC0"/>
    <w:rsid w:val="00A42451"/>
    <w:rsid w:val="00A427D7"/>
    <w:rsid w:val="00A429C5"/>
    <w:rsid w:val="00A43530"/>
    <w:rsid w:val="00A43AAB"/>
    <w:rsid w:val="00A444A4"/>
    <w:rsid w:val="00A50937"/>
    <w:rsid w:val="00A50A46"/>
    <w:rsid w:val="00A52227"/>
    <w:rsid w:val="00A53078"/>
    <w:rsid w:val="00A543C5"/>
    <w:rsid w:val="00A55407"/>
    <w:rsid w:val="00A56956"/>
    <w:rsid w:val="00A60450"/>
    <w:rsid w:val="00A62311"/>
    <w:rsid w:val="00A66954"/>
    <w:rsid w:val="00A703CD"/>
    <w:rsid w:val="00A717F5"/>
    <w:rsid w:val="00A71D83"/>
    <w:rsid w:val="00A73BEF"/>
    <w:rsid w:val="00A773DB"/>
    <w:rsid w:val="00A801FE"/>
    <w:rsid w:val="00A82AFA"/>
    <w:rsid w:val="00A82CC9"/>
    <w:rsid w:val="00A832AB"/>
    <w:rsid w:val="00A85456"/>
    <w:rsid w:val="00A8572A"/>
    <w:rsid w:val="00A85756"/>
    <w:rsid w:val="00A873C7"/>
    <w:rsid w:val="00A90957"/>
    <w:rsid w:val="00A91617"/>
    <w:rsid w:val="00A92939"/>
    <w:rsid w:val="00A9296F"/>
    <w:rsid w:val="00A94C03"/>
    <w:rsid w:val="00A97058"/>
    <w:rsid w:val="00AA033B"/>
    <w:rsid w:val="00AA08BB"/>
    <w:rsid w:val="00AA0F07"/>
    <w:rsid w:val="00AA1EE2"/>
    <w:rsid w:val="00AA2278"/>
    <w:rsid w:val="00AA4105"/>
    <w:rsid w:val="00AA6E35"/>
    <w:rsid w:val="00AB0BCA"/>
    <w:rsid w:val="00AB1366"/>
    <w:rsid w:val="00AB1F0E"/>
    <w:rsid w:val="00AB2444"/>
    <w:rsid w:val="00AB4896"/>
    <w:rsid w:val="00AB4BC4"/>
    <w:rsid w:val="00AB680B"/>
    <w:rsid w:val="00AB7A40"/>
    <w:rsid w:val="00AB7F11"/>
    <w:rsid w:val="00AC021D"/>
    <w:rsid w:val="00AC4146"/>
    <w:rsid w:val="00AC69FB"/>
    <w:rsid w:val="00AC6FFD"/>
    <w:rsid w:val="00AC7791"/>
    <w:rsid w:val="00AC77E4"/>
    <w:rsid w:val="00AD0AD1"/>
    <w:rsid w:val="00AD104C"/>
    <w:rsid w:val="00AD1685"/>
    <w:rsid w:val="00AD3AB1"/>
    <w:rsid w:val="00AD48CD"/>
    <w:rsid w:val="00AD53D3"/>
    <w:rsid w:val="00AD654B"/>
    <w:rsid w:val="00AD6D2A"/>
    <w:rsid w:val="00AD76D9"/>
    <w:rsid w:val="00AE1702"/>
    <w:rsid w:val="00AE34A7"/>
    <w:rsid w:val="00AE499D"/>
    <w:rsid w:val="00AE5BF6"/>
    <w:rsid w:val="00AE628E"/>
    <w:rsid w:val="00AE7131"/>
    <w:rsid w:val="00AE7185"/>
    <w:rsid w:val="00AF1152"/>
    <w:rsid w:val="00AF5D15"/>
    <w:rsid w:val="00AF6391"/>
    <w:rsid w:val="00AF65E3"/>
    <w:rsid w:val="00AF6C0B"/>
    <w:rsid w:val="00AF6DF1"/>
    <w:rsid w:val="00AF6E3C"/>
    <w:rsid w:val="00AF7EFE"/>
    <w:rsid w:val="00B0038C"/>
    <w:rsid w:val="00B00AC4"/>
    <w:rsid w:val="00B016BC"/>
    <w:rsid w:val="00B0184D"/>
    <w:rsid w:val="00B01EB8"/>
    <w:rsid w:val="00B02F78"/>
    <w:rsid w:val="00B03159"/>
    <w:rsid w:val="00B03A51"/>
    <w:rsid w:val="00B03D09"/>
    <w:rsid w:val="00B058C9"/>
    <w:rsid w:val="00B12A59"/>
    <w:rsid w:val="00B12AD2"/>
    <w:rsid w:val="00B16A27"/>
    <w:rsid w:val="00B16C62"/>
    <w:rsid w:val="00B20A19"/>
    <w:rsid w:val="00B2127A"/>
    <w:rsid w:val="00B21875"/>
    <w:rsid w:val="00B21D13"/>
    <w:rsid w:val="00B21DF5"/>
    <w:rsid w:val="00B23706"/>
    <w:rsid w:val="00B23F9A"/>
    <w:rsid w:val="00B25F70"/>
    <w:rsid w:val="00B2661F"/>
    <w:rsid w:val="00B306CC"/>
    <w:rsid w:val="00B30856"/>
    <w:rsid w:val="00B34CDD"/>
    <w:rsid w:val="00B3708F"/>
    <w:rsid w:val="00B43D01"/>
    <w:rsid w:val="00B45B5B"/>
    <w:rsid w:val="00B515BF"/>
    <w:rsid w:val="00B52DE8"/>
    <w:rsid w:val="00B53788"/>
    <w:rsid w:val="00B54DC1"/>
    <w:rsid w:val="00B5704A"/>
    <w:rsid w:val="00B60177"/>
    <w:rsid w:val="00B60727"/>
    <w:rsid w:val="00B60819"/>
    <w:rsid w:val="00B6169F"/>
    <w:rsid w:val="00B63193"/>
    <w:rsid w:val="00B70E6B"/>
    <w:rsid w:val="00B72CF7"/>
    <w:rsid w:val="00B82188"/>
    <w:rsid w:val="00B82839"/>
    <w:rsid w:val="00B82A29"/>
    <w:rsid w:val="00B82D2C"/>
    <w:rsid w:val="00B8362E"/>
    <w:rsid w:val="00B85D82"/>
    <w:rsid w:val="00B860E4"/>
    <w:rsid w:val="00B87EA2"/>
    <w:rsid w:val="00B9130D"/>
    <w:rsid w:val="00B957A9"/>
    <w:rsid w:val="00B961C3"/>
    <w:rsid w:val="00B96D25"/>
    <w:rsid w:val="00B9766E"/>
    <w:rsid w:val="00BB0654"/>
    <w:rsid w:val="00BB315C"/>
    <w:rsid w:val="00BB5B4A"/>
    <w:rsid w:val="00BC3199"/>
    <w:rsid w:val="00BC5756"/>
    <w:rsid w:val="00BD0833"/>
    <w:rsid w:val="00BD0ACD"/>
    <w:rsid w:val="00BD3109"/>
    <w:rsid w:val="00BD3925"/>
    <w:rsid w:val="00BD50BA"/>
    <w:rsid w:val="00BD5701"/>
    <w:rsid w:val="00BD63FE"/>
    <w:rsid w:val="00BE0B7F"/>
    <w:rsid w:val="00BE1426"/>
    <w:rsid w:val="00BE1650"/>
    <w:rsid w:val="00BE20DA"/>
    <w:rsid w:val="00BE2FEE"/>
    <w:rsid w:val="00BE59BC"/>
    <w:rsid w:val="00BE6108"/>
    <w:rsid w:val="00BE7376"/>
    <w:rsid w:val="00BE7E9D"/>
    <w:rsid w:val="00BF23C5"/>
    <w:rsid w:val="00BF2862"/>
    <w:rsid w:val="00BF2BC9"/>
    <w:rsid w:val="00BF3A0D"/>
    <w:rsid w:val="00C00568"/>
    <w:rsid w:val="00C00700"/>
    <w:rsid w:val="00C01EF9"/>
    <w:rsid w:val="00C02614"/>
    <w:rsid w:val="00C0296C"/>
    <w:rsid w:val="00C0358B"/>
    <w:rsid w:val="00C04811"/>
    <w:rsid w:val="00C0573B"/>
    <w:rsid w:val="00C12D21"/>
    <w:rsid w:val="00C134EF"/>
    <w:rsid w:val="00C16CE6"/>
    <w:rsid w:val="00C21707"/>
    <w:rsid w:val="00C21D86"/>
    <w:rsid w:val="00C23832"/>
    <w:rsid w:val="00C24B98"/>
    <w:rsid w:val="00C258D4"/>
    <w:rsid w:val="00C26A36"/>
    <w:rsid w:val="00C26DA1"/>
    <w:rsid w:val="00C26F46"/>
    <w:rsid w:val="00C27009"/>
    <w:rsid w:val="00C3041D"/>
    <w:rsid w:val="00C30EB8"/>
    <w:rsid w:val="00C3478A"/>
    <w:rsid w:val="00C35623"/>
    <w:rsid w:val="00C40092"/>
    <w:rsid w:val="00C40C9C"/>
    <w:rsid w:val="00C42B35"/>
    <w:rsid w:val="00C43860"/>
    <w:rsid w:val="00C43FDE"/>
    <w:rsid w:val="00C46276"/>
    <w:rsid w:val="00C47090"/>
    <w:rsid w:val="00C474C3"/>
    <w:rsid w:val="00C500A9"/>
    <w:rsid w:val="00C5013A"/>
    <w:rsid w:val="00C503A4"/>
    <w:rsid w:val="00C50AF5"/>
    <w:rsid w:val="00C54A6F"/>
    <w:rsid w:val="00C563A1"/>
    <w:rsid w:val="00C607D7"/>
    <w:rsid w:val="00C625AF"/>
    <w:rsid w:val="00C63F64"/>
    <w:rsid w:val="00C644F8"/>
    <w:rsid w:val="00C7017C"/>
    <w:rsid w:val="00C71502"/>
    <w:rsid w:val="00C7189F"/>
    <w:rsid w:val="00C71B6F"/>
    <w:rsid w:val="00C739AE"/>
    <w:rsid w:val="00C73AE4"/>
    <w:rsid w:val="00C77B43"/>
    <w:rsid w:val="00C77DCF"/>
    <w:rsid w:val="00C8125E"/>
    <w:rsid w:val="00C813BC"/>
    <w:rsid w:val="00C8303C"/>
    <w:rsid w:val="00C83A40"/>
    <w:rsid w:val="00C842CB"/>
    <w:rsid w:val="00C84C4D"/>
    <w:rsid w:val="00C84ED9"/>
    <w:rsid w:val="00C858B2"/>
    <w:rsid w:val="00C87ED3"/>
    <w:rsid w:val="00C90E39"/>
    <w:rsid w:val="00C918A1"/>
    <w:rsid w:val="00C921C3"/>
    <w:rsid w:val="00C95B84"/>
    <w:rsid w:val="00C96D37"/>
    <w:rsid w:val="00CA205A"/>
    <w:rsid w:val="00CA2448"/>
    <w:rsid w:val="00CA5176"/>
    <w:rsid w:val="00CA5E06"/>
    <w:rsid w:val="00CA68C4"/>
    <w:rsid w:val="00CA7405"/>
    <w:rsid w:val="00CA74DA"/>
    <w:rsid w:val="00CA7D0D"/>
    <w:rsid w:val="00CA7F92"/>
    <w:rsid w:val="00CB2D15"/>
    <w:rsid w:val="00CB309E"/>
    <w:rsid w:val="00CC3DD4"/>
    <w:rsid w:val="00CC4703"/>
    <w:rsid w:val="00CD06E1"/>
    <w:rsid w:val="00CD2623"/>
    <w:rsid w:val="00CD26A9"/>
    <w:rsid w:val="00CD3327"/>
    <w:rsid w:val="00CD4365"/>
    <w:rsid w:val="00CD4D2E"/>
    <w:rsid w:val="00CD5609"/>
    <w:rsid w:val="00CD602F"/>
    <w:rsid w:val="00CD66FE"/>
    <w:rsid w:val="00CD7860"/>
    <w:rsid w:val="00CE069A"/>
    <w:rsid w:val="00CE19D5"/>
    <w:rsid w:val="00CE1E20"/>
    <w:rsid w:val="00CE38B6"/>
    <w:rsid w:val="00CE3E53"/>
    <w:rsid w:val="00CF0D11"/>
    <w:rsid w:val="00CF1404"/>
    <w:rsid w:val="00CF2B7E"/>
    <w:rsid w:val="00CF2DAF"/>
    <w:rsid w:val="00CF2E86"/>
    <w:rsid w:val="00CF330A"/>
    <w:rsid w:val="00CF52D0"/>
    <w:rsid w:val="00CF572E"/>
    <w:rsid w:val="00D0161D"/>
    <w:rsid w:val="00D02EFA"/>
    <w:rsid w:val="00D06558"/>
    <w:rsid w:val="00D06AB4"/>
    <w:rsid w:val="00D10271"/>
    <w:rsid w:val="00D11805"/>
    <w:rsid w:val="00D11EA7"/>
    <w:rsid w:val="00D12BB3"/>
    <w:rsid w:val="00D136C7"/>
    <w:rsid w:val="00D1398D"/>
    <w:rsid w:val="00D202F0"/>
    <w:rsid w:val="00D226BF"/>
    <w:rsid w:val="00D227B7"/>
    <w:rsid w:val="00D2446B"/>
    <w:rsid w:val="00D26DD6"/>
    <w:rsid w:val="00D27483"/>
    <w:rsid w:val="00D30427"/>
    <w:rsid w:val="00D30E1B"/>
    <w:rsid w:val="00D31B9A"/>
    <w:rsid w:val="00D32B91"/>
    <w:rsid w:val="00D36B24"/>
    <w:rsid w:val="00D40A6D"/>
    <w:rsid w:val="00D42FB1"/>
    <w:rsid w:val="00D4747A"/>
    <w:rsid w:val="00D513A6"/>
    <w:rsid w:val="00D55594"/>
    <w:rsid w:val="00D56919"/>
    <w:rsid w:val="00D57E08"/>
    <w:rsid w:val="00D63272"/>
    <w:rsid w:val="00D645C4"/>
    <w:rsid w:val="00D654BE"/>
    <w:rsid w:val="00D6670A"/>
    <w:rsid w:val="00D6742A"/>
    <w:rsid w:val="00D70EDB"/>
    <w:rsid w:val="00D72A7D"/>
    <w:rsid w:val="00D72B38"/>
    <w:rsid w:val="00D7428E"/>
    <w:rsid w:val="00D75899"/>
    <w:rsid w:val="00D8026D"/>
    <w:rsid w:val="00D80D23"/>
    <w:rsid w:val="00D822C3"/>
    <w:rsid w:val="00D85DE6"/>
    <w:rsid w:val="00D8615B"/>
    <w:rsid w:val="00D92140"/>
    <w:rsid w:val="00D92A8F"/>
    <w:rsid w:val="00D9462B"/>
    <w:rsid w:val="00D94CCB"/>
    <w:rsid w:val="00DA0091"/>
    <w:rsid w:val="00DA14A1"/>
    <w:rsid w:val="00DA7B95"/>
    <w:rsid w:val="00DA7F30"/>
    <w:rsid w:val="00DB02CC"/>
    <w:rsid w:val="00DB0B5E"/>
    <w:rsid w:val="00DB42C5"/>
    <w:rsid w:val="00DB5077"/>
    <w:rsid w:val="00DB583F"/>
    <w:rsid w:val="00DC06E8"/>
    <w:rsid w:val="00DC13B3"/>
    <w:rsid w:val="00DC429D"/>
    <w:rsid w:val="00DC56F1"/>
    <w:rsid w:val="00DC749B"/>
    <w:rsid w:val="00DC78AE"/>
    <w:rsid w:val="00DD28C9"/>
    <w:rsid w:val="00DD6C83"/>
    <w:rsid w:val="00DD6EF8"/>
    <w:rsid w:val="00DD7035"/>
    <w:rsid w:val="00DE0925"/>
    <w:rsid w:val="00DE14CC"/>
    <w:rsid w:val="00DE19E5"/>
    <w:rsid w:val="00DE339B"/>
    <w:rsid w:val="00DE3FBD"/>
    <w:rsid w:val="00DE59A6"/>
    <w:rsid w:val="00DE634A"/>
    <w:rsid w:val="00DE760F"/>
    <w:rsid w:val="00DF120D"/>
    <w:rsid w:val="00DF238F"/>
    <w:rsid w:val="00DF5270"/>
    <w:rsid w:val="00DF52C4"/>
    <w:rsid w:val="00DF5A91"/>
    <w:rsid w:val="00DF5D37"/>
    <w:rsid w:val="00E0031A"/>
    <w:rsid w:val="00E01473"/>
    <w:rsid w:val="00E023C5"/>
    <w:rsid w:val="00E0251A"/>
    <w:rsid w:val="00E07DD0"/>
    <w:rsid w:val="00E10797"/>
    <w:rsid w:val="00E11896"/>
    <w:rsid w:val="00E12A96"/>
    <w:rsid w:val="00E12D2C"/>
    <w:rsid w:val="00E1436F"/>
    <w:rsid w:val="00E14B63"/>
    <w:rsid w:val="00E14FBF"/>
    <w:rsid w:val="00E16350"/>
    <w:rsid w:val="00E1719C"/>
    <w:rsid w:val="00E20BE2"/>
    <w:rsid w:val="00E20ED8"/>
    <w:rsid w:val="00E20F4C"/>
    <w:rsid w:val="00E22EA0"/>
    <w:rsid w:val="00E23BEE"/>
    <w:rsid w:val="00E2438A"/>
    <w:rsid w:val="00E2634A"/>
    <w:rsid w:val="00E26673"/>
    <w:rsid w:val="00E30A8D"/>
    <w:rsid w:val="00E30AEE"/>
    <w:rsid w:val="00E315EB"/>
    <w:rsid w:val="00E333C9"/>
    <w:rsid w:val="00E34995"/>
    <w:rsid w:val="00E35066"/>
    <w:rsid w:val="00E35101"/>
    <w:rsid w:val="00E36872"/>
    <w:rsid w:val="00E40BDA"/>
    <w:rsid w:val="00E420B2"/>
    <w:rsid w:val="00E4332A"/>
    <w:rsid w:val="00E448A3"/>
    <w:rsid w:val="00E44B19"/>
    <w:rsid w:val="00E4591B"/>
    <w:rsid w:val="00E4774A"/>
    <w:rsid w:val="00E507B7"/>
    <w:rsid w:val="00E511B0"/>
    <w:rsid w:val="00E538D8"/>
    <w:rsid w:val="00E55830"/>
    <w:rsid w:val="00E607C5"/>
    <w:rsid w:val="00E62002"/>
    <w:rsid w:val="00E62C79"/>
    <w:rsid w:val="00E64010"/>
    <w:rsid w:val="00E655EE"/>
    <w:rsid w:val="00E668A1"/>
    <w:rsid w:val="00E7023C"/>
    <w:rsid w:val="00E704F4"/>
    <w:rsid w:val="00E739F5"/>
    <w:rsid w:val="00E74360"/>
    <w:rsid w:val="00E74B92"/>
    <w:rsid w:val="00E80A72"/>
    <w:rsid w:val="00E80A94"/>
    <w:rsid w:val="00E80F58"/>
    <w:rsid w:val="00E817A4"/>
    <w:rsid w:val="00E81866"/>
    <w:rsid w:val="00E835B8"/>
    <w:rsid w:val="00E836E1"/>
    <w:rsid w:val="00E83FDE"/>
    <w:rsid w:val="00E840CE"/>
    <w:rsid w:val="00E853B9"/>
    <w:rsid w:val="00E855B6"/>
    <w:rsid w:val="00E86167"/>
    <w:rsid w:val="00E90ED4"/>
    <w:rsid w:val="00E916CB"/>
    <w:rsid w:val="00E92B18"/>
    <w:rsid w:val="00E92FF9"/>
    <w:rsid w:val="00E93C78"/>
    <w:rsid w:val="00E9514E"/>
    <w:rsid w:val="00EA11EC"/>
    <w:rsid w:val="00EA14A2"/>
    <w:rsid w:val="00EA420D"/>
    <w:rsid w:val="00EA42D9"/>
    <w:rsid w:val="00EA48FE"/>
    <w:rsid w:val="00EA6B9C"/>
    <w:rsid w:val="00EB0EF0"/>
    <w:rsid w:val="00EB3C95"/>
    <w:rsid w:val="00EB68CB"/>
    <w:rsid w:val="00EB7FF2"/>
    <w:rsid w:val="00EC1547"/>
    <w:rsid w:val="00EC5C5D"/>
    <w:rsid w:val="00ED15F9"/>
    <w:rsid w:val="00ED28DD"/>
    <w:rsid w:val="00ED2C9E"/>
    <w:rsid w:val="00ED3CEF"/>
    <w:rsid w:val="00ED4A48"/>
    <w:rsid w:val="00ED51CC"/>
    <w:rsid w:val="00ED5BF6"/>
    <w:rsid w:val="00ED5FC2"/>
    <w:rsid w:val="00ED612F"/>
    <w:rsid w:val="00ED68A3"/>
    <w:rsid w:val="00ED6CF8"/>
    <w:rsid w:val="00ED7F3F"/>
    <w:rsid w:val="00EE1AC4"/>
    <w:rsid w:val="00EE2B32"/>
    <w:rsid w:val="00EE34BD"/>
    <w:rsid w:val="00EE38CA"/>
    <w:rsid w:val="00EE5FC1"/>
    <w:rsid w:val="00EE75BB"/>
    <w:rsid w:val="00EF09E4"/>
    <w:rsid w:val="00EF24A6"/>
    <w:rsid w:val="00EF3580"/>
    <w:rsid w:val="00EF76C7"/>
    <w:rsid w:val="00F000CF"/>
    <w:rsid w:val="00F0089B"/>
    <w:rsid w:val="00F04D60"/>
    <w:rsid w:val="00F05C2F"/>
    <w:rsid w:val="00F07F76"/>
    <w:rsid w:val="00F10EB4"/>
    <w:rsid w:val="00F12114"/>
    <w:rsid w:val="00F12689"/>
    <w:rsid w:val="00F12BF9"/>
    <w:rsid w:val="00F145E0"/>
    <w:rsid w:val="00F16CBB"/>
    <w:rsid w:val="00F1709A"/>
    <w:rsid w:val="00F17A43"/>
    <w:rsid w:val="00F17DBB"/>
    <w:rsid w:val="00F20671"/>
    <w:rsid w:val="00F20A38"/>
    <w:rsid w:val="00F21988"/>
    <w:rsid w:val="00F22729"/>
    <w:rsid w:val="00F23254"/>
    <w:rsid w:val="00F23D91"/>
    <w:rsid w:val="00F25D6D"/>
    <w:rsid w:val="00F26076"/>
    <w:rsid w:val="00F31E42"/>
    <w:rsid w:val="00F32C77"/>
    <w:rsid w:val="00F340E7"/>
    <w:rsid w:val="00F361F5"/>
    <w:rsid w:val="00F36B12"/>
    <w:rsid w:val="00F36E12"/>
    <w:rsid w:val="00F41070"/>
    <w:rsid w:val="00F42230"/>
    <w:rsid w:val="00F454FB"/>
    <w:rsid w:val="00F52872"/>
    <w:rsid w:val="00F54E70"/>
    <w:rsid w:val="00F5529B"/>
    <w:rsid w:val="00F556A5"/>
    <w:rsid w:val="00F55FD9"/>
    <w:rsid w:val="00F563F6"/>
    <w:rsid w:val="00F57134"/>
    <w:rsid w:val="00F620C6"/>
    <w:rsid w:val="00F6440A"/>
    <w:rsid w:val="00F65343"/>
    <w:rsid w:val="00F65FBD"/>
    <w:rsid w:val="00F6634B"/>
    <w:rsid w:val="00F71BCC"/>
    <w:rsid w:val="00F7255E"/>
    <w:rsid w:val="00F72F4C"/>
    <w:rsid w:val="00F736A0"/>
    <w:rsid w:val="00F73BBD"/>
    <w:rsid w:val="00F73CB4"/>
    <w:rsid w:val="00F74EE1"/>
    <w:rsid w:val="00F750E0"/>
    <w:rsid w:val="00F75A1D"/>
    <w:rsid w:val="00F77717"/>
    <w:rsid w:val="00F77E80"/>
    <w:rsid w:val="00F805D4"/>
    <w:rsid w:val="00F808BC"/>
    <w:rsid w:val="00F82596"/>
    <w:rsid w:val="00F83077"/>
    <w:rsid w:val="00F83998"/>
    <w:rsid w:val="00F8556B"/>
    <w:rsid w:val="00F85D3F"/>
    <w:rsid w:val="00F86891"/>
    <w:rsid w:val="00F875CF"/>
    <w:rsid w:val="00F91084"/>
    <w:rsid w:val="00F91F58"/>
    <w:rsid w:val="00F96087"/>
    <w:rsid w:val="00F96207"/>
    <w:rsid w:val="00F96CAD"/>
    <w:rsid w:val="00F96EC1"/>
    <w:rsid w:val="00FA3220"/>
    <w:rsid w:val="00FA3DC5"/>
    <w:rsid w:val="00FA636D"/>
    <w:rsid w:val="00FA643A"/>
    <w:rsid w:val="00FA7505"/>
    <w:rsid w:val="00FB1D41"/>
    <w:rsid w:val="00FB2548"/>
    <w:rsid w:val="00FB3301"/>
    <w:rsid w:val="00FB37E8"/>
    <w:rsid w:val="00FB4165"/>
    <w:rsid w:val="00FB77B8"/>
    <w:rsid w:val="00FC03D4"/>
    <w:rsid w:val="00FC1853"/>
    <w:rsid w:val="00FC26C9"/>
    <w:rsid w:val="00FC34ED"/>
    <w:rsid w:val="00FC374D"/>
    <w:rsid w:val="00FC3764"/>
    <w:rsid w:val="00FC5945"/>
    <w:rsid w:val="00FC6CEA"/>
    <w:rsid w:val="00FC7D22"/>
    <w:rsid w:val="00FD3890"/>
    <w:rsid w:val="00FD3DB1"/>
    <w:rsid w:val="00FD4FA6"/>
    <w:rsid w:val="00FD55B9"/>
    <w:rsid w:val="00FD701B"/>
    <w:rsid w:val="00FE15AA"/>
    <w:rsid w:val="00FE34A9"/>
    <w:rsid w:val="00FE742F"/>
    <w:rsid w:val="00FE7A5F"/>
    <w:rsid w:val="00FE7FF0"/>
    <w:rsid w:val="00FF300F"/>
    <w:rsid w:val="00FF4B9C"/>
    <w:rsid w:val="00FF5016"/>
    <w:rsid w:val="00FF5368"/>
    <w:rsid w:val="00FF6695"/>
    <w:rsid w:val="00FF7D40"/>
    <w:rsid w:val="018A2859"/>
    <w:rsid w:val="029E4B68"/>
    <w:rsid w:val="02FE7324"/>
    <w:rsid w:val="03C000A7"/>
    <w:rsid w:val="03EC461B"/>
    <w:rsid w:val="04295BAB"/>
    <w:rsid w:val="042D3CC7"/>
    <w:rsid w:val="05A254C5"/>
    <w:rsid w:val="05DB5A9A"/>
    <w:rsid w:val="07075F5E"/>
    <w:rsid w:val="07E4290F"/>
    <w:rsid w:val="09AC7034"/>
    <w:rsid w:val="0CDB0BA1"/>
    <w:rsid w:val="0D9C49BC"/>
    <w:rsid w:val="0DA50B8F"/>
    <w:rsid w:val="0E645F92"/>
    <w:rsid w:val="10D834C6"/>
    <w:rsid w:val="11917D8E"/>
    <w:rsid w:val="138664E6"/>
    <w:rsid w:val="146F2FBD"/>
    <w:rsid w:val="147D3B9F"/>
    <w:rsid w:val="15763D45"/>
    <w:rsid w:val="18610BB8"/>
    <w:rsid w:val="19C234B6"/>
    <w:rsid w:val="1C283932"/>
    <w:rsid w:val="1E395045"/>
    <w:rsid w:val="206A1ADE"/>
    <w:rsid w:val="20C23328"/>
    <w:rsid w:val="21AA3ABB"/>
    <w:rsid w:val="24427150"/>
    <w:rsid w:val="25470453"/>
    <w:rsid w:val="27905901"/>
    <w:rsid w:val="2BEE7EB7"/>
    <w:rsid w:val="2D683CCC"/>
    <w:rsid w:val="2ECE2FB2"/>
    <w:rsid w:val="2EDE7D73"/>
    <w:rsid w:val="34601F32"/>
    <w:rsid w:val="34694E62"/>
    <w:rsid w:val="34977ED4"/>
    <w:rsid w:val="3A381743"/>
    <w:rsid w:val="3ABA0371"/>
    <w:rsid w:val="40E74D4D"/>
    <w:rsid w:val="42B0448A"/>
    <w:rsid w:val="436D259A"/>
    <w:rsid w:val="438F40A0"/>
    <w:rsid w:val="43BC29BB"/>
    <w:rsid w:val="43E1708B"/>
    <w:rsid w:val="458929AE"/>
    <w:rsid w:val="46FD7F7C"/>
    <w:rsid w:val="47E32C0C"/>
    <w:rsid w:val="48431B62"/>
    <w:rsid w:val="487B305B"/>
    <w:rsid w:val="4E091782"/>
    <w:rsid w:val="4E3D19B0"/>
    <w:rsid w:val="50351B88"/>
    <w:rsid w:val="504B5BB1"/>
    <w:rsid w:val="51EC34C5"/>
    <w:rsid w:val="53E47207"/>
    <w:rsid w:val="56816334"/>
    <w:rsid w:val="58E13A65"/>
    <w:rsid w:val="5B7C0F56"/>
    <w:rsid w:val="612E3699"/>
    <w:rsid w:val="62397BA1"/>
    <w:rsid w:val="641B5B7D"/>
    <w:rsid w:val="644A45F6"/>
    <w:rsid w:val="65AC3250"/>
    <w:rsid w:val="680D1CA3"/>
    <w:rsid w:val="68F1143F"/>
    <w:rsid w:val="6CD45CAD"/>
    <w:rsid w:val="6DF72DC5"/>
    <w:rsid w:val="709413B9"/>
    <w:rsid w:val="737013DB"/>
    <w:rsid w:val="73F61580"/>
    <w:rsid w:val="74DF0225"/>
    <w:rsid w:val="753E0CBE"/>
    <w:rsid w:val="756C4609"/>
    <w:rsid w:val="76697F01"/>
    <w:rsid w:val="776116D1"/>
    <w:rsid w:val="78F9746D"/>
    <w:rsid w:val="7B0B64E2"/>
    <w:rsid w:val="7CB407F2"/>
    <w:rsid w:val="7E982AEC"/>
    <w:rsid w:val="7FB22D85"/>
    <w:rsid w:val="7FCC5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5CAB3B"/>
  <w15:docId w15:val="{452B7677-CA77-4573-9E77-D69708F97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360" w:lineRule="auto"/>
    </w:pPr>
    <w:rPr>
      <w:kern w:val="2"/>
      <w:sz w:val="21"/>
      <w:szCs w:val="21"/>
    </w:rPr>
  </w:style>
  <w:style w:type="paragraph" w:styleId="1">
    <w:name w:val="heading 1"/>
    <w:basedOn w:val="a"/>
    <w:next w:val="a"/>
    <w:link w:val="10"/>
    <w:uiPriority w:val="9"/>
    <w:qFormat/>
    <w:pPr>
      <w:spacing w:before="100" w:beforeAutospacing="1" w:after="100" w:afterAutospacing="1" w:line="240" w:lineRule="auto"/>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spacing w:line="240" w:lineRule="auto"/>
    </w:pPr>
    <w:rPr>
      <w:sz w:val="20"/>
      <w:szCs w:val="20"/>
    </w:rPr>
  </w:style>
  <w:style w:type="paragraph" w:styleId="a5">
    <w:name w:val="Balloon Text"/>
    <w:basedOn w:val="a"/>
    <w:link w:val="a6"/>
    <w:semiHidden/>
    <w:unhideWhenUsed/>
    <w:qFormat/>
    <w:pPr>
      <w:spacing w:line="240" w:lineRule="auto"/>
    </w:pPr>
    <w:rPr>
      <w:rFonts w:ascii="Segoe UI" w:hAnsi="Segoe UI" w:cs="Segoe UI"/>
      <w:sz w:val="18"/>
      <w:szCs w:val="18"/>
    </w:rPr>
  </w:style>
  <w:style w:type="paragraph" w:styleId="a7">
    <w:name w:val="footer"/>
    <w:basedOn w:val="a"/>
    <w:link w:val="a8"/>
    <w:uiPriority w:val="99"/>
    <w:qFormat/>
    <w:pPr>
      <w:tabs>
        <w:tab w:val="center" w:pos="4153"/>
        <w:tab w:val="right" w:pos="8306"/>
      </w:tabs>
      <w:snapToGrid w:val="0"/>
      <w:spacing w:line="240" w:lineRule="auto"/>
    </w:pPr>
    <w:rPr>
      <w:sz w:val="18"/>
      <w:szCs w:val="18"/>
    </w:rPr>
  </w:style>
  <w:style w:type="paragraph" w:styleId="a9">
    <w:name w:val="header"/>
    <w:basedOn w:val="a"/>
    <w:link w:val="aa"/>
    <w:qFormat/>
    <w:pPr>
      <w:pBdr>
        <w:bottom w:val="single" w:sz="6" w:space="1" w:color="auto"/>
      </w:pBdr>
      <w:tabs>
        <w:tab w:val="center" w:pos="4153"/>
        <w:tab w:val="right" w:pos="8306"/>
      </w:tabs>
      <w:snapToGrid w:val="0"/>
      <w:spacing w:line="240" w:lineRule="auto"/>
      <w:jc w:val="center"/>
    </w:pPr>
    <w:rPr>
      <w:sz w:val="18"/>
      <w:szCs w:val="18"/>
    </w:rPr>
  </w:style>
  <w:style w:type="paragraph" w:styleId="ab">
    <w:name w:val="Normal (Web)"/>
    <w:basedOn w:val="a"/>
    <w:uiPriority w:val="99"/>
    <w:unhideWhenUsed/>
    <w:qFormat/>
    <w:pPr>
      <w:spacing w:before="100" w:beforeAutospacing="1" w:after="100" w:afterAutospacing="1" w:line="240" w:lineRule="auto"/>
    </w:pPr>
    <w:rPr>
      <w:rFonts w:ascii="宋体" w:hAnsi="宋体" w:cs="宋体"/>
      <w:kern w:val="0"/>
      <w:sz w:val="24"/>
      <w:szCs w:val="24"/>
    </w:rPr>
  </w:style>
  <w:style w:type="paragraph" w:styleId="ac">
    <w:name w:val="annotation subject"/>
    <w:basedOn w:val="a3"/>
    <w:next w:val="a3"/>
    <w:link w:val="ad"/>
    <w:semiHidden/>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bCs/>
    </w:rPr>
  </w:style>
  <w:style w:type="character" w:styleId="af0">
    <w:name w:val="line number"/>
    <w:basedOn w:val="a0"/>
    <w:qFormat/>
  </w:style>
  <w:style w:type="character" w:styleId="af1">
    <w:name w:val="Hyperlink"/>
    <w:basedOn w:val="a0"/>
    <w:uiPriority w:val="99"/>
    <w:unhideWhenUsed/>
    <w:qFormat/>
    <w:rPr>
      <w:color w:val="0000FF"/>
      <w:u w:val="single"/>
    </w:rPr>
  </w:style>
  <w:style w:type="character" w:styleId="af2">
    <w:name w:val="annotation reference"/>
    <w:basedOn w:val="a0"/>
    <w:qFormat/>
    <w:rPr>
      <w:sz w:val="16"/>
      <w:szCs w:val="16"/>
    </w:rPr>
  </w:style>
  <w:style w:type="paragraph" w:styleId="af3">
    <w:name w:val="List Paragraph"/>
    <w:basedOn w:val="a"/>
    <w:uiPriority w:val="34"/>
    <w:qFormat/>
    <w:pPr>
      <w:ind w:firstLineChars="200" w:firstLine="420"/>
    </w:pPr>
  </w:style>
  <w:style w:type="paragraph" w:customStyle="1" w:styleId="src">
    <w:name w:val="src"/>
    <w:basedOn w:val="a"/>
    <w:qFormat/>
    <w:pPr>
      <w:spacing w:before="100" w:beforeAutospacing="1" w:after="100" w:afterAutospacing="1"/>
    </w:pPr>
    <w:rPr>
      <w:rFonts w:ascii="宋体" w:hAnsi="宋体" w:cs="宋体"/>
      <w:kern w:val="0"/>
      <w:sz w:val="24"/>
      <w:szCs w:val="24"/>
    </w:rPr>
  </w:style>
  <w:style w:type="character" w:customStyle="1" w:styleId="transsent">
    <w:name w:val="transsent"/>
    <w:basedOn w:val="a0"/>
    <w:qFormat/>
  </w:style>
  <w:style w:type="character" w:customStyle="1" w:styleId="apple-converted-space">
    <w:name w:val="apple-converted-space"/>
    <w:basedOn w:val="a0"/>
    <w:qFormat/>
  </w:style>
  <w:style w:type="paragraph" w:customStyle="1" w:styleId="tgt">
    <w:name w:val="_tgt"/>
    <w:basedOn w:val="a"/>
    <w:qFormat/>
    <w:pPr>
      <w:spacing w:before="100" w:beforeAutospacing="1" w:after="100" w:afterAutospacing="1"/>
    </w:pPr>
    <w:rPr>
      <w:rFonts w:ascii="宋体" w:hAnsi="宋体" w:cs="宋体"/>
      <w:kern w:val="0"/>
      <w:sz w:val="24"/>
      <w:szCs w:val="24"/>
    </w:rPr>
  </w:style>
  <w:style w:type="character" w:customStyle="1" w:styleId="tran">
    <w:name w:val="tran"/>
    <w:basedOn w:val="a0"/>
    <w:qFormat/>
  </w:style>
  <w:style w:type="character" w:customStyle="1" w:styleId="tgt0">
    <w:name w:val="tgt"/>
    <w:basedOn w:val="a0"/>
    <w:qFormat/>
  </w:style>
  <w:style w:type="character" w:customStyle="1" w:styleId="tgt1">
    <w:name w:val="tgt1"/>
    <w:basedOn w:val="a0"/>
    <w:qFormat/>
  </w:style>
  <w:style w:type="character" w:customStyle="1" w:styleId="webtrans-phrs-pos">
    <w:name w:val="web_trans-phrs-pos"/>
    <w:basedOn w:val="a0"/>
    <w:qFormat/>
  </w:style>
  <w:style w:type="character" w:customStyle="1" w:styleId="aa">
    <w:name w:val="页眉 字符"/>
    <w:basedOn w:val="a0"/>
    <w:link w:val="a9"/>
    <w:qFormat/>
    <w:rPr>
      <w:kern w:val="2"/>
      <w:sz w:val="18"/>
      <w:szCs w:val="18"/>
    </w:rPr>
  </w:style>
  <w:style w:type="character" w:customStyle="1" w:styleId="a8">
    <w:name w:val="页脚 字符"/>
    <w:basedOn w:val="a0"/>
    <w:link w:val="a7"/>
    <w:uiPriority w:val="99"/>
    <w:qFormat/>
    <w:rPr>
      <w:kern w:val="2"/>
      <w:sz w:val="18"/>
      <w:szCs w:val="18"/>
    </w:rPr>
  </w:style>
  <w:style w:type="paragraph" w:customStyle="1" w:styleId="content">
    <w:name w:val="content"/>
    <w:basedOn w:val="a"/>
    <w:qFormat/>
    <w:pPr>
      <w:spacing w:before="100" w:beforeAutospacing="1" w:after="100" w:afterAutospacing="1" w:line="240" w:lineRule="auto"/>
    </w:pPr>
    <w:rPr>
      <w:rFonts w:ascii="宋体" w:hAnsi="宋体" w:cs="宋体"/>
      <w:kern w:val="0"/>
      <w:sz w:val="24"/>
      <w:szCs w:val="24"/>
    </w:rPr>
  </w:style>
  <w:style w:type="character" w:customStyle="1" w:styleId="id-label">
    <w:name w:val="id-label"/>
    <w:basedOn w:val="a0"/>
    <w:qFormat/>
  </w:style>
  <w:style w:type="character" w:customStyle="1" w:styleId="fontstyle01">
    <w:name w:val="fontstyle01"/>
    <w:basedOn w:val="a0"/>
    <w:qFormat/>
    <w:rPr>
      <w:rFonts w:ascii="AdvPSA183" w:hAnsi="AdvPSA183" w:hint="default"/>
      <w:color w:val="000000"/>
      <w:sz w:val="14"/>
      <w:szCs w:val="14"/>
    </w:rPr>
  </w:style>
  <w:style w:type="character" w:customStyle="1" w:styleId="a6">
    <w:name w:val="批注框文本 字符"/>
    <w:basedOn w:val="a0"/>
    <w:link w:val="a5"/>
    <w:semiHidden/>
    <w:qFormat/>
    <w:rPr>
      <w:rFonts w:ascii="Segoe UI" w:hAnsi="Segoe UI" w:cs="Segoe UI"/>
      <w:kern w:val="2"/>
      <w:sz w:val="18"/>
      <w:szCs w:val="18"/>
    </w:rPr>
  </w:style>
  <w:style w:type="character" w:customStyle="1" w:styleId="a4">
    <w:name w:val="批注文字 字符"/>
    <w:basedOn w:val="a0"/>
    <w:link w:val="a3"/>
    <w:qFormat/>
    <w:rPr>
      <w:kern w:val="2"/>
    </w:rPr>
  </w:style>
  <w:style w:type="character" w:customStyle="1" w:styleId="ad">
    <w:name w:val="批注主题 字符"/>
    <w:basedOn w:val="a4"/>
    <w:link w:val="ac"/>
    <w:semiHidden/>
    <w:qFormat/>
    <w:rPr>
      <w:b/>
      <w:bCs/>
      <w:kern w:val="2"/>
    </w:rPr>
  </w:style>
  <w:style w:type="paragraph" w:customStyle="1" w:styleId="11">
    <w:name w:val="修订1"/>
    <w:hidden/>
    <w:uiPriority w:val="99"/>
    <w:semiHidden/>
    <w:qFormat/>
    <w:rPr>
      <w:kern w:val="2"/>
      <w:sz w:val="21"/>
      <w:szCs w:val="21"/>
    </w:rPr>
  </w:style>
  <w:style w:type="character" w:customStyle="1" w:styleId="10">
    <w:name w:val="标题 1 字符"/>
    <w:basedOn w:val="a0"/>
    <w:link w:val="1"/>
    <w:uiPriority w:val="9"/>
    <w:qFormat/>
    <w:rPr>
      <w:rFonts w:ascii="宋体" w:hAnsi="宋体" w:cs="宋体"/>
      <w:b/>
      <w:bCs/>
      <w:kern w:val="36"/>
      <w:sz w:val="48"/>
      <w:szCs w:val="48"/>
    </w:rPr>
  </w:style>
  <w:style w:type="paragraph" w:customStyle="1" w:styleId="2">
    <w:name w:val="修订2"/>
    <w:hidden/>
    <w:uiPriority w:val="99"/>
    <w:semiHidden/>
    <w:qFormat/>
    <w:rPr>
      <w:kern w:val="2"/>
      <w:sz w:val="21"/>
      <w:szCs w:val="21"/>
    </w:rPr>
  </w:style>
  <w:style w:type="paragraph" w:customStyle="1" w:styleId="3">
    <w:name w:val="修订3"/>
    <w:hidden/>
    <w:uiPriority w:val="99"/>
    <w:unhideWhenUsed/>
    <w:qFormat/>
    <w:rPr>
      <w:kern w:val="2"/>
      <w:sz w:val="21"/>
      <w:szCs w:val="21"/>
    </w:rPr>
  </w:style>
  <w:style w:type="paragraph" w:customStyle="1" w:styleId="4">
    <w:name w:val="修订4"/>
    <w:hidden/>
    <w:uiPriority w:val="99"/>
    <w:unhideWhenUsed/>
    <w:qFormat/>
    <w:rPr>
      <w:kern w:val="2"/>
      <w:sz w:val="21"/>
      <w:szCs w:val="21"/>
    </w:rPr>
  </w:style>
  <w:style w:type="paragraph" w:customStyle="1" w:styleId="5">
    <w:name w:val="修订5"/>
    <w:hidden/>
    <w:uiPriority w:val="99"/>
    <w:unhideWhenUsed/>
    <w:qFormat/>
    <w:rPr>
      <w:kern w:val="2"/>
      <w:sz w:val="21"/>
      <w:szCs w:val="21"/>
    </w:rPr>
  </w:style>
  <w:style w:type="paragraph" w:customStyle="1" w:styleId="6">
    <w:name w:val="修订6"/>
    <w:hidden/>
    <w:uiPriority w:val="99"/>
    <w:unhideWhenUsed/>
    <w:qFormat/>
    <w:rPr>
      <w:kern w:val="2"/>
      <w:sz w:val="21"/>
      <w:szCs w:val="21"/>
    </w:rPr>
  </w:style>
  <w:style w:type="paragraph" w:customStyle="1" w:styleId="7">
    <w:name w:val="修订7"/>
    <w:hidden/>
    <w:uiPriority w:val="99"/>
    <w:unhideWhenUsed/>
    <w:qFormat/>
    <w:rPr>
      <w:kern w:val="2"/>
      <w:sz w:val="21"/>
      <w:szCs w:val="21"/>
    </w:rPr>
  </w:style>
  <w:style w:type="paragraph" w:customStyle="1" w:styleId="8">
    <w:name w:val="修订8"/>
    <w:hidden/>
    <w:uiPriority w:val="99"/>
    <w:unhideWhenUsed/>
    <w:qFormat/>
    <w:rPr>
      <w:kern w:val="2"/>
      <w:sz w:val="21"/>
      <w:szCs w:val="21"/>
    </w:rPr>
  </w:style>
  <w:style w:type="character" w:customStyle="1" w:styleId="12">
    <w:name w:val="未处理的提及1"/>
    <w:basedOn w:val="a0"/>
    <w:uiPriority w:val="99"/>
    <w:semiHidden/>
    <w:unhideWhenUsed/>
    <w:qFormat/>
    <w:rPr>
      <w:color w:val="605E5C"/>
      <w:shd w:val="clear" w:color="auto" w:fill="E1DFDD"/>
    </w:rPr>
  </w:style>
  <w:style w:type="paragraph" w:customStyle="1" w:styleId="9">
    <w:name w:val="修订9"/>
    <w:hidden/>
    <w:uiPriority w:val="99"/>
    <w:unhideWhenUsed/>
    <w:qFormat/>
    <w:rPr>
      <w:kern w:val="2"/>
      <w:sz w:val="21"/>
      <w:szCs w:val="21"/>
    </w:rPr>
  </w:style>
  <w:style w:type="paragraph" w:customStyle="1" w:styleId="100">
    <w:name w:val="修订10"/>
    <w:hidden/>
    <w:uiPriority w:val="99"/>
    <w:unhideWhenUsed/>
    <w:qFormat/>
    <w:rPr>
      <w:kern w:val="2"/>
      <w:sz w:val="21"/>
      <w:szCs w:val="21"/>
    </w:rPr>
  </w:style>
  <w:style w:type="paragraph" w:customStyle="1" w:styleId="SMHeading">
    <w:name w:val="SM Heading"/>
    <w:basedOn w:val="1"/>
    <w:qFormat/>
    <w:pPr>
      <w:keepNext/>
      <w:spacing w:before="240" w:beforeAutospacing="0" w:after="60" w:afterAutospacing="0"/>
    </w:pPr>
    <w:rPr>
      <w:rFonts w:ascii="Times New Roman" w:eastAsiaTheme="minorEastAsia" w:hAnsi="Times New Roman" w:cs="Times New Roman"/>
      <w:kern w:val="3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gdc.cncb.ac.cn/gsub/submit/gsa/subCRA018180" TargetMode="External"/><Relationship Id="rId13" Type="http://schemas.openxmlformats.org/officeDocument/2006/relationships/image" Target="media/image2.tiff"/><Relationship Id="rId18" Type="http://schemas.openxmlformats.org/officeDocument/2006/relationships/image" Target="media/image7.tiff"/><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0.tiff"/><Relationship Id="rId7" Type="http://schemas.openxmlformats.org/officeDocument/2006/relationships/hyperlink" Target="mailto:chenxc998@fjmu.edu.cn" TargetMode="External"/><Relationship Id="rId12" Type="http://schemas.openxmlformats.org/officeDocument/2006/relationships/image" Target="media/image1.jpeg"/><Relationship Id="rId17" Type="http://schemas.openxmlformats.org/officeDocument/2006/relationships/image" Target="media/image6.tiff"/><Relationship Id="rId25" Type="http://schemas.openxmlformats.org/officeDocument/2006/relationships/hyperlink" Target="https://imagej.nih.gov/ij/download.html" TargetMode="External"/><Relationship Id="rId2" Type="http://schemas.openxmlformats.org/officeDocument/2006/relationships/styles" Target="styles.xml"/><Relationship Id="rId16" Type="http://schemas.openxmlformats.org/officeDocument/2006/relationships/image" Target="media/image5.tiff"/><Relationship Id="rId20" Type="http://schemas.openxmlformats.org/officeDocument/2006/relationships/image" Target="media/image9.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sciencedirect.com/topics/biochemistry-genetics-and-molecular-biology/patency" TargetMode="External"/><Relationship Id="rId24" Type="http://schemas.openxmlformats.org/officeDocument/2006/relationships/hyperlink" Target="https://www.graphpad.com/" TargetMode="External"/><Relationship Id="rId5" Type="http://schemas.openxmlformats.org/officeDocument/2006/relationships/footnotes" Target="footnotes.xml"/><Relationship Id="rId15" Type="http://schemas.openxmlformats.org/officeDocument/2006/relationships/image" Target="media/image4.tiff"/><Relationship Id="rId23" Type="http://schemas.openxmlformats.org/officeDocument/2006/relationships/hyperlink" Target="https://www.noldus.com/" TargetMode="External"/><Relationship Id="rId28" Type="http://schemas.openxmlformats.org/officeDocument/2006/relationships/theme" Target="theme/theme1.xml"/><Relationship Id="rId10" Type="http://schemas.openxmlformats.org/officeDocument/2006/relationships/hyperlink" Target="https://www.sciencedirect.com/topics/medicine-and-dentistry/cannula" TargetMode="External"/><Relationship Id="rId19" Type="http://schemas.openxmlformats.org/officeDocument/2006/relationships/image" Target="media/image8.tiff"/><Relationship Id="rId4" Type="http://schemas.openxmlformats.org/officeDocument/2006/relationships/webSettings" Target="webSettings.xml"/><Relationship Id="rId9" Type="http://schemas.openxmlformats.org/officeDocument/2006/relationships/hyperlink" Target="https://ngdc.cncb.ac.cn/gsub/submit/gsa/subCRA016700" TargetMode="External"/><Relationship Id="rId14" Type="http://schemas.openxmlformats.org/officeDocument/2006/relationships/image" Target="media/image3.tiff"/><Relationship Id="rId22" Type="http://schemas.openxmlformats.org/officeDocument/2006/relationships/hyperlink" Target="https://www.ncbi.nlm.nih.gov/nuccore/C34565"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AB657-CCF2-4EDB-AE90-BA216FD7A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37</Pages>
  <Words>6894</Words>
  <Characters>38268</Characters>
  <Application>Microsoft Office Word</Application>
  <DocSecurity>0</DocSecurity>
  <Lines>850</Lines>
  <Paragraphs>460</Paragraphs>
  <ScaleCrop>false</ScaleCrop>
  <Company/>
  <LinksUpToDate>false</LinksUpToDate>
  <CharactersWithSpaces>44702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hanchen liu</cp:lastModifiedBy>
  <cp:revision>132</cp:revision>
  <dcterms:created xsi:type="dcterms:W3CDTF">2024-10-02T06:19:00Z</dcterms:created>
  <dcterms:modified xsi:type="dcterms:W3CDTF">2025-08-25T08:01:00Z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6307B46808CF474C9E34C9D5590A494F_13</vt:lpwstr>
  </property>
  <property fmtid="{D5CDD505-2E9C-101B-9397-08002B2CF9AE}" pid="4" name="KSOTemplateDocerSaveRecord">
    <vt:lpwstr>eyJoZGlkIjoiYTJjZmM4MzRhNzA1MjRjOGI3MWRlN2Y5Zjg2NjI3NzYiLCJ1c2VySWQiOiI0NzU0MTQ0NzEifQ==</vt:lpwstr>
  </property>
</Properties>
</file>