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92F27" w14:textId="77777777" w:rsidR="00DE4AFD" w:rsidRPr="00303844" w:rsidRDefault="00DE4AFD" w:rsidP="000C622D">
      <w:pPr>
        <w:pStyle w:val="af2"/>
        <w:spacing w:before="0" w:after="0" w:line="360" w:lineRule="auto"/>
        <w:jc w:val="both"/>
      </w:pPr>
      <w:bookmarkStart w:id="0" w:name="_Toc404338146"/>
    </w:p>
    <w:p w14:paraId="7452CD19" w14:textId="77777777" w:rsidR="00DE4AFD" w:rsidRPr="00222B77" w:rsidRDefault="004A4F56" w:rsidP="000C622D">
      <w:pPr>
        <w:pStyle w:val="af2"/>
        <w:spacing w:before="0" w:after="0" w:line="360" w:lineRule="auto"/>
        <w:rPr>
          <w:i/>
          <w:color w:val="008000"/>
          <w:sz w:val="32"/>
        </w:rPr>
      </w:pPr>
      <w:r w:rsidRPr="00222B77">
        <w:rPr>
          <w:rFonts w:eastAsia="Times New Roman"/>
          <w:sz w:val="32"/>
        </w:rPr>
        <w:t>A Randomized, Controlled Phase Ib/II Study of Surufatinib Combined with Camrelizumab and the AS Regimen as First-Line Treatment for Advanced Pancreatic Carcinoma Metastatic</w:t>
      </w:r>
    </w:p>
    <w:p w14:paraId="27932182" w14:textId="77777777" w:rsidR="00DE4AFD" w:rsidRPr="00303844" w:rsidRDefault="00DE4AFD" w:rsidP="000C622D">
      <w:pPr>
        <w:pStyle w:val="Paragraph"/>
        <w:spacing w:after="0" w:line="360" w:lineRule="auto"/>
        <w:ind w:firstLine="480"/>
        <w:jc w:val="center"/>
        <w:rPr>
          <w:rStyle w:val="Instructions"/>
        </w:rPr>
      </w:pPr>
    </w:p>
    <w:p w14:paraId="52794195" w14:textId="77777777" w:rsidR="00DE4AFD" w:rsidRPr="00303844" w:rsidRDefault="00DE4AFD" w:rsidP="000C622D">
      <w:pPr>
        <w:pStyle w:val="Paragraph"/>
        <w:spacing w:after="0" w:line="360" w:lineRule="auto"/>
        <w:ind w:firstLine="480"/>
        <w:jc w:val="both"/>
        <w:rPr>
          <w:rStyle w:val="Instructions"/>
        </w:rPr>
      </w:pPr>
    </w:p>
    <w:p w14:paraId="10D5C44D" w14:textId="77777777" w:rsidR="00DE4AFD" w:rsidRPr="00303844" w:rsidRDefault="00DE4AFD" w:rsidP="000C622D">
      <w:pPr>
        <w:pStyle w:val="Paragraph"/>
        <w:spacing w:after="0" w:line="360" w:lineRule="auto"/>
        <w:ind w:firstLine="480"/>
        <w:jc w:val="both"/>
        <w:rPr>
          <w:i/>
          <w:iCs/>
          <w:color w:val="008000"/>
        </w:rPr>
      </w:pPr>
    </w:p>
    <w:tbl>
      <w:tblPr>
        <w:tblStyle w:val="af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5199"/>
      </w:tblGrid>
      <w:tr w:rsidR="00AB76F3" w:rsidRPr="00227F09" w14:paraId="032ACDA7" w14:textId="77777777" w:rsidTr="00AB76F3">
        <w:tc>
          <w:tcPr>
            <w:tcW w:w="2120" w:type="pct"/>
          </w:tcPr>
          <w:p w14:paraId="0A248E23" w14:textId="77777777" w:rsidR="00AB76F3" w:rsidRPr="00227F09" w:rsidRDefault="00AB76F3" w:rsidP="00AC147C">
            <w:pPr>
              <w:snapToGrid w:val="0"/>
              <w:spacing w:line="360" w:lineRule="auto"/>
              <w:rPr>
                <w:rFonts w:ascii="Times New Roman" w:eastAsia="宋体" w:hAnsi="Times New Roman" w:cs="Times New Roman"/>
                <w:bCs/>
                <w:sz w:val="24"/>
                <w:szCs w:val="24"/>
              </w:rPr>
            </w:pPr>
            <w:r w:rsidRPr="00227F09">
              <w:rPr>
                <w:rFonts w:ascii="Times New Roman" w:eastAsia="Times New Roman" w:hAnsi="Times New Roman" w:cs="Times New Roman"/>
                <w:sz w:val="24"/>
                <w:szCs w:val="24"/>
              </w:rPr>
              <w:t>Protocol No.:</w:t>
            </w:r>
          </w:p>
        </w:tc>
        <w:tc>
          <w:tcPr>
            <w:tcW w:w="2880" w:type="pct"/>
          </w:tcPr>
          <w:p w14:paraId="376D9CF2" w14:textId="77777777" w:rsidR="00AB76F3" w:rsidRPr="00227F09" w:rsidRDefault="00AB76F3" w:rsidP="00AC147C">
            <w:pPr>
              <w:snapToGrid w:val="0"/>
              <w:spacing w:line="360" w:lineRule="auto"/>
              <w:rPr>
                <w:rFonts w:ascii="Times New Roman" w:eastAsia="宋体" w:hAnsi="Times New Roman" w:cs="Times New Roman"/>
                <w:bCs/>
                <w:sz w:val="24"/>
                <w:szCs w:val="24"/>
              </w:rPr>
            </w:pPr>
            <w:r w:rsidRPr="00227F09">
              <w:rPr>
                <w:rFonts w:ascii="Times New Roman" w:eastAsia="Times New Roman" w:hAnsi="Times New Roman" w:cs="Times New Roman"/>
                <w:bCs/>
                <w:sz w:val="24"/>
                <w:szCs w:val="24"/>
              </w:rPr>
              <w:t>HMPL-012-SPRING-P101</w:t>
            </w:r>
          </w:p>
        </w:tc>
      </w:tr>
      <w:tr w:rsidR="00AB76F3" w:rsidRPr="00227F09" w14:paraId="553555EA" w14:textId="77777777" w:rsidTr="00AB76F3">
        <w:tc>
          <w:tcPr>
            <w:tcW w:w="2120" w:type="pct"/>
          </w:tcPr>
          <w:p w14:paraId="1C203C10" w14:textId="77777777" w:rsidR="00AB76F3" w:rsidRPr="00227F09" w:rsidRDefault="00AB76F3" w:rsidP="00AC147C">
            <w:pPr>
              <w:snapToGrid w:val="0"/>
              <w:spacing w:line="360" w:lineRule="auto"/>
              <w:rPr>
                <w:rFonts w:ascii="Times New Roman" w:eastAsia="宋体" w:hAnsi="Times New Roman" w:cs="Times New Roman"/>
                <w:bCs/>
                <w:sz w:val="24"/>
                <w:szCs w:val="24"/>
              </w:rPr>
            </w:pPr>
            <w:r w:rsidRPr="00227F09">
              <w:rPr>
                <w:rFonts w:ascii="Times New Roman" w:eastAsia="Times New Roman" w:hAnsi="Times New Roman" w:cs="Times New Roman"/>
                <w:sz w:val="24"/>
                <w:szCs w:val="24"/>
              </w:rPr>
              <w:t>Study Phase:</w:t>
            </w:r>
          </w:p>
        </w:tc>
        <w:tc>
          <w:tcPr>
            <w:tcW w:w="2880" w:type="pct"/>
          </w:tcPr>
          <w:p w14:paraId="1BACF4BA" w14:textId="77777777" w:rsidR="00AB76F3" w:rsidRPr="00227F09" w:rsidRDefault="00AB76F3" w:rsidP="00AC147C">
            <w:pPr>
              <w:snapToGrid w:val="0"/>
              <w:spacing w:line="360" w:lineRule="auto"/>
              <w:rPr>
                <w:rFonts w:ascii="Times New Roman" w:eastAsia="宋体" w:hAnsi="Times New Roman" w:cs="Times New Roman"/>
                <w:bCs/>
                <w:sz w:val="24"/>
                <w:szCs w:val="24"/>
              </w:rPr>
            </w:pPr>
            <w:r w:rsidRPr="00227F09">
              <w:rPr>
                <w:rFonts w:ascii="Times New Roman" w:eastAsia="Times New Roman" w:hAnsi="Times New Roman" w:cs="Times New Roman"/>
                <w:sz w:val="24"/>
                <w:szCs w:val="24"/>
              </w:rPr>
              <w:t xml:space="preserve">Phase </w:t>
            </w:r>
            <w:proofErr w:type="spellStart"/>
            <w:r w:rsidRPr="00227F09">
              <w:rPr>
                <w:rFonts w:ascii="Times New Roman" w:eastAsia="Times New Roman" w:hAnsi="Times New Roman" w:cs="Times New Roman"/>
                <w:sz w:val="24"/>
                <w:szCs w:val="24"/>
              </w:rPr>
              <w:t>Ib</w:t>
            </w:r>
            <w:proofErr w:type="spellEnd"/>
            <w:r w:rsidRPr="00227F09">
              <w:rPr>
                <w:rFonts w:ascii="Times New Roman" w:eastAsia="Times New Roman" w:hAnsi="Times New Roman" w:cs="Times New Roman"/>
                <w:sz w:val="24"/>
                <w:szCs w:val="24"/>
              </w:rPr>
              <w:t>/II</w:t>
            </w:r>
          </w:p>
        </w:tc>
      </w:tr>
      <w:tr w:rsidR="00AB76F3" w:rsidRPr="00227F09" w14:paraId="50EDC273" w14:textId="77777777" w:rsidTr="00AB76F3">
        <w:tc>
          <w:tcPr>
            <w:tcW w:w="2120" w:type="pct"/>
          </w:tcPr>
          <w:p w14:paraId="7A2DE3BF" w14:textId="77777777" w:rsidR="00AB76F3" w:rsidRPr="00227F09" w:rsidRDefault="00AB76F3" w:rsidP="00AC147C">
            <w:pPr>
              <w:snapToGrid w:val="0"/>
              <w:spacing w:line="360" w:lineRule="auto"/>
              <w:rPr>
                <w:rFonts w:ascii="Times New Roman" w:eastAsia="宋体" w:hAnsi="Times New Roman" w:cs="Times New Roman"/>
                <w:bCs/>
                <w:sz w:val="24"/>
                <w:szCs w:val="24"/>
              </w:rPr>
            </w:pPr>
            <w:r w:rsidRPr="00227F09">
              <w:rPr>
                <w:rFonts w:ascii="Times New Roman" w:eastAsia="Times New Roman" w:hAnsi="Times New Roman" w:cs="Times New Roman"/>
                <w:sz w:val="24"/>
                <w:szCs w:val="24"/>
              </w:rPr>
              <w:t>Clinical Trial Institution:</w:t>
            </w:r>
          </w:p>
        </w:tc>
        <w:tc>
          <w:tcPr>
            <w:tcW w:w="2880" w:type="pct"/>
          </w:tcPr>
          <w:p w14:paraId="4D870C40" w14:textId="77777777" w:rsidR="00AB76F3" w:rsidRPr="00227F09" w:rsidRDefault="00AB76F3" w:rsidP="00AC147C">
            <w:pPr>
              <w:snapToGrid w:val="0"/>
              <w:spacing w:line="360" w:lineRule="auto"/>
              <w:rPr>
                <w:rFonts w:ascii="Times New Roman" w:eastAsia="宋体" w:hAnsi="Times New Roman" w:cs="Times New Roman"/>
                <w:bCs/>
                <w:sz w:val="24"/>
                <w:szCs w:val="24"/>
              </w:rPr>
            </w:pPr>
            <w:r w:rsidRPr="00227F09">
              <w:rPr>
                <w:rFonts w:ascii="Times New Roman" w:eastAsia="Times New Roman" w:hAnsi="Times New Roman" w:cs="Times New Roman"/>
                <w:sz w:val="24"/>
                <w:szCs w:val="24"/>
              </w:rPr>
              <w:t>Chinese PLA General Hospital</w:t>
            </w:r>
          </w:p>
        </w:tc>
      </w:tr>
      <w:tr w:rsidR="00AB76F3" w:rsidRPr="00227F09" w14:paraId="7CACB841" w14:textId="77777777" w:rsidTr="00AB76F3">
        <w:tc>
          <w:tcPr>
            <w:tcW w:w="2120" w:type="pct"/>
          </w:tcPr>
          <w:p w14:paraId="4C498F64" w14:textId="77777777" w:rsidR="00AB76F3" w:rsidRPr="00227F09" w:rsidRDefault="00AB76F3" w:rsidP="00AC147C">
            <w:pPr>
              <w:snapToGrid w:val="0"/>
              <w:spacing w:line="360" w:lineRule="auto"/>
              <w:rPr>
                <w:rFonts w:ascii="Times New Roman" w:eastAsia="宋体" w:hAnsi="Times New Roman" w:cs="Times New Roman"/>
                <w:bCs/>
                <w:sz w:val="24"/>
                <w:szCs w:val="24"/>
              </w:rPr>
            </w:pPr>
            <w:r w:rsidRPr="00227F09">
              <w:rPr>
                <w:rFonts w:ascii="Times New Roman" w:eastAsia="Times New Roman" w:hAnsi="Times New Roman" w:cs="Times New Roman"/>
                <w:sz w:val="24"/>
                <w:szCs w:val="24"/>
              </w:rPr>
              <w:t>Principal Investigator:</w:t>
            </w:r>
          </w:p>
        </w:tc>
        <w:tc>
          <w:tcPr>
            <w:tcW w:w="2880" w:type="pct"/>
          </w:tcPr>
          <w:p w14:paraId="3D0ED275" w14:textId="77777777" w:rsidR="00AB76F3" w:rsidRPr="00227F09" w:rsidRDefault="00AB76F3" w:rsidP="00AC147C">
            <w:pPr>
              <w:snapToGrid w:val="0"/>
              <w:spacing w:line="360" w:lineRule="auto"/>
              <w:rPr>
                <w:rFonts w:ascii="Times New Roman" w:eastAsia="宋体" w:hAnsi="Times New Roman" w:cs="Times New Roman"/>
                <w:bCs/>
                <w:sz w:val="24"/>
                <w:szCs w:val="24"/>
              </w:rPr>
            </w:pPr>
            <w:proofErr w:type="spellStart"/>
            <w:r w:rsidRPr="00227F09">
              <w:rPr>
                <w:rFonts w:ascii="Times New Roman" w:eastAsia="Times New Roman" w:hAnsi="Times New Roman" w:cs="Times New Roman"/>
                <w:sz w:val="24"/>
                <w:szCs w:val="24"/>
              </w:rPr>
              <w:t>Guanghai</w:t>
            </w:r>
            <w:proofErr w:type="spellEnd"/>
            <w:r w:rsidRPr="00227F09">
              <w:rPr>
                <w:rFonts w:ascii="Times New Roman" w:eastAsia="Times New Roman" w:hAnsi="Times New Roman" w:cs="Times New Roman"/>
                <w:sz w:val="24"/>
                <w:szCs w:val="24"/>
              </w:rPr>
              <w:t xml:space="preserve"> Dai / </w:t>
            </w:r>
            <w:proofErr w:type="spellStart"/>
            <w:r w:rsidRPr="00227F09">
              <w:rPr>
                <w:rFonts w:ascii="Times New Roman" w:eastAsia="Times New Roman" w:hAnsi="Times New Roman" w:cs="Times New Roman"/>
                <w:sz w:val="24"/>
                <w:szCs w:val="24"/>
              </w:rPr>
              <w:t>Quanli</w:t>
            </w:r>
            <w:proofErr w:type="spellEnd"/>
            <w:r w:rsidRPr="00227F09">
              <w:rPr>
                <w:rFonts w:ascii="Times New Roman" w:eastAsia="Times New Roman" w:hAnsi="Times New Roman" w:cs="Times New Roman"/>
                <w:sz w:val="24"/>
                <w:szCs w:val="24"/>
              </w:rPr>
              <w:t xml:space="preserve"> Han</w:t>
            </w:r>
          </w:p>
        </w:tc>
      </w:tr>
      <w:tr w:rsidR="00AB76F3" w:rsidRPr="00227F09" w14:paraId="6522096D" w14:textId="77777777" w:rsidTr="00AB76F3">
        <w:tc>
          <w:tcPr>
            <w:tcW w:w="2120" w:type="pct"/>
          </w:tcPr>
          <w:p w14:paraId="09258915" w14:textId="77777777" w:rsidR="00AB76F3" w:rsidRPr="00227F09" w:rsidRDefault="00AB76F3" w:rsidP="00AC147C">
            <w:pPr>
              <w:snapToGrid w:val="0"/>
              <w:spacing w:line="360" w:lineRule="auto"/>
              <w:rPr>
                <w:rFonts w:ascii="Times New Roman" w:eastAsia="宋体" w:hAnsi="Times New Roman" w:cs="Times New Roman"/>
                <w:bCs/>
                <w:sz w:val="24"/>
                <w:szCs w:val="24"/>
              </w:rPr>
            </w:pPr>
            <w:r w:rsidRPr="00227F09">
              <w:rPr>
                <w:rFonts w:ascii="Times New Roman" w:eastAsia="Times New Roman" w:hAnsi="Times New Roman" w:cs="Times New Roman"/>
                <w:sz w:val="24"/>
                <w:szCs w:val="24"/>
              </w:rPr>
              <w:t>Version No.:</w:t>
            </w:r>
          </w:p>
        </w:tc>
        <w:tc>
          <w:tcPr>
            <w:tcW w:w="2880" w:type="pct"/>
          </w:tcPr>
          <w:p w14:paraId="00089AAA" w14:textId="77777777" w:rsidR="00AB76F3" w:rsidRPr="00227F09" w:rsidRDefault="00AB76F3" w:rsidP="00AC147C">
            <w:pPr>
              <w:snapToGrid w:val="0"/>
              <w:spacing w:line="360" w:lineRule="auto"/>
              <w:rPr>
                <w:rFonts w:ascii="Times New Roman" w:eastAsia="宋体" w:hAnsi="Times New Roman" w:cs="Times New Roman"/>
                <w:bCs/>
                <w:sz w:val="24"/>
                <w:szCs w:val="24"/>
              </w:rPr>
            </w:pPr>
            <w:r w:rsidRPr="00227F09">
              <w:rPr>
                <w:rFonts w:ascii="Times New Roman" w:eastAsia="Times New Roman" w:hAnsi="Times New Roman" w:cs="Times New Roman"/>
                <w:bCs/>
                <w:sz w:val="24"/>
                <w:szCs w:val="24"/>
              </w:rPr>
              <w:t>3.0</w:t>
            </w:r>
          </w:p>
        </w:tc>
      </w:tr>
      <w:tr w:rsidR="00AB76F3" w:rsidRPr="00227F09" w14:paraId="48FEB53B" w14:textId="77777777" w:rsidTr="00AB76F3">
        <w:tc>
          <w:tcPr>
            <w:tcW w:w="2120" w:type="pct"/>
          </w:tcPr>
          <w:p w14:paraId="65D0981A" w14:textId="77777777" w:rsidR="00AB76F3" w:rsidRPr="00227F09" w:rsidRDefault="00AB76F3" w:rsidP="00AC147C">
            <w:pPr>
              <w:snapToGrid w:val="0"/>
              <w:spacing w:line="360" w:lineRule="auto"/>
              <w:rPr>
                <w:rFonts w:ascii="Times New Roman" w:eastAsia="宋体" w:hAnsi="Times New Roman" w:cs="Times New Roman"/>
                <w:bCs/>
                <w:sz w:val="24"/>
                <w:szCs w:val="24"/>
              </w:rPr>
            </w:pPr>
            <w:bookmarkStart w:id="1" w:name="version_date"/>
            <w:r w:rsidRPr="00227F09">
              <w:rPr>
                <w:rFonts w:ascii="Times New Roman" w:eastAsia="Times New Roman" w:hAnsi="Times New Roman" w:cs="Times New Roman"/>
                <w:sz w:val="24"/>
                <w:szCs w:val="24"/>
              </w:rPr>
              <w:t>Version Date:</w:t>
            </w:r>
          </w:p>
        </w:tc>
        <w:bookmarkEnd w:id="1"/>
        <w:tc>
          <w:tcPr>
            <w:tcW w:w="2880" w:type="pct"/>
          </w:tcPr>
          <w:p w14:paraId="0E680E71" w14:textId="77777777" w:rsidR="00AB76F3" w:rsidRPr="00227F09" w:rsidRDefault="00AB76F3" w:rsidP="00AC147C">
            <w:pPr>
              <w:snapToGrid w:val="0"/>
              <w:spacing w:line="360" w:lineRule="auto"/>
              <w:rPr>
                <w:rFonts w:ascii="Times New Roman" w:eastAsia="宋体" w:hAnsi="Times New Roman" w:cs="Times New Roman"/>
                <w:bCs/>
                <w:sz w:val="24"/>
                <w:szCs w:val="24"/>
              </w:rPr>
            </w:pPr>
            <w:r w:rsidRPr="00227F09">
              <w:rPr>
                <w:rFonts w:ascii="Times New Roman" w:eastAsia="Times New Roman" w:hAnsi="Times New Roman" w:cs="Times New Roman"/>
                <w:sz w:val="24"/>
                <w:szCs w:val="24"/>
              </w:rPr>
              <w:t>March 7, 2022</w:t>
            </w:r>
          </w:p>
        </w:tc>
      </w:tr>
    </w:tbl>
    <w:p w14:paraId="2D361160" w14:textId="77777777" w:rsidR="00DE4AFD" w:rsidRPr="00303844" w:rsidRDefault="00DE4AFD" w:rsidP="00253A8A">
      <w:pPr>
        <w:snapToGrid w:val="0"/>
        <w:ind w:firstLineChars="1187" w:firstLine="2493"/>
        <w:rPr>
          <w:rFonts w:ascii="Times New Roman" w:eastAsia="宋体" w:hAnsi="Times New Roman" w:cs="Times New Roman"/>
          <w:bCs/>
        </w:rPr>
      </w:pPr>
    </w:p>
    <w:p w14:paraId="0E4566CC" w14:textId="77777777" w:rsidR="00DE4AFD" w:rsidRPr="00303844" w:rsidRDefault="00DE4AFD" w:rsidP="000C622D">
      <w:pPr>
        <w:snapToGrid w:val="0"/>
        <w:spacing w:line="360" w:lineRule="auto"/>
        <w:ind w:left="840" w:firstLine="420"/>
        <w:rPr>
          <w:rFonts w:ascii="Times New Roman" w:eastAsia="宋体" w:hAnsi="Times New Roman" w:cs="Times New Roman"/>
          <w:b/>
          <w:sz w:val="28"/>
          <w:szCs w:val="28"/>
        </w:rPr>
      </w:pPr>
    </w:p>
    <w:p w14:paraId="17854833" w14:textId="77777777" w:rsidR="00DE4AFD" w:rsidRPr="00303844" w:rsidRDefault="00DE4AFD" w:rsidP="000C622D">
      <w:pPr>
        <w:snapToGrid w:val="0"/>
        <w:spacing w:line="360" w:lineRule="auto"/>
        <w:ind w:left="840" w:firstLine="420"/>
        <w:rPr>
          <w:rFonts w:ascii="Times New Roman" w:eastAsia="宋体" w:hAnsi="Times New Roman" w:cs="Times New Roman"/>
          <w:b/>
          <w:sz w:val="28"/>
          <w:szCs w:val="28"/>
        </w:rPr>
      </w:pPr>
    </w:p>
    <w:p w14:paraId="6F2F86D2" w14:textId="77777777" w:rsidR="00DE4AFD" w:rsidRPr="00303844" w:rsidRDefault="00DE4AFD" w:rsidP="000C622D">
      <w:pPr>
        <w:snapToGrid w:val="0"/>
        <w:spacing w:line="360" w:lineRule="auto"/>
        <w:ind w:left="840" w:firstLine="420"/>
        <w:rPr>
          <w:rFonts w:ascii="Times New Roman" w:eastAsia="宋体" w:hAnsi="Times New Roman" w:cs="Times New Roman"/>
          <w:b/>
          <w:sz w:val="28"/>
          <w:szCs w:val="28"/>
        </w:rPr>
      </w:pPr>
    </w:p>
    <w:p w14:paraId="0D540C45" w14:textId="77777777" w:rsidR="00DE4AFD" w:rsidRPr="00303844" w:rsidRDefault="00DE4AFD" w:rsidP="000C622D">
      <w:pPr>
        <w:snapToGrid w:val="0"/>
        <w:spacing w:line="360" w:lineRule="auto"/>
        <w:ind w:left="840" w:firstLine="420"/>
        <w:rPr>
          <w:rFonts w:ascii="Times New Roman" w:eastAsia="宋体" w:hAnsi="Times New Roman" w:cs="Times New Roman"/>
          <w:b/>
          <w:sz w:val="28"/>
          <w:szCs w:val="28"/>
        </w:rPr>
      </w:pPr>
    </w:p>
    <w:p w14:paraId="6C676EC8" w14:textId="77777777" w:rsidR="00DE4AFD" w:rsidRPr="00303844" w:rsidRDefault="00DE4AFD" w:rsidP="000C622D">
      <w:pPr>
        <w:snapToGrid w:val="0"/>
        <w:spacing w:line="360" w:lineRule="auto"/>
        <w:ind w:left="840" w:firstLine="420"/>
        <w:rPr>
          <w:rFonts w:ascii="Times New Roman" w:eastAsia="宋体" w:hAnsi="Times New Roman" w:cs="Times New Roman"/>
          <w:sz w:val="28"/>
          <w:szCs w:val="28"/>
        </w:rPr>
      </w:pPr>
    </w:p>
    <w:p w14:paraId="5711E5F1" w14:textId="19CDF865" w:rsidR="00DE4AFD" w:rsidRPr="00303844" w:rsidRDefault="00DC03A8" w:rsidP="00DC03A8">
      <w:pPr>
        <w:snapToGrid w:val="0"/>
        <w:ind w:left="840" w:firstLine="420"/>
        <w:jc w:val="left"/>
        <w:rPr>
          <w:rFonts w:ascii="Times New Roman" w:eastAsia="宋体" w:hAnsi="Times New Roman" w:cs="Times New Roman"/>
          <w:i/>
          <w:iCs/>
          <w:color w:val="008000"/>
        </w:rPr>
      </w:pPr>
      <w:r>
        <w:rPr>
          <w:rFonts w:ascii="Times New Roman" w:eastAsia="宋体" w:hAnsi="Times New Roman" w:cs="Times New Roman"/>
          <w:color w:val="545454"/>
          <w:shd w:val="clear" w:color="auto" w:fill="FFFFFF"/>
        </w:rPr>
        <w:br/>
      </w:r>
    </w:p>
    <w:p w14:paraId="64AF2EFB" w14:textId="77777777" w:rsidR="00DE4AFD" w:rsidRPr="00303844" w:rsidRDefault="004A4F56" w:rsidP="000C622D">
      <w:pPr>
        <w:pStyle w:val="af2"/>
        <w:spacing w:before="0" w:after="0" w:line="360" w:lineRule="auto"/>
        <w:rPr>
          <w:b w:val="0"/>
          <w:sz w:val="32"/>
        </w:rPr>
      </w:pPr>
      <w:bookmarkStart w:id="2" w:name="GeneralInstructions"/>
      <w:r w:rsidRPr="00303844">
        <w:br w:type="page"/>
      </w:r>
      <w:bookmarkEnd w:id="2"/>
    </w:p>
    <w:p w14:paraId="2FAA4A9F" w14:textId="77777777" w:rsidR="00DE4AFD" w:rsidRPr="00303844" w:rsidRDefault="004A4F56" w:rsidP="000C622D">
      <w:pPr>
        <w:spacing w:line="360" w:lineRule="auto"/>
        <w:jc w:val="center"/>
        <w:rPr>
          <w:rFonts w:ascii="Times New Roman" w:eastAsia="宋体" w:hAnsi="Times New Roman" w:cs="Times New Roman"/>
          <w:b/>
          <w:sz w:val="32"/>
          <w:szCs w:val="32"/>
        </w:rPr>
      </w:pPr>
      <w:r w:rsidRPr="00303844">
        <w:rPr>
          <w:rFonts w:ascii="Times New Roman" w:eastAsia="Times New Roman" w:hAnsi="Times New Roman" w:cs="Times New Roman"/>
          <w:b/>
          <w:bCs/>
          <w:sz w:val="32"/>
          <w:szCs w:val="32"/>
        </w:rPr>
        <w:lastRenderedPageBreak/>
        <w:t>Protocol Signature Page of Sponsor</w:t>
      </w:r>
    </w:p>
    <w:p w14:paraId="32FD7DC5" w14:textId="77777777" w:rsidR="00DE4AFD" w:rsidRPr="00303844" w:rsidRDefault="00DE4AFD" w:rsidP="00253A8A">
      <w:pPr>
        <w:snapToGrid w:val="0"/>
        <w:ind w:firstLineChars="200" w:firstLine="420"/>
        <w:rPr>
          <w:rFonts w:ascii="Times New Roman" w:eastAsia="宋体" w:hAnsi="Times New Roman" w:cs="Times New Roman"/>
        </w:rPr>
      </w:pPr>
    </w:p>
    <w:p w14:paraId="41CEB766" w14:textId="77777777" w:rsidR="00DE4AFD" w:rsidRPr="00303844" w:rsidRDefault="00DE4AFD" w:rsidP="00253A8A">
      <w:pPr>
        <w:snapToGrid w:val="0"/>
        <w:ind w:firstLineChars="200" w:firstLine="420"/>
        <w:rPr>
          <w:rFonts w:ascii="Times New Roman" w:eastAsia="宋体" w:hAnsi="Times New Roman" w:cs="Times New Roman"/>
        </w:rPr>
      </w:pPr>
    </w:p>
    <w:p w14:paraId="325E8CD0" w14:textId="77777777" w:rsidR="00DE4AFD" w:rsidRPr="00303844" w:rsidRDefault="004A4F56" w:rsidP="00DA6838">
      <w:pPr>
        <w:snapToGrid w:val="0"/>
        <w:spacing w:line="360" w:lineRule="auto"/>
        <w:rPr>
          <w:rFonts w:ascii="Times New Roman" w:eastAsia="宋体" w:hAnsi="Times New Roman" w:cs="Times New Roman"/>
          <w:sz w:val="24"/>
          <w:szCs w:val="24"/>
        </w:rPr>
      </w:pPr>
      <w:r w:rsidRPr="00303844">
        <w:rPr>
          <w:rFonts w:ascii="Times New Roman" w:eastAsia="Times New Roman" w:hAnsi="Times New Roman" w:cs="Times New Roman"/>
          <w:color w:val="000000"/>
          <w:sz w:val="24"/>
          <w:szCs w:val="24"/>
        </w:rPr>
        <w:t>We have read and confirmed this clinical trial protocol (Protocol No.: HMPL-012-SPRING-P101, Version: 3.0, Version Date: March 7, 2022).</w:t>
      </w:r>
      <w:r w:rsidRPr="00303844">
        <w:rPr>
          <w:rFonts w:ascii="Times New Roman" w:eastAsia="Times New Roman" w:hAnsi="Times New Roman" w:cs="Times New Roman"/>
          <w:sz w:val="24"/>
          <w:szCs w:val="24"/>
        </w:rPr>
        <w:t xml:space="preserve"> </w:t>
      </w:r>
      <w:r w:rsidRPr="00303844">
        <w:rPr>
          <w:rFonts w:ascii="Times New Roman" w:eastAsia="Times New Roman" w:hAnsi="Times New Roman" w:cs="Times New Roman"/>
          <w:color w:val="000000"/>
          <w:sz w:val="24"/>
          <w:szCs w:val="24"/>
        </w:rPr>
        <w:t>We agree</w:t>
      </w:r>
      <w:r w:rsidRPr="00303844">
        <w:rPr>
          <w:rFonts w:ascii="Times New Roman" w:eastAsia="Times New Roman" w:hAnsi="Times New Roman" w:cs="Times New Roman"/>
          <w:sz w:val="24"/>
          <w:szCs w:val="24"/>
        </w:rPr>
        <w:t xml:space="preserve"> to perform relevant duties in accordance with Chinese law, the Declaration of Helsinki, ICH-GCP, and this study protocol, and to implement only after obtaining approval from the Ethics Committee (EC), unless measures must be taken to protect the safety, rights, and interests of the subjects. </w:t>
      </w:r>
    </w:p>
    <w:p w14:paraId="704CC959" w14:textId="77777777" w:rsidR="00DE4AFD" w:rsidRPr="00303844" w:rsidRDefault="00DE4AFD" w:rsidP="000C622D">
      <w:pPr>
        <w:snapToGrid w:val="0"/>
        <w:spacing w:line="360" w:lineRule="auto"/>
        <w:ind w:firstLineChars="200" w:firstLine="480"/>
        <w:rPr>
          <w:rFonts w:ascii="Times New Roman" w:eastAsia="宋体" w:hAnsi="Times New Roman" w:cs="Times New Roman"/>
          <w:sz w:val="24"/>
          <w:szCs w:val="24"/>
        </w:rPr>
      </w:pPr>
    </w:p>
    <w:p w14:paraId="4CD5479A" w14:textId="77777777" w:rsidR="00DE4AFD" w:rsidRPr="00303844" w:rsidRDefault="00DE4AFD" w:rsidP="000C622D">
      <w:pPr>
        <w:snapToGrid w:val="0"/>
        <w:spacing w:line="360" w:lineRule="auto"/>
        <w:ind w:firstLineChars="200" w:firstLine="480"/>
        <w:rPr>
          <w:rFonts w:ascii="Times New Roman" w:eastAsia="宋体" w:hAnsi="Times New Roman" w:cs="Times New Roman"/>
          <w:sz w:val="24"/>
          <w:szCs w:val="24"/>
        </w:rPr>
      </w:pPr>
    </w:p>
    <w:p w14:paraId="2D28CAEB" w14:textId="77777777" w:rsidR="00DE4AFD" w:rsidRPr="00303844" w:rsidRDefault="004A4F56" w:rsidP="000C622D">
      <w:pPr>
        <w:snapToGrid w:val="0"/>
        <w:spacing w:line="360" w:lineRule="auto"/>
        <w:rPr>
          <w:rFonts w:ascii="Times New Roman" w:eastAsia="宋体" w:hAnsi="Times New Roman" w:cs="Times New Roman"/>
          <w:bCs/>
          <w:sz w:val="24"/>
          <w:szCs w:val="24"/>
        </w:rPr>
      </w:pPr>
      <w:r w:rsidRPr="00303844">
        <w:rPr>
          <w:rFonts w:ascii="Times New Roman" w:eastAsia="Times New Roman" w:hAnsi="Times New Roman" w:cs="Times New Roman"/>
          <w:b/>
          <w:bCs/>
          <w:sz w:val="24"/>
          <w:szCs w:val="24"/>
        </w:rPr>
        <w:t>Sponsor:</w:t>
      </w:r>
      <w:r w:rsidRPr="00303844">
        <w:rPr>
          <w:rFonts w:ascii="Times New Roman" w:eastAsia="Times New Roman" w:hAnsi="Times New Roman" w:cs="Times New Roman"/>
          <w:sz w:val="24"/>
          <w:szCs w:val="24"/>
          <w:u w:val="single"/>
        </w:rPr>
        <w:t xml:space="preserve"> Chinese PLA General Hospital</w:t>
      </w:r>
    </w:p>
    <w:p w14:paraId="10FD6966" w14:textId="77777777" w:rsidR="00DE4AFD" w:rsidRPr="00303844" w:rsidRDefault="00DE4AFD" w:rsidP="00253A8A">
      <w:pPr>
        <w:snapToGrid w:val="0"/>
        <w:rPr>
          <w:rFonts w:ascii="Times New Roman" w:eastAsia="宋体" w:hAnsi="Times New Roman" w:cs="Times New Roman"/>
          <w:u w:val="single"/>
        </w:rPr>
      </w:pPr>
    </w:p>
    <w:p w14:paraId="64C1213B" w14:textId="77777777" w:rsidR="00DE4AFD" w:rsidRPr="00303844" w:rsidRDefault="00DE4AFD" w:rsidP="00253A8A">
      <w:pPr>
        <w:snapToGrid w:val="0"/>
        <w:rPr>
          <w:rFonts w:ascii="Times New Roman" w:eastAsia="宋体" w:hAnsi="Times New Roman" w:cs="Times New Roman"/>
          <w:u w:val="single"/>
        </w:rPr>
      </w:pPr>
    </w:p>
    <w:p w14:paraId="6024B098" w14:textId="77777777" w:rsidR="00DE4AFD" w:rsidRPr="00303844" w:rsidRDefault="00DE4AFD" w:rsidP="00253A8A">
      <w:pPr>
        <w:snapToGrid w:val="0"/>
        <w:rPr>
          <w:rFonts w:ascii="Times New Roman" w:eastAsia="宋体" w:hAnsi="Times New Roman" w:cs="Times New Roman"/>
          <w:u w:val="single"/>
        </w:rPr>
      </w:pPr>
    </w:p>
    <w:p w14:paraId="7A97A117" w14:textId="77777777" w:rsidR="00DE4AFD" w:rsidRPr="00303844" w:rsidRDefault="00DE4AFD" w:rsidP="000C622D">
      <w:pPr>
        <w:snapToGrid w:val="0"/>
        <w:spacing w:line="360" w:lineRule="auto"/>
        <w:rPr>
          <w:rFonts w:ascii="Times New Roman" w:eastAsia="宋体" w:hAnsi="Times New Roman" w:cs="Times New Roman"/>
          <w:sz w:val="24"/>
          <w:szCs w:val="24"/>
        </w:rPr>
      </w:pPr>
    </w:p>
    <w:tbl>
      <w:tblPr>
        <w:tblW w:w="5000" w:type="pct"/>
        <w:tblLayout w:type="fixed"/>
        <w:tblCellMar>
          <w:left w:w="57" w:type="dxa"/>
          <w:right w:w="57" w:type="dxa"/>
        </w:tblCellMar>
        <w:tblLook w:val="04A0" w:firstRow="1" w:lastRow="0" w:firstColumn="1" w:lastColumn="0" w:noHBand="0" w:noVBand="1"/>
      </w:tblPr>
      <w:tblGrid>
        <w:gridCol w:w="3193"/>
        <w:gridCol w:w="2981"/>
        <w:gridCol w:w="2852"/>
      </w:tblGrid>
      <w:tr w:rsidR="00DE4AFD" w:rsidRPr="007512FB" w14:paraId="4D42CDE9" w14:textId="77777777" w:rsidTr="003F7776">
        <w:tc>
          <w:tcPr>
            <w:tcW w:w="3270" w:type="dxa"/>
          </w:tcPr>
          <w:p w14:paraId="260BE272" w14:textId="50743EAF" w:rsidR="00DE4AFD" w:rsidRPr="007512FB" w:rsidRDefault="00C37749" w:rsidP="007106D0">
            <w:pPr>
              <w:pStyle w:val="13"/>
              <w:pBdr>
                <w:bottom w:val="single" w:sz="4" w:space="1" w:color="auto"/>
              </w:pBdr>
              <w:topLinePunct/>
              <w:snapToGrid w:val="0"/>
              <w:spacing w:line="360" w:lineRule="auto"/>
              <w:rPr>
                <w:rFonts w:ascii="Times New Roman" w:hAnsi="Times New Roman"/>
                <w:sz w:val="24"/>
              </w:rPr>
            </w:pPr>
            <w:proofErr w:type="spellStart"/>
            <w:r w:rsidRPr="007512FB">
              <w:rPr>
                <w:rFonts w:ascii="Times New Roman" w:eastAsia="Times New Roman" w:hAnsi="Times New Roman"/>
                <w:sz w:val="24"/>
              </w:rPr>
              <w:t>Guanghai</w:t>
            </w:r>
            <w:proofErr w:type="spellEnd"/>
            <w:r w:rsidRPr="007512FB">
              <w:rPr>
                <w:rFonts w:ascii="Times New Roman" w:eastAsia="Times New Roman" w:hAnsi="Times New Roman"/>
                <w:sz w:val="24"/>
              </w:rPr>
              <w:t xml:space="preserve"> Dai</w:t>
            </w:r>
          </w:p>
        </w:tc>
        <w:tc>
          <w:tcPr>
            <w:tcW w:w="3052" w:type="dxa"/>
          </w:tcPr>
          <w:p w14:paraId="30FB0941" w14:textId="77777777" w:rsidR="00DE4AFD" w:rsidRPr="007512FB" w:rsidRDefault="00DE4AFD" w:rsidP="007106D0">
            <w:pPr>
              <w:pStyle w:val="13"/>
              <w:pBdr>
                <w:bottom w:val="single" w:sz="4" w:space="1" w:color="auto"/>
              </w:pBdr>
              <w:topLinePunct/>
              <w:snapToGrid w:val="0"/>
              <w:spacing w:line="360" w:lineRule="auto"/>
              <w:rPr>
                <w:rFonts w:ascii="Times New Roman" w:hAnsi="Times New Roman"/>
                <w:sz w:val="24"/>
              </w:rPr>
            </w:pPr>
          </w:p>
        </w:tc>
        <w:tc>
          <w:tcPr>
            <w:tcW w:w="2920" w:type="dxa"/>
          </w:tcPr>
          <w:p w14:paraId="299ED449" w14:textId="77777777" w:rsidR="00DE4AFD" w:rsidRPr="007512FB" w:rsidRDefault="00DE4AFD" w:rsidP="007106D0">
            <w:pPr>
              <w:pStyle w:val="13"/>
              <w:pBdr>
                <w:bottom w:val="single" w:sz="4" w:space="1" w:color="auto"/>
              </w:pBdr>
              <w:topLinePunct/>
              <w:snapToGrid w:val="0"/>
              <w:spacing w:line="360" w:lineRule="auto"/>
              <w:rPr>
                <w:rFonts w:ascii="Times New Roman" w:hAnsi="Times New Roman"/>
                <w:sz w:val="24"/>
              </w:rPr>
            </w:pPr>
          </w:p>
        </w:tc>
      </w:tr>
      <w:tr w:rsidR="00DE4AFD" w:rsidRPr="007512FB" w14:paraId="06A0BFBF" w14:textId="77777777" w:rsidTr="003F7776">
        <w:tc>
          <w:tcPr>
            <w:tcW w:w="3270" w:type="dxa"/>
          </w:tcPr>
          <w:p w14:paraId="16E231DF" w14:textId="77777777" w:rsidR="00DE4AFD" w:rsidRPr="007512FB" w:rsidRDefault="004A4F56" w:rsidP="007106D0">
            <w:pPr>
              <w:pStyle w:val="13"/>
              <w:topLinePunct/>
              <w:snapToGrid w:val="0"/>
              <w:spacing w:line="360" w:lineRule="auto"/>
              <w:rPr>
                <w:rFonts w:ascii="Times New Roman" w:hAnsi="Times New Roman"/>
                <w:sz w:val="24"/>
              </w:rPr>
            </w:pPr>
            <w:r w:rsidRPr="007512FB">
              <w:rPr>
                <w:rFonts w:ascii="Times New Roman" w:eastAsia="Times New Roman" w:hAnsi="Times New Roman"/>
                <w:sz w:val="24"/>
              </w:rPr>
              <w:t>Principal Investigator (Print)</w:t>
            </w:r>
          </w:p>
        </w:tc>
        <w:tc>
          <w:tcPr>
            <w:tcW w:w="3052" w:type="dxa"/>
          </w:tcPr>
          <w:p w14:paraId="7EA003C3" w14:textId="77777777" w:rsidR="00DE4AFD" w:rsidRPr="007512FB" w:rsidRDefault="004A4F56" w:rsidP="00A246D6">
            <w:pPr>
              <w:pStyle w:val="13"/>
              <w:topLinePunct/>
              <w:snapToGrid w:val="0"/>
              <w:spacing w:line="360" w:lineRule="auto"/>
              <w:jc w:val="left"/>
              <w:rPr>
                <w:rFonts w:ascii="Times New Roman" w:hAnsi="Times New Roman"/>
                <w:sz w:val="24"/>
              </w:rPr>
            </w:pPr>
            <w:r w:rsidRPr="007512FB">
              <w:rPr>
                <w:rFonts w:ascii="Times New Roman" w:eastAsia="Times New Roman" w:hAnsi="Times New Roman"/>
                <w:sz w:val="24"/>
              </w:rPr>
              <w:t>Principal Investigator (Signature)</w:t>
            </w:r>
          </w:p>
        </w:tc>
        <w:tc>
          <w:tcPr>
            <w:tcW w:w="2920" w:type="dxa"/>
          </w:tcPr>
          <w:p w14:paraId="5BBD422E" w14:textId="77777777" w:rsidR="00DE4AFD" w:rsidRPr="007512FB" w:rsidRDefault="004A4F56" w:rsidP="00A246D6">
            <w:pPr>
              <w:pStyle w:val="13"/>
              <w:topLinePunct/>
              <w:snapToGrid w:val="0"/>
              <w:spacing w:line="360" w:lineRule="auto"/>
              <w:jc w:val="left"/>
              <w:rPr>
                <w:rFonts w:ascii="Times New Roman" w:hAnsi="Times New Roman"/>
                <w:sz w:val="24"/>
              </w:rPr>
            </w:pPr>
            <w:r w:rsidRPr="007512FB">
              <w:rPr>
                <w:rFonts w:ascii="Times New Roman" w:eastAsia="Times New Roman" w:hAnsi="Times New Roman"/>
                <w:sz w:val="24"/>
              </w:rPr>
              <w:t>Date of Signature (MM/DD/YYYY)</w:t>
            </w:r>
          </w:p>
        </w:tc>
      </w:tr>
    </w:tbl>
    <w:p w14:paraId="5FE8BE7A" w14:textId="77777777" w:rsidR="00DE4AFD" w:rsidRPr="00303844" w:rsidRDefault="00DE4AFD" w:rsidP="00253A8A">
      <w:pPr>
        <w:snapToGrid w:val="0"/>
        <w:rPr>
          <w:rFonts w:ascii="Times New Roman" w:eastAsia="宋体" w:hAnsi="Times New Roman" w:cs="Times New Roman"/>
          <w:u w:val="single"/>
        </w:rPr>
      </w:pPr>
    </w:p>
    <w:p w14:paraId="7EE04215" w14:textId="77777777" w:rsidR="00DE4AFD" w:rsidRPr="00303844" w:rsidRDefault="00DE4AFD" w:rsidP="00253A8A">
      <w:pPr>
        <w:snapToGrid w:val="0"/>
        <w:rPr>
          <w:rFonts w:ascii="Times New Roman" w:eastAsia="宋体" w:hAnsi="Times New Roman" w:cs="Times New Roman"/>
        </w:rPr>
      </w:pPr>
    </w:p>
    <w:tbl>
      <w:tblPr>
        <w:tblW w:w="5000" w:type="pct"/>
        <w:tblLayout w:type="fixed"/>
        <w:tblCellMar>
          <w:left w:w="57" w:type="dxa"/>
          <w:right w:w="57" w:type="dxa"/>
        </w:tblCellMar>
        <w:tblLook w:val="04A0" w:firstRow="1" w:lastRow="0" w:firstColumn="1" w:lastColumn="0" w:noHBand="0" w:noVBand="1"/>
      </w:tblPr>
      <w:tblGrid>
        <w:gridCol w:w="3193"/>
        <w:gridCol w:w="2981"/>
        <w:gridCol w:w="2852"/>
      </w:tblGrid>
      <w:tr w:rsidR="00DE4AFD" w:rsidRPr="007512FB" w14:paraId="4C838CB7" w14:textId="77777777" w:rsidTr="003F7776">
        <w:tc>
          <w:tcPr>
            <w:tcW w:w="3270" w:type="dxa"/>
          </w:tcPr>
          <w:p w14:paraId="7C5411D1" w14:textId="0422A992" w:rsidR="00DE4AFD" w:rsidRPr="007512FB" w:rsidRDefault="00C37749" w:rsidP="007106D0">
            <w:pPr>
              <w:pStyle w:val="13"/>
              <w:pBdr>
                <w:bottom w:val="single" w:sz="4" w:space="1" w:color="auto"/>
              </w:pBdr>
              <w:topLinePunct/>
              <w:snapToGrid w:val="0"/>
              <w:spacing w:line="360" w:lineRule="auto"/>
              <w:rPr>
                <w:rFonts w:ascii="Times New Roman" w:hAnsi="Times New Roman"/>
                <w:sz w:val="24"/>
              </w:rPr>
            </w:pPr>
            <w:proofErr w:type="spellStart"/>
            <w:r w:rsidRPr="007512FB">
              <w:rPr>
                <w:rFonts w:ascii="Times New Roman" w:eastAsia="Times New Roman" w:hAnsi="Times New Roman"/>
                <w:sz w:val="24"/>
              </w:rPr>
              <w:t>Quanli</w:t>
            </w:r>
            <w:proofErr w:type="spellEnd"/>
            <w:r w:rsidRPr="007512FB">
              <w:rPr>
                <w:rFonts w:ascii="Times New Roman" w:eastAsia="Times New Roman" w:hAnsi="Times New Roman"/>
                <w:sz w:val="24"/>
              </w:rPr>
              <w:t xml:space="preserve"> Han</w:t>
            </w:r>
          </w:p>
        </w:tc>
        <w:tc>
          <w:tcPr>
            <w:tcW w:w="3052" w:type="dxa"/>
          </w:tcPr>
          <w:p w14:paraId="403C783C" w14:textId="77777777" w:rsidR="00DE4AFD" w:rsidRPr="007512FB" w:rsidRDefault="00DE4AFD" w:rsidP="007106D0">
            <w:pPr>
              <w:pStyle w:val="13"/>
              <w:pBdr>
                <w:bottom w:val="single" w:sz="4" w:space="1" w:color="auto"/>
              </w:pBdr>
              <w:topLinePunct/>
              <w:snapToGrid w:val="0"/>
              <w:spacing w:line="360" w:lineRule="auto"/>
              <w:rPr>
                <w:rFonts w:ascii="Times New Roman" w:hAnsi="Times New Roman"/>
                <w:sz w:val="24"/>
              </w:rPr>
            </w:pPr>
          </w:p>
        </w:tc>
        <w:tc>
          <w:tcPr>
            <w:tcW w:w="2920" w:type="dxa"/>
          </w:tcPr>
          <w:p w14:paraId="6ADD72A1" w14:textId="77777777" w:rsidR="00DE4AFD" w:rsidRPr="007512FB" w:rsidRDefault="00DE4AFD" w:rsidP="007106D0">
            <w:pPr>
              <w:pStyle w:val="13"/>
              <w:pBdr>
                <w:bottom w:val="single" w:sz="4" w:space="1" w:color="auto"/>
              </w:pBdr>
              <w:topLinePunct/>
              <w:snapToGrid w:val="0"/>
              <w:spacing w:line="360" w:lineRule="auto"/>
              <w:rPr>
                <w:rFonts w:ascii="Times New Roman" w:hAnsi="Times New Roman"/>
                <w:sz w:val="24"/>
              </w:rPr>
            </w:pPr>
          </w:p>
        </w:tc>
      </w:tr>
      <w:tr w:rsidR="00DE4AFD" w:rsidRPr="007512FB" w14:paraId="04BAD751" w14:textId="77777777" w:rsidTr="003F7776">
        <w:tc>
          <w:tcPr>
            <w:tcW w:w="3270" w:type="dxa"/>
          </w:tcPr>
          <w:p w14:paraId="6DBA16A1" w14:textId="77777777" w:rsidR="00DE4AFD" w:rsidRPr="007512FB" w:rsidRDefault="004A4F56" w:rsidP="007106D0">
            <w:pPr>
              <w:pStyle w:val="13"/>
              <w:topLinePunct/>
              <w:snapToGrid w:val="0"/>
              <w:spacing w:line="360" w:lineRule="auto"/>
              <w:rPr>
                <w:rFonts w:ascii="Times New Roman" w:hAnsi="Times New Roman"/>
                <w:sz w:val="24"/>
              </w:rPr>
            </w:pPr>
            <w:r w:rsidRPr="007512FB">
              <w:rPr>
                <w:rFonts w:ascii="Times New Roman" w:eastAsia="Times New Roman" w:hAnsi="Times New Roman"/>
                <w:sz w:val="24"/>
              </w:rPr>
              <w:t>Principal Investigator (Print)</w:t>
            </w:r>
          </w:p>
        </w:tc>
        <w:tc>
          <w:tcPr>
            <w:tcW w:w="3052" w:type="dxa"/>
          </w:tcPr>
          <w:p w14:paraId="170309A3" w14:textId="77777777" w:rsidR="00DE4AFD" w:rsidRPr="007512FB" w:rsidRDefault="004A4F56" w:rsidP="00A246D6">
            <w:pPr>
              <w:pStyle w:val="13"/>
              <w:topLinePunct/>
              <w:snapToGrid w:val="0"/>
              <w:spacing w:line="360" w:lineRule="auto"/>
              <w:jc w:val="left"/>
              <w:rPr>
                <w:rFonts w:ascii="Times New Roman" w:hAnsi="Times New Roman"/>
                <w:sz w:val="24"/>
              </w:rPr>
            </w:pPr>
            <w:r w:rsidRPr="007512FB">
              <w:rPr>
                <w:rFonts w:ascii="Times New Roman" w:eastAsia="Times New Roman" w:hAnsi="Times New Roman"/>
                <w:sz w:val="24"/>
              </w:rPr>
              <w:t>Principal Investigator (Signature)</w:t>
            </w:r>
          </w:p>
        </w:tc>
        <w:tc>
          <w:tcPr>
            <w:tcW w:w="2920" w:type="dxa"/>
          </w:tcPr>
          <w:p w14:paraId="6A958276" w14:textId="77777777" w:rsidR="00DE4AFD" w:rsidRPr="007512FB" w:rsidRDefault="004A4F56" w:rsidP="00A246D6">
            <w:pPr>
              <w:pStyle w:val="13"/>
              <w:topLinePunct/>
              <w:snapToGrid w:val="0"/>
              <w:spacing w:line="360" w:lineRule="auto"/>
              <w:jc w:val="left"/>
              <w:rPr>
                <w:rFonts w:ascii="Times New Roman" w:hAnsi="Times New Roman"/>
                <w:sz w:val="24"/>
              </w:rPr>
            </w:pPr>
            <w:r w:rsidRPr="007512FB">
              <w:rPr>
                <w:rFonts w:ascii="Times New Roman" w:eastAsia="Times New Roman" w:hAnsi="Times New Roman"/>
                <w:sz w:val="24"/>
              </w:rPr>
              <w:t>Date of Signature (MM/DD/YYYY)</w:t>
            </w:r>
          </w:p>
        </w:tc>
      </w:tr>
    </w:tbl>
    <w:p w14:paraId="31E5CDEC" w14:textId="77777777" w:rsidR="00DE4AFD" w:rsidRPr="00303844" w:rsidRDefault="004A4F56" w:rsidP="000C622D">
      <w:pPr>
        <w:widowControl/>
        <w:spacing w:line="360" w:lineRule="auto"/>
        <w:rPr>
          <w:rFonts w:ascii="Times New Roman" w:eastAsia="宋体" w:hAnsi="Times New Roman" w:cs="Times New Roman"/>
          <w:b/>
          <w:sz w:val="32"/>
          <w:szCs w:val="32"/>
        </w:rPr>
      </w:pPr>
      <w:r w:rsidRPr="00303844">
        <w:rPr>
          <w:rFonts w:ascii="Times New Roman" w:eastAsia="宋体" w:hAnsi="Times New Roman" w:cs="Times New Roman"/>
          <w:b/>
          <w:sz w:val="32"/>
          <w:szCs w:val="32"/>
        </w:rPr>
        <w:br w:type="page"/>
      </w:r>
    </w:p>
    <w:p w14:paraId="581998E5" w14:textId="77777777" w:rsidR="00DE4AFD" w:rsidRPr="00303844" w:rsidRDefault="004A4F56" w:rsidP="000C622D">
      <w:pPr>
        <w:spacing w:line="360" w:lineRule="auto"/>
        <w:jc w:val="center"/>
        <w:rPr>
          <w:rFonts w:ascii="Times New Roman" w:eastAsia="宋体" w:hAnsi="Times New Roman" w:cs="Times New Roman"/>
          <w:b/>
          <w:sz w:val="32"/>
          <w:szCs w:val="32"/>
        </w:rPr>
      </w:pPr>
      <w:r w:rsidRPr="00303844">
        <w:rPr>
          <w:rFonts w:ascii="Times New Roman" w:eastAsia="Times New Roman" w:hAnsi="Times New Roman" w:cs="Times New Roman"/>
          <w:b/>
          <w:bCs/>
          <w:sz w:val="32"/>
          <w:szCs w:val="32"/>
        </w:rPr>
        <w:lastRenderedPageBreak/>
        <w:t xml:space="preserve">Protocol Signature Page of Principal Investigator </w:t>
      </w:r>
    </w:p>
    <w:p w14:paraId="690B71F0" w14:textId="77777777" w:rsidR="00DE4AFD" w:rsidRPr="00303844" w:rsidRDefault="00DE4AFD" w:rsidP="00253A8A">
      <w:pPr>
        <w:snapToGrid w:val="0"/>
        <w:rPr>
          <w:rFonts w:ascii="Times New Roman" w:eastAsia="宋体" w:hAnsi="Times New Roman" w:cs="Times New Roman"/>
          <w:b/>
          <w:bCs/>
        </w:rPr>
      </w:pPr>
    </w:p>
    <w:p w14:paraId="771F01D7" w14:textId="77777777" w:rsidR="00DE4AFD" w:rsidRPr="00303844" w:rsidRDefault="00DE4AFD" w:rsidP="00253A8A">
      <w:pPr>
        <w:snapToGrid w:val="0"/>
        <w:ind w:firstLineChars="200" w:firstLine="420"/>
        <w:rPr>
          <w:rFonts w:ascii="Times New Roman" w:eastAsia="宋体" w:hAnsi="Times New Roman" w:cs="Times New Roman"/>
        </w:rPr>
      </w:pPr>
    </w:p>
    <w:p w14:paraId="7B968665" w14:textId="77777777" w:rsidR="00DE4AFD" w:rsidRPr="00303844" w:rsidRDefault="004A4F56" w:rsidP="00A23816">
      <w:pPr>
        <w:snapToGrid w:val="0"/>
        <w:spacing w:line="360" w:lineRule="auto"/>
        <w:rPr>
          <w:rFonts w:ascii="Times New Roman" w:eastAsia="宋体" w:hAnsi="Times New Roman" w:cs="Times New Roman"/>
          <w:sz w:val="24"/>
        </w:rPr>
      </w:pPr>
      <w:r w:rsidRPr="00303844">
        <w:rPr>
          <w:rFonts w:ascii="Times New Roman" w:eastAsia="Times New Roman" w:hAnsi="Times New Roman" w:cs="Times New Roman"/>
          <w:sz w:val="24"/>
          <w:szCs w:val="24"/>
        </w:rPr>
        <w:t xml:space="preserve">I will diligently perform the duties of an investigator in accordance with Chinese GCP regulations, personally participate in or directly supervise this clinical study. I have received the Investigator's Brochure for the investigational product of this clinical trial; I am aware of and have read the preclinical study information of the investigational product and the protocol of this clinical trial. I agree to perform relevant duties in accordance with Chinese law, the Declaration of Helsinki, Chinese GCP, and this study protocol. </w:t>
      </w:r>
      <w:r w:rsidRPr="00303844">
        <w:rPr>
          <w:rFonts w:ascii="Times New Roman" w:eastAsia="Times New Roman" w:hAnsi="Times New Roman" w:cs="Times New Roman"/>
          <w:color w:val="333333"/>
          <w:sz w:val="24"/>
          <w:szCs w:val="24"/>
        </w:rPr>
        <w:t>I will be responsible for making clinically relevant medical decisions, ensuring that subjects receive timely and appropriate treatment in the event of adverse events (AEs) during the study, and recording and reporting these AEs in accordance with national regulations.</w:t>
      </w:r>
      <w:r w:rsidRPr="00303844">
        <w:rPr>
          <w:rFonts w:ascii="Times New Roman" w:eastAsia="Times New Roman" w:hAnsi="Times New Roman" w:cs="Times New Roman"/>
          <w:sz w:val="24"/>
          <w:szCs w:val="24"/>
        </w:rPr>
        <w:t xml:space="preserve"> I assure that the data will be recorded truthfully, accurately, completely, and timely. I will accept institutional supervision and inspection throughout the clinical study, conduct regular self-inspections of the clinical study I am responsible for, report relevant matters timely and truthfully, and ensure the quality of the clinical trial. I commit to keeping the personal information of subjects and related matters confidential. I agree to disclose my full name and profession to the sponsor, agree to disclose expenses related to the clinical study upon request, and agree to prohibit commercial or economic activities related to this trial. I agree that the study results may be published publicly. </w:t>
      </w:r>
    </w:p>
    <w:p w14:paraId="58AEC31B" w14:textId="77777777" w:rsidR="00DE4AFD" w:rsidRPr="00303844" w:rsidRDefault="00DE4AFD" w:rsidP="000C622D">
      <w:pPr>
        <w:snapToGrid w:val="0"/>
        <w:spacing w:line="360" w:lineRule="auto"/>
        <w:rPr>
          <w:rFonts w:ascii="Times New Roman" w:eastAsia="宋体" w:hAnsi="Times New Roman" w:cs="Times New Roman"/>
          <w:b/>
          <w:bCs/>
          <w:sz w:val="24"/>
        </w:rPr>
      </w:pPr>
    </w:p>
    <w:p w14:paraId="437FCABC" w14:textId="77777777" w:rsidR="00DE4AFD" w:rsidRPr="00303844" w:rsidRDefault="00DE4AFD" w:rsidP="000C622D">
      <w:pPr>
        <w:snapToGrid w:val="0"/>
        <w:spacing w:line="360" w:lineRule="auto"/>
        <w:rPr>
          <w:rFonts w:ascii="Times New Roman" w:eastAsia="宋体" w:hAnsi="Times New Roman" w:cs="Times New Roman"/>
          <w:b/>
          <w:bCs/>
          <w:sz w:val="24"/>
        </w:rPr>
      </w:pPr>
    </w:p>
    <w:p w14:paraId="189165AA" w14:textId="77777777" w:rsidR="00DE4AFD" w:rsidRPr="00303844" w:rsidRDefault="004A4F56" w:rsidP="000C622D">
      <w:pPr>
        <w:snapToGrid w:val="0"/>
        <w:spacing w:line="360" w:lineRule="auto"/>
        <w:rPr>
          <w:rFonts w:ascii="Times New Roman" w:eastAsia="宋体" w:hAnsi="Times New Roman" w:cs="Times New Roman"/>
          <w:sz w:val="24"/>
        </w:rPr>
      </w:pPr>
      <w:r w:rsidRPr="00303844">
        <w:rPr>
          <w:rFonts w:ascii="Times New Roman" w:eastAsia="Times New Roman" w:hAnsi="Times New Roman" w:cs="Times New Roman"/>
          <w:b/>
          <w:bCs/>
          <w:sz w:val="24"/>
          <w:szCs w:val="24"/>
        </w:rPr>
        <w:t xml:space="preserve">Study Institution: </w:t>
      </w:r>
      <w:r w:rsidRPr="00303844">
        <w:rPr>
          <w:rFonts w:ascii="Times New Roman" w:eastAsia="Times New Roman" w:hAnsi="Times New Roman" w:cs="Times New Roman"/>
          <w:sz w:val="24"/>
          <w:szCs w:val="24"/>
        </w:rPr>
        <w:t>Chinese PLA General Hospital</w:t>
      </w:r>
    </w:p>
    <w:p w14:paraId="1CF5FCA8" w14:textId="77777777" w:rsidR="00DE4AFD" w:rsidRPr="00303844" w:rsidRDefault="00DE4AFD" w:rsidP="00253A8A">
      <w:pPr>
        <w:snapToGrid w:val="0"/>
        <w:rPr>
          <w:rFonts w:ascii="Times New Roman" w:eastAsia="宋体" w:hAnsi="Times New Roman" w:cs="Times New Roman"/>
        </w:rPr>
      </w:pPr>
    </w:p>
    <w:p w14:paraId="76624597" w14:textId="77777777" w:rsidR="00DE4AFD" w:rsidRPr="00303844" w:rsidRDefault="00DE4AFD" w:rsidP="000C622D">
      <w:pPr>
        <w:snapToGrid w:val="0"/>
        <w:spacing w:line="360" w:lineRule="auto"/>
        <w:rPr>
          <w:rFonts w:ascii="Times New Roman" w:eastAsia="宋体" w:hAnsi="Times New Roman" w:cs="Times New Roman"/>
          <w:sz w:val="24"/>
          <w:szCs w:val="24"/>
        </w:rPr>
      </w:pPr>
    </w:p>
    <w:tbl>
      <w:tblPr>
        <w:tblW w:w="5000" w:type="pct"/>
        <w:tblLayout w:type="fixed"/>
        <w:tblCellMar>
          <w:left w:w="57" w:type="dxa"/>
          <w:right w:w="57" w:type="dxa"/>
        </w:tblCellMar>
        <w:tblLook w:val="04A0" w:firstRow="1" w:lastRow="0" w:firstColumn="1" w:lastColumn="0" w:noHBand="0" w:noVBand="1"/>
      </w:tblPr>
      <w:tblGrid>
        <w:gridCol w:w="3193"/>
        <w:gridCol w:w="2981"/>
        <w:gridCol w:w="2852"/>
      </w:tblGrid>
      <w:tr w:rsidR="00DE4AFD" w:rsidRPr="00723B81" w14:paraId="19080E99" w14:textId="77777777" w:rsidTr="003F7776">
        <w:tc>
          <w:tcPr>
            <w:tcW w:w="3270" w:type="dxa"/>
          </w:tcPr>
          <w:p w14:paraId="3314A519" w14:textId="076D1A11" w:rsidR="00DE4AFD" w:rsidRPr="00723B81" w:rsidRDefault="00C37749" w:rsidP="00A23816">
            <w:pPr>
              <w:pStyle w:val="13"/>
              <w:pBdr>
                <w:bottom w:val="single" w:sz="4" w:space="1" w:color="auto"/>
              </w:pBdr>
              <w:topLinePunct/>
              <w:snapToGrid w:val="0"/>
              <w:spacing w:line="360" w:lineRule="auto"/>
              <w:rPr>
                <w:rFonts w:ascii="Times New Roman" w:hAnsi="Times New Roman"/>
                <w:sz w:val="24"/>
              </w:rPr>
            </w:pPr>
            <w:proofErr w:type="spellStart"/>
            <w:r w:rsidRPr="00723B81">
              <w:rPr>
                <w:rFonts w:ascii="Times New Roman" w:eastAsia="Times New Roman" w:hAnsi="Times New Roman"/>
                <w:sz w:val="24"/>
              </w:rPr>
              <w:t>Guanghai</w:t>
            </w:r>
            <w:proofErr w:type="spellEnd"/>
            <w:r w:rsidRPr="00723B81">
              <w:rPr>
                <w:rFonts w:ascii="Times New Roman" w:eastAsia="Times New Roman" w:hAnsi="Times New Roman"/>
                <w:sz w:val="24"/>
              </w:rPr>
              <w:t xml:space="preserve"> Dai</w:t>
            </w:r>
          </w:p>
        </w:tc>
        <w:tc>
          <w:tcPr>
            <w:tcW w:w="3052" w:type="dxa"/>
          </w:tcPr>
          <w:p w14:paraId="3A0E71A5" w14:textId="77777777" w:rsidR="00DE4AFD" w:rsidRPr="00723B81" w:rsidRDefault="00DE4AFD" w:rsidP="00A23816">
            <w:pPr>
              <w:pStyle w:val="13"/>
              <w:pBdr>
                <w:bottom w:val="single" w:sz="4" w:space="1" w:color="auto"/>
              </w:pBdr>
              <w:topLinePunct/>
              <w:snapToGrid w:val="0"/>
              <w:spacing w:line="360" w:lineRule="auto"/>
              <w:rPr>
                <w:rFonts w:ascii="Times New Roman" w:hAnsi="Times New Roman"/>
                <w:sz w:val="24"/>
              </w:rPr>
            </w:pPr>
          </w:p>
        </w:tc>
        <w:tc>
          <w:tcPr>
            <w:tcW w:w="2920" w:type="dxa"/>
          </w:tcPr>
          <w:p w14:paraId="572A9E4F" w14:textId="77777777" w:rsidR="00DE4AFD" w:rsidRPr="00723B81" w:rsidRDefault="00DE4AFD" w:rsidP="00A23816">
            <w:pPr>
              <w:pStyle w:val="13"/>
              <w:pBdr>
                <w:bottom w:val="single" w:sz="4" w:space="1" w:color="auto"/>
              </w:pBdr>
              <w:topLinePunct/>
              <w:snapToGrid w:val="0"/>
              <w:spacing w:line="360" w:lineRule="auto"/>
              <w:rPr>
                <w:rFonts w:ascii="Times New Roman" w:hAnsi="Times New Roman"/>
                <w:sz w:val="24"/>
              </w:rPr>
            </w:pPr>
          </w:p>
        </w:tc>
      </w:tr>
      <w:tr w:rsidR="00DE4AFD" w:rsidRPr="00723B81" w14:paraId="18A70E40" w14:textId="77777777" w:rsidTr="003F7776">
        <w:tc>
          <w:tcPr>
            <w:tcW w:w="3270" w:type="dxa"/>
          </w:tcPr>
          <w:p w14:paraId="6524CB83" w14:textId="77777777" w:rsidR="00DE4AFD" w:rsidRPr="00723B81" w:rsidRDefault="004A4F56" w:rsidP="00A23816">
            <w:pPr>
              <w:pStyle w:val="13"/>
              <w:topLinePunct/>
              <w:snapToGrid w:val="0"/>
              <w:spacing w:line="360" w:lineRule="auto"/>
              <w:rPr>
                <w:rFonts w:ascii="Times New Roman" w:hAnsi="Times New Roman"/>
                <w:sz w:val="24"/>
              </w:rPr>
            </w:pPr>
            <w:r w:rsidRPr="00723B81">
              <w:rPr>
                <w:rFonts w:ascii="Times New Roman" w:eastAsia="Times New Roman" w:hAnsi="Times New Roman"/>
                <w:sz w:val="24"/>
              </w:rPr>
              <w:t>Principal Investigator (Print)</w:t>
            </w:r>
          </w:p>
        </w:tc>
        <w:tc>
          <w:tcPr>
            <w:tcW w:w="3052" w:type="dxa"/>
          </w:tcPr>
          <w:p w14:paraId="4FA048D1" w14:textId="77777777" w:rsidR="00DE4AFD" w:rsidRPr="00723B81" w:rsidRDefault="004A4F56" w:rsidP="00F94A30">
            <w:pPr>
              <w:pStyle w:val="13"/>
              <w:topLinePunct/>
              <w:snapToGrid w:val="0"/>
              <w:spacing w:line="360" w:lineRule="auto"/>
              <w:jc w:val="left"/>
              <w:rPr>
                <w:rFonts w:ascii="Times New Roman" w:hAnsi="Times New Roman"/>
                <w:sz w:val="24"/>
              </w:rPr>
            </w:pPr>
            <w:r w:rsidRPr="00723B81">
              <w:rPr>
                <w:rFonts w:ascii="Times New Roman" w:eastAsia="Times New Roman" w:hAnsi="Times New Roman"/>
                <w:sz w:val="24"/>
              </w:rPr>
              <w:t>Principal Investigator (Signature)</w:t>
            </w:r>
          </w:p>
        </w:tc>
        <w:tc>
          <w:tcPr>
            <w:tcW w:w="2920" w:type="dxa"/>
          </w:tcPr>
          <w:p w14:paraId="531646CD" w14:textId="77777777" w:rsidR="00DE4AFD" w:rsidRPr="00723B81" w:rsidRDefault="004A4F56" w:rsidP="00F94A30">
            <w:pPr>
              <w:pStyle w:val="13"/>
              <w:topLinePunct/>
              <w:snapToGrid w:val="0"/>
              <w:spacing w:line="360" w:lineRule="auto"/>
              <w:jc w:val="left"/>
              <w:rPr>
                <w:rFonts w:ascii="Times New Roman" w:hAnsi="Times New Roman"/>
                <w:sz w:val="24"/>
              </w:rPr>
            </w:pPr>
            <w:r w:rsidRPr="00723B81">
              <w:rPr>
                <w:rFonts w:ascii="Times New Roman" w:eastAsia="Times New Roman" w:hAnsi="Times New Roman"/>
                <w:sz w:val="24"/>
              </w:rPr>
              <w:t>Date of Signature (MM/DD/YYYY)</w:t>
            </w:r>
          </w:p>
        </w:tc>
      </w:tr>
    </w:tbl>
    <w:p w14:paraId="311102E1" w14:textId="77777777" w:rsidR="00DE4AFD" w:rsidRPr="00303844" w:rsidRDefault="00DE4AFD" w:rsidP="00253A8A">
      <w:pPr>
        <w:rPr>
          <w:rFonts w:ascii="Times New Roman" w:eastAsia="宋体" w:hAnsi="Times New Roman" w:cs="Times New Roman"/>
        </w:rPr>
      </w:pPr>
    </w:p>
    <w:p w14:paraId="74A83AA4" w14:textId="77777777" w:rsidR="00DE4AFD" w:rsidRPr="00303844" w:rsidRDefault="00DE4AFD" w:rsidP="00253A8A">
      <w:pPr>
        <w:rPr>
          <w:rFonts w:ascii="Times New Roman" w:eastAsia="宋体" w:hAnsi="Times New Roman" w:cs="Times New Roman"/>
        </w:rPr>
      </w:pPr>
    </w:p>
    <w:tbl>
      <w:tblPr>
        <w:tblW w:w="5000" w:type="pct"/>
        <w:tblLayout w:type="fixed"/>
        <w:tblCellMar>
          <w:left w:w="57" w:type="dxa"/>
          <w:right w:w="57" w:type="dxa"/>
        </w:tblCellMar>
        <w:tblLook w:val="04A0" w:firstRow="1" w:lastRow="0" w:firstColumn="1" w:lastColumn="0" w:noHBand="0" w:noVBand="1"/>
      </w:tblPr>
      <w:tblGrid>
        <w:gridCol w:w="3193"/>
        <w:gridCol w:w="2981"/>
        <w:gridCol w:w="2852"/>
      </w:tblGrid>
      <w:tr w:rsidR="00DE4AFD" w:rsidRPr="00723B81" w14:paraId="56A74D01" w14:textId="77777777" w:rsidTr="003F7776">
        <w:tc>
          <w:tcPr>
            <w:tcW w:w="3270" w:type="dxa"/>
          </w:tcPr>
          <w:p w14:paraId="74DE9BAA" w14:textId="795E0B6A" w:rsidR="00DE4AFD" w:rsidRPr="00723B81" w:rsidRDefault="00C37749" w:rsidP="00A23816">
            <w:pPr>
              <w:pStyle w:val="13"/>
              <w:pBdr>
                <w:bottom w:val="single" w:sz="4" w:space="1" w:color="auto"/>
              </w:pBdr>
              <w:topLinePunct/>
              <w:snapToGrid w:val="0"/>
              <w:spacing w:line="360" w:lineRule="auto"/>
              <w:rPr>
                <w:rFonts w:ascii="Times New Roman" w:hAnsi="Times New Roman"/>
                <w:sz w:val="24"/>
              </w:rPr>
            </w:pPr>
            <w:proofErr w:type="spellStart"/>
            <w:r w:rsidRPr="00723B81">
              <w:rPr>
                <w:rFonts w:ascii="Times New Roman" w:eastAsia="Times New Roman" w:hAnsi="Times New Roman"/>
                <w:sz w:val="24"/>
              </w:rPr>
              <w:t>Quanli</w:t>
            </w:r>
            <w:proofErr w:type="spellEnd"/>
            <w:r w:rsidRPr="00723B81">
              <w:rPr>
                <w:rFonts w:ascii="Times New Roman" w:eastAsia="Times New Roman" w:hAnsi="Times New Roman"/>
                <w:sz w:val="24"/>
              </w:rPr>
              <w:t xml:space="preserve"> Han</w:t>
            </w:r>
          </w:p>
        </w:tc>
        <w:tc>
          <w:tcPr>
            <w:tcW w:w="3052" w:type="dxa"/>
          </w:tcPr>
          <w:p w14:paraId="1B06ACCA" w14:textId="77777777" w:rsidR="00DE4AFD" w:rsidRPr="00723B81" w:rsidRDefault="00DE4AFD" w:rsidP="00A23816">
            <w:pPr>
              <w:pStyle w:val="13"/>
              <w:pBdr>
                <w:bottom w:val="single" w:sz="4" w:space="1" w:color="auto"/>
              </w:pBdr>
              <w:topLinePunct/>
              <w:snapToGrid w:val="0"/>
              <w:spacing w:line="360" w:lineRule="auto"/>
              <w:rPr>
                <w:rFonts w:ascii="Times New Roman" w:hAnsi="Times New Roman"/>
                <w:sz w:val="24"/>
              </w:rPr>
            </w:pPr>
          </w:p>
        </w:tc>
        <w:tc>
          <w:tcPr>
            <w:tcW w:w="2920" w:type="dxa"/>
          </w:tcPr>
          <w:p w14:paraId="6A1F87BD" w14:textId="77777777" w:rsidR="00DE4AFD" w:rsidRPr="00723B81" w:rsidRDefault="00DE4AFD" w:rsidP="00A23816">
            <w:pPr>
              <w:pStyle w:val="13"/>
              <w:pBdr>
                <w:bottom w:val="single" w:sz="4" w:space="1" w:color="auto"/>
              </w:pBdr>
              <w:topLinePunct/>
              <w:snapToGrid w:val="0"/>
              <w:spacing w:line="360" w:lineRule="auto"/>
              <w:rPr>
                <w:rFonts w:ascii="Times New Roman" w:hAnsi="Times New Roman"/>
                <w:sz w:val="24"/>
              </w:rPr>
            </w:pPr>
          </w:p>
        </w:tc>
      </w:tr>
      <w:tr w:rsidR="00DE4AFD" w:rsidRPr="00723B81" w14:paraId="447E911A" w14:textId="77777777" w:rsidTr="003F7776">
        <w:tc>
          <w:tcPr>
            <w:tcW w:w="3270" w:type="dxa"/>
          </w:tcPr>
          <w:p w14:paraId="6B41F60E" w14:textId="77777777" w:rsidR="00DE4AFD" w:rsidRPr="00723B81" w:rsidRDefault="004A4F56" w:rsidP="00A23816">
            <w:pPr>
              <w:pStyle w:val="13"/>
              <w:topLinePunct/>
              <w:snapToGrid w:val="0"/>
              <w:spacing w:line="360" w:lineRule="auto"/>
              <w:rPr>
                <w:rFonts w:ascii="Times New Roman" w:hAnsi="Times New Roman"/>
                <w:sz w:val="24"/>
              </w:rPr>
            </w:pPr>
            <w:r w:rsidRPr="00723B81">
              <w:rPr>
                <w:rFonts w:ascii="Times New Roman" w:eastAsia="Times New Roman" w:hAnsi="Times New Roman"/>
                <w:sz w:val="24"/>
              </w:rPr>
              <w:t>Principal Investigator (Print)</w:t>
            </w:r>
          </w:p>
        </w:tc>
        <w:tc>
          <w:tcPr>
            <w:tcW w:w="3052" w:type="dxa"/>
          </w:tcPr>
          <w:p w14:paraId="5C8956FE" w14:textId="77777777" w:rsidR="00DE4AFD" w:rsidRPr="00723B81" w:rsidRDefault="004A4F56" w:rsidP="00F94A30">
            <w:pPr>
              <w:pStyle w:val="13"/>
              <w:topLinePunct/>
              <w:snapToGrid w:val="0"/>
              <w:spacing w:line="360" w:lineRule="auto"/>
              <w:jc w:val="left"/>
              <w:rPr>
                <w:rFonts w:ascii="Times New Roman" w:hAnsi="Times New Roman"/>
                <w:sz w:val="24"/>
              </w:rPr>
            </w:pPr>
            <w:r w:rsidRPr="00723B81">
              <w:rPr>
                <w:rFonts w:ascii="Times New Roman" w:eastAsia="Times New Roman" w:hAnsi="Times New Roman"/>
                <w:sz w:val="24"/>
              </w:rPr>
              <w:t>Principal Investigator (Signature)</w:t>
            </w:r>
          </w:p>
        </w:tc>
        <w:tc>
          <w:tcPr>
            <w:tcW w:w="2920" w:type="dxa"/>
          </w:tcPr>
          <w:p w14:paraId="1BDB3B4C" w14:textId="77777777" w:rsidR="00DE4AFD" w:rsidRPr="00723B81" w:rsidRDefault="004A4F56" w:rsidP="00F94A30">
            <w:pPr>
              <w:pStyle w:val="13"/>
              <w:topLinePunct/>
              <w:snapToGrid w:val="0"/>
              <w:spacing w:line="360" w:lineRule="auto"/>
              <w:jc w:val="left"/>
              <w:rPr>
                <w:rFonts w:ascii="Times New Roman" w:hAnsi="Times New Roman"/>
                <w:sz w:val="24"/>
              </w:rPr>
            </w:pPr>
            <w:r w:rsidRPr="00723B81">
              <w:rPr>
                <w:rFonts w:ascii="Times New Roman" w:eastAsia="Times New Roman" w:hAnsi="Times New Roman"/>
                <w:sz w:val="24"/>
              </w:rPr>
              <w:t>Date of Signature (MM/DD/YYYY)</w:t>
            </w:r>
          </w:p>
        </w:tc>
      </w:tr>
    </w:tbl>
    <w:p w14:paraId="469158A7" w14:textId="77777777" w:rsidR="00DE4AFD" w:rsidRPr="00303844" w:rsidRDefault="004A4F56" w:rsidP="00253A8A">
      <w:pPr>
        <w:rPr>
          <w:rFonts w:ascii="Times New Roman" w:eastAsia="宋体" w:hAnsi="Times New Roman" w:cs="Times New Roman"/>
        </w:rPr>
      </w:pPr>
      <w:r w:rsidRPr="00303844">
        <w:rPr>
          <w:rFonts w:ascii="Times New Roman" w:eastAsia="宋体" w:hAnsi="Times New Roman" w:cs="Times New Roman"/>
        </w:rPr>
        <w:br w:type="page"/>
      </w:r>
    </w:p>
    <w:p w14:paraId="4249D4F0" w14:textId="77777777" w:rsidR="00DE4AFD" w:rsidRPr="00303844" w:rsidRDefault="00DE4AFD" w:rsidP="00253A8A">
      <w:pPr>
        <w:widowControl/>
        <w:rPr>
          <w:rFonts w:ascii="Times New Roman" w:eastAsia="宋体" w:hAnsi="Times New Roman" w:cs="Times New Roman"/>
        </w:rPr>
        <w:sectPr w:rsidR="00DE4AFD" w:rsidRPr="00303844" w:rsidSect="008C3018">
          <w:headerReference w:type="default" r:id="rId8"/>
          <w:footerReference w:type="default" r:id="rId9"/>
          <w:pgSz w:w="11906" w:h="16838"/>
          <w:pgMar w:top="1440" w:right="1440" w:bottom="1440" w:left="1440" w:header="1020" w:footer="737" w:gutter="0"/>
          <w:cols w:space="720"/>
          <w:docGrid w:type="lines" w:linePitch="312"/>
        </w:sectPr>
      </w:pPr>
    </w:p>
    <w:p w14:paraId="1FAE4BE7" w14:textId="77777777" w:rsidR="00DE4AFD" w:rsidRPr="00303844" w:rsidRDefault="004A4F56" w:rsidP="000C622D">
      <w:pPr>
        <w:pStyle w:val="afb"/>
        <w:rPr>
          <w:rFonts w:eastAsia="宋体"/>
          <w:sz w:val="32"/>
          <w:szCs w:val="32"/>
        </w:rPr>
      </w:pPr>
      <w:bookmarkStart w:id="4" w:name="_Toc184889595"/>
      <w:r w:rsidRPr="00303844">
        <w:rPr>
          <w:rFonts w:eastAsia="Times New Roman"/>
          <w:sz w:val="32"/>
          <w:szCs w:val="32"/>
        </w:rPr>
        <w:lastRenderedPageBreak/>
        <w:t>Table of Contents</w:t>
      </w:r>
      <w:bookmarkEnd w:id="4"/>
    </w:p>
    <w:p w14:paraId="7CA2AAC4" w14:textId="77777777" w:rsidR="00DE4AFD" w:rsidRPr="00303844" w:rsidRDefault="00DE4AFD" w:rsidP="000C622D">
      <w:pPr>
        <w:pStyle w:val="TOC1"/>
        <w:ind w:left="600" w:hanging="600"/>
      </w:pPr>
    </w:p>
    <w:p w14:paraId="2B0F97C2" w14:textId="552DE624" w:rsidR="0065714C" w:rsidRPr="00A3122A" w:rsidRDefault="004A4F56" w:rsidP="00A3122A">
      <w:pPr>
        <w:pStyle w:val="TOC1"/>
        <w:tabs>
          <w:tab w:val="clear" w:pos="9016"/>
          <w:tab w:val="right" w:leader="dot" w:pos="8931"/>
        </w:tabs>
        <w:ind w:left="600" w:hanging="600"/>
        <w:rPr>
          <w:rFonts w:asciiTheme="minorHAnsi" w:eastAsiaTheme="minorEastAsia" w:hAnsiTheme="minorHAnsi" w:cstheme="minorBidi"/>
          <w:noProof/>
          <w:kern w:val="2"/>
          <w:lang w:val="en-US" w:eastAsia="zh-CN"/>
          <w14:ligatures w14:val="standardContextual"/>
        </w:rPr>
      </w:pPr>
      <w:r w:rsidRPr="00303844">
        <w:fldChar w:fldCharType="begin"/>
      </w:r>
      <w:r w:rsidRPr="00303844">
        <w:instrText xml:space="preserve"> TOC \o "1-3" \h \z \u </w:instrText>
      </w:r>
      <w:r w:rsidRPr="00303844">
        <w:fldChar w:fldCharType="separate"/>
      </w:r>
      <w:hyperlink w:anchor="_Toc184889595" w:history="1">
        <w:r w:rsidR="0065714C" w:rsidRPr="00A3122A">
          <w:rPr>
            <w:rStyle w:val="af9"/>
            <w:rFonts w:hint="eastAsia"/>
            <w:noProof/>
          </w:rPr>
          <w:t>Table of Contents</w:t>
        </w:r>
        <w:r w:rsidR="0065714C" w:rsidRPr="00A3122A">
          <w:rPr>
            <w:rFonts w:hint="eastAsia"/>
            <w:noProof/>
            <w:webHidden/>
          </w:rPr>
          <w:tab/>
        </w:r>
        <w:r w:rsidR="0065714C" w:rsidRPr="00A3122A">
          <w:rPr>
            <w:rFonts w:hint="eastAsia"/>
            <w:noProof/>
            <w:webHidden/>
          </w:rPr>
          <w:fldChar w:fldCharType="begin"/>
        </w:r>
        <w:r w:rsidR="0065714C" w:rsidRPr="00A3122A">
          <w:rPr>
            <w:rFonts w:hint="eastAsia"/>
            <w:noProof/>
            <w:webHidden/>
          </w:rPr>
          <w:instrText xml:space="preserve"> </w:instrText>
        </w:r>
        <w:r w:rsidR="0065714C" w:rsidRPr="00A3122A">
          <w:rPr>
            <w:noProof/>
            <w:webHidden/>
          </w:rPr>
          <w:instrText>PAGEREF _Toc184889595 \h</w:instrText>
        </w:r>
        <w:r w:rsidR="0065714C" w:rsidRPr="00A3122A">
          <w:rPr>
            <w:rFonts w:hint="eastAsia"/>
            <w:noProof/>
            <w:webHidden/>
          </w:rPr>
          <w:instrText xml:space="preserve"> </w:instrText>
        </w:r>
        <w:r w:rsidR="0065714C" w:rsidRPr="00A3122A">
          <w:rPr>
            <w:rFonts w:hint="eastAsia"/>
            <w:noProof/>
            <w:webHidden/>
          </w:rPr>
        </w:r>
        <w:r w:rsidR="0065714C" w:rsidRPr="00A3122A">
          <w:rPr>
            <w:rFonts w:hint="eastAsia"/>
            <w:noProof/>
            <w:webHidden/>
          </w:rPr>
          <w:fldChar w:fldCharType="separate"/>
        </w:r>
        <w:r w:rsidR="003A75FB">
          <w:rPr>
            <w:noProof/>
            <w:webHidden/>
          </w:rPr>
          <w:t>1</w:t>
        </w:r>
        <w:r w:rsidR="0065714C" w:rsidRPr="00A3122A">
          <w:rPr>
            <w:rFonts w:hint="eastAsia"/>
            <w:noProof/>
            <w:webHidden/>
          </w:rPr>
          <w:fldChar w:fldCharType="end"/>
        </w:r>
      </w:hyperlink>
    </w:p>
    <w:p w14:paraId="103DC42C" w14:textId="0649091D" w:rsidR="0065714C" w:rsidRPr="00A3122A" w:rsidRDefault="0065714C" w:rsidP="00A3122A">
      <w:pPr>
        <w:pStyle w:val="TOC1"/>
        <w:tabs>
          <w:tab w:val="clear" w:pos="9016"/>
          <w:tab w:val="right" w:leader="dot" w:pos="8931"/>
        </w:tabs>
        <w:ind w:left="600" w:hanging="600"/>
        <w:rPr>
          <w:rFonts w:asciiTheme="minorHAnsi" w:eastAsiaTheme="minorEastAsia" w:hAnsiTheme="minorHAnsi" w:cstheme="minorBidi"/>
          <w:noProof/>
          <w:kern w:val="2"/>
          <w:lang w:val="en-US" w:eastAsia="zh-CN"/>
          <w14:ligatures w14:val="standardContextual"/>
        </w:rPr>
      </w:pPr>
      <w:hyperlink w:anchor="_Toc184889596" w:history="1">
        <w:r w:rsidRPr="00A3122A">
          <w:rPr>
            <w:rStyle w:val="af9"/>
            <w:rFonts w:hint="eastAsia"/>
            <w:b/>
            <w:bCs/>
            <w:noProof/>
          </w:rPr>
          <w:t>Table 1 Study Flowchart</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_Toc184889596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11</w:t>
        </w:r>
        <w:r w:rsidRPr="00A3122A">
          <w:rPr>
            <w:rFonts w:hint="eastAsia"/>
            <w:noProof/>
            <w:webHidden/>
          </w:rPr>
          <w:fldChar w:fldCharType="end"/>
        </w:r>
      </w:hyperlink>
    </w:p>
    <w:p w14:paraId="2C9B9108" w14:textId="08C77FFE" w:rsidR="0065714C" w:rsidRPr="00A3122A" w:rsidRDefault="0065714C" w:rsidP="00A3122A">
      <w:pPr>
        <w:pStyle w:val="TOC1"/>
        <w:tabs>
          <w:tab w:val="clear" w:pos="9016"/>
          <w:tab w:val="right" w:leader="dot" w:pos="8931"/>
        </w:tabs>
        <w:ind w:left="600" w:hanging="600"/>
        <w:rPr>
          <w:rFonts w:asciiTheme="minorHAnsi" w:eastAsiaTheme="minorEastAsia" w:hAnsiTheme="minorHAnsi" w:cstheme="minorBidi"/>
          <w:noProof/>
          <w:kern w:val="2"/>
          <w:lang w:val="en-US" w:eastAsia="zh-CN"/>
          <w14:ligatures w14:val="standardContextual"/>
        </w:rPr>
      </w:pPr>
      <w:hyperlink w:anchor="_Toc184889597" w:history="1">
        <w:r w:rsidRPr="00A3122A">
          <w:rPr>
            <w:rStyle w:val="af9"/>
            <w:rFonts w:hint="eastAsia"/>
            <w:noProof/>
          </w:rPr>
          <w:t>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Introduction: Study Background and Scientific Rationale</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_Toc184889597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18</w:t>
        </w:r>
        <w:r w:rsidRPr="00A3122A">
          <w:rPr>
            <w:rFonts w:hint="eastAsia"/>
            <w:noProof/>
            <w:webHidden/>
          </w:rPr>
          <w:fldChar w:fldCharType="end"/>
        </w:r>
      </w:hyperlink>
    </w:p>
    <w:p w14:paraId="6717B536" w14:textId="72D2B25A"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598" w:history="1">
        <w:r w:rsidRPr="00A3122A">
          <w:rPr>
            <w:rStyle w:val="af9"/>
            <w:rFonts w:ascii="ti" w:eastAsia="宋体" w:hAnsi="ti" w:hint="eastAsia"/>
            <w:noProof/>
          </w:rPr>
          <w:t>1.1.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Study Background</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_Toc184889598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18</w:t>
        </w:r>
        <w:r w:rsidRPr="00A3122A">
          <w:rPr>
            <w:rFonts w:hint="eastAsia"/>
            <w:noProof/>
            <w:webHidden/>
          </w:rPr>
          <w:fldChar w:fldCharType="end"/>
        </w:r>
      </w:hyperlink>
    </w:p>
    <w:p w14:paraId="138FBDE3" w14:textId="63816926"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599" w:history="1">
        <w:r w:rsidRPr="00A3122A">
          <w:rPr>
            <w:rStyle w:val="af9"/>
            <w:rFonts w:ascii="ti" w:eastAsia="宋体" w:hAnsi="ti" w:hint="eastAsia"/>
            <w:noProof/>
          </w:rPr>
          <w:t>1.2.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Physicochemical Properties and Pharmaceutical Characteristics of the Investigational Product</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_Toc184889599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22</w:t>
        </w:r>
        <w:r w:rsidRPr="00A3122A">
          <w:rPr>
            <w:rFonts w:hint="eastAsia"/>
            <w:noProof/>
            <w:webHidden/>
          </w:rPr>
          <w:fldChar w:fldCharType="end"/>
        </w:r>
      </w:hyperlink>
    </w:p>
    <w:p w14:paraId="0C74606B" w14:textId="339BDC01"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00" w:history="1">
        <w:r w:rsidRPr="00A3122A">
          <w:rPr>
            <w:rStyle w:val="af9"/>
            <w:rFonts w:ascii="ti" w:eastAsia="宋体" w:hAnsi="ti" w:hint="eastAsia"/>
            <w:noProof/>
          </w:rPr>
          <w:t>1.3.</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Preclinical Study Summary</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_Toc184889600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23</w:t>
        </w:r>
        <w:r w:rsidRPr="00A3122A">
          <w:rPr>
            <w:rFonts w:hint="eastAsia"/>
            <w:noProof/>
            <w:webHidden/>
          </w:rPr>
          <w:fldChar w:fldCharType="end"/>
        </w:r>
      </w:hyperlink>
    </w:p>
    <w:p w14:paraId="67A3B020" w14:textId="13A58617"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01" w:history="1">
        <w:r w:rsidRPr="00A3122A">
          <w:rPr>
            <w:rStyle w:val="af9"/>
            <w:rFonts w:hint="eastAsia"/>
            <w:noProof/>
          </w:rPr>
          <w:t>1.3.1.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Preclinical Pharmacodynamic Studies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_Toc184889601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23</w:t>
        </w:r>
        <w:r w:rsidRPr="00A3122A">
          <w:rPr>
            <w:rFonts w:hint="eastAsia"/>
            <w:noProof/>
            <w:webHidden/>
          </w:rPr>
          <w:fldChar w:fldCharType="end"/>
        </w:r>
      </w:hyperlink>
    </w:p>
    <w:p w14:paraId="0DA8B1DE" w14:textId="6F4CF0FB"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02" w:history="1">
        <w:r w:rsidRPr="00A3122A">
          <w:rPr>
            <w:rStyle w:val="af9"/>
            <w:rFonts w:hint="eastAsia"/>
            <w:noProof/>
          </w:rPr>
          <w:t>1.3.2.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Preclinical Toxicology Studies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_Toc184889602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24</w:t>
        </w:r>
        <w:r w:rsidRPr="00A3122A">
          <w:rPr>
            <w:rFonts w:hint="eastAsia"/>
            <w:noProof/>
            <w:webHidden/>
          </w:rPr>
          <w:fldChar w:fldCharType="end"/>
        </w:r>
      </w:hyperlink>
    </w:p>
    <w:p w14:paraId="1BBC36E4" w14:textId="3ED8728F"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03" w:history="1">
        <w:r w:rsidRPr="00A3122A">
          <w:rPr>
            <w:rStyle w:val="af9"/>
            <w:rFonts w:ascii="ti" w:eastAsia="宋体" w:hAnsi="ti" w:hint="eastAsia"/>
            <w:noProof/>
          </w:rPr>
          <w:t>1.4.</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Study Rationale</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_Toc184889603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27</w:t>
        </w:r>
        <w:r w:rsidRPr="00A3122A">
          <w:rPr>
            <w:rFonts w:hint="eastAsia"/>
            <w:noProof/>
            <w:webHidden/>
          </w:rPr>
          <w:fldChar w:fldCharType="end"/>
        </w:r>
      </w:hyperlink>
    </w:p>
    <w:p w14:paraId="1E9286DF" w14:textId="3F3EA450" w:rsidR="0065714C" w:rsidRPr="00A3122A" w:rsidRDefault="0065714C" w:rsidP="00A3122A">
      <w:pPr>
        <w:pStyle w:val="TOC1"/>
        <w:tabs>
          <w:tab w:val="clear" w:pos="9016"/>
          <w:tab w:val="right" w:leader="dot" w:pos="8931"/>
        </w:tabs>
        <w:ind w:left="600" w:hanging="600"/>
        <w:rPr>
          <w:rFonts w:asciiTheme="minorHAnsi" w:eastAsiaTheme="minorEastAsia" w:hAnsiTheme="minorHAnsi" w:cstheme="minorBidi"/>
          <w:noProof/>
          <w:kern w:val="2"/>
          <w:lang w:val="en-US" w:eastAsia="zh-CN"/>
          <w14:ligatures w14:val="standardContextual"/>
        </w:rPr>
      </w:pPr>
      <w:hyperlink w:anchor="_Toc184889604" w:history="1">
        <w:r w:rsidRPr="00A3122A">
          <w:rPr>
            <w:rStyle w:val="af9"/>
            <w:rFonts w:hint="eastAsia"/>
            <w:noProof/>
          </w:rPr>
          <w:t>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Study Endpoints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_Toc184889604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29</w:t>
        </w:r>
        <w:r w:rsidRPr="00A3122A">
          <w:rPr>
            <w:rFonts w:hint="eastAsia"/>
            <w:noProof/>
            <w:webHidden/>
          </w:rPr>
          <w:fldChar w:fldCharType="end"/>
        </w:r>
      </w:hyperlink>
    </w:p>
    <w:p w14:paraId="764CDBC5" w14:textId="6766E423"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05" w:history="1">
        <w:r w:rsidRPr="00A3122A">
          <w:rPr>
            <w:rStyle w:val="af9"/>
            <w:rFonts w:ascii="ti" w:eastAsia="宋体" w:hAnsi="ti" w:hint="eastAsia"/>
            <w:noProof/>
          </w:rPr>
          <w:t>2.1.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Primary Study Endpoints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_Toc184889605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29</w:t>
        </w:r>
        <w:r w:rsidRPr="00A3122A">
          <w:rPr>
            <w:rFonts w:hint="eastAsia"/>
            <w:noProof/>
            <w:webHidden/>
          </w:rPr>
          <w:fldChar w:fldCharType="end"/>
        </w:r>
      </w:hyperlink>
    </w:p>
    <w:p w14:paraId="7D980EB2" w14:textId="67135F33"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06" w:history="1">
        <w:r w:rsidRPr="00A3122A">
          <w:rPr>
            <w:rStyle w:val="af9"/>
            <w:rFonts w:ascii="ti" w:eastAsia="宋体" w:hAnsi="ti" w:hint="eastAsia"/>
            <w:noProof/>
          </w:rPr>
          <w:t>2.2.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Secondary Study Endpoints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_Toc184889606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30</w:t>
        </w:r>
        <w:r w:rsidRPr="00A3122A">
          <w:rPr>
            <w:rFonts w:hint="eastAsia"/>
            <w:noProof/>
            <w:webHidden/>
          </w:rPr>
          <w:fldChar w:fldCharType="end"/>
        </w:r>
      </w:hyperlink>
    </w:p>
    <w:p w14:paraId="4D78C5DD" w14:textId="1917BF22" w:rsidR="0065714C" w:rsidRPr="00A3122A" w:rsidRDefault="0065714C" w:rsidP="00A3122A">
      <w:pPr>
        <w:pStyle w:val="TOC1"/>
        <w:tabs>
          <w:tab w:val="clear" w:pos="9016"/>
          <w:tab w:val="right" w:leader="dot" w:pos="8931"/>
        </w:tabs>
        <w:ind w:left="600" w:hanging="600"/>
        <w:rPr>
          <w:rFonts w:asciiTheme="minorHAnsi" w:eastAsiaTheme="minorEastAsia" w:hAnsiTheme="minorHAnsi" w:cstheme="minorBidi"/>
          <w:noProof/>
          <w:kern w:val="2"/>
          <w:lang w:val="en-US" w:eastAsia="zh-CN"/>
          <w14:ligatures w14:val="standardContextual"/>
        </w:rPr>
      </w:pPr>
      <w:hyperlink w:anchor="_Toc184889607" w:history="1">
        <w:r w:rsidRPr="00A3122A">
          <w:rPr>
            <w:rStyle w:val="af9"/>
            <w:rFonts w:hint="eastAsia"/>
            <w:noProof/>
          </w:rPr>
          <w:t>3.</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Study Design</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_Toc184889607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30</w:t>
        </w:r>
        <w:r w:rsidRPr="00A3122A">
          <w:rPr>
            <w:rFonts w:hint="eastAsia"/>
            <w:noProof/>
            <w:webHidden/>
          </w:rPr>
          <w:fldChar w:fldCharType="end"/>
        </w:r>
      </w:hyperlink>
    </w:p>
    <w:p w14:paraId="2D4B8B39" w14:textId="52F43B19"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08" w:history="1">
        <w:r w:rsidRPr="00A3122A">
          <w:rPr>
            <w:rStyle w:val="af9"/>
            <w:rFonts w:ascii="ti" w:eastAsia="宋体" w:hAnsi="ti" w:hint="eastAsia"/>
            <w:noProof/>
          </w:rPr>
          <w:t>3.1.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Overall Design</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_Toc184889608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30</w:t>
        </w:r>
        <w:r w:rsidRPr="00A3122A">
          <w:rPr>
            <w:rFonts w:hint="eastAsia"/>
            <w:noProof/>
            <w:webHidden/>
          </w:rPr>
          <w:fldChar w:fldCharType="end"/>
        </w:r>
      </w:hyperlink>
    </w:p>
    <w:p w14:paraId="4628DEAD" w14:textId="5F466151" w:rsidR="0065714C" w:rsidRPr="00A3122A" w:rsidRDefault="0065714C" w:rsidP="00A3122A">
      <w:pPr>
        <w:pStyle w:val="TOC1"/>
        <w:tabs>
          <w:tab w:val="clear" w:pos="9016"/>
          <w:tab w:val="right" w:leader="dot" w:pos="8931"/>
        </w:tabs>
        <w:ind w:left="600" w:hanging="600"/>
        <w:rPr>
          <w:rFonts w:asciiTheme="minorHAnsi" w:eastAsiaTheme="minorEastAsia" w:hAnsiTheme="minorHAnsi" w:cstheme="minorBidi"/>
          <w:noProof/>
          <w:kern w:val="2"/>
          <w:lang w:val="en-US" w:eastAsia="zh-CN"/>
          <w14:ligatures w14:val="standardContextual"/>
        </w:rPr>
      </w:pPr>
      <w:hyperlink w:anchor="_Toc184889609" w:history="1">
        <w:r w:rsidRPr="00A3122A">
          <w:rPr>
            <w:rStyle w:val="af9"/>
            <w:rFonts w:hint="eastAsia"/>
            <w:noProof/>
          </w:rPr>
          <w:t>4.</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Subject Selection and Withdrawal</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_Toc184889609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31</w:t>
        </w:r>
        <w:r w:rsidRPr="00A3122A">
          <w:rPr>
            <w:rFonts w:hint="eastAsia"/>
            <w:noProof/>
            <w:webHidden/>
          </w:rPr>
          <w:fldChar w:fldCharType="end"/>
        </w:r>
      </w:hyperlink>
    </w:p>
    <w:p w14:paraId="28F36BF0" w14:textId="4C728A8C"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10" w:history="1">
        <w:r w:rsidRPr="00A3122A">
          <w:rPr>
            <w:rStyle w:val="af9"/>
            <w:rFonts w:ascii="ti" w:eastAsia="宋体" w:hAnsi="ti" w:hint="eastAsia"/>
            <w:noProof/>
          </w:rPr>
          <w:t>4.1.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Inclusion Criteria</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_Toc184889610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31</w:t>
        </w:r>
        <w:r w:rsidRPr="00A3122A">
          <w:rPr>
            <w:rFonts w:hint="eastAsia"/>
            <w:noProof/>
            <w:webHidden/>
          </w:rPr>
          <w:fldChar w:fldCharType="end"/>
        </w:r>
      </w:hyperlink>
    </w:p>
    <w:p w14:paraId="1D80AEE8" w14:textId="06B74E58"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11" w:history="1">
        <w:r w:rsidRPr="00A3122A">
          <w:rPr>
            <w:rStyle w:val="af9"/>
            <w:rFonts w:ascii="ti" w:eastAsia="宋体" w:hAnsi="ti" w:hint="eastAsia"/>
            <w:noProof/>
          </w:rPr>
          <w:t>4.2.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Exclusion Criteria</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_Toc184889611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32</w:t>
        </w:r>
        <w:r w:rsidRPr="00A3122A">
          <w:rPr>
            <w:rFonts w:hint="eastAsia"/>
            <w:noProof/>
            <w:webHidden/>
          </w:rPr>
          <w:fldChar w:fldCharType="end"/>
        </w:r>
      </w:hyperlink>
    </w:p>
    <w:p w14:paraId="6CC2B027" w14:textId="75478174"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12" w:history="1">
        <w:r w:rsidRPr="00A3122A">
          <w:rPr>
            <w:rStyle w:val="af9"/>
            <w:rFonts w:ascii="ti" w:eastAsia="宋体" w:hAnsi="ti" w:hint="eastAsia"/>
            <w:noProof/>
          </w:rPr>
          <w:t>4.3.</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 xml:space="preserve">Subject </w:t>
        </w:r>
        <w:r w:rsidR="007F48EE">
          <w:rPr>
            <w:rStyle w:val="af9"/>
            <w:rFonts w:eastAsiaTheme="minorEastAsia" w:hint="eastAsia"/>
            <w:noProof/>
            <w:lang w:eastAsia="zh-CN"/>
          </w:rPr>
          <w:t>C</w:t>
        </w:r>
        <w:r w:rsidR="007F48EE" w:rsidRPr="00A3122A">
          <w:rPr>
            <w:rStyle w:val="af9"/>
            <w:rFonts w:hint="eastAsia"/>
            <w:noProof/>
          </w:rPr>
          <w:t>ompletes</w:t>
        </w:r>
        <w:r w:rsidRPr="00A3122A">
          <w:rPr>
            <w:rStyle w:val="af9"/>
            <w:rFonts w:hint="eastAsia"/>
            <w:noProof/>
          </w:rPr>
          <w:t xml:space="preserve"> </w:t>
        </w:r>
        <w:r w:rsidR="007F48EE">
          <w:rPr>
            <w:rStyle w:val="af9"/>
            <w:rFonts w:eastAsiaTheme="minorEastAsia" w:hint="eastAsia"/>
            <w:noProof/>
            <w:lang w:eastAsia="zh-CN"/>
          </w:rPr>
          <w:t>S</w:t>
        </w:r>
        <w:r w:rsidR="007F48EE" w:rsidRPr="00A3122A">
          <w:rPr>
            <w:rStyle w:val="af9"/>
            <w:rFonts w:hint="eastAsia"/>
            <w:noProof/>
          </w:rPr>
          <w:t>tudy</w:t>
        </w:r>
        <w:r w:rsidRPr="00A3122A">
          <w:rPr>
            <w:rStyle w:val="af9"/>
            <w:rFonts w:hint="eastAsia"/>
            <w:noProof/>
          </w:rPr>
          <w:t xml:space="preserve"> </w:t>
        </w:r>
        <w:r w:rsidR="007F48EE">
          <w:rPr>
            <w:rStyle w:val="af9"/>
            <w:rFonts w:eastAsiaTheme="minorEastAsia" w:hint="eastAsia"/>
            <w:noProof/>
            <w:lang w:eastAsia="zh-CN"/>
          </w:rPr>
          <w:t>T</w:t>
        </w:r>
        <w:r w:rsidR="007F48EE" w:rsidRPr="00A3122A">
          <w:rPr>
            <w:rStyle w:val="af9"/>
            <w:rFonts w:hint="eastAsia"/>
            <w:noProof/>
          </w:rPr>
          <w:t>reatment</w:t>
        </w:r>
        <w:r w:rsidRPr="00A3122A">
          <w:rPr>
            <w:rStyle w:val="af9"/>
            <w:rFonts w:hint="eastAsia"/>
            <w:noProof/>
          </w:rPr>
          <w:t xml:space="preserve">, </w:t>
        </w:r>
        <w:r w:rsidR="007F48EE">
          <w:rPr>
            <w:rStyle w:val="af9"/>
            <w:rFonts w:eastAsiaTheme="minorEastAsia" w:hint="eastAsia"/>
            <w:noProof/>
            <w:lang w:eastAsia="zh-CN"/>
          </w:rPr>
          <w:t>W</w:t>
        </w:r>
        <w:r w:rsidR="007F48EE" w:rsidRPr="00A3122A">
          <w:rPr>
            <w:rStyle w:val="af9"/>
            <w:rFonts w:hint="eastAsia"/>
            <w:noProof/>
          </w:rPr>
          <w:t>ithdraws</w:t>
        </w:r>
        <w:r w:rsidRPr="00A3122A">
          <w:rPr>
            <w:rStyle w:val="af9"/>
            <w:rFonts w:hint="eastAsia"/>
            <w:noProof/>
          </w:rPr>
          <w:t xml:space="preserve"> from </w:t>
        </w:r>
        <w:r w:rsidR="007F48EE">
          <w:rPr>
            <w:rStyle w:val="af9"/>
            <w:rFonts w:eastAsiaTheme="minorEastAsia" w:hint="eastAsia"/>
            <w:noProof/>
            <w:lang w:eastAsia="zh-CN"/>
          </w:rPr>
          <w:t>S</w:t>
        </w:r>
        <w:r w:rsidR="007F48EE" w:rsidRPr="00A3122A">
          <w:rPr>
            <w:rStyle w:val="af9"/>
            <w:rFonts w:hint="eastAsia"/>
            <w:noProof/>
          </w:rPr>
          <w:t>tudy</w:t>
        </w:r>
        <w:r w:rsidRPr="00A3122A">
          <w:rPr>
            <w:rStyle w:val="af9"/>
            <w:rFonts w:hint="eastAsia"/>
            <w:noProof/>
          </w:rPr>
          <w:t xml:space="preserve">, or </w:t>
        </w:r>
        <w:r w:rsidR="007F48EE">
          <w:rPr>
            <w:rStyle w:val="af9"/>
            <w:rFonts w:eastAsiaTheme="minorEastAsia" w:hint="eastAsia"/>
            <w:noProof/>
            <w:lang w:eastAsia="zh-CN"/>
          </w:rPr>
          <w:t>D</w:t>
        </w:r>
        <w:r w:rsidR="007F48EE" w:rsidRPr="00A3122A">
          <w:rPr>
            <w:rStyle w:val="af9"/>
            <w:rFonts w:hint="eastAsia"/>
            <w:noProof/>
          </w:rPr>
          <w:t>iscontinues</w:t>
        </w:r>
        <w:r w:rsidRPr="00A3122A">
          <w:rPr>
            <w:rStyle w:val="af9"/>
            <w:rFonts w:hint="eastAsia"/>
            <w:noProof/>
          </w:rPr>
          <w:t xml:space="preserve"> </w:t>
        </w:r>
        <w:r w:rsidR="007F48EE">
          <w:rPr>
            <w:rStyle w:val="af9"/>
            <w:rFonts w:eastAsiaTheme="minorEastAsia" w:hint="eastAsia"/>
            <w:noProof/>
            <w:lang w:eastAsia="zh-CN"/>
          </w:rPr>
          <w:t>S</w:t>
        </w:r>
        <w:r w:rsidR="007F48EE" w:rsidRPr="00A3122A">
          <w:rPr>
            <w:rStyle w:val="af9"/>
            <w:rFonts w:hint="eastAsia"/>
            <w:noProof/>
          </w:rPr>
          <w:t>tudy</w:t>
        </w:r>
        <w:r w:rsidRPr="00A3122A">
          <w:rPr>
            <w:rStyle w:val="af9"/>
            <w:rFonts w:hint="eastAsia"/>
            <w:noProof/>
          </w:rPr>
          <w:t xml:space="preserve"> </w:t>
        </w:r>
        <w:r w:rsidR="007F48EE">
          <w:rPr>
            <w:rStyle w:val="af9"/>
            <w:rFonts w:eastAsiaTheme="minorEastAsia" w:hint="eastAsia"/>
            <w:noProof/>
            <w:lang w:eastAsia="zh-CN"/>
          </w:rPr>
          <w:t>T</w:t>
        </w:r>
        <w:r w:rsidR="007F48EE" w:rsidRPr="00A3122A">
          <w:rPr>
            <w:rStyle w:val="af9"/>
            <w:rFonts w:hint="eastAsia"/>
            <w:noProof/>
          </w:rPr>
          <w:t>reatment</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_Toc184889612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35</w:t>
        </w:r>
        <w:r w:rsidRPr="00A3122A">
          <w:rPr>
            <w:rFonts w:hint="eastAsia"/>
            <w:noProof/>
            <w:webHidden/>
          </w:rPr>
          <w:fldChar w:fldCharType="end"/>
        </w:r>
      </w:hyperlink>
    </w:p>
    <w:p w14:paraId="03ECB904" w14:textId="1DE74724"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13" w:history="1">
        <w:r w:rsidRPr="00A3122A">
          <w:rPr>
            <w:rStyle w:val="af9"/>
            <w:rFonts w:hint="eastAsia"/>
            <w:noProof/>
          </w:rPr>
          <w:t>4.3.1.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Criteria for Completion of Study Treatment:</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_Toc184889613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35</w:t>
        </w:r>
        <w:r w:rsidRPr="00A3122A">
          <w:rPr>
            <w:rFonts w:hint="eastAsia"/>
            <w:noProof/>
            <w:webHidden/>
          </w:rPr>
          <w:fldChar w:fldCharType="end"/>
        </w:r>
      </w:hyperlink>
    </w:p>
    <w:p w14:paraId="2B8270D9" w14:textId="57CFDC02"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14" w:history="1">
        <w:r w:rsidRPr="00A3122A">
          <w:rPr>
            <w:rStyle w:val="af9"/>
            <w:rFonts w:hint="eastAsia"/>
            <w:noProof/>
          </w:rPr>
          <w:t>4.3.2.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Withdrawal from the Study</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_Toc184889614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36</w:t>
        </w:r>
        <w:r w:rsidRPr="00A3122A">
          <w:rPr>
            <w:rFonts w:hint="eastAsia"/>
            <w:noProof/>
            <w:webHidden/>
          </w:rPr>
          <w:fldChar w:fldCharType="end"/>
        </w:r>
      </w:hyperlink>
    </w:p>
    <w:p w14:paraId="462FF69E" w14:textId="71912F4A"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15" w:history="1">
        <w:r w:rsidRPr="00A3122A">
          <w:rPr>
            <w:rStyle w:val="af9"/>
            <w:rFonts w:hint="eastAsia"/>
            <w:noProof/>
          </w:rPr>
          <w:t>4.3.3.</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Discontinuation Criteria</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_Toc184889615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36</w:t>
        </w:r>
        <w:r w:rsidRPr="00A3122A">
          <w:rPr>
            <w:rFonts w:hint="eastAsia"/>
            <w:noProof/>
            <w:webHidden/>
          </w:rPr>
          <w:fldChar w:fldCharType="end"/>
        </w:r>
      </w:hyperlink>
    </w:p>
    <w:p w14:paraId="3914F7AC" w14:textId="23B3C9F6"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16" w:history="1">
        <w:r w:rsidRPr="00A3122A">
          <w:rPr>
            <w:rStyle w:val="af9"/>
            <w:rFonts w:hint="eastAsia"/>
            <w:noProof/>
          </w:rPr>
          <w:t>4.3.4.</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 xml:space="preserve">Procedures for </w:t>
        </w:r>
        <w:r w:rsidR="007F48EE">
          <w:rPr>
            <w:rStyle w:val="af9"/>
            <w:rFonts w:eastAsiaTheme="minorEastAsia" w:hint="eastAsia"/>
            <w:noProof/>
            <w:lang w:eastAsia="zh-CN"/>
          </w:rPr>
          <w:t>W</w:t>
        </w:r>
        <w:r w:rsidR="007F48EE" w:rsidRPr="00A3122A">
          <w:rPr>
            <w:rStyle w:val="af9"/>
            <w:rFonts w:hint="eastAsia"/>
            <w:noProof/>
          </w:rPr>
          <w:t>ithdrawal</w:t>
        </w:r>
        <w:r w:rsidRPr="00A3122A">
          <w:rPr>
            <w:rStyle w:val="af9"/>
            <w:rFonts w:hint="eastAsia"/>
            <w:noProof/>
          </w:rPr>
          <w:t xml:space="preserve"> from the </w:t>
        </w:r>
        <w:r w:rsidR="007F48EE">
          <w:rPr>
            <w:rStyle w:val="af9"/>
            <w:rFonts w:eastAsiaTheme="minorEastAsia" w:hint="eastAsia"/>
            <w:noProof/>
            <w:lang w:eastAsia="zh-CN"/>
          </w:rPr>
          <w:t>S</w:t>
        </w:r>
        <w:r w:rsidR="007F48EE" w:rsidRPr="00A3122A">
          <w:rPr>
            <w:rStyle w:val="af9"/>
            <w:rFonts w:hint="eastAsia"/>
            <w:noProof/>
          </w:rPr>
          <w:t>tudy</w:t>
        </w:r>
        <w:r w:rsidRPr="00A3122A">
          <w:rPr>
            <w:rStyle w:val="af9"/>
            <w:rFonts w:hint="eastAsia"/>
            <w:noProof/>
          </w:rPr>
          <w:t xml:space="preserve"> or </w:t>
        </w:r>
        <w:r w:rsidR="007F48EE">
          <w:rPr>
            <w:rStyle w:val="af9"/>
            <w:rFonts w:eastAsiaTheme="minorEastAsia" w:hint="eastAsia"/>
            <w:noProof/>
            <w:lang w:eastAsia="zh-CN"/>
          </w:rPr>
          <w:t>D</w:t>
        </w:r>
        <w:r w:rsidR="007F48EE" w:rsidRPr="00A3122A">
          <w:rPr>
            <w:rStyle w:val="af9"/>
            <w:rFonts w:hint="eastAsia"/>
            <w:noProof/>
          </w:rPr>
          <w:t>iscontinuation</w:t>
        </w:r>
        <w:r w:rsidRPr="00A3122A">
          <w:rPr>
            <w:rStyle w:val="af9"/>
            <w:rFonts w:hint="eastAsia"/>
            <w:noProof/>
          </w:rPr>
          <w:t xml:space="preserve"> of </w:t>
        </w:r>
        <w:r w:rsidR="007F48EE">
          <w:rPr>
            <w:rStyle w:val="af9"/>
            <w:rFonts w:eastAsiaTheme="minorEastAsia" w:hint="eastAsia"/>
            <w:noProof/>
            <w:lang w:eastAsia="zh-CN"/>
          </w:rPr>
          <w:t>S</w:t>
        </w:r>
        <w:r w:rsidR="007F48EE" w:rsidRPr="00A3122A">
          <w:rPr>
            <w:rStyle w:val="af9"/>
            <w:rFonts w:hint="eastAsia"/>
            <w:noProof/>
          </w:rPr>
          <w:t>tudy</w:t>
        </w:r>
        <w:r w:rsidRPr="00A3122A">
          <w:rPr>
            <w:rStyle w:val="af9"/>
            <w:rFonts w:hint="eastAsia"/>
            <w:noProof/>
          </w:rPr>
          <w:t xml:space="preserve"> </w:t>
        </w:r>
        <w:r w:rsidR="007F48EE">
          <w:rPr>
            <w:rStyle w:val="af9"/>
            <w:rFonts w:eastAsiaTheme="minorEastAsia" w:hint="eastAsia"/>
            <w:noProof/>
            <w:lang w:eastAsia="zh-CN"/>
          </w:rPr>
          <w:t>T</w:t>
        </w:r>
        <w:r w:rsidR="007F48EE" w:rsidRPr="00A3122A">
          <w:rPr>
            <w:rStyle w:val="af9"/>
            <w:rFonts w:hint="eastAsia"/>
            <w:noProof/>
          </w:rPr>
          <w:t>reatment</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_Toc184889616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37</w:t>
        </w:r>
        <w:r w:rsidRPr="00A3122A">
          <w:rPr>
            <w:rFonts w:hint="eastAsia"/>
            <w:noProof/>
            <w:webHidden/>
          </w:rPr>
          <w:fldChar w:fldCharType="end"/>
        </w:r>
      </w:hyperlink>
    </w:p>
    <w:p w14:paraId="746E4704" w14:textId="315EF908"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17" w:history="1">
        <w:r w:rsidRPr="00A3122A">
          <w:rPr>
            <w:rStyle w:val="af9"/>
            <w:rFonts w:ascii="ti" w:eastAsia="宋体" w:hAnsi="ti" w:hint="eastAsia"/>
            <w:noProof/>
          </w:rPr>
          <w:t>4.4.</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Dropout Criteria</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_Toc184889617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37</w:t>
        </w:r>
        <w:r w:rsidRPr="00A3122A">
          <w:rPr>
            <w:rFonts w:hint="eastAsia"/>
            <w:noProof/>
            <w:webHidden/>
          </w:rPr>
          <w:fldChar w:fldCharType="end"/>
        </w:r>
      </w:hyperlink>
    </w:p>
    <w:p w14:paraId="45A753DF" w14:textId="4357A26E"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18" w:history="1">
        <w:r w:rsidRPr="00A3122A">
          <w:rPr>
            <w:rStyle w:val="af9"/>
            <w:rFonts w:ascii="ti" w:eastAsia="宋体" w:hAnsi="ti" w:hint="eastAsia"/>
            <w:noProof/>
          </w:rPr>
          <w:t>4.5.</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 xml:space="preserve">Restrictions during the </w:t>
        </w:r>
        <w:r w:rsidR="007F48EE">
          <w:rPr>
            <w:rStyle w:val="af9"/>
            <w:rFonts w:eastAsiaTheme="minorEastAsia" w:hint="eastAsia"/>
            <w:noProof/>
            <w:lang w:eastAsia="zh-CN"/>
          </w:rPr>
          <w:t>S</w:t>
        </w:r>
        <w:r w:rsidR="007F48EE" w:rsidRPr="00A3122A">
          <w:rPr>
            <w:rStyle w:val="af9"/>
            <w:rFonts w:hint="eastAsia"/>
            <w:noProof/>
          </w:rPr>
          <w:t>tudy</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_Toc184889618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38</w:t>
        </w:r>
        <w:r w:rsidRPr="00A3122A">
          <w:rPr>
            <w:rFonts w:hint="eastAsia"/>
            <w:noProof/>
            <w:webHidden/>
          </w:rPr>
          <w:fldChar w:fldCharType="end"/>
        </w:r>
      </w:hyperlink>
    </w:p>
    <w:p w14:paraId="3F496FBF" w14:textId="5F108AE2"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19" w:history="1">
        <w:r w:rsidRPr="00A3122A">
          <w:rPr>
            <w:rStyle w:val="af9"/>
            <w:rFonts w:ascii="ti" w:eastAsia="宋体" w:hAnsi="ti" w:hint="eastAsia"/>
            <w:noProof/>
          </w:rPr>
          <w:t>4.6.</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 xml:space="preserve">Early </w:t>
        </w:r>
        <w:r w:rsidR="007F48EE">
          <w:rPr>
            <w:rStyle w:val="af9"/>
            <w:rFonts w:eastAsiaTheme="minorEastAsia" w:hint="eastAsia"/>
            <w:noProof/>
            <w:lang w:eastAsia="zh-CN"/>
          </w:rPr>
          <w:t>D</w:t>
        </w:r>
        <w:r w:rsidR="007F48EE" w:rsidRPr="00A3122A">
          <w:rPr>
            <w:rStyle w:val="af9"/>
            <w:rFonts w:hint="eastAsia"/>
            <w:noProof/>
          </w:rPr>
          <w:t>iscontinuation</w:t>
        </w:r>
        <w:r w:rsidRPr="00A3122A">
          <w:rPr>
            <w:rStyle w:val="af9"/>
            <w:rFonts w:hint="eastAsia"/>
            <w:noProof/>
          </w:rPr>
          <w:t xml:space="preserve"> or </w:t>
        </w:r>
        <w:r w:rsidR="007F48EE">
          <w:rPr>
            <w:rStyle w:val="af9"/>
            <w:rFonts w:eastAsiaTheme="minorEastAsia" w:hint="eastAsia"/>
            <w:noProof/>
            <w:lang w:eastAsia="zh-CN"/>
          </w:rPr>
          <w:t>S</w:t>
        </w:r>
        <w:r w:rsidR="007F48EE" w:rsidRPr="00A3122A">
          <w:rPr>
            <w:rStyle w:val="af9"/>
            <w:rFonts w:hint="eastAsia"/>
            <w:noProof/>
          </w:rPr>
          <w:t>uspension</w:t>
        </w:r>
        <w:r w:rsidRPr="00A3122A">
          <w:rPr>
            <w:rStyle w:val="af9"/>
            <w:rFonts w:hint="eastAsia"/>
            <w:noProof/>
          </w:rPr>
          <w:t xml:space="preserve"> of the </w:t>
        </w:r>
        <w:r w:rsidR="007F48EE">
          <w:rPr>
            <w:rStyle w:val="af9"/>
            <w:rFonts w:eastAsiaTheme="minorEastAsia" w:hint="eastAsia"/>
            <w:noProof/>
            <w:lang w:eastAsia="zh-CN"/>
          </w:rPr>
          <w:t>S</w:t>
        </w:r>
        <w:r w:rsidR="007F48EE" w:rsidRPr="00A3122A">
          <w:rPr>
            <w:rStyle w:val="af9"/>
            <w:rFonts w:hint="eastAsia"/>
            <w:noProof/>
          </w:rPr>
          <w:t>tudy</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_Toc184889619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38</w:t>
        </w:r>
        <w:r w:rsidRPr="00A3122A">
          <w:rPr>
            <w:rFonts w:hint="eastAsia"/>
            <w:noProof/>
            <w:webHidden/>
          </w:rPr>
          <w:fldChar w:fldCharType="end"/>
        </w:r>
      </w:hyperlink>
    </w:p>
    <w:p w14:paraId="7F50D523" w14:textId="0EED4C24" w:rsidR="0065714C" w:rsidRPr="00A3122A" w:rsidRDefault="0065714C" w:rsidP="00A3122A">
      <w:pPr>
        <w:pStyle w:val="TOC1"/>
        <w:tabs>
          <w:tab w:val="clear" w:pos="9016"/>
          <w:tab w:val="right" w:leader="dot" w:pos="8931"/>
        </w:tabs>
        <w:ind w:left="600" w:hanging="600"/>
        <w:rPr>
          <w:rFonts w:asciiTheme="minorHAnsi" w:eastAsiaTheme="minorEastAsia" w:hAnsiTheme="minorHAnsi" w:cstheme="minorBidi"/>
          <w:noProof/>
          <w:kern w:val="2"/>
          <w:lang w:val="en-US" w:eastAsia="zh-CN"/>
          <w14:ligatures w14:val="standardContextual"/>
        </w:rPr>
      </w:pPr>
      <w:hyperlink w:anchor="_Toc184889620" w:history="1">
        <w:r w:rsidRPr="00A3122A">
          <w:rPr>
            <w:rStyle w:val="af9"/>
            <w:rFonts w:hint="eastAsia"/>
            <w:noProof/>
          </w:rPr>
          <w:t>5.</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Treatment Regimen</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_Toc184889620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39</w:t>
        </w:r>
        <w:r w:rsidRPr="00A3122A">
          <w:rPr>
            <w:rFonts w:hint="eastAsia"/>
            <w:noProof/>
            <w:webHidden/>
          </w:rPr>
          <w:fldChar w:fldCharType="end"/>
        </w:r>
      </w:hyperlink>
    </w:p>
    <w:p w14:paraId="5B0DAF5A" w14:textId="3C8C4A73"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21" w:history="1">
        <w:r w:rsidRPr="00A3122A">
          <w:rPr>
            <w:rStyle w:val="af9"/>
            <w:rFonts w:ascii="ti" w:eastAsia="宋体" w:hAnsi="ti" w:hint="eastAsia"/>
            <w:noProof/>
          </w:rPr>
          <w:t>5.1.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Name and Source of Investigational Product</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_Toc184889621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39</w:t>
        </w:r>
        <w:r w:rsidRPr="00A3122A">
          <w:rPr>
            <w:rFonts w:hint="eastAsia"/>
            <w:noProof/>
            <w:webHidden/>
          </w:rPr>
          <w:fldChar w:fldCharType="end"/>
        </w:r>
      </w:hyperlink>
    </w:p>
    <w:p w14:paraId="370CF17A" w14:textId="3EA7BDB1"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22" w:history="1">
        <w:r w:rsidRPr="00A3122A">
          <w:rPr>
            <w:rStyle w:val="af9"/>
            <w:rFonts w:hint="eastAsia"/>
            <w:noProof/>
          </w:rPr>
          <w:t>5.1.1.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Drug Source</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_Toc184889622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39</w:t>
        </w:r>
        <w:r w:rsidRPr="00A3122A">
          <w:rPr>
            <w:rFonts w:hint="eastAsia"/>
            <w:noProof/>
            <w:webHidden/>
          </w:rPr>
          <w:fldChar w:fldCharType="end"/>
        </w:r>
      </w:hyperlink>
    </w:p>
    <w:p w14:paraId="0698B0BD" w14:textId="5BDC7BC0"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23" w:history="1">
        <w:r w:rsidRPr="00A3122A">
          <w:rPr>
            <w:rStyle w:val="af9"/>
            <w:rFonts w:hint="eastAsia"/>
            <w:noProof/>
          </w:rPr>
          <w:t>5.1.2.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Drug Dosage Form, Strength and Storage Conditions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_Toc184889623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39</w:t>
        </w:r>
        <w:r w:rsidRPr="00A3122A">
          <w:rPr>
            <w:rFonts w:hint="eastAsia"/>
            <w:noProof/>
            <w:webHidden/>
          </w:rPr>
          <w:fldChar w:fldCharType="end"/>
        </w:r>
      </w:hyperlink>
    </w:p>
    <w:p w14:paraId="2AC0E6DA" w14:textId="52B6894D"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24" w:history="1">
        <w:r w:rsidRPr="00A3122A">
          <w:rPr>
            <w:rStyle w:val="af9"/>
            <w:rFonts w:hint="eastAsia"/>
            <w:noProof/>
          </w:rPr>
          <w:t>5.1.3.</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Investigational Product Randomization/Supply Scheme</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_Toc184889624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39</w:t>
        </w:r>
        <w:r w:rsidRPr="00A3122A">
          <w:rPr>
            <w:rFonts w:hint="eastAsia"/>
            <w:noProof/>
            <w:webHidden/>
          </w:rPr>
          <w:fldChar w:fldCharType="end"/>
        </w:r>
      </w:hyperlink>
    </w:p>
    <w:p w14:paraId="456508C5" w14:textId="00D3DB56"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25" w:history="1">
        <w:r w:rsidRPr="00A3122A">
          <w:rPr>
            <w:rStyle w:val="af9"/>
            <w:rFonts w:hint="eastAsia"/>
            <w:noProof/>
          </w:rPr>
          <w:t>5.1.4.</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Drug Management</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_Toc184889625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40</w:t>
        </w:r>
        <w:r w:rsidRPr="00A3122A">
          <w:rPr>
            <w:rFonts w:hint="eastAsia"/>
            <w:noProof/>
            <w:webHidden/>
          </w:rPr>
          <w:fldChar w:fldCharType="end"/>
        </w:r>
      </w:hyperlink>
    </w:p>
    <w:p w14:paraId="500E43A9" w14:textId="34CC095C"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26" w:history="1">
        <w:r w:rsidRPr="00A3122A">
          <w:rPr>
            <w:rStyle w:val="af9"/>
            <w:rFonts w:ascii="ti" w:eastAsia="宋体" w:hAnsi="ti" w:hint="eastAsia"/>
            <w:noProof/>
          </w:rPr>
          <w:t>5.2.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Method of Administration</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_Toc184889626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40</w:t>
        </w:r>
        <w:r w:rsidRPr="00A3122A">
          <w:rPr>
            <w:rFonts w:hint="eastAsia"/>
            <w:noProof/>
            <w:webHidden/>
          </w:rPr>
          <w:fldChar w:fldCharType="end"/>
        </w:r>
      </w:hyperlink>
    </w:p>
    <w:p w14:paraId="4E4678EB" w14:textId="36E4F778"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27" w:history="1">
        <w:r w:rsidRPr="00A3122A">
          <w:rPr>
            <w:rStyle w:val="af9"/>
            <w:rFonts w:hint="eastAsia"/>
            <w:noProof/>
          </w:rPr>
          <w:t>5.2.1.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Dosing Regimen and Dosing Period</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_Toc184889627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40</w:t>
        </w:r>
        <w:r w:rsidRPr="00A3122A">
          <w:rPr>
            <w:rFonts w:hint="eastAsia"/>
            <w:noProof/>
            <w:webHidden/>
          </w:rPr>
          <w:fldChar w:fldCharType="end"/>
        </w:r>
      </w:hyperlink>
    </w:p>
    <w:p w14:paraId="0099B700" w14:textId="73948093"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28" w:history="1">
        <w:r w:rsidRPr="00A3122A">
          <w:rPr>
            <w:rStyle w:val="af9"/>
            <w:rFonts w:hint="eastAsia"/>
            <w:noProof/>
          </w:rPr>
          <w:t>5.2.2.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Method of Administration</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_Toc184889628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41</w:t>
        </w:r>
        <w:r w:rsidRPr="00A3122A">
          <w:rPr>
            <w:rFonts w:hint="eastAsia"/>
            <w:noProof/>
            <w:webHidden/>
          </w:rPr>
          <w:fldChar w:fldCharType="end"/>
        </w:r>
      </w:hyperlink>
    </w:p>
    <w:p w14:paraId="240E367F" w14:textId="0A7088F6"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29" w:history="1">
        <w:r w:rsidRPr="00A3122A">
          <w:rPr>
            <w:rStyle w:val="af9"/>
            <w:rFonts w:ascii="ti" w:eastAsia="宋体" w:hAnsi="ti" w:hint="eastAsia"/>
            <w:noProof/>
          </w:rPr>
          <w:t>5.3.</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Precautions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_Toc184889629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41</w:t>
        </w:r>
        <w:r w:rsidRPr="00A3122A">
          <w:rPr>
            <w:rFonts w:hint="eastAsia"/>
            <w:noProof/>
            <w:webHidden/>
          </w:rPr>
          <w:fldChar w:fldCharType="end"/>
        </w:r>
      </w:hyperlink>
    </w:p>
    <w:p w14:paraId="504D6228" w14:textId="15DB6D72"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30" w:history="1">
        <w:r w:rsidRPr="00A3122A">
          <w:rPr>
            <w:rStyle w:val="af9"/>
            <w:rFonts w:ascii="ti" w:eastAsia="宋体" w:hAnsi="ti" w:hint="eastAsia"/>
            <w:noProof/>
          </w:rPr>
          <w:t>5.4.</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Dose Adjustment</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_Toc184889630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46</w:t>
        </w:r>
        <w:r w:rsidRPr="00A3122A">
          <w:rPr>
            <w:rFonts w:hint="eastAsia"/>
            <w:noProof/>
            <w:webHidden/>
          </w:rPr>
          <w:fldChar w:fldCharType="end"/>
        </w:r>
      </w:hyperlink>
    </w:p>
    <w:p w14:paraId="43BB6A77" w14:textId="5EB3FF81"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31" w:history="1">
        <w:r w:rsidRPr="00A3122A">
          <w:rPr>
            <w:rStyle w:val="af9"/>
            <w:rFonts w:hint="eastAsia"/>
            <w:noProof/>
          </w:rPr>
          <w:t>5.4.1.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Principles of Dose Adjustment</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_Toc184889631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46</w:t>
        </w:r>
        <w:r w:rsidRPr="00A3122A">
          <w:rPr>
            <w:rFonts w:hint="eastAsia"/>
            <w:noProof/>
            <w:webHidden/>
          </w:rPr>
          <w:fldChar w:fldCharType="end"/>
        </w:r>
      </w:hyperlink>
    </w:p>
    <w:p w14:paraId="07F035CB" w14:textId="3E8A3DCF"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32" w:history="1">
        <w:r w:rsidRPr="00A3122A">
          <w:rPr>
            <w:rStyle w:val="af9"/>
            <w:rFonts w:hint="eastAsia"/>
            <w:noProof/>
          </w:rPr>
          <w:t>5.4.2.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Detailed Procedures for Dose Adjustment</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_Toc184889632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46</w:t>
        </w:r>
        <w:r w:rsidRPr="00A3122A">
          <w:rPr>
            <w:rFonts w:hint="eastAsia"/>
            <w:noProof/>
            <w:webHidden/>
          </w:rPr>
          <w:fldChar w:fldCharType="end"/>
        </w:r>
      </w:hyperlink>
    </w:p>
    <w:p w14:paraId="254C6911" w14:textId="2AB68D47"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33" w:history="1">
        <w:r w:rsidRPr="00A3122A">
          <w:rPr>
            <w:rStyle w:val="af9"/>
            <w:rFonts w:ascii="ti" w:eastAsia="宋体" w:hAnsi="ti" w:hint="eastAsia"/>
            <w:noProof/>
          </w:rPr>
          <w:t>5.5.</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Concomitant and Excluded Medications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_Toc184889633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51</w:t>
        </w:r>
        <w:r w:rsidRPr="00A3122A">
          <w:rPr>
            <w:rFonts w:hint="eastAsia"/>
            <w:noProof/>
            <w:webHidden/>
          </w:rPr>
          <w:fldChar w:fldCharType="end"/>
        </w:r>
      </w:hyperlink>
    </w:p>
    <w:p w14:paraId="7F676D1D" w14:textId="71A656A6"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34" w:history="1">
        <w:r w:rsidRPr="00A3122A">
          <w:rPr>
            <w:rStyle w:val="af9"/>
            <w:rFonts w:hint="eastAsia"/>
            <w:noProof/>
          </w:rPr>
          <w:t>5.5.1.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Concomitant Medications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_Toc184889634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51</w:t>
        </w:r>
        <w:r w:rsidRPr="00A3122A">
          <w:rPr>
            <w:rFonts w:hint="eastAsia"/>
            <w:noProof/>
            <w:webHidden/>
          </w:rPr>
          <w:fldChar w:fldCharType="end"/>
        </w:r>
      </w:hyperlink>
    </w:p>
    <w:p w14:paraId="3DD1FDBA" w14:textId="4AC70C90"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35" w:history="1">
        <w:r w:rsidRPr="00A3122A">
          <w:rPr>
            <w:rStyle w:val="af9"/>
            <w:rFonts w:hint="eastAsia"/>
            <w:noProof/>
          </w:rPr>
          <w:t>5.5.2.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Excluded Medications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_Toc184889635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52</w:t>
        </w:r>
        <w:r w:rsidRPr="00A3122A">
          <w:rPr>
            <w:rFonts w:hint="eastAsia"/>
            <w:noProof/>
            <w:webHidden/>
          </w:rPr>
          <w:fldChar w:fldCharType="end"/>
        </w:r>
      </w:hyperlink>
    </w:p>
    <w:p w14:paraId="3BFF9CB7" w14:textId="2F77BE13"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36" w:history="1">
        <w:r w:rsidRPr="00A3122A">
          <w:rPr>
            <w:rStyle w:val="af9"/>
            <w:rFonts w:hint="eastAsia"/>
            <w:noProof/>
          </w:rPr>
          <w:t>5.5.3.</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Drug Interaction</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_Toc184889636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52</w:t>
        </w:r>
        <w:r w:rsidRPr="00A3122A">
          <w:rPr>
            <w:rFonts w:hint="eastAsia"/>
            <w:noProof/>
            <w:webHidden/>
          </w:rPr>
          <w:fldChar w:fldCharType="end"/>
        </w:r>
      </w:hyperlink>
    </w:p>
    <w:p w14:paraId="582BF1A5" w14:textId="335979C6"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37" w:history="1">
        <w:r w:rsidRPr="00A3122A">
          <w:rPr>
            <w:rStyle w:val="af9"/>
            <w:rFonts w:ascii="ti" w:eastAsia="宋体" w:hAnsi="ti" w:hint="eastAsia"/>
            <w:noProof/>
          </w:rPr>
          <w:t>5.6.</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Subject Compliance</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_Toc184889637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53</w:t>
        </w:r>
        <w:r w:rsidRPr="00A3122A">
          <w:rPr>
            <w:rFonts w:hint="eastAsia"/>
            <w:noProof/>
            <w:webHidden/>
          </w:rPr>
          <w:fldChar w:fldCharType="end"/>
        </w:r>
      </w:hyperlink>
    </w:p>
    <w:p w14:paraId="28E226A0" w14:textId="6D7FE54D"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38" w:history="1">
        <w:r w:rsidRPr="00A3122A">
          <w:rPr>
            <w:rStyle w:val="af9"/>
            <w:rFonts w:ascii="ti" w:eastAsia="宋体" w:hAnsi="ti" w:hint="eastAsia"/>
            <w:noProof/>
          </w:rPr>
          <w:t>5.7.</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Study Procedures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_Toc184889638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53</w:t>
        </w:r>
        <w:r w:rsidRPr="00A3122A">
          <w:rPr>
            <w:rFonts w:hint="eastAsia"/>
            <w:noProof/>
            <w:webHidden/>
          </w:rPr>
          <w:fldChar w:fldCharType="end"/>
        </w:r>
      </w:hyperlink>
    </w:p>
    <w:p w14:paraId="06F0A03F" w14:textId="53ED8D72"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39" w:history="1">
        <w:r w:rsidRPr="00A3122A">
          <w:rPr>
            <w:rStyle w:val="af9"/>
            <w:rFonts w:ascii="ti" w:eastAsia="宋体" w:hAnsi="ti" w:hint="eastAsia"/>
            <w:noProof/>
          </w:rPr>
          <w:t>5.8.</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Screening</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_Toc184889639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53</w:t>
        </w:r>
        <w:r w:rsidRPr="00A3122A">
          <w:rPr>
            <w:rFonts w:hint="eastAsia"/>
            <w:noProof/>
            <w:webHidden/>
          </w:rPr>
          <w:fldChar w:fldCharType="end"/>
        </w:r>
      </w:hyperlink>
    </w:p>
    <w:p w14:paraId="58403560" w14:textId="633A92AF"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40" w:history="1">
        <w:r w:rsidRPr="00A3122A">
          <w:rPr>
            <w:rStyle w:val="af9"/>
            <w:rFonts w:ascii="ti" w:eastAsia="宋体" w:hAnsi="ti" w:hint="eastAsia"/>
            <w:noProof/>
          </w:rPr>
          <w:t>5.9.</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Enrollment</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_Toc184889640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54</w:t>
        </w:r>
        <w:r w:rsidRPr="00A3122A">
          <w:rPr>
            <w:rFonts w:hint="eastAsia"/>
            <w:noProof/>
            <w:webHidden/>
          </w:rPr>
          <w:fldChar w:fldCharType="end"/>
        </w:r>
      </w:hyperlink>
    </w:p>
    <w:p w14:paraId="324C8F53" w14:textId="5D487640"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41" w:history="1">
        <w:r w:rsidRPr="00A3122A">
          <w:rPr>
            <w:rStyle w:val="af9"/>
            <w:rFonts w:ascii="ti" w:eastAsia="宋体" w:hAnsi="ti" w:hint="eastAsia"/>
            <w:noProof/>
          </w:rPr>
          <w:t>5.10.</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Treatment Period</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_Toc184889641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54</w:t>
        </w:r>
        <w:r w:rsidRPr="00A3122A">
          <w:rPr>
            <w:rFonts w:hint="eastAsia"/>
            <w:noProof/>
            <w:webHidden/>
          </w:rPr>
          <w:fldChar w:fldCharType="end"/>
        </w:r>
      </w:hyperlink>
    </w:p>
    <w:p w14:paraId="3E2328C3" w14:textId="11C2EBB5"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42" w:history="1">
        <w:r w:rsidRPr="00A3122A">
          <w:rPr>
            <w:rStyle w:val="af9"/>
            <w:rFonts w:ascii="ti" w:eastAsia="宋体" w:hAnsi="ti" w:hint="eastAsia"/>
            <w:noProof/>
          </w:rPr>
          <w:t>5.11.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Follow-up Period</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_Toc184889642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55</w:t>
        </w:r>
        <w:r w:rsidRPr="00A3122A">
          <w:rPr>
            <w:rFonts w:hint="eastAsia"/>
            <w:noProof/>
            <w:webHidden/>
          </w:rPr>
          <w:fldChar w:fldCharType="end"/>
        </w:r>
      </w:hyperlink>
    </w:p>
    <w:p w14:paraId="65DF90DC" w14:textId="18ACE209"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43" w:history="1">
        <w:r w:rsidRPr="00A3122A">
          <w:rPr>
            <w:rStyle w:val="af9"/>
            <w:rFonts w:ascii="ti" w:eastAsia="宋体" w:hAnsi="ti" w:hint="eastAsia"/>
            <w:noProof/>
          </w:rPr>
          <w:t>5.12.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 xml:space="preserve">Continuation of Medication </w:t>
        </w:r>
        <w:r w:rsidR="007F48EE">
          <w:rPr>
            <w:rStyle w:val="af9"/>
            <w:rFonts w:eastAsiaTheme="minorEastAsia" w:hint="eastAsia"/>
            <w:noProof/>
            <w:lang w:eastAsia="zh-CN"/>
          </w:rPr>
          <w:t>a</w:t>
        </w:r>
        <w:r w:rsidR="007F48EE" w:rsidRPr="00A3122A">
          <w:rPr>
            <w:rStyle w:val="af9"/>
            <w:rFonts w:hint="eastAsia"/>
            <w:noProof/>
          </w:rPr>
          <w:t>fter</w:t>
        </w:r>
        <w:r w:rsidRPr="00A3122A">
          <w:rPr>
            <w:rStyle w:val="af9"/>
            <w:rFonts w:hint="eastAsia"/>
            <w:noProof/>
          </w:rPr>
          <w:t xml:space="preserve"> the End of the Study</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_Toc184889643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55</w:t>
        </w:r>
        <w:r w:rsidRPr="00A3122A">
          <w:rPr>
            <w:rFonts w:hint="eastAsia"/>
            <w:noProof/>
            <w:webHidden/>
          </w:rPr>
          <w:fldChar w:fldCharType="end"/>
        </w:r>
      </w:hyperlink>
    </w:p>
    <w:p w14:paraId="4CC547D3" w14:textId="28997ED4" w:rsidR="0065714C" w:rsidRPr="00A3122A" w:rsidRDefault="0065714C" w:rsidP="00A3122A">
      <w:pPr>
        <w:pStyle w:val="TOC1"/>
        <w:tabs>
          <w:tab w:val="clear" w:pos="9016"/>
          <w:tab w:val="right" w:leader="dot" w:pos="8931"/>
        </w:tabs>
        <w:ind w:left="600" w:hanging="600"/>
        <w:rPr>
          <w:rFonts w:asciiTheme="minorHAnsi" w:eastAsiaTheme="minorEastAsia" w:hAnsiTheme="minorHAnsi" w:cstheme="minorBidi"/>
          <w:noProof/>
          <w:kern w:val="2"/>
          <w:lang w:val="en-US" w:eastAsia="zh-CN"/>
          <w14:ligatures w14:val="standardContextual"/>
        </w:rPr>
      </w:pPr>
      <w:hyperlink w:anchor="_Toc184889644" w:history="1">
        <w:r w:rsidRPr="00A3122A">
          <w:rPr>
            <w:rStyle w:val="af9"/>
            <w:rFonts w:hint="eastAsia"/>
            <w:noProof/>
          </w:rPr>
          <w:t>6.</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Evaluation</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_Toc184889644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56</w:t>
        </w:r>
        <w:r w:rsidRPr="00A3122A">
          <w:rPr>
            <w:rFonts w:hint="eastAsia"/>
            <w:noProof/>
            <w:webHidden/>
          </w:rPr>
          <w:fldChar w:fldCharType="end"/>
        </w:r>
      </w:hyperlink>
    </w:p>
    <w:p w14:paraId="476145D0" w14:textId="4B1F5CBC"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45" w:history="1">
        <w:r w:rsidRPr="00A3122A">
          <w:rPr>
            <w:rStyle w:val="af9"/>
            <w:rFonts w:ascii="ti" w:eastAsia="宋体" w:hAnsi="ti" w:hint="eastAsia"/>
            <w:noProof/>
          </w:rPr>
          <w:t>6.1.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Efficacy Evaluation</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_Toc184889645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56</w:t>
        </w:r>
        <w:r w:rsidRPr="00A3122A">
          <w:rPr>
            <w:rFonts w:hint="eastAsia"/>
            <w:noProof/>
            <w:webHidden/>
          </w:rPr>
          <w:fldChar w:fldCharType="end"/>
        </w:r>
      </w:hyperlink>
    </w:p>
    <w:p w14:paraId="79C0266F" w14:textId="57377113"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46" w:history="1">
        <w:r w:rsidRPr="00A3122A">
          <w:rPr>
            <w:rStyle w:val="af9"/>
            <w:rFonts w:ascii="ti" w:eastAsia="宋体" w:hAnsi="ti" w:hint="eastAsia"/>
            <w:noProof/>
          </w:rPr>
          <w:t>6.2.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Safety Evaluation</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_Toc184889646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57</w:t>
        </w:r>
        <w:r w:rsidRPr="00A3122A">
          <w:rPr>
            <w:rFonts w:hint="eastAsia"/>
            <w:noProof/>
            <w:webHidden/>
          </w:rPr>
          <w:fldChar w:fldCharType="end"/>
        </w:r>
      </w:hyperlink>
    </w:p>
    <w:p w14:paraId="5B8F636A" w14:textId="7DB35CE1"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47" w:history="1">
        <w:r w:rsidRPr="00A3122A">
          <w:rPr>
            <w:rStyle w:val="af9"/>
            <w:rFonts w:ascii="ti" w:eastAsia="宋体" w:hAnsi="ti" w:hint="eastAsia"/>
            <w:noProof/>
          </w:rPr>
          <w:t>6.3.</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European Organisation for Research and Treatment of Cancer (EORTC) Quality of Life Questionnaire</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_Toc184889647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59</w:t>
        </w:r>
        <w:r w:rsidRPr="00A3122A">
          <w:rPr>
            <w:rFonts w:hint="eastAsia"/>
            <w:noProof/>
            <w:webHidden/>
          </w:rPr>
          <w:fldChar w:fldCharType="end"/>
        </w:r>
      </w:hyperlink>
    </w:p>
    <w:p w14:paraId="26E5B359" w14:textId="2B3524BF" w:rsidR="0065714C" w:rsidRPr="00A3122A" w:rsidRDefault="0065714C" w:rsidP="00A3122A">
      <w:pPr>
        <w:pStyle w:val="TOC1"/>
        <w:tabs>
          <w:tab w:val="clear" w:pos="9016"/>
          <w:tab w:val="right" w:leader="dot" w:pos="8931"/>
        </w:tabs>
        <w:ind w:left="600" w:hanging="600"/>
        <w:rPr>
          <w:rFonts w:asciiTheme="minorHAnsi" w:eastAsiaTheme="minorEastAsia" w:hAnsiTheme="minorHAnsi" w:cstheme="minorBidi"/>
          <w:noProof/>
          <w:kern w:val="2"/>
          <w:lang w:val="en-US" w:eastAsia="zh-CN"/>
          <w14:ligatures w14:val="standardContextual"/>
        </w:rPr>
      </w:pPr>
      <w:hyperlink w:anchor="_Toc184889648" w:history="1">
        <w:r w:rsidRPr="00A3122A">
          <w:rPr>
            <w:rStyle w:val="af9"/>
            <w:rFonts w:hint="eastAsia"/>
            <w:noProof/>
          </w:rPr>
          <w:t>7.</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AE Report</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_Toc184889648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60</w:t>
        </w:r>
        <w:r w:rsidRPr="00A3122A">
          <w:rPr>
            <w:rFonts w:hint="eastAsia"/>
            <w:noProof/>
            <w:webHidden/>
          </w:rPr>
          <w:fldChar w:fldCharType="end"/>
        </w:r>
      </w:hyperlink>
    </w:p>
    <w:p w14:paraId="551E2F01" w14:textId="24BA63A2"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49" w:history="1">
        <w:r w:rsidRPr="00A3122A">
          <w:rPr>
            <w:rStyle w:val="af9"/>
            <w:rFonts w:ascii="ti" w:eastAsia="宋体" w:hAnsi="ti" w:hint="eastAsia"/>
            <w:noProof/>
          </w:rPr>
          <w:t>7.1.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AE</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_Toc184889649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60</w:t>
        </w:r>
        <w:r w:rsidRPr="00A3122A">
          <w:rPr>
            <w:rFonts w:hint="eastAsia"/>
            <w:noProof/>
            <w:webHidden/>
          </w:rPr>
          <w:fldChar w:fldCharType="end"/>
        </w:r>
      </w:hyperlink>
    </w:p>
    <w:p w14:paraId="01FE12C2" w14:textId="462F315D"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50" w:history="1">
        <w:r w:rsidRPr="00A3122A">
          <w:rPr>
            <w:rStyle w:val="af9"/>
            <w:rFonts w:hint="eastAsia"/>
            <w:noProof/>
          </w:rPr>
          <w:t>7.1.1.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Definition of AE</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_Toc184889650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60</w:t>
        </w:r>
        <w:r w:rsidRPr="00A3122A">
          <w:rPr>
            <w:rFonts w:hint="eastAsia"/>
            <w:noProof/>
            <w:webHidden/>
          </w:rPr>
          <w:fldChar w:fldCharType="end"/>
        </w:r>
      </w:hyperlink>
    </w:p>
    <w:p w14:paraId="0B224458" w14:textId="70465A68"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51" w:history="1">
        <w:r w:rsidRPr="00A3122A">
          <w:rPr>
            <w:rStyle w:val="af9"/>
            <w:rFonts w:hint="eastAsia"/>
            <w:noProof/>
          </w:rPr>
          <w:t>7.1.2.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Criteria for AE Severity</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_Toc184889651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60</w:t>
        </w:r>
        <w:r w:rsidRPr="00A3122A">
          <w:rPr>
            <w:rFonts w:hint="eastAsia"/>
            <w:noProof/>
            <w:webHidden/>
          </w:rPr>
          <w:fldChar w:fldCharType="end"/>
        </w:r>
      </w:hyperlink>
    </w:p>
    <w:p w14:paraId="3CA4895C" w14:textId="6BCF74DA"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52" w:history="1">
        <w:r w:rsidRPr="00A3122A">
          <w:rPr>
            <w:rStyle w:val="af9"/>
            <w:rFonts w:hint="eastAsia"/>
            <w:noProof/>
          </w:rPr>
          <w:t>7.1.3.</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Determination of Causality between AE and Investigational Product</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_Toc184889652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61</w:t>
        </w:r>
        <w:r w:rsidRPr="00A3122A">
          <w:rPr>
            <w:rFonts w:hint="eastAsia"/>
            <w:noProof/>
            <w:webHidden/>
          </w:rPr>
          <w:fldChar w:fldCharType="end"/>
        </w:r>
      </w:hyperlink>
    </w:p>
    <w:p w14:paraId="0F367165" w14:textId="1AEF0126"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53" w:history="1">
        <w:r w:rsidRPr="00A3122A">
          <w:rPr>
            <w:rStyle w:val="af9"/>
            <w:rFonts w:ascii="ti" w:eastAsia="宋体" w:hAnsi="ti" w:hint="eastAsia"/>
            <w:noProof/>
          </w:rPr>
          <w:t>7.2.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SAE</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_Toc184889653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61</w:t>
        </w:r>
        <w:r w:rsidRPr="00A3122A">
          <w:rPr>
            <w:rFonts w:hint="eastAsia"/>
            <w:noProof/>
            <w:webHidden/>
          </w:rPr>
          <w:fldChar w:fldCharType="end"/>
        </w:r>
      </w:hyperlink>
    </w:p>
    <w:p w14:paraId="36A8F839" w14:textId="06371E2A"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54" w:history="1">
        <w:r w:rsidRPr="00A3122A">
          <w:rPr>
            <w:rStyle w:val="af9"/>
            <w:rFonts w:hint="eastAsia"/>
            <w:noProof/>
          </w:rPr>
          <w:t>7.2.1.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Definition of SAE</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_Toc184889654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61</w:t>
        </w:r>
        <w:r w:rsidRPr="00A3122A">
          <w:rPr>
            <w:rFonts w:hint="eastAsia"/>
            <w:noProof/>
            <w:webHidden/>
          </w:rPr>
          <w:fldChar w:fldCharType="end"/>
        </w:r>
      </w:hyperlink>
    </w:p>
    <w:p w14:paraId="0B4775F5" w14:textId="39159C1D"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55" w:history="1">
        <w:r w:rsidRPr="00A3122A">
          <w:rPr>
            <w:rStyle w:val="af9"/>
            <w:rFonts w:hint="eastAsia"/>
            <w:noProof/>
          </w:rPr>
          <w:t>7.2.2.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Hospitalisation</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_Toc184889655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62</w:t>
        </w:r>
        <w:r w:rsidRPr="00A3122A">
          <w:rPr>
            <w:rFonts w:hint="eastAsia"/>
            <w:noProof/>
            <w:webHidden/>
          </w:rPr>
          <w:fldChar w:fldCharType="end"/>
        </w:r>
      </w:hyperlink>
    </w:p>
    <w:p w14:paraId="4F84E3E9" w14:textId="26F5858B"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56" w:history="1">
        <w:r w:rsidRPr="00A3122A">
          <w:rPr>
            <w:rStyle w:val="af9"/>
            <w:rFonts w:hint="eastAsia"/>
            <w:noProof/>
          </w:rPr>
          <w:t>7.2.3.</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Disease Progression and Death</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_Toc184889656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63</w:t>
        </w:r>
        <w:r w:rsidRPr="00A3122A">
          <w:rPr>
            <w:rFonts w:hint="eastAsia"/>
            <w:noProof/>
            <w:webHidden/>
          </w:rPr>
          <w:fldChar w:fldCharType="end"/>
        </w:r>
      </w:hyperlink>
    </w:p>
    <w:p w14:paraId="38284C6B" w14:textId="060FF23E"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57" w:history="1">
        <w:r w:rsidRPr="00A3122A">
          <w:rPr>
            <w:rStyle w:val="af9"/>
            <w:rFonts w:hint="eastAsia"/>
            <w:noProof/>
          </w:rPr>
          <w:t>7.2.4.</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Other Anti-tumor Therapies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_Toc184889657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64</w:t>
        </w:r>
        <w:r w:rsidRPr="00A3122A">
          <w:rPr>
            <w:rFonts w:hint="eastAsia"/>
            <w:noProof/>
            <w:webHidden/>
          </w:rPr>
          <w:fldChar w:fldCharType="end"/>
        </w:r>
      </w:hyperlink>
    </w:p>
    <w:p w14:paraId="7D08787D" w14:textId="4E6E1CD5"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58" w:history="1">
        <w:r w:rsidRPr="00A3122A">
          <w:rPr>
            <w:rStyle w:val="af9"/>
            <w:rFonts w:hint="eastAsia"/>
            <w:noProof/>
          </w:rPr>
          <w:t>7.2.5.</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SAE Reporting System</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_Toc184889658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64</w:t>
        </w:r>
        <w:r w:rsidRPr="00A3122A">
          <w:rPr>
            <w:rFonts w:hint="eastAsia"/>
            <w:noProof/>
            <w:webHidden/>
          </w:rPr>
          <w:fldChar w:fldCharType="end"/>
        </w:r>
      </w:hyperlink>
    </w:p>
    <w:p w14:paraId="49034886" w14:textId="62E7A0D1"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59" w:history="1">
        <w:r w:rsidRPr="00A3122A">
          <w:rPr>
            <w:rStyle w:val="af9"/>
            <w:rFonts w:ascii="ti" w:eastAsia="宋体" w:hAnsi="ti" w:hint="eastAsia"/>
            <w:noProof/>
          </w:rPr>
          <w:t>7.3.</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Pregnancy</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_Toc184889659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65</w:t>
        </w:r>
        <w:r w:rsidRPr="00A3122A">
          <w:rPr>
            <w:rFonts w:hint="eastAsia"/>
            <w:noProof/>
            <w:webHidden/>
          </w:rPr>
          <w:fldChar w:fldCharType="end"/>
        </w:r>
      </w:hyperlink>
    </w:p>
    <w:p w14:paraId="1E0212ED" w14:textId="1285E504"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60" w:history="1">
        <w:r w:rsidRPr="00A3122A">
          <w:rPr>
            <w:rStyle w:val="af9"/>
            <w:rFonts w:ascii="ti" w:eastAsia="宋体" w:hAnsi="ti" w:hint="eastAsia"/>
            <w:noProof/>
          </w:rPr>
          <w:t>7.4.</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Follow-up for AEs/SAEs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_Toc184889660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66</w:t>
        </w:r>
        <w:r w:rsidRPr="00A3122A">
          <w:rPr>
            <w:rFonts w:hint="eastAsia"/>
            <w:noProof/>
            <w:webHidden/>
          </w:rPr>
          <w:fldChar w:fldCharType="end"/>
        </w:r>
      </w:hyperlink>
    </w:p>
    <w:p w14:paraId="509CC432" w14:textId="2850E734" w:rsidR="0065714C" w:rsidRPr="00A3122A" w:rsidRDefault="0065714C" w:rsidP="00A3122A">
      <w:pPr>
        <w:pStyle w:val="TOC1"/>
        <w:tabs>
          <w:tab w:val="clear" w:pos="9016"/>
          <w:tab w:val="right" w:leader="dot" w:pos="8931"/>
        </w:tabs>
        <w:ind w:left="600" w:hanging="600"/>
        <w:rPr>
          <w:rFonts w:asciiTheme="minorHAnsi" w:eastAsiaTheme="minorEastAsia" w:hAnsiTheme="minorHAnsi" w:cstheme="minorBidi"/>
          <w:noProof/>
          <w:kern w:val="2"/>
          <w:lang w:val="en-US" w:eastAsia="zh-CN"/>
          <w14:ligatures w14:val="standardContextual"/>
        </w:rPr>
      </w:pPr>
      <w:hyperlink w:anchor="_Toc184889661" w:history="1">
        <w:r w:rsidRPr="00A3122A">
          <w:rPr>
            <w:rStyle w:val="af9"/>
            <w:rFonts w:hint="eastAsia"/>
            <w:noProof/>
          </w:rPr>
          <w:t>8.</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Statistical Methods and Analysis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_Toc184889661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67</w:t>
        </w:r>
        <w:r w:rsidRPr="00A3122A">
          <w:rPr>
            <w:rFonts w:hint="eastAsia"/>
            <w:noProof/>
            <w:webHidden/>
          </w:rPr>
          <w:fldChar w:fldCharType="end"/>
        </w:r>
      </w:hyperlink>
    </w:p>
    <w:p w14:paraId="291F918D" w14:textId="3B619E01"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62" w:history="1">
        <w:r w:rsidRPr="00A3122A">
          <w:rPr>
            <w:rStyle w:val="af9"/>
            <w:rFonts w:ascii="ti" w:eastAsia="宋体" w:hAnsi="ti" w:hint="eastAsia"/>
            <w:noProof/>
          </w:rPr>
          <w:t>8.1.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Analysis Population</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_Toc184889662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67</w:t>
        </w:r>
        <w:r w:rsidRPr="00A3122A">
          <w:rPr>
            <w:rFonts w:hint="eastAsia"/>
            <w:noProof/>
            <w:webHidden/>
          </w:rPr>
          <w:fldChar w:fldCharType="end"/>
        </w:r>
      </w:hyperlink>
    </w:p>
    <w:p w14:paraId="3B1F8A77" w14:textId="70AE23D6"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63" w:history="1">
        <w:r w:rsidRPr="00A3122A">
          <w:rPr>
            <w:rStyle w:val="af9"/>
            <w:rFonts w:ascii="ti" w:eastAsia="宋体" w:hAnsi="ti" w:hint="eastAsia"/>
            <w:noProof/>
          </w:rPr>
          <w:t>8.2.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Efficacy Analysis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_Toc184889663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67</w:t>
        </w:r>
        <w:r w:rsidRPr="00A3122A">
          <w:rPr>
            <w:rFonts w:hint="eastAsia"/>
            <w:noProof/>
            <w:webHidden/>
          </w:rPr>
          <w:fldChar w:fldCharType="end"/>
        </w:r>
      </w:hyperlink>
    </w:p>
    <w:p w14:paraId="440FD291" w14:textId="4D37253C"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64" w:history="1">
        <w:r w:rsidRPr="00A3122A">
          <w:rPr>
            <w:rStyle w:val="af9"/>
            <w:rFonts w:hint="eastAsia"/>
            <w:noProof/>
          </w:rPr>
          <w:t>8.2.1.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Primary Efficacy Analysis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_Toc184889664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67</w:t>
        </w:r>
        <w:r w:rsidRPr="00A3122A">
          <w:rPr>
            <w:rFonts w:hint="eastAsia"/>
            <w:noProof/>
            <w:webHidden/>
          </w:rPr>
          <w:fldChar w:fldCharType="end"/>
        </w:r>
      </w:hyperlink>
    </w:p>
    <w:p w14:paraId="2E0DEEA0" w14:textId="21D7C42C"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65" w:history="1">
        <w:r w:rsidRPr="00A3122A">
          <w:rPr>
            <w:rStyle w:val="af9"/>
            <w:rFonts w:hint="eastAsia"/>
            <w:noProof/>
          </w:rPr>
          <w:t>8.2.2.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Secondary Efficacy Analysis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_Toc184889665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67</w:t>
        </w:r>
        <w:r w:rsidRPr="00A3122A">
          <w:rPr>
            <w:rFonts w:hint="eastAsia"/>
            <w:noProof/>
            <w:webHidden/>
          </w:rPr>
          <w:fldChar w:fldCharType="end"/>
        </w:r>
      </w:hyperlink>
    </w:p>
    <w:p w14:paraId="678843D1" w14:textId="6C95930A"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66" w:history="1">
        <w:r w:rsidRPr="00A3122A">
          <w:rPr>
            <w:rStyle w:val="af9"/>
            <w:rFonts w:hint="eastAsia"/>
            <w:noProof/>
          </w:rPr>
          <w:t>8.2.3.</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Quality of Life Scores and Tumor Biomarkers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_Toc184889666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68</w:t>
        </w:r>
        <w:r w:rsidRPr="00A3122A">
          <w:rPr>
            <w:rFonts w:hint="eastAsia"/>
            <w:noProof/>
            <w:webHidden/>
          </w:rPr>
          <w:fldChar w:fldCharType="end"/>
        </w:r>
      </w:hyperlink>
    </w:p>
    <w:p w14:paraId="719EA501" w14:textId="709344E3"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67" w:history="1">
        <w:r w:rsidRPr="00A3122A">
          <w:rPr>
            <w:rStyle w:val="af9"/>
            <w:rFonts w:ascii="ti" w:eastAsia="宋体" w:hAnsi="ti" w:hint="eastAsia"/>
            <w:noProof/>
          </w:rPr>
          <w:t>8.3.</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Safety Analysis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_Toc184889667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68</w:t>
        </w:r>
        <w:r w:rsidRPr="00A3122A">
          <w:rPr>
            <w:rFonts w:hint="eastAsia"/>
            <w:noProof/>
            <w:webHidden/>
          </w:rPr>
          <w:fldChar w:fldCharType="end"/>
        </w:r>
      </w:hyperlink>
    </w:p>
    <w:p w14:paraId="6E2D0FC5" w14:textId="4A885941"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68" w:history="1">
        <w:r w:rsidRPr="00A3122A">
          <w:rPr>
            <w:rStyle w:val="af9"/>
            <w:rFonts w:ascii="ti" w:eastAsia="宋体" w:hAnsi="ti" w:hint="eastAsia"/>
            <w:noProof/>
          </w:rPr>
          <w:t>8.4.</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Sample Size Determination</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_Toc184889668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69</w:t>
        </w:r>
        <w:r w:rsidRPr="00A3122A">
          <w:rPr>
            <w:rFonts w:hint="eastAsia"/>
            <w:noProof/>
            <w:webHidden/>
          </w:rPr>
          <w:fldChar w:fldCharType="end"/>
        </w:r>
      </w:hyperlink>
    </w:p>
    <w:p w14:paraId="51C2F4DF" w14:textId="64DE7486" w:rsidR="0065714C" w:rsidRPr="00A3122A" w:rsidRDefault="0065714C" w:rsidP="00A3122A">
      <w:pPr>
        <w:pStyle w:val="TOC1"/>
        <w:tabs>
          <w:tab w:val="clear" w:pos="9016"/>
          <w:tab w:val="right" w:leader="dot" w:pos="8931"/>
        </w:tabs>
        <w:ind w:left="600" w:hanging="600"/>
        <w:rPr>
          <w:rFonts w:asciiTheme="minorHAnsi" w:eastAsiaTheme="minorEastAsia" w:hAnsiTheme="minorHAnsi" w:cstheme="minorBidi"/>
          <w:noProof/>
          <w:kern w:val="2"/>
          <w:lang w:val="en-US" w:eastAsia="zh-CN"/>
          <w14:ligatures w14:val="standardContextual"/>
        </w:rPr>
      </w:pPr>
      <w:hyperlink w:anchor="_Toc184889669" w:history="1">
        <w:r w:rsidRPr="00A3122A">
          <w:rPr>
            <w:rStyle w:val="af9"/>
            <w:rFonts w:hint="eastAsia"/>
            <w:noProof/>
          </w:rPr>
          <w:t>9.</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Data Management Methods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_Toc184889669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69</w:t>
        </w:r>
        <w:r w:rsidRPr="00A3122A">
          <w:rPr>
            <w:rFonts w:hint="eastAsia"/>
            <w:noProof/>
            <w:webHidden/>
          </w:rPr>
          <w:fldChar w:fldCharType="end"/>
        </w:r>
      </w:hyperlink>
    </w:p>
    <w:p w14:paraId="3F38F60A" w14:textId="55957485"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70" w:history="1">
        <w:r w:rsidRPr="00A3122A">
          <w:rPr>
            <w:rStyle w:val="af9"/>
            <w:rFonts w:ascii="ti" w:eastAsia="宋体" w:hAnsi="ti" w:hint="eastAsia"/>
            <w:noProof/>
          </w:rPr>
          <w:t>9.1.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Data Recording</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_Toc184889670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69</w:t>
        </w:r>
        <w:r w:rsidRPr="00A3122A">
          <w:rPr>
            <w:rFonts w:hint="eastAsia"/>
            <w:noProof/>
            <w:webHidden/>
          </w:rPr>
          <w:fldChar w:fldCharType="end"/>
        </w:r>
      </w:hyperlink>
    </w:p>
    <w:p w14:paraId="0743AE1C" w14:textId="698D81DB"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71" w:history="1">
        <w:r w:rsidRPr="00A3122A">
          <w:rPr>
            <w:rStyle w:val="af9"/>
            <w:rFonts w:hint="eastAsia"/>
            <w:noProof/>
          </w:rPr>
          <w:t>9.1.1.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Completion of Original Medical Records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_Toc184889671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69</w:t>
        </w:r>
        <w:r w:rsidRPr="00A3122A">
          <w:rPr>
            <w:rFonts w:hint="eastAsia"/>
            <w:noProof/>
            <w:webHidden/>
          </w:rPr>
          <w:fldChar w:fldCharType="end"/>
        </w:r>
      </w:hyperlink>
    </w:p>
    <w:p w14:paraId="4A7B1ECB" w14:textId="5BB1289A"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72" w:history="1">
        <w:r w:rsidRPr="00A3122A">
          <w:rPr>
            <w:rStyle w:val="af9"/>
            <w:rFonts w:hint="eastAsia"/>
            <w:noProof/>
          </w:rPr>
          <w:t>9.1.2.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eCRF Completion</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_Toc184889672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69</w:t>
        </w:r>
        <w:r w:rsidRPr="00A3122A">
          <w:rPr>
            <w:rFonts w:hint="eastAsia"/>
            <w:noProof/>
            <w:webHidden/>
          </w:rPr>
          <w:fldChar w:fldCharType="end"/>
        </w:r>
      </w:hyperlink>
    </w:p>
    <w:p w14:paraId="70593B8B" w14:textId="6EAFDE8C"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73" w:history="1">
        <w:r w:rsidRPr="00A3122A">
          <w:rPr>
            <w:rStyle w:val="af9"/>
            <w:rFonts w:hint="eastAsia"/>
            <w:noProof/>
          </w:rPr>
          <w:t>9.1.3.</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eCRF Review</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_Toc184889673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70</w:t>
        </w:r>
        <w:r w:rsidRPr="00A3122A">
          <w:rPr>
            <w:rFonts w:hint="eastAsia"/>
            <w:noProof/>
            <w:webHidden/>
          </w:rPr>
          <w:fldChar w:fldCharType="end"/>
        </w:r>
      </w:hyperlink>
    </w:p>
    <w:p w14:paraId="2A4E2F9F" w14:textId="6328EE9C"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74" w:history="1">
        <w:r w:rsidRPr="00A3122A">
          <w:rPr>
            <w:rStyle w:val="af9"/>
            <w:rFonts w:ascii="ti" w:eastAsia="宋体" w:hAnsi="ti" w:hint="eastAsia"/>
            <w:noProof/>
          </w:rPr>
          <w:t>9.2.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Data Management</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_Toc184889674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70</w:t>
        </w:r>
        <w:r w:rsidRPr="00A3122A">
          <w:rPr>
            <w:rFonts w:hint="eastAsia"/>
            <w:noProof/>
            <w:webHidden/>
          </w:rPr>
          <w:fldChar w:fldCharType="end"/>
        </w:r>
      </w:hyperlink>
    </w:p>
    <w:p w14:paraId="14859E70" w14:textId="7E1193FF"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75" w:history="1">
        <w:r w:rsidRPr="00A3122A">
          <w:rPr>
            <w:rStyle w:val="af9"/>
            <w:rFonts w:hint="eastAsia"/>
            <w:noProof/>
          </w:rPr>
          <w:t>9.2.1.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Establishment of EDC Database</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_Toc184889675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70</w:t>
        </w:r>
        <w:r w:rsidRPr="00A3122A">
          <w:rPr>
            <w:rFonts w:hint="eastAsia"/>
            <w:noProof/>
            <w:webHidden/>
          </w:rPr>
          <w:fldChar w:fldCharType="end"/>
        </w:r>
      </w:hyperlink>
    </w:p>
    <w:p w14:paraId="651BE096" w14:textId="3AEAFE29"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76" w:history="1">
        <w:r w:rsidRPr="00A3122A">
          <w:rPr>
            <w:rStyle w:val="af9"/>
            <w:rFonts w:hint="eastAsia"/>
            <w:noProof/>
          </w:rPr>
          <w:t>9.2.2.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Data Review and Database Lock</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_Toc184889676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70</w:t>
        </w:r>
        <w:r w:rsidRPr="00A3122A">
          <w:rPr>
            <w:rFonts w:hint="eastAsia"/>
            <w:noProof/>
            <w:webHidden/>
          </w:rPr>
          <w:fldChar w:fldCharType="end"/>
        </w:r>
      </w:hyperlink>
    </w:p>
    <w:p w14:paraId="7983D9A4" w14:textId="04B0D323"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77" w:history="1">
        <w:r w:rsidRPr="00A3122A">
          <w:rPr>
            <w:rStyle w:val="af9"/>
            <w:rFonts w:hint="eastAsia"/>
            <w:noProof/>
          </w:rPr>
          <w:t>9.2.3.</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Data Archiving</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_Toc184889677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70</w:t>
        </w:r>
        <w:r w:rsidRPr="00A3122A">
          <w:rPr>
            <w:rFonts w:hint="eastAsia"/>
            <w:noProof/>
            <w:webHidden/>
          </w:rPr>
          <w:fldChar w:fldCharType="end"/>
        </w:r>
      </w:hyperlink>
    </w:p>
    <w:p w14:paraId="52417225" w14:textId="41DFA173" w:rsidR="0065714C" w:rsidRPr="00A3122A" w:rsidRDefault="0065714C" w:rsidP="00A3122A">
      <w:pPr>
        <w:pStyle w:val="TOC1"/>
        <w:tabs>
          <w:tab w:val="clear" w:pos="9016"/>
          <w:tab w:val="right" w:leader="dot" w:pos="8931"/>
        </w:tabs>
        <w:ind w:left="600" w:hanging="600"/>
        <w:rPr>
          <w:rFonts w:asciiTheme="minorHAnsi" w:eastAsiaTheme="minorEastAsia" w:hAnsiTheme="minorHAnsi" w:cstheme="minorBidi"/>
          <w:noProof/>
          <w:kern w:val="2"/>
          <w:lang w:val="en-US" w:eastAsia="zh-CN"/>
          <w14:ligatures w14:val="standardContextual"/>
        </w:rPr>
      </w:pPr>
      <w:hyperlink w:anchor="_Toc184889678" w:history="1">
        <w:r w:rsidRPr="00A3122A">
          <w:rPr>
            <w:rStyle w:val="af9"/>
            <w:rFonts w:hint="eastAsia"/>
            <w:noProof/>
          </w:rPr>
          <w:t>10.</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Source Data and Source Documents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_Toc184889678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71</w:t>
        </w:r>
        <w:r w:rsidRPr="00A3122A">
          <w:rPr>
            <w:rFonts w:hint="eastAsia"/>
            <w:noProof/>
            <w:webHidden/>
          </w:rPr>
          <w:fldChar w:fldCharType="end"/>
        </w:r>
      </w:hyperlink>
    </w:p>
    <w:p w14:paraId="33C4E22A" w14:textId="5A864CE4" w:rsidR="0065714C" w:rsidRPr="00A3122A" w:rsidRDefault="0065714C" w:rsidP="00A3122A">
      <w:pPr>
        <w:pStyle w:val="TOC1"/>
        <w:tabs>
          <w:tab w:val="clear" w:pos="9016"/>
          <w:tab w:val="right" w:leader="dot" w:pos="8931"/>
        </w:tabs>
        <w:ind w:left="600" w:hanging="600"/>
        <w:rPr>
          <w:rFonts w:asciiTheme="minorHAnsi" w:eastAsiaTheme="minorEastAsia" w:hAnsiTheme="minorHAnsi" w:cstheme="minorBidi"/>
          <w:noProof/>
          <w:kern w:val="2"/>
          <w:lang w:val="en-US" w:eastAsia="zh-CN"/>
          <w14:ligatures w14:val="standardContextual"/>
        </w:rPr>
      </w:pPr>
      <w:hyperlink w:anchor="_Toc184889679" w:history="1">
        <w:r w:rsidRPr="00A3122A">
          <w:rPr>
            <w:rStyle w:val="af9"/>
            <w:rFonts w:hint="eastAsia"/>
            <w:noProof/>
          </w:rPr>
          <w:t>11.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Quality Assurance and Quality Control</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_Toc184889679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71</w:t>
        </w:r>
        <w:r w:rsidRPr="00A3122A">
          <w:rPr>
            <w:rFonts w:hint="eastAsia"/>
            <w:noProof/>
            <w:webHidden/>
          </w:rPr>
          <w:fldChar w:fldCharType="end"/>
        </w:r>
      </w:hyperlink>
    </w:p>
    <w:p w14:paraId="23252E3D" w14:textId="67A7C085" w:rsidR="0065714C" w:rsidRPr="00A3122A" w:rsidRDefault="0065714C" w:rsidP="00A3122A">
      <w:pPr>
        <w:pStyle w:val="TOC1"/>
        <w:tabs>
          <w:tab w:val="clear" w:pos="9016"/>
          <w:tab w:val="right" w:leader="dot" w:pos="8931"/>
        </w:tabs>
        <w:ind w:left="600" w:hanging="600"/>
        <w:rPr>
          <w:rFonts w:asciiTheme="minorHAnsi" w:eastAsiaTheme="minorEastAsia" w:hAnsiTheme="minorHAnsi" w:cstheme="minorBidi"/>
          <w:noProof/>
          <w:kern w:val="2"/>
          <w:lang w:val="en-US" w:eastAsia="zh-CN"/>
          <w14:ligatures w14:val="standardContextual"/>
        </w:rPr>
      </w:pPr>
      <w:hyperlink w:anchor="_Toc184889680" w:history="1">
        <w:r w:rsidRPr="00A3122A">
          <w:rPr>
            <w:rStyle w:val="af9"/>
            <w:rFonts w:hint="eastAsia"/>
            <w:noProof/>
          </w:rPr>
          <w:t>12.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Ethics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_Toc184889680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72</w:t>
        </w:r>
        <w:r w:rsidRPr="00A3122A">
          <w:rPr>
            <w:rFonts w:hint="eastAsia"/>
            <w:noProof/>
            <w:webHidden/>
          </w:rPr>
          <w:fldChar w:fldCharType="end"/>
        </w:r>
      </w:hyperlink>
    </w:p>
    <w:p w14:paraId="646BB0DA" w14:textId="4F7D3410"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81" w:history="1">
        <w:r w:rsidRPr="00A3122A">
          <w:rPr>
            <w:rStyle w:val="af9"/>
            <w:rFonts w:ascii="ti" w:eastAsia="宋体" w:hAnsi="ti" w:hint="eastAsia"/>
            <w:noProof/>
          </w:rPr>
          <w:t>12.1.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Ethical Codes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_Toc184889681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72</w:t>
        </w:r>
        <w:r w:rsidRPr="00A3122A">
          <w:rPr>
            <w:rFonts w:hint="eastAsia"/>
            <w:noProof/>
            <w:webHidden/>
          </w:rPr>
          <w:fldChar w:fldCharType="end"/>
        </w:r>
      </w:hyperlink>
    </w:p>
    <w:p w14:paraId="126C7B1B" w14:textId="5AE62ADE"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82" w:history="1">
        <w:r w:rsidRPr="00A3122A">
          <w:rPr>
            <w:rStyle w:val="af9"/>
            <w:rFonts w:ascii="ti" w:eastAsia="宋体" w:hAnsi="ti" w:hint="eastAsia"/>
            <w:noProof/>
          </w:rPr>
          <w:t>12.2.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Independent EC</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_Toc184889682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73</w:t>
        </w:r>
        <w:r w:rsidRPr="00A3122A">
          <w:rPr>
            <w:rFonts w:hint="eastAsia"/>
            <w:noProof/>
            <w:webHidden/>
          </w:rPr>
          <w:fldChar w:fldCharType="end"/>
        </w:r>
      </w:hyperlink>
    </w:p>
    <w:p w14:paraId="66BB8177" w14:textId="790CBF0A"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83" w:history="1">
        <w:r w:rsidRPr="00A3122A">
          <w:rPr>
            <w:rStyle w:val="af9"/>
            <w:rFonts w:ascii="ti" w:eastAsia="宋体" w:hAnsi="ti" w:hint="eastAsia"/>
            <w:noProof/>
          </w:rPr>
          <w:t>12.3.</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Informed Consent</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_Toc184889683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73</w:t>
        </w:r>
        <w:r w:rsidRPr="00A3122A">
          <w:rPr>
            <w:rFonts w:hint="eastAsia"/>
            <w:noProof/>
            <w:webHidden/>
          </w:rPr>
          <w:fldChar w:fldCharType="end"/>
        </w:r>
      </w:hyperlink>
    </w:p>
    <w:p w14:paraId="42629716" w14:textId="09DA4E4E"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84" w:history="1">
        <w:r w:rsidRPr="00A3122A">
          <w:rPr>
            <w:rStyle w:val="af9"/>
            <w:rFonts w:hint="eastAsia"/>
            <w:noProof/>
          </w:rPr>
          <w:t>12.3.1.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Informed Consent Form and Other Written Information Required by Subjects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_Toc184889684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73</w:t>
        </w:r>
        <w:r w:rsidRPr="00A3122A">
          <w:rPr>
            <w:rFonts w:hint="eastAsia"/>
            <w:noProof/>
            <w:webHidden/>
          </w:rPr>
          <w:fldChar w:fldCharType="end"/>
        </w:r>
      </w:hyperlink>
    </w:p>
    <w:p w14:paraId="5B4AED33" w14:textId="2C80692F"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85" w:history="1">
        <w:r w:rsidRPr="00A3122A">
          <w:rPr>
            <w:rStyle w:val="af9"/>
            <w:rFonts w:hint="eastAsia"/>
            <w:noProof/>
          </w:rPr>
          <w:t>12.3.2.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Informed Consent Process and Records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_Toc184889685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73</w:t>
        </w:r>
        <w:r w:rsidRPr="00A3122A">
          <w:rPr>
            <w:rFonts w:hint="eastAsia"/>
            <w:noProof/>
            <w:webHidden/>
          </w:rPr>
          <w:fldChar w:fldCharType="end"/>
        </w:r>
      </w:hyperlink>
    </w:p>
    <w:p w14:paraId="647A9EEF" w14:textId="778B4ADA"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86" w:history="1">
        <w:r w:rsidRPr="00A3122A">
          <w:rPr>
            <w:rStyle w:val="af9"/>
            <w:rFonts w:ascii="ti" w:eastAsia="宋体" w:hAnsi="ti" w:hint="eastAsia"/>
            <w:noProof/>
          </w:rPr>
          <w:t>12.4.</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Confidentiality of Subject Information</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_Toc184889686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74</w:t>
        </w:r>
        <w:r w:rsidRPr="00A3122A">
          <w:rPr>
            <w:rFonts w:hint="eastAsia"/>
            <w:noProof/>
            <w:webHidden/>
          </w:rPr>
          <w:fldChar w:fldCharType="end"/>
        </w:r>
      </w:hyperlink>
    </w:p>
    <w:p w14:paraId="4F3015C2" w14:textId="2B450618" w:rsidR="0065714C" w:rsidRPr="00A3122A" w:rsidRDefault="0065714C" w:rsidP="00A3122A">
      <w:pPr>
        <w:pStyle w:val="TOC3"/>
        <w:tabs>
          <w:tab w:val="right" w:leader="dot" w:pos="8931"/>
        </w:tabs>
        <w:ind w:left="1260" w:hanging="840"/>
        <w:rPr>
          <w:rFonts w:asciiTheme="minorHAnsi" w:eastAsiaTheme="minorEastAsia" w:hAnsiTheme="minorHAnsi" w:cstheme="minorBidi"/>
          <w:noProof/>
          <w:kern w:val="2"/>
          <w:lang w:val="en-US" w:eastAsia="zh-CN"/>
          <w14:ligatures w14:val="standardContextual"/>
        </w:rPr>
      </w:pPr>
      <w:hyperlink w:anchor="_Toc184889687" w:history="1">
        <w:r w:rsidRPr="00A3122A">
          <w:rPr>
            <w:rStyle w:val="af9"/>
            <w:rFonts w:hint="eastAsia"/>
            <w:noProof/>
          </w:rPr>
          <w:t>12.4.1.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Study Use of Samples, Specimens, or Data</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_Toc184889687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74</w:t>
        </w:r>
        <w:r w:rsidRPr="00A3122A">
          <w:rPr>
            <w:rFonts w:hint="eastAsia"/>
            <w:noProof/>
            <w:webHidden/>
          </w:rPr>
          <w:fldChar w:fldCharType="end"/>
        </w:r>
      </w:hyperlink>
    </w:p>
    <w:p w14:paraId="02BF92A4" w14:textId="48684DFA" w:rsidR="0065714C" w:rsidRPr="00A3122A" w:rsidRDefault="0065714C" w:rsidP="00A3122A">
      <w:pPr>
        <w:pStyle w:val="TOC1"/>
        <w:tabs>
          <w:tab w:val="clear" w:pos="9016"/>
          <w:tab w:val="right" w:leader="dot" w:pos="8931"/>
        </w:tabs>
        <w:ind w:left="600" w:hanging="600"/>
        <w:rPr>
          <w:rFonts w:asciiTheme="minorHAnsi" w:eastAsiaTheme="minorEastAsia" w:hAnsiTheme="minorHAnsi" w:cstheme="minorBidi"/>
          <w:noProof/>
          <w:kern w:val="2"/>
          <w:lang w:val="en-US" w:eastAsia="zh-CN"/>
          <w14:ligatures w14:val="standardContextual"/>
        </w:rPr>
      </w:pPr>
      <w:hyperlink w:anchor="_Toc184889688" w:history="1">
        <w:r w:rsidRPr="00A3122A">
          <w:rPr>
            <w:rStyle w:val="af9"/>
            <w:rFonts w:hint="eastAsia"/>
            <w:noProof/>
          </w:rPr>
          <w:t>13.</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Publication of Study Results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_Toc184889688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74</w:t>
        </w:r>
        <w:r w:rsidRPr="00A3122A">
          <w:rPr>
            <w:rFonts w:hint="eastAsia"/>
            <w:noProof/>
            <w:webHidden/>
          </w:rPr>
          <w:fldChar w:fldCharType="end"/>
        </w:r>
      </w:hyperlink>
    </w:p>
    <w:p w14:paraId="0A6944EB" w14:textId="41894FE3"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89" w:history="1">
        <w:r w:rsidRPr="00A3122A">
          <w:rPr>
            <w:rStyle w:val="af9"/>
            <w:rFonts w:ascii="ti" w:eastAsia="宋体" w:hAnsi="ti" w:hint="eastAsia"/>
            <w:noProof/>
          </w:rPr>
          <w:t>13.1.</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Utilization of Study Data</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_Toc184889689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74</w:t>
        </w:r>
        <w:r w:rsidRPr="00A3122A">
          <w:rPr>
            <w:rFonts w:hint="eastAsia"/>
            <w:noProof/>
            <w:webHidden/>
          </w:rPr>
          <w:fldChar w:fldCharType="end"/>
        </w:r>
      </w:hyperlink>
    </w:p>
    <w:p w14:paraId="0385ACB7" w14:textId="342F9AC7"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90" w:history="1">
        <w:r w:rsidRPr="00A3122A">
          <w:rPr>
            <w:rStyle w:val="af9"/>
            <w:rFonts w:ascii="ti" w:eastAsia="宋体" w:hAnsi="ti" w:hint="eastAsia"/>
            <w:noProof/>
          </w:rPr>
          <w:t>13.2.</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Publication</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_Toc184889690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75</w:t>
        </w:r>
        <w:r w:rsidRPr="00A3122A">
          <w:rPr>
            <w:rFonts w:hint="eastAsia"/>
            <w:noProof/>
            <w:webHidden/>
          </w:rPr>
          <w:fldChar w:fldCharType="end"/>
        </w:r>
      </w:hyperlink>
    </w:p>
    <w:p w14:paraId="3A3F9B93" w14:textId="51D07FAC" w:rsidR="0065714C" w:rsidRPr="00A3122A" w:rsidRDefault="0065714C" w:rsidP="00A3122A">
      <w:pPr>
        <w:pStyle w:val="TOC1"/>
        <w:tabs>
          <w:tab w:val="clear" w:pos="9016"/>
          <w:tab w:val="right" w:leader="dot" w:pos="8931"/>
        </w:tabs>
        <w:ind w:left="600" w:hanging="600"/>
        <w:rPr>
          <w:rFonts w:asciiTheme="minorHAnsi" w:eastAsiaTheme="minorEastAsia" w:hAnsiTheme="minorHAnsi" w:cstheme="minorBidi"/>
          <w:noProof/>
          <w:kern w:val="2"/>
          <w:lang w:val="en-US" w:eastAsia="zh-CN"/>
          <w14:ligatures w14:val="standardContextual"/>
        </w:rPr>
      </w:pPr>
      <w:hyperlink w:anchor="_Toc184889691" w:history="1">
        <w:r w:rsidRPr="00A3122A">
          <w:rPr>
            <w:rStyle w:val="af9"/>
            <w:rFonts w:hint="eastAsia"/>
            <w:noProof/>
          </w:rPr>
          <w:t>14.</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References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_Toc184889691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75</w:t>
        </w:r>
        <w:r w:rsidRPr="00A3122A">
          <w:rPr>
            <w:rFonts w:hint="eastAsia"/>
            <w:noProof/>
            <w:webHidden/>
          </w:rPr>
          <w:fldChar w:fldCharType="end"/>
        </w:r>
      </w:hyperlink>
    </w:p>
    <w:p w14:paraId="35401C57" w14:textId="1F43F9BB" w:rsidR="0065714C" w:rsidRPr="00A3122A" w:rsidRDefault="0065714C" w:rsidP="00A3122A">
      <w:pPr>
        <w:pStyle w:val="TOC1"/>
        <w:tabs>
          <w:tab w:val="clear" w:pos="9016"/>
          <w:tab w:val="right" w:leader="dot" w:pos="8931"/>
        </w:tabs>
        <w:ind w:left="600" w:hanging="600"/>
        <w:rPr>
          <w:rFonts w:asciiTheme="minorHAnsi" w:eastAsiaTheme="minorEastAsia" w:hAnsiTheme="minorHAnsi" w:cstheme="minorBidi"/>
          <w:noProof/>
          <w:kern w:val="2"/>
          <w:lang w:val="en-US" w:eastAsia="zh-CN"/>
          <w14:ligatures w14:val="standardContextual"/>
        </w:rPr>
      </w:pPr>
      <w:hyperlink w:anchor="_Toc184889692" w:history="1">
        <w:r w:rsidRPr="00A3122A">
          <w:rPr>
            <w:rStyle w:val="af9"/>
            <w:rFonts w:hint="eastAsia"/>
            <w:noProof/>
          </w:rPr>
          <w:t>15.</w:t>
        </w:r>
        <w:r w:rsidRPr="00A3122A">
          <w:rPr>
            <w:rFonts w:asciiTheme="minorHAnsi" w:eastAsiaTheme="minorEastAsia" w:hAnsiTheme="minorHAnsi" w:cstheme="minorBidi" w:hint="eastAsia"/>
            <w:noProof/>
            <w:kern w:val="2"/>
            <w:lang w:val="en-US" w:eastAsia="zh-CN"/>
            <w14:ligatures w14:val="standardContextual"/>
          </w:rPr>
          <w:tab/>
        </w:r>
        <w:r w:rsidRPr="00A3122A">
          <w:rPr>
            <w:rStyle w:val="af9"/>
            <w:rFonts w:hint="eastAsia"/>
            <w:noProof/>
          </w:rPr>
          <w:t>Appendix</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_Toc184889692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78</w:t>
        </w:r>
        <w:r w:rsidRPr="00A3122A">
          <w:rPr>
            <w:rFonts w:hint="eastAsia"/>
            <w:noProof/>
            <w:webHidden/>
          </w:rPr>
          <w:fldChar w:fldCharType="end"/>
        </w:r>
      </w:hyperlink>
    </w:p>
    <w:p w14:paraId="778C028E" w14:textId="0AD2B2CE"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93" w:history="1">
        <w:r w:rsidRPr="00A3122A">
          <w:rPr>
            <w:rStyle w:val="af9"/>
            <w:rFonts w:hint="eastAsia"/>
            <w:b/>
            <w:bCs/>
            <w:noProof/>
          </w:rPr>
          <w:t>Appendix 1: Guideline on Potential Interactions of Surufatinib with Concomitant Medications</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_Toc184889693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78</w:t>
        </w:r>
        <w:r w:rsidRPr="00A3122A">
          <w:rPr>
            <w:rFonts w:hint="eastAsia"/>
            <w:noProof/>
            <w:webHidden/>
          </w:rPr>
          <w:fldChar w:fldCharType="end"/>
        </w:r>
      </w:hyperlink>
    </w:p>
    <w:p w14:paraId="514AF054" w14:textId="4623EB10" w:rsidR="0065714C" w:rsidRPr="00A3122A" w:rsidRDefault="0065714C" w:rsidP="00A3122A">
      <w:pPr>
        <w:pStyle w:val="TOC2"/>
        <w:tabs>
          <w:tab w:val="right" w:leader="dot" w:pos="8931"/>
        </w:tabs>
        <w:ind w:left="930" w:hanging="720"/>
        <w:rPr>
          <w:rFonts w:asciiTheme="minorHAnsi" w:eastAsiaTheme="minorEastAsia" w:hAnsiTheme="minorHAnsi" w:cstheme="minorBidi"/>
          <w:noProof/>
          <w:kern w:val="2"/>
          <w:lang w:val="en-US" w:eastAsia="zh-CN"/>
          <w14:ligatures w14:val="standardContextual"/>
        </w:rPr>
      </w:pPr>
      <w:hyperlink w:anchor="_Toc184889694" w:history="1">
        <w:r w:rsidRPr="00A3122A">
          <w:rPr>
            <w:rStyle w:val="af9"/>
            <w:rFonts w:hint="eastAsia"/>
            <w:b/>
            <w:bCs/>
            <w:noProof/>
          </w:rPr>
          <w:t>Appendix 2</w:t>
        </w:r>
        <w:r w:rsidR="007F48EE">
          <w:rPr>
            <w:rStyle w:val="af9"/>
            <w:rFonts w:eastAsiaTheme="minorEastAsia" w:hint="eastAsia"/>
            <w:b/>
            <w:bCs/>
            <w:noProof/>
            <w:lang w:eastAsia="zh-CN"/>
          </w:rPr>
          <w:t>:</w:t>
        </w:r>
        <w:r w:rsidRPr="00A3122A">
          <w:rPr>
            <w:rStyle w:val="af9"/>
            <w:rFonts w:hint="eastAsia"/>
            <w:b/>
            <w:bCs/>
            <w:noProof/>
          </w:rPr>
          <w:t xml:space="preserve"> Traditional Chinese Medicines Prohibited During the Study</w:t>
        </w:r>
        <w:r w:rsidRPr="00A3122A">
          <w:rPr>
            <w:rFonts w:hint="eastAsia"/>
            <w:noProof/>
            <w:webHidden/>
          </w:rPr>
          <w:tab/>
        </w:r>
        <w:r w:rsidRPr="00A3122A">
          <w:rPr>
            <w:rFonts w:hint="eastAsia"/>
            <w:noProof/>
            <w:webHidden/>
          </w:rPr>
          <w:fldChar w:fldCharType="begin"/>
        </w:r>
        <w:r w:rsidRPr="00A3122A">
          <w:rPr>
            <w:rFonts w:hint="eastAsia"/>
            <w:noProof/>
            <w:webHidden/>
          </w:rPr>
          <w:instrText xml:space="preserve"> </w:instrText>
        </w:r>
        <w:r w:rsidRPr="00A3122A">
          <w:rPr>
            <w:noProof/>
            <w:webHidden/>
          </w:rPr>
          <w:instrText>PAGEREF _Toc184889694 \h</w:instrText>
        </w:r>
        <w:r w:rsidRPr="00A3122A">
          <w:rPr>
            <w:rFonts w:hint="eastAsia"/>
            <w:noProof/>
            <w:webHidden/>
          </w:rPr>
          <w:instrText xml:space="preserve"> </w:instrText>
        </w:r>
        <w:r w:rsidRPr="00A3122A">
          <w:rPr>
            <w:rFonts w:hint="eastAsia"/>
            <w:noProof/>
            <w:webHidden/>
          </w:rPr>
        </w:r>
        <w:r w:rsidRPr="00A3122A">
          <w:rPr>
            <w:rFonts w:hint="eastAsia"/>
            <w:noProof/>
            <w:webHidden/>
          </w:rPr>
          <w:fldChar w:fldCharType="separate"/>
        </w:r>
        <w:r w:rsidR="003A75FB">
          <w:rPr>
            <w:noProof/>
            <w:webHidden/>
          </w:rPr>
          <w:t>81</w:t>
        </w:r>
        <w:r w:rsidRPr="00A3122A">
          <w:rPr>
            <w:rFonts w:hint="eastAsia"/>
            <w:noProof/>
            <w:webHidden/>
          </w:rPr>
          <w:fldChar w:fldCharType="end"/>
        </w:r>
      </w:hyperlink>
    </w:p>
    <w:p w14:paraId="068E4790" w14:textId="42F2B256" w:rsidR="00DE4AFD" w:rsidRPr="00303844" w:rsidRDefault="004A4F56" w:rsidP="000C622D">
      <w:pPr>
        <w:pStyle w:val="afc"/>
        <w:ind w:firstLine="480"/>
      </w:pPr>
      <w:r w:rsidRPr="00303844">
        <w:rPr>
          <w:kern w:val="0"/>
          <w:szCs w:val="22"/>
          <w:lang w:val="zh-CN" w:eastAsia="en-US"/>
        </w:rPr>
        <w:fldChar w:fldCharType="end"/>
      </w:r>
    </w:p>
    <w:p w14:paraId="1B5C0DEC" w14:textId="77777777" w:rsidR="00DE4AFD" w:rsidRPr="00303844" w:rsidRDefault="00DE4AFD" w:rsidP="000C622D">
      <w:pPr>
        <w:pStyle w:val="HR"/>
        <w:spacing w:after="0"/>
        <w:ind w:firstLine="480"/>
        <w:jc w:val="both"/>
        <w:rPr>
          <w:rFonts w:cs="Times New Roman"/>
        </w:rPr>
      </w:pPr>
    </w:p>
    <w:bookmarkEnd w:id="0"/>
    <w:p w14:paraId="358EC976" w14:textId="77777777" w:rsidR="00DE4AFD" w:rsidRPr="00303844" w:rsidRDefault="004A4F56" w:rsidP="00253A8A">
      <w:pPr>
        <w:widowControl/>
        <w:rPr>
          <w:rFonts w:ascii="Times New Roman" w:eastAsia="宋体" w:hAnsi="Times New Roman" w:cs="Times New Roman"/>
          <w:b/>
          <w:sz w:val="32"/>
          <w:szCs w:val="32"/>
        </w:rPr>
      </w:pPr>
      <w:r w:rsidRPr="00303844">
        <w:rPr>
          <w:rFonts w:ascii="Times New Roman" w:hAnsi="Times New Roman" w:cs="Times New Roman"/>
        </w:rPr>
        <w:br w:type="page"/>
      </w:r>
      <w:r w:rsidRPr="00303844">
        <w:rPr>
          <w:rFonts w:ascii="Times New Roman" w:eastAsia="Times New Roman" w:hAnsi="Times New Roman" w:cs="Times New Roman"/>
          <w:b/>
          <w:bCs/>
          <w:sz w:val="32"/>
          <w:szCs w:val="32"/>
        </w:rPr>
        <w:lastRenderedPageBreak/>
        <w:t>Protocol Summary</w:t>
      </w:r>
    </w:p>
    <w:tbl>
      <w:tblPr>
        <w:tblW w:w="5000" w:type="pct"/>
        <w:jc w:val="center"/>
        <w:tblBorders>
          <w:top w:val="single" w:sz="4" w:space="0" w:color="auto"/>
          <w:bottom w:val="single" w:sz="4" w:space="0" w:color="auto"/>
          <w:insideH w:val="single" w:sz="4" w:space="0" w:color="auto"/>
          <w:insideV w:val="single" w:sz="4" w:space="0" w:color="auto"/>
        </w:tblBorders>
        <w:tblLayout w:type="fixed"/>
        <w:tblCellMar>
          <w:top w:w="142" w:type="dxa"/>
          <w:left w:w="57" w:type="dxa"/>
          <w:bottom w:w="6" w:type="dxa"/>
          <w:right w:w="57" w:type="dxa"/>
        </w:tblCellMar>
        <w:tblLook w:val="04A0" w:firstRow="1" w:lastRow="0" w:firstColumn="1" w:lastColumn="0" w:noHBand="0" w:noVBand="1"/>
      </w:tblPr>
      <w:tblGrid>
        <w:gridCol w:w="1725"/>
        <w:gridCol w:w="7301"/>
      </w:tblGrid>
      <w:tr w:rsidR="00DE4AFD" w:rsidRPr="00227F09" w14:paraId="01783CA2" w14:textId="77777777" w:rsidTr="003F7776">
        <w:trPr>
          <w:jc w:val="center"/>
        </w:trPr>
        <w:tc>
          <w:tcPr>
            <w:tcW w:w="1708" w:type="dxa"/>
          </w:tcPr>
          <w:p w14:paraId="41D38C95" w14:textId="77777777" w:rsidR="00DE4AFD" w:rsidRPr="00227F09" w:rsidRDefault="004A4F56" w:rsidP="003F7776">
            <w:pPr>
              <w:adjustRightInd w:val="0"/>
              <w:snapToGrid w:val="0"/>
              <w:rPr>
                <w:rFonts w:ascii="Times New Roman" w:eastAsia="宋体" w:hAnsi="Times New Roman" w:cs="Times New Roman"/>
                <w:b/>
              </w:rPr>
            </w:pPr>
            <w:r w:rsidRPr="00227F09">
              <w:rPr>
                <w:rFonts w:ascii="Times New Roman" w:eastAsia="Times New Roman" w:hAnsi="Times New Roman" w:cs="Times New Roman"/>
                <w:b/>
                <w:bCs/>
              </w:rPr>
              <w:t>Study Title</w:t>
            </w:r>
          </w:p>
        </w:tc>
        <w:tc>
          <w:tcPr>
            <w:tcW w:w="7229" w:type="dxa"/>
          </w:tcPr>
          <w:p w14:paraId="6BC50C5D" w14:textId="77777777" w:rsidR="00DE4AFD" w:rsidRPr="00227F09" w:rsidRDefault="004A4F56" w:rsidP="003F7776">
            <w:pPr>
              <w:pStyle w:val="210"/>
              <w:spacing w:line="240" w:lineRule="auto"/>
              <w:ind w:firstLineChars="0" w:firstLine="0"/>
              <w:jc w:val="both"/>
              <w:rPr>
                <w:sz w:val="21"/>
                <w:szCs w:val="21"/>
              </w:rPr>
            </w:pPr>
            <w:r w:rsidRPr="00227F09">
              <w:rPr>
                <w:rFonts w:eastAsia="Times New Roman"/>
                <w:sz w:val="21"/>
                <w:szCs w:val="21"/>
              </w:rPr>
              <w:t xml:space="preserve">A Randomized, Controlled Phase </w:t>
            </w:r>
            <w:proofErr w:type="spellStart"/>
            <w:r w:rsidRPr="00227F09">
              <w:rPr>
                <w:rFonts w:eastAsia="Times New Roman"/>
                <w:sz w:val="21"/>
                <w:szCs w:val="21"/>
              </w:rPr>
              <w:t>Ib</w:t>
            </w:r>
            <w:proofErr w:type="spellEnd"/>
            <w:r w:rsidRPr="00227F09">
              <w:rPr>
                <w:rFonts w:eastAsia="Times New Roman"/>
                <w:sz w:val="21"/>
                <w:szCs w:val="21"/>
              </w:rPr>
              <w:t xml:space="preserve">/II Study of </w:t>
            </w:r>
            <w:proofErr w:type="spellStart"/>
            <w:r w:rsidRPr="00227F09">
              <w:rPr>
                <w:rFonts w:eastAsia="Times New Roman"/>
                <w:sz w:val="21"/>
                <w:szCs w:val="21"/>
              </w:rPr>
              <w:t>Surufatinib</w:t>
            </w:r>
            <w:proofErr w:type="spellEnd"/>
            <w:r w:rsidRPr="00227F09">
              <w:rPr>
                <w:rFonts w:eastAsia="Times New Roman"/>
                <w:sz w:val="21"/>
                <w:szCs w:val="21"/>
              </w:rPr>
              <w:t xml:space="preserve"> Combined with </w:t>
            </w:r>
            <w:proofErr w:type="spellStart"/>
            <w:r w:rsidRPr="00227F09">
              <w:rPr>
                <w:rFonts w:eastAsia="Times New Roman"/>
                <w:sz w:val="21"/>
                <w:szCs w:val="21"/>
              </w:rPr>
              <w:t>Camrelizumab</w:t>
            </w:r>
            <w:proofErr w:type="spellEnd"/>
            <w:r w:rsidRPr="00227F09">
              <w:rPr>
                <w:rFonts w:eastAsia="Times New Roman"/>
                <w:sz w:val="21"/>
                <w:szCs w:val="21"/>
              </w:rPr>
              <w:t xml:space="preserve"> and the AS Regimen as First-Line Treatment for Advanced Pancreatic Carcinoma Metastatic</w:t>
            </w:r>
          </w:p>
        </w:tc>
      </w:tr>
      <w:tr w:rsidR="00DE4AFD" w:rsidRPr="00227F09" w14:paraId="0EDC054C" w14:textId="77777777" w:rsidTr="003F7776">
        <w:trPr>
          <w:jc w:val="center"/>
        </w:trPr>
        <w:tc>
          <w:tcPr>
            <w:tcW w:w="1708" w:type="dxa"/>
          </w:tcPr>
          <w:p w14:paraId="7CBAB53E" w14:textId="77777777" w:rsidR="00DE4AFD" w:rsidRPr="00227F09" w:rsidRDefault="004A4F56" w:rsidP="003F7776">
            <w:pPr>
              <w:adjustRightInd w:val="0"/>
              <w:snapToGrid w:val="0"/>
              <w:rPr>
                <w:rFonts w:ascii="Times New Roman" w:eastAsia="宋体" w:hAnsi="Times New Roman" w:cs="Times New Roman"/>
                <w:b/>
              </w:rPr>
            </w:pPr>
            <w:r w:rsidRPr="00227F09">
              <w:rPr>
                <w:rFonts w:ascii="Times New Roman" w:eastAsia="Times New Roman" w:hAnsi="Times New Roman" w:cs="Times New Roman"/>
                <w:b/>
                <w:bCs/>
              </w:rPr>
              <w:t>Protocol No.</w:t>
            </w:r>
          </w:p>
        </w:tc>
        <w:tc>
          <w:tcPr>
            <w:tcW w:w="7229" w:type="dxa"/>
          </w:tcPr>
          <w:p w14:paraId="21C7F3AD" w14:textId="77777777" w:rsidR="00DE4AFD" w:rsidRPr="00227F09" w:rsidRDefault="004A4F56" w:rsidP="003F7776">
            <w:pPr>
              <w:pStyle w:val="12"/>
              <w:topLinePunct/>
              <w:adjustRightInd w:val="0"/>
              <w:snapToGrid w:val="0"/>
              <w:ind w:firstLineChars="0" w:firstLine="0"/>
              <w:rPr>
                <w:szCs w:val="21"/>
              </w:rPr>
            </w:pPr>
            <w:r w:rsidRPr="00227F09">
              <w:rPr>
                <w:rFonts w:eastAsia="Times New Roman"/>
                <w:szCs w:val="21"/>
              </w:rPr>
              <w:t>HMPL-012-SPRING-P101</w:t>
            </w:r>
          </w:p>
        </w:tc>
      </w:tr>
      <w:tr w:rsidR="00DE4AFD" w:rsidRPr="00227F09" w14:paraId="21D7E954" w14:textId="77777777" w:rsidTr="003F7776">
        <w:trPr>
          <w:jc w:val="center"/>
        </w:trPr>
        <w:tc>
          <w:tcPr>
            <w:tcW w:w="1708" w:type="dxa"/>
          </w:tcPr>
          <w:p w14:paraId="29C3F918" w14:textId="77777777" w:rsidR="00DE4AFD" w:rsidRPr="00227F09" w:rsidRDefault="004A4F56" w:rsidP="003F7776">
            <w:pPr>
              <w:adjustRightInd w:val="0"/>
              <w:snapToGrid w:val="0"/>
              <w:rPr>
                <w:rFonts w:ascii="Times New Roman" w:eastAsia="宋体" w:hAnsi="Times New Roman" w:cs="Times New Roman"/>
                <w:b/>
              </w:rPr>
            </w:pPr>
            <w:r w:rsidRPr="00227F09">
              <w:rPr>
                <w:rFonts w:ascii="Times New Roman" w:eastAsia="Times New Roman" w:hAnsi="Times New Roman" w:cs="Times New Roman"/>
                <w:b/>
                <w:bCs/>
              </w:rPr>
              <w:t>Version No.</w:t>
            </w:r>
          </w:p>
        </w:tc>
        <w:tc>
          <w:tcPr>
            <w:tcW w:w="7229" w:type="dxa"/>
          </w:tcPr>
          <w:p w14:paraId="5E37E84E" w14:textId="77777777" w:rsidR="00DE4AFD" w:rsidRPr="00227F09" w:rsidRDefault="004A4F56" w:rsidP="003F7776">
            <w:pPr>
              <w:pStyle w:val="210"/>
              <w:spacing w:line="240" w:lineRule="auto"/>
              <w:ind w:firstLineChars="0" w:firstLine="0"/>
              <w:jc w:val="both"/>
              <w:rPr>
                <w:sz w:val="21"/>
                <w:szCs w:val="21"/>
              </w:rPr>
            </w:pPr>
            <w:r w:rsidRPr="00227F09">
              <w:rPr>
                <w:rFonts w:eastAsia="Times New Roman"/>
                <w:sz w:val="21"/>
                <w:szCs w:val="21"/>
              </w:rPr>
              <w:t>3.0</w:t>
            </w:r>
          </w:p>
        </w:tc>
      </w:tr>
      <w:tr w:rsidR="00DE4AFD" w:rsidRPr="00227F09" w14:paraId="6DCB4D48" w14:textId="77777777" w:rsidTr="003F7776">
        <w:trPr>
          <w:jc w:val="center"/>
        </w:trPr>
        <w:tc>
          <w:tcPr>
            <w:tcW w:w="1708" w:type="dxa"/>
          </w:tcPr>
          <w:p w14:paraId="731F120E" w14:textId="77777777" w:rsidR="00DE4AFD" w:rsidRPr="00227F09" w:rsidRDefault="004A4F56" w:rsidP="003F7776">
            <w:pPr>
              <w:adjustRightInd w:val="0"/>
              <w:snapToGrid w:val="0"/>
              <w:rPr>
                <w:rFonts w:ascii="Times New Roman" w:eastAsia="宋体" w:hAnsi="Times New Roman" w:cs="Times New Roman"/>
                <w:b/>
              </w:rPr>
            </w:pPr>
            <w:r w:rsidRPr="00227F09">
              <w:rPr>
                <w:rFonts w:ascii="Times New Roman" w:eastAsia="Times New Roman" w:hAnsi="Times New Roman" w:cs="Times New Roman"/>
                <w:b/>
                <w:bCs/>
              </w:rPr>
              <w:t>Version Date</w:t>
            </w:r>
          </w:p>
        </w:tc>
        <w:tc>
          <w:tcPr>
            <w:tcW w:w="7229" w:type="dxa"/>
          </w:tcPr>
          <w:p w14:paraId="0A049B6D" w14:textId="77777777" w:rsidR="00DE4AFD" w:rsidRPr="00227F09" w:rsidRDefault="004A4F56" w:rsidP="003F7776">
            <w:pPr>
              <w:pStyle w:val="210"/>
              <w:spacing w:line="240" w:lineRule="auto"/>
              <w:ind w:firstLineChars="0" w:firstLine="0"/>
              <w:jc w:val="both"/>
              <w:rPr>
                <w:sz w:val="21"/>
                <w:szCs w:val="21"/>
              </w:rPr>
            </w:pPr>
            <w:r w:rsidRPr="00227F09">
              <w:rPr>
                <w:rFonts w:eastAsia="Times New Roman"/>
                <w:sz w:val="21"/>
                <w:szCs w:val="21"/>
              </w:rPr>
              <w:t>March 7, 2022</w:t>
            </w:r>
          </w:p>
        </w:tc>
      </w:tr>
      <w:tr w:rsidR="00DE4AFD" w:rsidRPr="00227F09" w14:paraId="78B66E83" w14:textId="77777777" w:rsidTr="003F7776">
        <w:trPr>
          <w:jc w:val="center"/>
        </w:trPr>
        <w:tc>
          <w:tcPr>
            <w:tcW w:w="1708" w:type="dxa"/>
          </w:tcPr>
          <w:p w14:paraId="2B60B533" w14:textId="77777777" w:rsidR="00DE4AFD" w:rsidRPr="00227F09" w:rsidRDefault="004A4F56" w:rsidP="003F7776">
            <w:pPr>
              <w:adjustRightInd w:val="0"/>
              <w:snapToGrid w:val="0"/>
              <w:rPr>
                <w:rFonts w:ascii="Times New Roman" w:eastAsia="宋体" w:hAnsi="Times New Roman" w:cs="Times New Roman"/>
                <w:b/>
              </w:rPr>
            </w:pPr>
            <w:r w:rsidRPr="00227F09">
              <w:rPr>
                <w:rFonts w:ascii="Times New Roman" w:eastAsia="Times New Roman" w:hAnsi="Times New Roman" w:cs="Times New Roman"/>
                <w:b/>
                <w:bCs/>
              </w:rPr>
              <w:t>Investigational Product</w:t>
            </w:r>
          </w:p>
        </w:tc>
        <w:tc>
          <w:tcPr>
            <w:tcW w:w="7229" w:type="dxa"/>
          </w:tcPr>
          <w:p w14:paraId="38142AB0" w14:textId="77777777" w:rsidR="00DE4AFD" w:rsidRPr="00227F09" w:rsidRDefault="004A4F56" w:rsidP="003F7776">
            <w:pPr>
              <w:pStyle w:val="210"/>
              <w:spacing w:line="240" w:lineRule="auto"/>
              <w:ind w:firstLineChars="0" w:firstLine="0"/>
              <w:jc w:val="both"/>
              <w:rPr>
                <w:sz w:val="21"/>
                <w:szCs w:val="21"/>
              </w:rPr>
            </w:pPr>
            <w:proofErr w:type="spellStart"/>
            <w:r w:rsidRPr="00227F09">
              <w:rPr>
                <w:rFonts w:eastAsia="Times New Roman"/>
                <w:sz w:val="21"/>
                <w:szCs w:val="21"/>
              </w:rPr>
              <w:t>Surufatinib</w:t>
            </w:r>
            <w:proofErr w:type="spellEnd"/>
            <w:r w:rsidRPr="00227F09">
              <w:rPr>
                <w:rFonts w:eastAsia="Times New Roman"/>
                <w:sz w:val="21"/>
                <w:szCs w:val="21"/>
              </w:rPr>
              <w:t xml:space="preserve">, </w:t>
            </w:r>
            <w:proofErr w:type="spellStart"/>
            <w:r w:rsidRPr="00227F09">
              <w:rPr>
                <w:rFonts w:eastAsia="Times New Roman"/>
                <w:sz w:val="21"/>
                <w:szCs w:val="21"/>
              </w:rPr>
              <w:t>camrelizumab</w:t>
            </w:r>
            <w:proofErr w:type="spellEnd"/>
            <w:r w:rsidRPr="00227F09">
              <w:rPr>
                <w:rFonts w:eastAsia="Times New Roman"/>
                <w:sz w:val="21"/>
                <w:szCs w:val="21"/>
              </w:rPr>
              <w:t>, tegafur, nab-paclitaxel</w:t>
            </w:r>
          </w:p>
        </w:tc>
      </w:tr>
      <w:tr w:rsidR="00DE4AFD" w:rsidRPr="00227F09" w14:paraId="53B58A78" w14:textId="77777777" w:rsidTr="003F7776">
        <w:trPr>
          <w:jc w:val="center"/>
        </w:trPr>
        <w:tc>
          <w:tcPr>
            <w:tcW w:w="1708" w:type="dxa"/>
            <w:vAlign w:val="center"/>
          </w:tcPr>
          <w:p w14:paraId="09BA89DC" w14:textId="77777777" w:rsidR="00DE4AFD" w:rsidRPr="00227F09" w:rsidRDefault="004A4F56" w:rsidP="003F7776">
            <w:pPr>
              <w:rPr>
                <w:rFonts w:ascii="Times New Roman" w:eastAsia="宋体" w:hAnsi="Times New Roman" w:cs="Times New Roman"/>
                <w:b/>
              </w:rPr>
            </w:pPr>
            <w:r w:rsidRPr="00227F09">
              <w:rPr>
                <w:rFonts w:ascii="Times New Roman" w:eastAsia="Times New Roman" w:hAnsi="Times New Roman" w:cs="Times New Roman"/>
                <w:b/>
                <w:bCs/>
              </w:rPr>
              <w:t>Sponsor</w:t>
            </w:r>
          </w:p>
        </w:tc>
        <w:tc>
          <w:tcPr>
            <w:tcW w:w="7229" w:type="dxa"/>
          </w:tcPr>
          <w:p w14:paraId="5447708C" w14:textId="77777777" w:rsidR="00DE4AFD" w:rsidRPr="00227F09" w:rsidRDefault="004A4F56" w:rsidP="003F7776">
            <w:pPr>
              <w:pStyle w:val="12"/>
              <w:topLinePunct/>
              <w:adjustRightInd w:val="0"/>
              <w:snapToGrid w:val="0"/>
              <w:ind w:firstLineChars="0" w:firstLine="0"/>
              <w:rPr>
                <w:szCs w:val="21"/>
              </w:rPr>
            </w:pPr>
            <w:r w:rsidRPr="00227F09">
              <w:rPr>
                <w:rFonts w:eastAsia="Times New Roman"/>
                <w:szCs w:val="21"/>
              </w:rPr>
              <w:t>Chinese PLA General Hospital</w:t>
            </w:r>
          </w:p>
        </w:tc>
      </w:tr>
      <w:tr w:rsidR="00DE4AFD" w:rsidRPr="00227F09" w14:paraId="09E1CADD" w14:textId="77777777" w:rsidTr="003F7776">
        <w:trPr>
          <w:jc w:val="center"/>
        </w:trPr>
        <w:tc>
          <w:tcPr>
            <w:tcW w:w="1708" w:type="dxa"/>
            <w:vAlign w:val="center"/>
          </w:tcPr>
          <w:p w14:paraId="768DEEBD" w14:textId="77777777" w:rsidR="00DE4AFD" w:rsidRPr="00227F09" w:rsidRDefault="004A4F56" w:rsidP="003F7776">
            <w:pPr>
              <w:rPr>
                <w:rFonts w:ascii="Times New Roman" w:eastAsia="宋体" w:hAnsi="Times New Roman" w:cs="Times New Roman"/>
                <w:b/>
              </w:rPr>
            </w:pPr>
            <w:r w:rsidRPr="00227F09">
              <w:rPr>
                <w:rFonts w:ascii="Times New Roman" w:eastAsia="Times New Roman" w:hAnsi="Times New Roman" w:cs="Times New Roman"/>
                <w:b/>
                <w:bCs/>
              </w:rPr>
              <w:t>Principal Investigator</w:t>
            </w:r>
          </w:p>
        </w:tc>
        <w:tc>
          <w:tcPr>
            <w:tcW w:w="7229" w:type="dxa"/>
          </w:tcPr>
          <w:p w14:paraId="3E0CBE00" w14:textId="77777777" w:rsidR="00DE4AFD" w:rsidRPr="00227F09" w:rsidRDefault="004A4F56" w:rsidP="003F7776">
            <w:pPr>
              <w:pStyle w:val="12"/>
              <w:topLinePunct/>
              <w:adjustRightInd w:val="0"/>
              <w:snapToGrid w:val="0"/>
              <w:ind w:firstLineChars="0" w:firstLine="0"/>
              <w:rPr>
                <w:szCs w:val="21"/>
              </w:rPr>
            </w:pPr>
            <w:proofErr w:type="spellStart"/>
            <w:r w:rsidRPr="00227F09">
              <w:rPr>
                <w:rFonts w:eastAsia="Times New Roman"/>
                <w:szCs w:val="21"/>
              </w:rPr>
              <w:t>Guanghai</w:t>
            </w:r>
            <w:proofErr w:type="spellEnd"/>
            <w:r w:rsidRPr="00227F09">
              <w:rPr>
                <w:rFonts w:eastAsia="Times New Roman"/>
                <w:szCs w:val="21"/>
              </w:rPr>
              <w:t xml:space="preserve"> Dai / </w:t>
            </w:r>
            <w:proofErr w:type="spellStart"/>
            <w:r w:rsidRPr="00227F09">
              <w:rPr>
                <w:rFonts w:eastAsia="Times New Roman"/>
                <w:szCs w:val="21"/>
              </w:rPr>
              <w:t>Quanli</w:t>
            </w:r>
            <w:proofErr w:type="spellEnd"/>
            <w:r w:rsidRPr="00227F09">
              <w:rPr>
                <w:rFonts w:eastAsia="Times New Roman"/>
                <w:szCs w:val="21"/>
              </w:rPr>
              <w:t xml:space="preserve"> Han</w:t>
            </w:r>
          </w:p>
        </w:tc>
      </w:tr>
      <w:tr w:rsidR="00DE4AFD" w:rsidRPr="00227F09" w14:paraId="593EB8B0" w14:textId="77777777" w:rsidTr="003F7776">
        <w:trPr>
          <w:trHeight w:val="2959"/>
          <w:jc w:val="center"/>
        </w:trPr>
        <w:tc>
          <w:tcPr>
            <w:tcW w:w="1708" w:type="dxa"/>
          </w:tcPr>
          <w:p w14:paraId="363030FD" w14:textId="77777777" w:rsidR="00DE4AFD" w:rsidRPr="00227F09" w:rsidRDefault="004A4F56" w:rsidP="003F7776">
            <w:pPr>
              <w:adjustRightInd w:val="0"/>
              <w:snapToGrid w:val="0"/>
              <w:rPr>
                <w:rFonts w:ascii="Times New Roman" w:eastAsia="宋体" w:hAnsi="Times New Roman" w:cs="Times New Roman"/>
                <w:b/>
              </w:rPr>
            </w:pPr>
            <w:r w:rsidRPr="00227F09">
              <w:rPr>
                <w:rFonts w:ascii="Times New Roman" w:eastAsia="Times New Roman" w:hAnsi="Times New Roman" w:cs="Times New Roman"/>
                <w:b/>
                <w:bCs/>
              </w:rPr>
              <w:t>Study Endpoints</w:t>
            </w:r>
          </w:p>
        </w:tc>
        <w:tc>
          <w:tcPr>
            <w:tcW w:w="7229" w:type="dxa"/>
          </w:tcPr>
          <w:p w14:paraId="71D4364B" w14:textId="77777777" w:rsidR="00DE4AFD" w:rsidRPr="00227F09" w:rsidRDefault="004A4F56" w:rsidP="003F7776">
            <w:pPr>
              <w:pStyle w:val="12"/>
              <w:topLinePunct/>
              <w:adjustRightInd w:val="0"/>
              <w:snapToGrid w:val="0"/>
              <w:ind w:firstLineChars="0" w:firstLine="0"/>
              <w:rPr>
                <w:b/>
                <w:szCs w:val="21"/>
              </w:rPr>
            </w:pPr>
            <w:r w:rsidRPr="00227F09">
              <w:rPr>
                <w:rFonts w:eastAsia="Times New Roman"/>
                <w:b/>
                <w:bCs/>
                <w:szCs w:val="21"/>
              </w:rPr>
              <w:t>Primary Study Endpoints</w:t>
            </w:r>
          </w:p>
          <w:p w14:paraId="7533DA06" w14:textId="77777777" w:rsidR="00DE4AFD" w:rsidRPr="00227F09" w:rsidRDefault="004A4F56" w:rsidP="003F7776">
            <w:pPr>
              <w:pStyle w:val="12"/>
              <w:numPr>
                <w:ilvl w:val="0"/>
                <w:numId w:val="7"/>
              </w:numPr>
              <w:topLinePunct/>
              <w:adjustRightInd w:val="0"/>
              <w:snapToGrid w:val="0"/>
              <w:ind w:firstLineChars="0"/>
              <w:rPr>
                <w:szCs w:val="21"/>
              </w:rPr>
            </w:pPr>
            <w:r w:rsidRPr="00227F09">
              <w:rPr>
                <w:rFonts w:eastAsia="Times New Roman"/>
                <w:szCs w:val="21"/>
              </w:rPr>
              <w:t xml:space="preserve">Phase </w:t>
            </w:r>
            <w:proofErr w:type="spellStart"/>
            <w:r w:rsidRPr="00227F09">
              <w:rPr>
                <w:rFonts w:eastAsia="Times New Roman"/>
                <w:szCs w:val="21"/>
              </w:rPr>
              <w:t>Ib</w:t>
            </w:r>
            <w:proofErr w:type="spellEnd"/>
            <w:r w:rsidRPr="00227F09">
              <w:rPr>
                <w:rFonts w:eastAsia="Times New Roman"/>
                <w:szCs w:val="21"/>
              </w:rPr>
              <w:t xml:space="preserve">: dose-limiting toxicities (DLTs), recommended Phase II dose (RP2D) of </w:t>
            </w:r>
            <w:proofErr w:type="spellStart"/>
            <w:r w:rsidRPr="00227F09">
              <w:rPr>
                <w:rFonts w:eastAsia="Times New Roman"/>
                <w:szCs w:val="21"/>
              </w:rPr>
              <w:t>surufatinib</w:t>
            </w:r>
            <w:proofErr w:type="spellEnd"/>
            <w:r w:rsidRPr="00227F09">
              <w:rPr>
                <w:rFonts w:eastAsia="Times New Roman"/>
                <w:szCs w:val="21"/>
              </w:rPr>
              <w:t xml:space="preserve">; </w:t>
            </w:r>
          </w:p>
          <w:p w14:paraId="613FFEE8" w14:textId="77777777" w:rsidR="00DE4AFD" w:rsidRPr="00227F09" w:rsidRDefault="004A4F56" w:rsidP="003F7776">
            <w:pPr>
              <w:pStyle w:val="12"/>
              <w:numPr>
                <w:ilvl w:val="0"/>
                <w:numId w:val="7"/>
              </w:numPr>
              <w:topLinePunct/>
              <w:adjustRightInd w:val="0"/>
              <w:snapToGrid w:val="0"/>
              <w:ind w:firstLineChars="0"/>
              <w:rPr>
                <w:b/>
                <w:szCs w:val="21"/>
              </w:rPr>
            </w:pPr>
            <w:r w:rsidRPr="00227F09">
              <w:rPr>
                <w:rFonts w:eastAsia="Times New Roman"/>
                <w:szCs w:val="21"/>
              </w:rPr>
              <w:t>Phase II: objective response rate (ORR)</w:t>
            </w:r>
          </w:p>
          <w:p w14:paraId="6F22E551" w14:textId="77777777" w:rsidR="00DE4AFD" w:rsidRPr="00227F09" w:rsidRDefault="004A4F56" w:rsidP="003F7776">
            <w:pPr>
              <w:pStyle w:val="12"/>
              <w:topLinePunct/>
              <w:adjustRightInd w:val="0"/>
              <w:snapToGrid w:val="0"/>
              <w:ind w:firstLineChars="0" w:firstLine="0"/>
              <w:rPr>
                <w:b/>
                <w:szCs w:val="21"/>
              </w:rPr>
            </w:pPr>
            <w:r w:rsidRPr="00227F09">
              <w:rPr>
                <w:rFonts w:eastAsia="Times New Roman"/>
                <w:b/>
                <w:bCs/>
                <w:szCs w:val="21"/>
              </w:rPr>
              <w:t>Secondary Study Endpoints</w:t>
            </w:r>
          </w:p>
          <w:p w14:paraId="28C448DE" w14:textId="0360EF04" w:rsidR="00DE4AFD" w:rsidRPr="00227F09" w:rsidRDefault="004A4F56" w:rsidP="003F7776">
            <w:pPr>
              <w:pStyle w:val="12"/>
              <w:numPr>
                <w:ilvl w:val="0"/>
                <w:numId w:val="7"/>
              </w:numPr>
              <w:topLinePunct/>
              <w:adjustRightInd w:val="0"/>
              <w:snapToGrid w:val="0"/>
              <w:ind w:firstLineChars="0"/>
              <w:rPr>
                <w:szCs w:val="21"/>
              </w:rPr>
            </w:pPr>
            <w:r w:rsidRPr="00227F09">
              <w:rPr>
                <w:rFonts w:eastAsia="Times New Roman"/>
                <w:szCs w:val="21"/>
              </w:rPr>
              <w:t xml:space="preserve">Progression-free </w:t>
            </w:r>
            <w:r w:rsidR="001835F0">
              <w:rPr>
                <w:rFonts w:eastAsiaTheme="minorEastAsia" w:hint="eastAsia"/>
                <w:szCs w:val="21"/>
              </w:rPr>
              <w:t>s</w:t>
            </w:r>
            <w:r w:rsidR="001835F0" w:rsidRPr="00227F09">
              <w:rPr>
                <w:rFonts w:eastAsia="Times New Roman"/>
                <w:szCs w:val="21"/>
              </w:rPr>
              <w:t xml:space="preserve">urvival </w:t>
            </w:r>
            <w:r w:rsidRPr="00227F09">
              <w:rPr>
                <w:rFonts w:eastAsia="Times New Roman"/>
                <w:szCs w:val="21"/>
              </w:rPr>
              <w:t>(PFS)</w:t>
            </w:r>
          </w:p>
          <w:p w14:paraId="0D2C2A9E" w14:textId="7382209C" w:rsidR="00DE4AFD" w:rsidRPr="00227F09" w:rsidRDefault="004A4F56" w:rsidP="003F7776">
            <w:pPr>
              <w:pStyle w:val="12"/>
              <w:numPr>
                <w:ilvl w:val="0"/>
                <w:numId w:val="7"/>
              </w:numPr>
              <w:topLinePunct/>
              <w:adjustRightInd w:val="0"/>
              <w:snapToGrid w:val="0"/>
              <w:ind w:firstLineChars="0"/>
              <w:rPr>
                <w:szCs w:val="21"/>
              </w:rPr>
            </w:pPr>
            <w:r w:rsidRPr="00227F09">
              <w:rPr>
                <w:rFonts w:eastAsia="Times New Roman"/>
                <w:szCs w:val="21"/>
              </w:rPr>
              <w:t xml:space="preserve">Disease </w:t>
            </w:r>
            <w:r w:rsidR="001835F0">
              <w:rPr>
                <w:rFonts w:eastAsiaTheme="minorEastAsia" w:hint="eastAsia"/>
                <w:szCs w:val="21"/>
              </w:rPr>
              <w:t>c</w:t>
            </w:r>
            <w:r w:rsidR="001835F0" w:rsidRPr="00227F09">
              <w:rPr>
                <w:rFonts w:eastAsia="Times New Roman"/>
                <w:szCs w:val="21"/>
              </w:rPr>
              <w:t xml:space="preserve">ontrol </w:t>
            </w:r>
            <w:r w:rsidR="001835F0">
              <w:rPr>
                <w:rFonts w:eastAsiaTheme="minorEastAsia" w:hint="eastAsia"/>
                <w:szCs w:val="21"/>
              </w:rPr>
              <w:t>r</w:t>
            </w:r>
            <w:r w:rsidR="001835F0" w:rsidRPr="00227F09">
              <w:rPr>
                <w:rFonts w:eastAsia="Times New Roman"/>
                <w:szCs w:val="21"/>
              </w:rPr>
              <w:t xml:space="preserve">ate </w:t>
            </w:r>
            <w:r w:rsidRPr="00227F09">
              <w:rPr>
                <w:rFonts w:eastAsia="Times New Roman"/>
                <w:szCs w:val="21"/>
              </w:rPr>
              <w:t>(DCR)</w:t>
            </w:r>
          </w:p>
          <w:p w14:paraId="726BAB30" w14:textId="6229F2F0" w:rsidR="00DE4AFD" w:rsidRPr="00D7688B" w:rsidRDefault="004A4F56" w:rsidP="003F7776">
            <w:pPr>
              <w:pStyle w:val="12"/>
              <w:numPr>
                <w:ilvl w:val="0"/>
                <w:numId w:val="7"/>
              </w:numPr>
              <w:topLinePunct/>
              <w:adjustRightInd w:val="0"/>
              <w:snapToGrid w:val="0"/>
              <w:ind w:firstLineChars="0"/>
              <w:rPr>
                <w:szCs w:val="21"/>
              </w:rPr>
            </w:pPr>
            <w:r w:rsidRPr="00227F09">
              <w:rPr>
                <w:rFonts w:eastAsia="Times New Roman"/>
                <w:szCs w:val="21"/>
              </w:rPr>
              <w:t>Overall</w:t>
            </w:r>
            <w:r w:rsidR="001835F0">
              <w:rPr>
                <w:rFonts w:eastAsiaTheme="minorEastAsia" w:hint="eastAsia"/>
                <w:szCs w:val="21"/>
              </w:rPr>
              <w:t xml:space="preserve"> s</w:t>
            </w:r>
            <w:r w:rsidRPr="00227F09">
              <w:rPr>
                <w:rFonts w:eastAsia="Times New Roman"/>
                <w:szCs w:val="21"/>
              </w:rPr>
              <w:t>urvival (OS)</w:t>
            </w:r>
          </w:p>
          <w:p w14:paraId="2CA59A32" w14:textId="079FF544" w:rsidR="00D7688B" w:rsidRDefault="00D7688B" w:rsidP="003F7776">
            <w:pPr>
              <w:pStyle w:val="12"/>
              <w:numPr>
                <w:ilvl w:val="0"/>
                <w:numId w:val="7"/>
              </w:numPr>
              <w:topLinePunct/>
              <w:adjustRightInd w:val="0"/>
              <w:snapToGrid w:val="0"/>
              <w:ind w:firstLineChars="0"/>
              <w:rPr>
                <w:szCs w:val="21"/>
              </w:rPr>
            </w:pPr>
            <w:r>
              <w:rPr>
                <w:rFonts w:hint="eastAsia"/>
                <w:szCs w:val="21"/>
              </w:rPr>
              <w:t>Duration of response (</w:t>
            </w:r>
            <w:r w:rsidRPr="00D7688B">
              <w:rPr>
                <w:szCs w:val="21"/>
              </w:rPr>
              <w:t>DOR</w:t>
            </w:r>
            <w:r>
              <w:rPr>
                <w:rFonts w:hint="eastAsia"/>
                <w:szCs w:val="21"/>
              </w:rPr>
              <w:t>)</w:t>
            </w:r>
          </w:p>
          <w:p w14:paraId="0EE881FD" w14:textId="4A981E26" w:rsidR="00D7688B" w:rsidRPr="00D7688B" w:rsidRDefault="00D7688B" w:rsidP="00D7688B">
            <w:pPr>
              <w:pStyle w:val="12"/>
              <w:numPr>
                <w:ilvl w:val="0"/>
                <w:numId w:val="7"/>
              </w:numPr>
              <w:topLinePunct/>
              <w:adjustRightInd w:val="0"/>
              <w:snapToGrid w:val="0"/>
              <w:ind w:firstLineChars="0"/>
              <w:rPr>
                <w:szCs w:val="21"/>
              </w:rPr>
            </w:pPr>
            <w:r>
              <w:rPr>
                <w:rFonts w:hint="eastAsia"/>
                <w:szCs w:val="21"/>
              </w:rPr>
              <w:t>Time to response (TTR)</w:t>
            </w:r>
          </w:p>
          <w:p w14:paraId="27934EB2" w14:textId="77777777" w:rsidR="00DE4AFD" w:rsidRPr="00227F09" w:rsidRDefault="004A4F56" w:rsidP="003F7776">
            <w:pPr>
              <w:pStyle w:val="12"/>
              <w:numPr>
                <w:ilvl w:val="0"/>
                <w:numId w:val="7"/>
              </w:numPr>
              <w:topLinePunct/>
              <w:adjustRightInd w:val="0"/>
              <w:snapToGrid w:val="0"/>
              <w:ind w:firstLineChars="0"/>
              <w:rPr>
                <w:b/>
                <w:i/>
                <w:color w:val="008000"/>
                <w:szCs w:val="21"/>
              </w:rPr>
            </w:pPr>
            <w:r w:rsidRPr="00227F09">
              <w:rPr>
                <w:rFonts w:eastAsia="Times New Roman"/>
                <w:szCs w:val="21"/>
              </w:rPr>
              <w:t>Safety</w:t>
            </w:r>
          </w:p>
        </w:tc>
      </w:tr>
      <w:tr w:rsidR="00DE4AFD" w:rsidRPr="00227F09" w14:paraId="52819132" w14:textId="77777777" w:rsidTr="003F7776">
        <w:trPr>
          <w:jc w:val="center"/>
        </w:trPr>
        <w:tc>
          <w:tcPr>
            <w:tcW w:w="1708" w:type="dxa"/>
          </w:tcPr>
          <w:p w14:paraId="5640105A" w14:textId="08CF8B8C" w:rsidR="00DE4AFD" w:rsidRPr="00227F09" w:rsidRDefault="004A4F56" w:rsidP="003F7776">
            <w:pPr>
              <w:adjustRightInd w:val="0"/>
              <w:snapToGrid w:val="0"/>
              <w:rPr>
                <w:rFonts w:ascii="Times New Roman" w:eastAsia="宋体" w:hAnsi="Times New Roman" w:cs="Times New Roman"/>
                <w:b/>
              </w:rPr>
            </w:pPr>
            <w:r w:rsidRPr="00227F09">
              <w:rPr>
                <w:rFonts w:ascii="Times New Roman" w:eastAsia="Times New Roman" w:hAnsi="Times New Roman" w:cs="Times New Roman"/>
                <w:b/>
                <w:bCs/>
              </w:rPr>
              <w:t>Study Population</w:t>
            </w:r>
          </w:p>
        </w:tc>
        <w:tc>
          <w:tcPr>
            <w:tcW w:w="7229" w:type="dxa"/>
          </w:tcPr>
          <w:p w14:paraId="72C0336B" w14:textId="77777777" w:rsidR="00DE4AFD" w:rsidRPr="00227F09" w:rsidRDefault="004A4F56" w:rsidP="003F7776">
            <w:pPr>
              <w:adjustRightInd w:val="0"/>
              <w:snapToGrid w:val="0"/>
              <w:rPr>
                <w:rFonts w:ascii="Times New Roman" w:eastAsia="宋体" w:hAnsi="Times New Roman" w:cs="Times New Roman"/>
                <w:color w:val="008000"/>
              </w:rPr>
            </w:pPr>
            <w:r w:rsidRPr="00227F09">
              <w:rPr>
                <w:rFonts w:ascii="Times New Roman" w:eastAsia="Times New Roman" w:hAnsi="Times New Roman" w:cs="Times New Roman"/>
              </w:rPr>
              <w:t xml:space="preserve">This study enrolls patients with unresectable locally advanced or pancreatic carcinoma metastatic who have not previously received systemic therapy. </w:t>
            </w:r>
          </w:p>
        </w:tc>
      </w:tr>
      <w:tr w:rsidR="00DE4AFD" w:rsidRPr="00227F09" w14:paraId="5CF26ACB" w14:textId="77777777" w:rsidTr="003F7776">
        <w:trPr>
          <w:jc w:val="center"/>
        </w:trPr>
        <w:tc>
          <w:tcPr>
            <w:tcW w:w="1708" w:type="dxa"/>
          </w:tcPr>
          <w:p w14:paraId="4FAC18C9" w14:textId="77777777" w:rsidR="00DE4AFD" w:rsidRPr="00227F09" w:rsidRDefault="004A4F56" w:rsidP="003F7776">
            <w:pPr>
              <w:adjustRightInd w:val="0"/>
              <w:snapToGrid w:val="0"/>
              <w:rPr>
                <w:rFonts w:ascii="Times New Roman" w:eastAsia="宋体" w:hAnsi="Times New Roman" w:cs="Times New Roman"/>
                <w:b/>
              </w:rPr>
            </w:pPr>
            <w:r w:rsidRPr="00227F09">
              <w:rPr>
                <w:rFonts w:ascii="Times New Roman" w:eastAsia="Times New Roman" w:hAnsi="Times New Roman" w:cs="Times New Roman"/>
                <w:b/>
                <w:bCs/>
              </w:rPr>
              <w:t>Study Design</w:t>
            </w:r>
          </w:p>
        </w:tc>
        <w:tc>
          <w:tcPr>
            <w:tcW w:w="7229" w:type="dxa"/>
          </w:tcPr>
          <w:p w14:paraId="183FA6E5" w14:textId="77777777" w:rsidR="00DE4AFD" w:rsidRPr="00227F09" w:rsidRDefault="004A4F56" w:rsidP="003F7776">
            <w:pPr>
              <w:adjustRightInd w:val="0"/>
              <w:snapToGrid w:val="0"/>
              <w:rPr>
                <w:rFonts w:ascii="Times New Roman" w:eastAsia="宋体" w:hAnsi="Times New Roman" w:cs="Times New Roman"/>
                <w:color w:val="008000"/>
              </w:rPr>
            </w:pPr>
            <w:r w:rsidRPr="00227F09">
              <w:rPr>
                <w:rFonts w:ascii="Times New Roman" w:eastAsia="Times New Roman" w:hAnsi="Times New Roman" w:cs="Times New Roman"/>
              </w:rPr>
              <w:t xml:space="preserve">This is a single-center, randomized, controlled, Phase </w:t>
            </w:r>
            <w:proofErr w:type="spellStart"/>
            <w:r w:rsidRPr="00227F09">
              <w:rPr>
                <w:rFonts w:ascii="Times New Roman" w:eastAsia="Times New Roman" w:hAnsi="Times New Roman" w:cs="Times New Roman"/>
              </w:rPr>
              <w:t>Ib</w:t>
            </w:r>
            <w:proofErr w:type="spellEnd"/>
            <w:r w:rsidRPr="00227F09">
              <w:rPr>
                <w:rFonts w:ascii="Times New Roman" w:eastAsia="Times New Roman" w:hAnsi="Times New Roman" w:cs="Times New Roman"/>
              </w:rPr>
              <w:t xml:space="preserve">/II study. </w:t>
            </w:r>
          </w:p>
        </w:tc>
      </w:tr>
      <w:tr w:rsidR="00DE4AFD" w:rsidRPr="00227F09" w14:paraId="4734A8D0" w14:textId="77777777" w:rsidTr="003F7776">
        <w:trPr>
          <w:jc w:val="center"/>
        </w:trPr>
        <w:tc>
          <w:tcPr>
            <w:tcW w:w="1708" w:type="dxa"/>
          </w:tcPr>
          <w:p w14:paraId="5AF7D226" w14:textId="77777777" w:rsidR="00DE4AFD" w:rsidRPr="00227F09" w:rsidRDefault="004A4F56" w:rsidP="003F7776">
            <w:pPr>
              <w:adjustRightInd w:val="0"/>
              <w:snapToGrid w:val="0"/>
              <w:rPr>
                <w:rFonts w:ascii="Times New Roman" w:eastAsia="宋体" w:hAnsi="Times New Roman" w:cs="Times New Roman"/>
                <w:b/>
              </w:rPr>
            </w:pPr>
            <w:r w:rsidRPr="00227F09">
              <w:rPr>
                <w:rFonts w:ascii="Times New Roman" w:eastAsia="Times New Roman" w:hAnsi="Times New Roman" w:cs="Times New Roman"/>
                <w:b/>
                <w:bCs/>
              </w:rPr>
              <w:t>Method of Administration</w:t>
            </w:r>
          </w:p>
        </w:tc>
        <w:tc>
          <w:tcPr>
            <w:tcW w:w="7229" w:type="dxa"/>
          </w:tcPr>
          <w:p w14:paraId="7045E4ED" w14:textId="77777777" w:rsidR="00DE4AFD" w:rsidRPr="00227F09" w:rsidRDefault="004A4F56" w:rsidP="009B7078">
            <w:pPr>
              <w:rPr>
                <w:rFonts w:ascii="Times New Roman" w:eastAsia="宋体" w:hAnsi="Times New Roman" w:cs="Times New Roman"/>
              </w:rPr>
            </w:pPr>
            <w:r w:rsidRPr="00227F09">
              <w:rPr>
                <w:rFonts w:ascii="Times New Roman" w:eastAsia="Times New Roman" w:hAnsi="Times New Roman" w:cs="Times New Roman"/>
              </w:rPr>
              <w:t xml:space="preserve">- Phase </w:t>
            </w:r>
            <w:proofErr w:type="spellStart"/>
            <w:r w:rsidRPr="00227F09">
              <w:rPr>
                <w:rFonts w:ascii="Times New Roman" w:eastAsia="Times New Roman" w:hAnsi="Times New Roman" w:cs="Times New Roman"/>
              </w:rPr>
              <w:t>Ib</w:t>
            </w:r>
            <w:proofErr w:type="spellEnd"/>
            <w:r w:rsidRPr="00227F09">
              <w:rPr>
                <w:rFonts w:ascii="Times New Roman" w:eastAsia="Times New Roman" w:hAnsi="Times New Roman" w:cs="Times New Roman"/>
              </w:rPr>
              <w:t xml:space="preserve"> dose-exploration stage (9-15 patients):</w:t>
            </w:r>
          </w:p>
          <w:p w14:paraId="446C523B" w14:textId="77777777" w:rsidR="00DE4AFD" w:rsidRPr="00227F09" w:rsidRDefault="004A4F56" w:rsidP="009B7078">
            <w:pPr>
              <w:rPr>
                <w:rFonts w:ascii="Times New Roman" w:eastAsia="宋体" w:hAnsi="Times New Roman" w:cs="Times New Roman"/>
              </w:rPr>
            </w:pPr>
            <w:r w:rsidRPr="00227F09">
              <w:rPr>
                <w:rFonts w:ascii="Times New Roman" w:eastAsia="Times New Roman" w:hAnsi="Times New Roman" w:cs="Times New Roman"/>
              </w:rPr>
              <w:t xml:space="preserve">This study enrolls patients with advanced pancreatic carcinoma metastatic who have not previously received systemic therapy for advanced disease; in Phase </w:t>
            </w:r>
            <w:proofErr w:type="spellStart"/>
            <w:r w:rsidRPr="00227F09">
              <w:rPr>
                <w:rFonts w:ascii="Times New Roman" w:eastAsia="Times New Roman" w:hAnsi="Times New Roman" w:cs="Times New Roman"/>
              </w:rPr>
              <w:t>Ib</w:t>
            </w:r>
            <w:proofErr w:type="spellEnd"/>
            <w:r w:rsidRPr="00227F09">
              <w:rPr>
                <w:rFonts w:ascii="Times New Roman" w:eastAsia="Times New Roman" w:hAnsi="Times New Roman" w:cs="Times New Roman"/>
              </w:rPr>
              <w:t xml:space="preserve">, 9 to 15 subjects will be recruited to explore the DLTs of </w:t>
            </w:r>
            <w:proofErr w:type="spellStart"/>
            <w:r w:rsidRPr="00227F09">
              <w:rPr>
                <w:rFonts w:ascii="Times New Roman" w:eastAsia="Times New Roman" w:hAnsi="Times New Roman" w:cs="Times New Roman"/>
              </w:rPr>
              <w:t>surufatinib</w:t>
            </w:r>
            <w:proofErr w:type="spellEnd"/>
            <w:r w:rsidRPr="00227F09">
              <w:rPr>
                <w:rFonts w:ascii="Times New Roman" w:eastAsia="Times New Roman" w:hAnsi="Times New Roman" w:cs="Times New Roman"/>
              </w:rPr>
              <w:t xml:space="preserve"> combined with </w:t>
            </w:r>
            <w:proofErr w:type="spellStart"/>
            <w:r w:rsidRPr="00227F09">
              <w:rPr>
                <w:rFonts w:ascii="Times New Roman" w:eastAsia="Times New Roman" w:hAnsi="Times New Roman" w:cs="Times New Roman"/>
              </w:rPr>
              <w:t>camrelizumab</w:t>
            </w:r>
            <w:proofErr w:type="spellEnd"/>
            <w:r w:rsidRPr="00227F09">
              <w:rPr>
                <w:rFonts w:ascii="Times New Roman" w:eastAsia="Times New Roman" w:hAnsi="Times New Roman" w:cs="Times New Roman"/>
              </w:rPr>
              <w:t xml:space="preserve"> and the AS regimen, and to determine the recommended Phase II dose (RP2D) of </w:t>
            </w:r>
            <w:proofErr w:type="spellStart"/>
            <w:r w:rsidRPr="00227F09">
              <w:rPr>
                <w:rFonts w:ascii="Times New Roman" w:eastAsia="Times New Roman" w:hAnsi="Times New Roman" w:cs="Times New Roman"/>
              </w:rPr>
              <w:t>surufatinib</w:t>
            </w:r>
            <w:proofErr w:type="spellEnd"/>
            <w:r w:rsidRPr="00227F09">
              <w:rPr>
                <w:rFonts w:ascii="Times New Roman" w:eastAsia="Times New Roman" w:hAnsi="Times New Roman" w:cs="Times New Roman"/>
              </w:rPr>
              <w:t xml:space="preserve">; </w:t>
            </w:r>
          </w:p>
          <w:p w14:paraId="0A9B7E46" w14:textId="1347988D" w:rsidR="00DE4AFD" w:rsidRPr="00227F09" w:rsidRDefault="004A4F56" w:rsidP="009B7078">
            <w:pPr>
              <w:rPr>
                <w:rFonts w:ascii="Times New Roman" w:eastAsia="宋体" w:hAnsi="Times New Roman" w:cs="Times New Roman"/>
              </w:rPr>
            </w:pPr>
            <w:r w:rsidRPr="00227F09">
              <w:rPr>
                <w:rFonts w:ascii="Times New Roman" w:eastAsia="Times New Roman" w:hAnsi="Times New Roman" w:cs="Times New Roman"/>
              </w:rPr>
              <w:t xml:space="preserve">Medication regimen: a 3+3 dose escalation scheme is adopted. </w:t>
            </w:r>
            <w:proofErr w:type="spellStart"/>
            <w:r w:rsidRPr="00227F09">
              <w:rPr>
                <w:rFonts w:ascii="Times New Roman" w:eastAsia="Times New Roman" w:hAnsi="Times New Roman" w:cs="Times New Roman"/>
              </w:rPr>
              <w:t>Surufatinib</w:t>
            </w:r>
            <w:proofErr w:type="spellEnd"/>
            <w:r w:rsidRPr="00227F09">
              <w:rPr>
                <w:rFonts w:ascii="Times New Roman" w:eastAsia="Times New Roman" w:hAnsi="Times New Roman" w:cs="Times New Roman"/>
              </w:rPr>
              <w:t xml:space="preserve"> will undergo dose escalation from low to high according to the following doses: L1: 200 mg/d, L2: 250 mg/d, L3: 300 mg/d, administered continuously as QD po; combined with </w:t>
            </w:r>
            <w:proofErr w:type="spellStart"/>
            <w:r w:rsidRPr="00227F09">
              <w:rPr>
                <w:rFonts w:ascii="Times New Roman" w:eastAsia="Times New Roman" w:hAnsi="Times New Roman" w:cs="Times New Roman"/>
              </w:rPr>
              <w:t>camrelizumab</w:t>
            </w:r>
            <w:proofErr w:type="spellEnd"/>
            <w:r w:rsidRPr="00227F09">
              <w:rPr>
                <w:rFonts w:ascii="Times New Roman" w:eastAsia="Times New Roman" w:hAnsi="Times New Roman" w:cs="Times New Roman"/>
              </w:rPr>
              <w:t>: 200 mg, intravenous (IV) infusion, q3w, and the 3-week regimen of nab-paclitaxel combined with tegafur: nab-paclitaxel: 12</w:t>
            </w:r>
            <w:r w:rsidR="002A5B60">
              <w:rPr>
                <w:rFonts w:ascii="Times New Roman" w:hAnsi="Times New Roman" w:cs="Times New Roman" w:hint="eastAsia"/>
              </w:rPr>
              <w:t>5</w:t>
            </w:r>
            <w:r w:rsidRPr="00227F09">
              <w:rPr>
                <w:rFonts w:ascii="Times New Roman" w:eastAsia="Times New Roman" w:hAnsi="Times New Roman" w:cs="Times New Roman"/>
              </w:rPr>
              <w:t xml:space="preserve"> mg/m</w:t>
            </w:r>
            <w:r w:rsidRPr="00227F09">
              <w:rPr>
                <w:rFonts w:ascii="Times New Roman" w:eastAsia="Times New Roman" w:hAnsi="Times New Roman" w:cs="Times New Roman"/>
                <w:vertAlign w:val="superscript"/>
              </w:rPr>
              <w:t>2</w:t>
            </w:r>
            <w:r w:rsidRPr="00227F09">
              <w:rPr>
                <w:rFonts w:ascii="Times New Roman" w:eastAsia="Times New Roman" w:hAnsi="Times New Roman" w:cs="Times New Roman"/>
              </w:rPr>
              <w:t xml:space="preserve">, IV, d1, d8, q3w; tegafur: 40 mg, BID po, d1-14, q3w. Three weeks of combination therapy constitute one treatment cycle. DLTs will be recorded during the first cycle of administration. </w:t>
            </w:r>
          </w:p>
          <w:p w14:paraId="0A47F8EF" w14:textId="77777777" w:rsidR="00DE4AFD" w:rsidRPr="00227F09" w:rsidRDefault="004A4F56" w:rsidP="009B7078">
            <w:pPr>
              <w:rPr>
                <w:rFonts w:ascii="Times New Roman" w:eastAsia="宋体" w:hAnsi="Times New Roman" w:cs="Times New Roman"/>
              </w:rPr>
            </w:pPr>
            <w:r w:rsidRPr="00227F09">
              <w:rPr>
                <w:rFonts w:ascii="Times New Roman" w:eastAsia="Times New Roman" w:hAnsi="Times New Roman" w:cs="Times New Roman"/>
              </w:rPr>
              <w:t xml:space="preserve">Phase II plans to enroll 90 patients, randomly assigned 1:1 into the test group (45 cases) </w:t>
            </w:r>
            <w:r w:rsidRPr="00227F09">
              <w:rPr>
                <w:rFonts w:ascii="Times New Roman" w:eastAsia="Times New Roman" w:hAnsi="Times New Roman" w:cs="Times New Roman"/>
              </w:rPr>
              <w:lastRenderedPageBreak/>
              <w:t>or the control group (45 cases), to receive the following treatment regimens:</w:t>
            </w:r>
          </w:p>
          <w:p w14:paraId="06259077" w14:textId="77777777" w:rsidR="00DE4AFD" w:rsidRPr="00227F09" w:rsidRDefault="004A4F56" w:rsidP="009B7078">
            <w:pPr>
              <w:rPr>
                <w:rFonts w:ascii="Times New Roman" w:eastAsia="宋体" w:hAnsi="Times New Roman" w:cs="Times New Roman"/>
              </w:rPr>
            </w:pPr>
            <w:r w:rsidRPr="00227F09">
              <w:rPr>
                <w:rFonts w:ascii="Times New Roman" w:eastAsia="Times New Roman" w:hAnsi="Times New Roman" w:cs="Times New Roman"/>
              </w:rPr>
              <w:t>Test group:</w:t>
            </w:r>
          </w:p>
          <w:p w14:paraId="6A23DC13" w14:textId="77777777" w:rsidR="00DE4AFD" w:rsidRPr="00227F09" w:rsidRDefault="004A4F56" w:rsidP="009B7078">
            <w:pPr>
              <w:rPr>
                <w:rFonts w:ascii="Times New Roman" w:eastAsia="宋体" w:hAnsi="Times New Roman" w:cs="Times New Roman"/>
              </w:rPr>
            </w:pPr>
            <w:r w:rsidRPr="00227F09">
              <w:rPr>
                <w:rFonts w:ascii="Times New Roman" w:eastAsia="Times New Roman" w:hAnsi="Times New Roman" w:cs="Times New Roman"/>
              </w:rPr>
              <w:t xml:space="preserve">In combination with </w:t>
            </w:r>
            <w:proofErr w:type="spellStart"/>
            <w:r w:rsidRPr="00227F09">
              <w:rPr>
                <w:rFonts w:ascii="Times New Roman" w:eastAsia="Times New Roman" w:hAnsi="Times New Roman" w:cs="Times New Roman"/>
              </w:rPr>
              <w:t>camrelizumab</w:t>
            </w:r>
            <w:proofErr w:type="spellEnd"/>
            <w:r w:rsidRPr="00227F09">
              <w:rPr>
                <w:rFonts w:ascii="Times New Roman" w:eastAsia="Times New Roman" w:hAnsi="Times New Roman" w:cs="Times New Roman"/>
              </w:rPr>
              <w:t xml:space="preserve">, nab-paclitaxel, and tegafur (administration regimen is the same as the dose in the Phase </w:t>
            </w:r>
            <w:proofErr w:type="spellStart"/>
            <w:r w:rsidRPr="00227F09">
              <w:rPr>
                <w:rFonts w:ascii="Times New Roman" w:eastAsia="Times New Roman" w:hAnsi="Times New Roman" w:cs="Times New Roman"/>
              </w:rPr>
              <w:t>Ib</w:t>
            </w:r>
            <w:proofErr w:type="spellEnd"/>
            <w:r w:rsidRPr="00227F09">
              <w:rPr>
                <w:rFonts w:ascii="Times New Roman" w:eastAsia="Times New Roman" w:hAnsi="Times New Roman" w:cs="Times New Roman"/>
              </w:rPr>
              <w:t xml:space="preserve"> exploration stage) based on the RP2D of </w:t>
            </w:r>
            <w:proofErr w:type="spellStart"/>
            <w:r w:rsidRPr="00227F09">
              <w:rPr>
                <w:rFonts w:ascii="Times New Roman" w:eastAsia="Times New Roman" w:hAnsi="Times New Roman" w:cs="Times New Roman"/>
              </w:rPr>
              <w:t>surufatinib</w:t>
            </w:r>
            <w:proofErr w:type="spellEnd"/>
            <w:r w:rsidRPr="00227F09">
              <w:rPr>
                <w:rFonts w:ascii="Times New Roman" w:eastAsia="Times New Roman" w:hAnsi="Times New Roman" w:cs="Times New Roman"/>
              </w:rPr>
              <w:t xml:space="preserve"> determined in Phase </w:t>
            </w:r>
            <w:proofErr w:type="spellStart"/>
            <w:r w:rsidRPr="00227F09">
              <w:rPr>
                <w:rFonts w:ascii="Times New Roman" w:eastAsia="Times New Roman" w:hAnsi="Times New Roman" w:cs="Times New Roman"/>
              </w:rPr>
              <w:t>Ib</w:t>
            </w:r>
            <w:proofErr w:type="spellEnd"/>
            <w:r w:rsidRPr="00227F09">
              <w:rPr>
                <w:rFonts w:ascii="Times New Roman" w:eastAsia="Times New Roman" w:hAnsi="Times New Roman" w:cs="Times New Roman"/>
              </w:rPr>
              <w:t>, until intolerable toxicity or disease progression, death, or reaching other criteria specified in the protocol for discontinuation of study treatment.</w:t>
            </w:r>
          </w:p>
          <w:p w14:paraId="7CBEC39A" w14:textId="77777777" w:rsidR="00DE4AFD" w:rsidRPr="00227F09" w:rsidRDefault="004A4F56" w:rsidP="009B7078">
            <w:pPr>
              <w:rPr>
                <w:rFonts w:ascii="Times New Roman" w:eastAsia="宋体" w:hAnsi="Times New Roman" w:cs="Times New Roman"/>
              </w:rPr>
            </w:pPr>
            <w:r w:rsidRPr="00227F09">
              <w:rPr>
                <w:rFonts w:ascii="Times New Roman" w:eastAsia="Times New Roman" w:hAnsi="Times New Roman" w:cs="Times New Roman"/>
              </w:rPr>
              <w:t>Control group: GN 3-week regimen (nab-paclitaxel: 125 mg/m</w:t>
            </w:r>
            <w:r w:rsidRPr="00227F09">
              <w:rPr>
                <w:rFonts w:ascii="Times New Roman" w:eastAsia="Times New Roman" w:hAnsi="Times New Roman" w:cs="Times New Roman"/>
                <w:vertAlign w:val="superscript"/>
              </w:rPr>
              <w:t>2</w:t>
            </w:r>
            <w:r w:rsidRPr="00227F09">
              <w:rPr>
                <w:rFonts w:ascii="Times New Roman" w:eastAsia="Times New Roman" w:hAnsi="Times New Roman" w:cs="Times New Roman"/>
              </w:rPr>
              <w:t>, IV, d1, d8, q3w; gemcitabine: 1000 mg/m</w:t>
            </w:r>
            <w:r w:rsidRPr="00227F09">
              <w:rPr>
                <w:rFonts w:ascii="Times New Roman" w:eastAsia="Times New Roman" w:hAnsi="Times New Roman" w:cs="Times New Roman"/>
                <w:vertAlign w:val="superscript"/>
              </w:rPr>
              <w:t>2</w:t>
            </w:r>
            <w:r w:rsidRPr="00227F09">
              <w:rPr>
                <w:rFonts w:ascii="Times New Roman" w:eastAsia="Times New Roman" w:hAnsi="Times New Roman" w:cs="Times New Roman"/>
              </w:rPr>
              <w:t xml:space="preserve">, IV infusion over 30 minutes, d1, d8, q3w), until intolerable toxicity or disease progression, death, or reaching other criteria specified in the protocol for discontinuation of study treatment. </w:t>
            </w:r>
          </w:p>
          <w:p w14:paraId="3D62F111" w14:textId="77777777" w:rsidR="00DE4AFD" w:rsidRPr="00227F09" w:rsidRDefault="004A4F56" w:rsidP="009B7078">
            <w:pPr>
              <w:rPr>
                <w:rFonts w:ascii="Times New Roman" w:eastAsia="宋体" w:hAnsi="Times New Roman" w:cs="Times New Roman"/>
              </w:rPr>
            </w:pPr>
            <w:r w:rsidRPr="00227F09">
              <w:rPr>
                <w:rFonts w:ascii="Times New Roman" w:eastAsia="Times New Roman" w:hAnsi="Times New Roman" w:cs="Times New Roman"/>
              </w:rPr>
              <w:t xml:space="preserve">This study is divided into three phases: screening phase, treatment phase, and follow-up phase. Every 6 weeks (±2 days), imaging methods will be used to assess the </w:t>
            </w:r>
            <w:r w:rsidRPr="00227F09">
              <w:rPr>
                <w:rFonts w:ascii="Times New Roman" w:eastAsia="Times New Roman" w:hAnsi="Times New Roman" w:cs="Times New Roman"/>
                <w:color w:val="333333"/>
              </w:rPr>
              <w:t>tumor</w:t>
            </w:r>
            <w:r w:rsidRPr="00227F09">
              <w:rPr>
                <w:rFonts w:ascii="Times New Roman" w:eastAsia="Times New Roman" w:hAnsi="Times New Roman" w:cs="Times New Roman"/>
              </w:rPr>
              <w:t xml:space="preserve"> status until disease progression (RECIST 1.1), death (during the patient’s treatment), or intolerable toxicity occurs, and record the </w:t>
            </w:r>
            <w:r w:rsidRPr="00227F09">
              <w:rPr>
                <w:rFonts w:ascii="Times New Roman" w:eastAsia="Times New Roman" w:hAnsi="Times New Roman" w:cs="Times New Roman"/>
                <w:color w:val="333333"/>
              </w:rPr>
              <w:t>tumor</w:t>
            </w:r>
            <w:r w:rsidRPr="00227F09">
              <w:rPr>
                <w:rFonts w:ascii="Times New Roman" w:eastAsia="Times New Roman" w:hAnsi="Times New Roman" w:cs="Times New Roman"/>
              </w:rPr>
              <w:t xml:space="preserve"> treatment and survival status after disease progression. </w:t>
            </w:r>
          </w:p>
          <w:p w14:paraId="17C6F86A" w14:textId="77777777" w:rsidR="00DE4AFD" w:rsidRPr="00227F09" w:rsidRDefault="004A4F56" w:rsidP="009B7078">
            <w:pPr>
              <w:rPr>
                <w:rFonts w:ascii="Times New Roman" w:eastAsia="宋体" w:hAnsi="Times New Roman" w:cs="Times New Roman"/>
                <w:i/>
                <w:color w:val="008000"/>
              </w:rPr>
            </w:pPr>
            <w:r w:rsidRPr="00227F09">
              <w:rPr>
                <w:rFonts w:ascii="Times New Roman" w:eastAsia="Times New Roman" w:hAnsi="Times New Roman" w:cs="Times New Roman"/>
              </w:rPr>
              <w:t xml:space="preserve">Safety indicators include: </w:t>
            </w:r>
            <w:r w:rsidRPr="00227F09">
              <w:rPr>
                <w:rFonts w:ascii="Times New Roman" w:eastAsia="Times New Roman" w:hAnsi="Times New Roman" w:cs="Times New Roman"/>
                <w:color w:val="333333"/>
              </w:rPr>
              <w:t>AE</w:t>
            </w:r>
            <w:r w:rsidRPr="00227F09">
              <w:rPr>
                <w:rFonts w:ascii="Times New Roman" w:eastAsia="Times New Roman" w:hAnsi="Times New Roman" w:cs="Times New Roman"/>
              </w:rPr>
              <w:t xml:space="preserve">, laboratory test, vital signs, and changes in electrocardiogram and cardiac ultrasound. </w:t>
            </w:r>
          </w:p>
        </w:tc>
      </w:tr>
      <w:tr w:rsidR="00DE4AFD" w:rsidRPr="00227F09" w14:paraId="2BECC8E9" w14:textId="77777777" w:rsidTr="003F7776">
        <w:trPr>
          <w:jc w:val="center"/>
        </w:trPr>
        <w:tc>
          <w:tcPr>
            <w:tcW w:w="1708" w:type="dxa"/>
          </w:tcPr>
          <w:p w14:paraId="4A3D1724" w14:textId="77777777" w:rsidR="00DE4AFD" w:rsidRPr="00227F09" w:rsidRDefault="004A4F56" w:rsidP="003F7776">
            <w:pPr>
              <w:adjustRightInd w:val="0"/>
              <w:snapToGrid w:val="0"/>
              <w:rPr>
                <w:rFonts w:ascii="Times New Roman" w:eastAsia="宋体" w:hAnsi="Times New Roman" w:cs="Times New Roman"/>
                <w:b/>
              </w:rPr>
            </w:pPr>
            <w:r w:rsidRPr="00227F09">
              <w:rPr>
                <w:rFonts w:ascii="Times New Roman" w:eastAsia="Times New Roman" w:hAnsi="Times New Roman" w:cs="Times New Roman"/>
                <w:b/>
                <w:bCs/>
              </w:rPr>
              <w:lastRenderedPageBreak/>
              <w:t>Inclusion Criteria</w:t>
            </w:r>
          </w:p>
        </w:tc>
        <w:tc>
          <w:tcPr>
            <w:tcW w:w="7229" w:type="dxa"/>
          </w:tcPr>
          <w:p w14:paraId="24ADA948" w14:textId="77777777" w:rsidR="00DE4AFD" w:rsidRPr="00227F09" w:rsidRDefault="004A4F56" w:rsidP="003F7776">
            <w:pPr>
              <w:adjustRightInd w:val="0"/>
              <w:snapToGrid w:val="0"/>
              <w:rPr>
                <w:rFonts w:ascii="Times New Roman" w:eastAsia="宋体" w:hAnsi="Times New Roman" w:cs="Times New Roman"/>
              </w:rPr>
            </w:pPr>
            <w:r w:rsidRPr="00227F09">
              <w:rPr>
                <w:rFonts w:ascii="Times New Roman" w:eastAsia="Times New Roman" w:hAnsi="Times New Roman" w:cs="Times New Roman"/>
              </w:rPr>
              <w:t>Patients must meet all the following criteria to be enrolled in this study:</w:t>
            </w:r>
          </w:p>
          <w:p w14:paraId="3543E388" w14:textId="77777777" w:rsidR="00DE4AFD" w:rsidRPr="00227F09" w:rsidRDefault="004A4F56" w:rsidP="003F7776">
            <w:pPr>
              <w:pStyle w:val="afd"/>
              <w:widowControl/>
              <w:numPr>
                <w:ilvl w:val="0"/>
                <w:numId w:val="8"/>
              </w:numPr>
              <w:tabs>
                <w:tab w:val="left" w:pos="166"/>
              </w:tabs>
              <w:ind w:firstLineChars="0"/>
              <w:contextualSpacing/>
              <w:rPr>
                <w:szCs w:val="21"/>
              </w:rPr>
            </w:pPr>
            <w:r w:rsidRPr="00227F09">
              <w:rPr>
                <w:rFonts w:eastAsia="Times New Roman"/>
                <w:szCs w:val="21"/>
              </w:rPr>
              <w:t xml:space="preserve">Have fully understood this study and voluntarily signed the informed consent form; </w:t>
            </w:r>
          </w:p>
          <w:p w14:paraId="087CB0FA" w14:textId="1A0A86E9" w:rsidR="00DE4AFD" w:rsidRPr="00227F09" w:rsidRDefault="004A4F56" w:rsidP="003F7776">
            <w:pPr>
              <w:pStyle w:val="afd"/>
              <w:widowControl/>
              <w:numPr>
                <w:ilvl w:val="0"/>
                <w:numId w:val="8"/>
              </w:numPr>
              <w:tabs>
                <w:tab w:val="left" w:pos="166"/>
              </w:tabs>
              <w:ind w:firstLineChars="0"/>
              <w:contextualSpacing/>
              <w:rPr>
                <w:szCs w:val="21"/>
              </w:rPr>
            </w:pPr>
            <w:r w:rsidRPr="00227F09">
              <w:rPr>
                <w:rFonts w:eastAsia="Times New Roman"/>
                <w:szCs w:val="21"/>
              </w:rPr>
              <w:t xml:space="preserve">Patients with histologically or cytologically confirmed unresectable, locally advanced, or metastatic pancreatic ductal adenocarcinoma; </w:t>
            </w:r>
          </w:p>
          <w:p w14:paraId="329E0EC2" w14:textId="77777777" w:rsidR="00DE4AFD" w:rsidRPr="00227F09" w:rsidRDefault="004A4F56" w:rsidP="003F7776">
            <w:pPr>
              <w:pStyle w:val="afd"/>
              <w:widowControl/>
              <w:numPr>
                <w:ilvl w:val="0"/>
                <w:numId w:val="8"/>
              </w:numPr>
              <w:tabs>
                <w:tab w:val="left" w:pos="166"/>
              </w:tabs>
              <w:ind w:firstLineChars="0"/>
              <w:contextualSpacing/>
              <w:rPr>
                <w:szCs w:val="21"/>
              </w:rPr>
            </w:pPr>
            <w:r w:rsidRPr="00227F09">
              <w:rPr>
                <w:rFonts w:eastAsia="Times New Roman"/>
                <w:szCs w:val="21"/>
              </w:rPr>
              <w:t xml:space="preserve">Age 18-75 years old (inclusive); </w:t>
            </w:r>
          </w:p>
          <w:p w14:paraId="74A8FB32" w14:textId="48FF6A95" w:rsidR="00DE4AFD" w:rsidRPr="00227F09" w:rsidRDefault="004A4F56" w:rsidP="003F7776">
            <w:pPr>
              <w:pStyle w:val="afd"/>
              <w:widowControl/>
              <w:numPr>
                <w:ilvl w:val="0"/>
                <w:numId w:val="8"/>
              </w:numPr>
              <w:tabs>
                <w:tab w:val="left" w:pos="166"/>
              </w:tabs>
              <w:ind w:firstLineChars="0"/>
              <w:contextualSpacing/>
              <w:rPr>
                <w:szCs w:val="21"/>
              </w:rPr>
            </w:pPr>
            <w:r w:rsidRPr="00227F09">
              <w:rPr>
                <w:rFonts w:eastAsia="Times New Roman"/>
                <w:szCs w:val="21"/>
              </w:rPr>
              <w:t xml:space="preserve">No prior systemic therapy for advanced pancreatic carcinoma; </w:t>
            </w:r>
          </w:p>
          <w:p w14:paraId="11B99B63" w14:textId="7E59BB2C" w:rsidR="00DE4AFD" w:rsidRPr="00227F09" w:rsidRDefault="004A4F56" w:rsidP="003F7776">
            <w:pPr>
              <w:pStyle w:val="afd"/>
              <w:widowControl/>
              <w:numPr>
                <w:ilvl w:val="0"/>
                <w:numId w:val="8"/>
              </w:numPr>
              <w:tabs>
                <w:tab w:val="left" w:pos="166"/>
              </w:tabs>
              <w:ind w:firstLineChars="0"/>
              <w:contextualSpacing/>
              <w:rPr>
                <w:szCs w:val="21"/>
              </w:rPr>
            </w:pPr>
            <w:r w:rsidRPr="00227F09">
              <w:rPr>
                <w:rFonts w:eastAsia="Times New Roman"/>
                <w:szCs w:val="21"/>
              </w:rPr>
              <w:t>ECOG PS 0-1</w:t>
            </w:r>
            <w:r w:rsidR="00027BAF">
              <w:rPr>
                <w:rFonts w:cs="宋体" w:hint="eastAsia"/>
                <w:szCs w:val="21"/>
              </w:rPr>
              <w:t>;</w:t>
            </w:r>
          </w:p>
          <w:p w14:paraId="188ADFF0" w14:textId="77777777" w:rsidR="00DE4AFD" w:rsidRPr="00227F09" w:rsidRDefault="004A4F56" w:rsidP="003F7776">
            <w:pPr>
              <w:pStyle w:val="afd"/>
              <w:widowControl/>
              <w:numPr>
                <w:ilvl w:val="0"/>
                <w:numId w:val="8"/>
              </w:numPr>
              <w:tabs>
                <w:tab w:val="left" w:pos="166"/>
              </w:tabs>
              <w:ind w:firstLineChars="0"/>
              <w:contextualSpacing/>
              <w:rPr>
                <w:szCs w:val="21"/>
              </w:rPr>
            </w:pPr>
            <w:r w:rsidRPr="00227F09">
              <w:rPr>
                <w:rFonts w:eastAsia="Times New Roman"/>
                <w:szCs w:val="21"/>
              </w:rPr>
              <w:t xml:space="preserve">Must have at least one measurable lesion (according to Response Evaluation Criteria in Solid Tumors, version 1.1 [RECIST 1.1]); </w:t>
            </w:r>
          </w:p>
          <w:p w14:paraId="22BDABCB" w14:textId="77777777" w:rsidR="00DE4AFD" w:rsidRPr="00227F09" w:rsidRDefault="004A4F56" w:rsidP="003F7776">
            <w:pPr>
              <w:pStyle w:val="afd"/>
              <w:widowControl/>
              <w:numPr>
                <w:ilvl w:val="0"/>
                <w:numId w:val="8"/>
              </w:numPr>
              <w:tabs>
                <w:tab w:val="left" w:pos="166"/>
              </w:tabs>
              <w:ind w:firstLineChars="0"/>
              <w:contextualSpacing/>
              <w:rPr>
                <w:szCs w:val="21"/>
              </w:rPr>
            </w:pPr>
            <w:r w:rsidRPr="00227F09">
              <w:rPr>
                <w:rFonts w:eastAsia="Times New Roman"/>
                <w:szCs w:val="21"/>
              </w:rPr>
              <w:t xml:space="preserve">Expected survival ≥ 3 months; </w:t>
            </w:r>
          </w:p>
          <w:p w14:paraId="617447A9" w14:textId="77777777" w:rsidR="00DE4AFD" w:rsidRPr="00227F09" w:rsidRDefault="004A4F56" w:rsidP="003F7776">
            <w:pPr>
              <w:pStyle w:val="afd"/>
              <w:widowControl/>
              <w:numPr>
                <w:ilvl w:val="0"/>
                <w:numId w:val="8"/>
              </w:numPr>
              <w:tabs>
                <w:tab w:val="left" w:pos="166"/>
              </w:tabs>
              <w:ind w:firstLineChars="0"/>
              <w:contextualSpacing/>
              <w:rPr>
                <w:szCs w:val="21"/>
              </w:rPr>
            </w:pPr>
            <w:r w:rsidRPr="00227F09">
              <w:rPr>
                <w:rFonts w:eastAsia="Times New Roman"/>
                <w:szCs w:val="21"/>
              </w:rPr>
              <w:t>The functions of vital organs meet the following requirements (the use of any blood components and cell growth factors within *14 days before enrollment is not allowed):</w:t>
            </w:r>
          </w:p>
          <w:p w14:paraId="44EE1215" w14:textId="6B7EABE0" w:rsidR="00DE4AFD" w:rsidRPr="00227F09" w:rsidRDefault="004A4F56" w:rsidP="003F7776">
            <w:pPr>
              <w:pStyle w:val="afd"/>
              <w:widowControl/>
              <w:tabs>
                <w:tab w:val="left" w:pos="166"/>
              </w:tabs>
              <w:ind w:left="720" w:firstLineChars="0" w:firstLine="0"/>
              <w:contextualSpacing/>
              <w:rPr>
                <w:szCs w:val="21"/>
              </w:rPr>
            </w:pPr>
            <w:r w:rsidRPr="00227F09">
              <w:rPr>
                <w:rFonts w:eastAsia="Times New Roman"/>
                <w:szCs w:val="21"/>
              </w:rPr>
              <w:t>Absolute neutrophil count (ANC) ≥1.5×10</w:t>
            </w:r>
            <w:r w:rsidRPr="00227F09">
              <w:rPr>
                <w:rFonts w:eastAsia="Times New Roman"/>
                <w:szCs w:val="21"/>
                <w:vertAlign w:val="superscript"/>
              </w:rPr>
              <w:t>9</w:t>
            </w:r>
            <w:r w:rsidRPr="00227F09">
              <w:rPr>
                <w:rFonts w:eastAsia="Times New Roman"/>
                <w:szCs w:val="21"/>
              </w:rPr>
              <w:t xml:space="preserve">/L; </w:t>
            </w:r>
          </w:p>
          <w:p w14:paraId="7C389AD9" w14:textId="4649A5DD" w:rsidR="00DE4AFD" w:rsidRPr="00227F09" w:rsidRDefault="004A4F56" w:rsidP="003F7776">
            <w:pPr>
              <w:pStyle w:val="afd"/>
              <w:widowControl/>
              <w:tabs>
                <w:tab w:val="left" w:pos="166"/>
              </w:tabs>
              <w:ind w:left="720" w:firstLineChars="0" w:firstLine="0"/>
              <w:contextualSpacing/>
              <w:rPr>
                <w:szCs w:val="21"/>
              </w:rPr>
            </w:pPr>
            <w:r w:rsidRPr="00227F09">
              <w:rPr>
                <w:rFonts w:eastAsia="Times New Roman"/>
                <w:szCs w:val="21"/>
              </w:rPr>
              <w:t>Platelet count ≥100×10</w:t>
            </w:r>
            <w:r w:rsidRPr="00227F09">
              <w:rPr>
                <w:rFonts w:eastAsia="Times New Roman"/>
                <w:szCs w:val="21"/>
                <w:vertAlign w:val="superscript"/>
              </w:rPr>
              <w:t>9</w:t>
            </w:r>
            <w:r w:rsidRPr="00227F09">
              <w:rPr>
                <w:rFonts w:eastAsia="Times New Roman"/>
                <w:szCs w:val="21"/>
              </w:rPr>
              <w:t xml:space="preserve">/L; </w:t>
            </w:r>
          </w:p>
          <w:p w14:paraId="22997444" w14:textId="6DD966BA" w:rsidR="00DE4AFD" w:rsidRPr="00227F09" w:rsidRDefault="004A4F56" w:rsidP="003F7776">
            <w:pPr>
              <w:pStyle w:val="afd"/>
              <w:widowControl/>
              <w:tabs>
                <w:tab w:val="left" w:pos="166"/>
              </w:tabs>
              <w:ind w:left="720" w:firstLineChars="0" w:firstLine="0"/>
              <w:contextualSpacing/>
              <w:rPr>
                <w:szCs w:val="21"/>
              </w:rPr>
            </w:pPr>
            <w:proofErr w:type="spellStart"/>
            <w:r w:rsidRPr="00227F09">
              <w:rPr>
                <w:rFonts w:eastAsia="Times New Roman"/>
                <w:szCs w:val="21"/>
              </w:rPr>
              <w:t>Haemoglobin</w:t>
            </w:r>
            <w:proofErr w:type="spellEnd"/>
            <w:r w:rsidRPr="00227F09">
              <w:rPr>
                <w:rFonts w:eastAsia="Times New Roman"/>
                <w:szCs w:val="21"/>
              </w:rPr>
              <w:t xml:space="preserve"> ≥90 g/L; </w:t>
            </w:r>
          </w:p>
          <w:p w14:paraId="740E0AE0" w14:textId="4F98E4D4" w:rsidR="00DE4AFD" w:rsidRPr="00227F09" w:rsidRDefault="004A4F56" w:rsidP="003F7776">
            <w:pPr>
              <w:pStyle w:val="afd"/>
              <w:widowControl/>
              <w:tabs>
                <w:tab w:val="left" w:pos="166"/>
              </w:tabs>
              <w:ind w:left="720" w:firstLineChars="0" w:firstLine="0"/>
              <w:contextualSpacing/>
              <w:rPr>
                <w:szCs w:val="21"/>
              </w:rPr>
            </w:pPr>
            <w:r w:rsidRPr="00227F09">
              <w:rPr>
                <w:rFonts w:eastAsia="Times New Roman"/>
                <w:szCs w:val="21"/>
              </w:rPr>
              <w:t xml:space="preserve">Total bilirubin &lt; 1.5 × ULN; </w:t>
            </w:r>
          </w:p>
          <w:p w14:paraId="59C419BA" w14:textId="63B154E9" w:rsidR="00DE4AFD" w:rsidRPr="00227F09" w:rsidRDefault="004A4F56" w:rsidP="003F7776">
            <w:pPr>
              <w:pStyle w:val="afd"/>
              <w:widowControl/>
              <w:tabs>
                <w:tab w:val="left" w:pos="166"/>
              </w:tabs>
              <w:ind w:left="720" w:firstLineChars="0" w:firstLine="0"/>
              <w:contextualSpacing/>
              <w:rPr>
                <w:szCs w:val="21"/>
              </w:rPr>
            </w:pPr>
            <w:r w:rsidRPr="00227F09">
              <w:rPr>
                <w:rFonts w:eastAsia="Times New Roman"/>
                <w:szCs w:val="21"/>
              </w:rPr>
              <w:t xml:space="preserve">ALT and/or AST &lt; 1.5 × ULN </w:t>
            </w:r>
            <w:proofErr w:type="gramStart"/>
            <w:r w:rsidRPr="00227F09">
              <w:rPr>
                <w:rFonts w:eastAsia="Times New Roman"/>
                <w:szCs w:val="21"/>
              </w:rPr>
              <w:t>( &lt;</w:t>
            </w:r>
            <w:proofErr w:type="gramEnd"/>
            <w:r w:rsidRPr="00227F09">
              <w:rPr>
                <w:rFonts w:eastAsia="Times New Roman"/>
                <w:szCs w:val="21"/>
              </w:rPr>
              <w:t xml:space="preserve"> 3 × ULN for patients with metastases to liver); </w:t>
            </w:r>
          </w:p>
          <w:p w14:paraId="531BD334" w14:textId="4A3C0CA9" w:rsidR="00DE4AFD" w:rsidRPr="00227F09" w:rsidRDefault="004A4F56" w:rsidP="003F7776">
            <w:pPr>
              <w:pStyle w:val="afd"/>
              <w:widowControl/>
              <w:tabs>
                <w:tab w:val="left" w:pos="166"/>
              </w:tabs>
              <w:ind w:left="720" w:firstLineChars="0" w:firstLine="0"/>
              <w:contextualSpacing/>
              <w:rPr>
                <w:szCs w:val="21"/>
              </w:rPr>
            </w:pPr>
            <w:r w:rsidRPr="00227F09">
              <w:rPr>
                <w:rFonts w:eastAsia="Times New Roman"/>
                <w:szCs w:val="21"/>
              </w:rPr>
              <w:t xml:space="preserve">Serum creatinine &lt; 1.5 × ULN; </w:t>
            </w:r>
          </w:p>
          <w:p w14:paraId="6D825B89" w14:textId="3939E834" w:rsidR="00DE4AFD" w:rsidRPr="00227F09" w:rsidRDefault="004A4F56" w:rsidP="003F7776">
            <w:pPr>
              <w:pStyle w:val="afd"/>
              <w:widowControl/>
              <w:tabs>
                <w:tab w:val="left" w:pos="166"/>
              </w:tabs>
              <w:ind w:left="720" w:firstLineChars="0" w:firstLine="0"/>
              <w:contextualSpacing/>
              <w:rPr>
                <w:szCs w:val="21"/>
              </w:rPr>
            </w:pPr>
            <w:r w:rsidRPr="00227F09">
              <w:rPr>
                <w:rFonts w:eastAsia="Times New Roman"/>
                <w:szCs w:val="21"/>
              </w:rPr>
              <w:t xml:space="preserve">Endogenous creatinine clearance ≥50 mL/min; </w:t>
            </w:r>
          </w:p>
          <w:p w14:paraId="3CFE9B51" w14:textId="77777777" w:rsidR="00DE4AFD" w:rsidRPr="00227F09" w:rsidRDefault="004A4F56" w:rsidP="003F7776">
            <w:pPr>
              <w:pStyle w:val="afd"/>
              <w:widowControl/>
              <w:numPr>
                <w:ilvl w:val="0"/>
                <w:numId w:val="8"/>
              </w:numPr>
              <w:tabs>
                <w:tab w:val="left" w:pos="166"/>
              </w:tabs>
              <w:ind w:firstLineChars="0"/>
              <w:contextualSpacing/>
              <w:rPr>
                <w:szCs w:val="21"/>
              </w:rPr>
            </w:pPr>
            <w:r w:rsidRPr="00227F09">
              <w:rPr>
                <w:rFonts w:eastAsia="Times New Roman"/>
                <w:szCs w:val="21"/>
              </w:rPr>
              <w:t xml:space="preserve">Women of childbearing potential must use effective contraceptive measures; </w:t>
            </w:r>
          </w:p>
          <w:p w14:paraId="0E9958B5" w14:textId="77777777" w:rsidR="00DE4AFD" w:rsidRPr="00227F09" w:rsidRDefault="004A4F56" w:rsidP="003F7776">
            <w:pPr>
              <w:pStyle w:val="afd"/>
              <w:numPr>
                <w:ilvl w:val="0"/>
                <w:numId w:val="8"/>
              </w:numPr>
              <w:tabs>
                <w:tab w:val="left" w:pos="840"/>
              </w:tabs>
              <w:adjustRightInd w:val="0"/>
              <w:snapToGrid w:val="0"/>
              <w:ind w:firstLineChars="0"/>
              <w:rPr>
                <w:color w:val="008000"/>
                <w:szCs w:val="21"/>
              </w:rPr>
            </w:pPr>
            <w:r w:rsidRPr="00227F09">
              <w:rPr>
                <w:rFonts w:eastAsia="Times New Roman"/>
                <w:szCs w:val="21"/>
              </w:rPr>
              <w:t xml:space="preserve">Good compliance and cooperative with follow-up. </w:t>
            </w:r>
          </w:p>
        </w:tc>
      </w:tr>
      <w:tr w:rsidR="00DE4AFD" w:rsidRPr="00227F09" w14:paraId="3216BD92" w14:textId="77777777" w:rsidTr="003F7776">
        <w:trPr>
          <w:jc w:val="center"/>
        </w:trPr>
        <w:tc>
          <w:tcPr>
            <w:tcW w:w="1708" w:type="dxa"/>
          </w:tcPr>
          <w:p w14:paraId="35E44C1E" w14:textId="77777777" w:rsidR="00DE4AFD" w:rsidRPr="00227F09" w:rsidRDefault="004A4F56" w:rsidP="003F7776">
            <w:pPr>
              <w:adjustRightInd w:val="0"/>
              <w:snapToGrid w:val="0"/>
              <w:rPr>
                <w:rFonts w:ascii="Times New Roman" w:eastAsia="宋体" w:hAnsi="Times New Roman" w:cs="Times New Roman"/>
                <w:b/>
              </w:rPr>
            </w:pPr>
            <w:r w:rsidRPr="00227F09">
              <w:rPr>
                <w:rFonts w:ascii="Times New Roman" w:eastAsia="Times New Roman" w:hAnsi="Times New Roman" w:cs="Times New Roman"/>
                <w:b/>
                <w:bCs/>
              </w:rPr>
              <w:t xml:space="preserve">Exclusion </w:t>
            </w:r>
            <w:r w:rsidRPr="00227F09">
              <w:rPr>
                <w:rFonts w:ascii="Times New Roman" w:eastAsia="Times New Roman" w:hAnsi="Times New Roman" w:cs="Times New Roman"/>
                <w:b/>
                <w:bCs/>
              </w:rPr>
              <w:lastRenderedPageBreak/>
              <w:t>Criteria</w:t>
            </w:r>
          </w:p>
        </w:tc>
        <w:tc>
          <w:tcPr>
            <w:tcW w:w="7229" w:type="dxa"/>
          </w:tcPr>
          <w:p w14:paraId="1248DA97" w14:textId="77777777" w:rsidR="00DE4AFD" w:rsidRPr="00227F09" w:rsidRDefault="004A4F56" w:rsidP="003F7776">
            <w:pPr>
              <w:adjustRightInd w:val="0"/>
              <w:snapToGrid w:val="0"/>
              <w:rPr>
                <w:rFonts w:ascii="Times New Roman" w:eastAsia="宋体" w:hAnsi="Times New Roman" w:cs="Times New Roman"/>
              </w:rPr>
            </w:pPr>
            <w:r w:rsidRPr="00227F09">
              <w:rPr>
                <w:rFonts w:ascii="Times New Roman" w:eastAsia="Times New Roman" w:hAnsi="Times New Roman" w:cs="Times New Roman"/>
              </w:rPr>
              <w:lastRenderedPageBreak/>
              <w:t>Patients who meet any of the following criteria will not be enrolled in this study:</w:t>
            </w:r>
          </w:p>
          <w:p w14:paraId="0FF69578"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lastRenderedPageBreak/>
              <w:t xml:space="preserve">Unable to comply with the study protocol or study procedures; </w:t>
            </w:r>
          </w:p>
          <w:p w14:paraId="01D0E26E" w14:textId="095A003D"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Previously received treatment with vascular endothelial growth factor receptor (VEGFR) inhibitors, or previously used immune checkpoint inhibitor </w:t>
            </w:r>
            <w:r w:rsidR="0083321D" w:rsidRPr="0083321D">
              <w:rPr>
                <w:rFonts w:eastAsia="Times New Roman"/>
                <w:szCs w:val="21"/>
              </w:rPr>
              <w:t>(ICI)</w:t>
            </w:r>
            <w:r w:rsidR="0083321D">
              <w:rPr>
                <w:rFonts w:eastAsiaTheme="minorEastAsia" w:hint="eastAsia"/>
                <w:szCs w:val="21"/>
              </w:rPr>
              <w:t xml:space="preserve"> </w:t>
            </w:r>
            <w:r w:rsidRPr="00227F09">
              <w:rPr>
                <w:rFonts w:eastAsia="Times New Roman"/>
                <w:szCs w:val="21"/>
              </w:rPr>
              <w:t xml:space="preserve">treatment; </w:t>
            </w:r>
          </w:p>
          <w:p w14:paraId="458B5487"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Patients carrying germline </w:t>
            </w:r>
            <w:r w:rsidRPr="00227F09">
              <w:rPr>
                <w:rFonts w:eastAsia="Times New Roman"/>
                <w:i/>
                <w:iCs/>
                <w:szCs w:val="21"/>
              </w:rPr>
              <w:t>BRCA1/2</w:t>
            </w:r>
            <w:r w:rsidRPr="00227F09">
              <w:rPr>
                <w:rFonts w:eastAsia="Times New Roman"/>
                <w:szCs w:val="21"/>
              </w:rPr>
              <w:t xml:space="preserve"> mutations; </w:t>
            </w:r>
          </w:p>
          <w:p w14:paraId="0D368C3A"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Participating in or having participated in other drug clinical trials within 4 weeks prior to enrollment; </w:t>
            </w:r>
          </w:p>
          <w:p w14:paraId="00AE34A3"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Have received transfusion therapy, blood products, and hematopoietic factors, such as albumin and granulocyte colony-stimulating factor (G-CSF), within 14 days prior to enrollment; </w:t>
            </w:r>
          </w:p>
          <w:p w14:paraId="36260118"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Brachytherapy (radioactive seed implantation) within 60 days prior to enrollment; </w:t>
            </w:r>
          </w:p>
          <w:p w14:paraId="6B04D22E"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Have received other systemic anti-</w:t>
            </w:r>
            <w:r w:rsidRPr="00227F09">
              <w:rPr>
                <w:rFonts w:eastAsia="Times New Roman"/>
                <w:color w:val="333333"/>
                <w:szCs w:val="21"/>
              </w:rPr>
              <w:t>tumor</w:t>
            </w:r>
            <w:r w:rsidRPr="00227F09">
              <w:rPr>
                <w:rFonts w:eastAsia="Times New Roman"/>
                <w:szCs w:val="21"/>
              </w:rPr>
              <w:t xml:space="preserve"> treatments within 4 weeks prior to enrollment, including chemotherapy, signal transduction inhibitors, hormone therapy, and immunotherapy; </w:t>
            </w:r>
          </w:p>
          <w:p w14:paraId="3300198F"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Have received any surgery or invasive treatment or procedure within 4 weeks prior to enrollment (excluding intravenous catheterization, paracentesis drainage, etc.); </w:t>
            </w:r>
          </w:p>
          <w:p w14:paraId="25E15DB0"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Undergone major surgery within 60 days prior to enrollment or the surgical incision has not completely healed; </w:t>
            </w:r>
          </w:p>
          <w:p w14:paraId="51D40181"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Have received local anti-</w:t>
            </w:r>
            <w:r w:rsidRPr="00227F09">
              <w:rPr>
                <w:rFonts w:eastAsia="Times New Roman"/>
                <w:color w:val="333333"/>
                <w:szCs w:val="21"/>
              </w:rPr>
              <w:t>tumor</w:t>
            </w:r>
            <w:r w:rsidRPr="00227F09">
              <w:rPr>
                <w:rFonts w:eastAsia="Times New Roman"/>
                <w:szCs w:val="21"/>
              </w:rPr>
              <w:t xml:space="preserve"> treatments within 4 weeks prior to enrollment, such as hepatic arterial interventional embolism, cryoablation or radiofrequency ablation of metastases to liver; </w:t>
            </w:r>
          </w:p>
          <w:p w14:paraId="4D4A802A"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The patient currently has hypertension uncontrolled by medication, defined as: blood pressure systolic ≥140 mmHg and/or blood pressure diastolic ≥90 mmHg; </w:t>
            </w:r>
          </w:p>
          <w:p w14:paraId="3E239DFB"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Protein urine ≥2+, or 24-hour protein urine amount ≥1.0 g on urinalysis; </w:t>
            </w:r>
          </w:p>
          <w:p w14:paraId="77706E09"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Uncontrollable malignant ascites (defined as ascites that cannot be controlled by diuretics or paracentesis as judged by the investigator); </w:t>
            </w:r>
          </w:p>
          <w:p w14:paraId="2F3A56E4"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Clinically significant electrolyte abnormalities as judged by the investigator; </w:t>
            </w:r>
          </w:p>
          <w:p w14:paraId="6C2439F9"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color w:val="333333"/>
                <w:szCs w:val="21"/>
              </w:rPr>
              <w:t>Liver metastases accounted for half or more of the total liver volume as determined by the investigator;</w:t>
            </w:r>
            <w:r w:rsidRPr="00227F09">
              <w:rPr>
                <w:rFonts w:eastAsia="Times New Roman"/>
                <w:szCs w:val="21"/>
              </w:rPr>
              <w:t xml:space="preserve"> </w:t>
            </w:r>
          </w:p>
          <w:p w14:paraId="44D0FACB"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Clinically significant cardiovascular disorders, including but not limited to acute myocardial infarction within 6 months prior to enrollment, severe/unstable angina pectoris, or coronary artery bypass surgery; cardiac failure congestive with New York Heart Association (NYHA) classification &gt; Class II; ventricular arrhythmia requiring drug therapy; LVEF (left ventricular ejection fraction) &lt;50%; </w:t>
            </w:r>
          </w:p>
          <w:p w14:paraId="203228F9"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Hemorrhage events of ≥ Grade 3 occurring within 4 weeks prior to enrollment; </w:t>
            </w:r>
          </w:p>
          <w:p w14:paraId="3F5A8929"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Patients who, within 3 months prior to enrollment, have clear evidence or history of </w:t>
            </w:r>
            <w:proofErr w:type="spellStart"/>
            <w:r w:rsidRPr="00227F09">
              <w:rPr>
                <w:rFonts w:eastAsia="Times New Roman"/>
                <w:szCs w:val="21"/>
              </w:rPr>
              <w:t>haemorrhagic</w:t>
            </w:r>
            <w:proofErr w:type="spellEnd"/>
            <w:r w:rsidRPr="00227F09">
              <w:rPr>
                <w:rFonts w:eastAsia="Times New Roman"/>
                <w:szCs w:val="21"/>
              </w:rPr>
              <w:t xml:space="preserve"> </w:t>
            </w:r>
            <w:r w:rsidRPr="00227F09">
              <w:rPr>
                <w:rFonts w:eastAsia="Times New Roman"/>
                <w:color w:val="333333"/>
                <w:szCs w:val="21"/>
              </w:rPr>
              <w:t>tendency</w:t>
            </w:r>
            <w:r w:rsidRPr="00227F09">
              <w:rPr>
                <w:rFonts w:eastAsia="Times New Roman"/>
                <w:szCs w:val="21"/>
              </w:rPr>
              <w:t xml:space="preserve"> (</w:t>
            </w:r>
            <w:r w:rsidRPr="00227F09">
              <w:rPr>
                <w:rFonts w:eastAsia="Times New Roman"/>
                <w:color w:val="000000"/>
                <w:szCs w:val="21"/>
              </w:rPr>
              <w:t>hemorrhage</w:t>
            </w:r>
            <w:r w:rsidRPr="00227F09">
              <w:rPr>
                <w:rFonts w:eastAsia="Times New Roman"/>
                <w:szCs w:val="21"/>
              </w:rPr>
              <w:t xml:space="preserve"> &gt;30 mL within 3 months, occurrence of </w:t>
            </w:r>
            <w:proofErr w:type="spellStart"/>
            <w:r w:rsidRPr="00227F09">
              <w:rPr>
                <w:rFonts w:eastAsia="Times New Roman"/>
                <w:szCs w:val="21"/>
              </w:rPr>
              <w:t>haematemesis</w:t>
            </w:r>
            <w:proofErr w:type="spellEnd"/>
            <w:r w:rsidRPr="00227F09">
              <w:rPr>
                <w:rFonts w:eastAsia="Times New Roman"/>
                <w:szCs w:val="21"/>
              </w:rPr>
              <w:t xml:space="preserve">, melena, </w:t>
            </w:r>
            <w:proofErr w:type="spellStart"/>
            <w:r w:rsidRPr="00227F09">
              <w:rPr>
                <w:rFonts w:eastAsia="Times New Roman"/>
                <w:szCs w:val="21"/>
              </w:rPr>
              <w:t>haematochezia</w:t>
            </w:r>
            <w:proofErr w:type="spellEnd"/>
            <w:r w:rsidRPr="00227F09">
              <w:rPr>
                <w:rFonts w:eastAsia="Times New Roman"/>
                <w:szCs w:val="21"/>
              </w:rPr>
              <w:t xml:space="preserve">), </w:t>
            </w:r>
            <w:proofErr w:type="spellStart"/>
            <w:r w:rsidRPr="00227F09">
              <w:rPr>
                <w:rFonts w:eastAsia="Times New Roman"/>
                <w:szCs w:val="21"/>
              </w:rPr>
              <w:t>haemoptysis</w:t>
            </w:r>
            <w:proofErr w:type="spellEnd"/>
            <w:r w:rsidRPr="00227F09">
              <w:rPr>
                <w:rFonts w:eastAsia="Times New Roman"/>
                <w:szCs w:val="21"/>
              </w:rPr>
              <w:t xml:space="preserve"> (fresh blood &gt;5 mL within </w:t>
            </w:r>
            <w:r w:rsidRPr="00227F09">
              <w:rPr>
                <w:rFonts w:eastAsia="Times New Roman"/>
                <w:szCs w:val="21"/>
              </w:rPr>
              <w:lastRenderedPageBreak/>
              <w:t xml:space="preserve">4 weeks), or have experienced thromboembolic events within 12 months (including stroke events and/or transient </w:t>
            </w:r>
            <w:proofErr w:type="spellStart"/>
            <w:r w:rsidRPr="00227F09">
              <w:rPr>
                <w:rFonts w:eastAsia="Times New Roman"/>
                <w:szCs w:val="21"/>
              </w:rPr>
              <w:t>ischaemic</w:t>
            </w:r>
            <w:proofErr w:type="spellEnd"/>
            <w:r w:rsidRPr="00227F09">
              <w:rPr>
                <w:rFonts w:eastAsia="Times New Roman"/>
                <w:szCs w:val="21"/>
              </w:rPr>
              <w:t xml:space="preserve"> attack); </w:t>
            </w:r>
          </w:p>
          <w:p w14:paraId="0F4CC649"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International Normalized Ratio (INR) &gt; 1.5 or activated partial thromboplastin time (APTT) &gt; 1.5×ULN, or the patient is currently taking anticoagulants; </w:t>
            </w:r>
          </w:p>
          <w:p w14:paraId="0F5F9093"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Currently, the patient has poorly controlled diabetes mellitus (after standard treatment, fasting glucose concentration ≥ CTCAE Grade 2); </w:t>
            </w:r>
          </w:p>
          <w:p w14:paraId="603A17C4"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The patient currently has any disease or condition that affects drug absorption, or the patient is unable to take </w:t>
            </w:r>
            <w:proofErr w:type="spellStart"/>
            <w:r w:rsidRPr="00227F09">
              <w:rPr>
                <w:rFonts w:eastAsia="Times New Roman"/>
                <w:szCs w:val="21"/>
              </w:rPr>
              <w:t>surufatinib</w:t>
            </w:r>
            <w:proofErr w:type="spellEnd"/>
            <w:r w:rsidRPr="00227F09">
              <w:rPr>
                <w:rFonts w:eastAsia="Times New Roman"/>
                <w:szCs w:val="21"/>
              </w:rPr>
              <w:t xml:space="preserve"> orally; </w:t>
            </w:r>
          </w:p>
          <w:p w14:paraId="2FAE952B"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Active or uncontrolled severe infection (≥CTCAE Grade 2 infection); </w:t>
            </w:r>
          </w:p>
          <w:p w14:paraId="579D59BA"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Known human immunodeficiency virus (HIV) infection; </w:t>
            </w:r>
          </w:p>
          <w:p w14:paraId="4A881CDF"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Known history of clinically significant liver disease, including hepatitis viral [subjects known to be carriers of hepatitis b virus (HBV) must be excluded if they have active HBV infection, i.e., HBV DNA positive (&gt;1×10</w:t>
            </w:r>
            <w:r w:rsidRPr="00227F09">
              <w:rPr>
                <w:rFonts w:eastAsia="Times New Roman"/>
                <w:szCs w:val="21"/>
                <w:vertAlign w:val="superscript"/>
              </w:rPr>
              <w:t>4</w:t>
            </w:r>
            <w:r w:rsidRPr="00227F09">
              <w:rPr>
                <w:rFonts w:eastAsia="Times New Roman"/>
                <w:szCs w:val="21"/>
              </w:rPr>
              <w:t xml:space="preserve"> copies/mL or &gt;2000 IU/mL); known hepatitis c virus (HCV) infection with HCV RNA positive (&gt;1×10</w:t>
            </w:r>
            <w:r w:rsidRPr="00227F09">
              <w:rPr>
                <w:rFonts w:eastAsia="Times New Roman"/>
                <w:szCs w:val="21"/>
                <w:vertAlign w:val="superscript"/>
              </w:rPr>
              <w:t>3</w:t>
            </w:r>
            <w:r w:rsidRPr="00227F09">
              <w:rPr>
                <w:rFonts w:eastAsia="Times New Roman"/>
                <w:szCs w:val="21"/>
              </w:rPr>
              <w:t xml:space="preserve"> copies/mL)], or other hepatitis, hepatic cirrhosis; </w:t>
            </w:r>
          </w:p>
          <w:p w14:paraId="62C86ADB"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The patient currently has central nervous system (CNS) metastasis or a history of brain metastasis; </w:t>
            </w:r>
          </w:p>
          <w:p w14:paraId="3DB83737"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Patients who currently have gastrointestinal diseases such as active gastric and duodenal ulcer, colitis ulcerative, or active hemorrhage in unresected </w:t>
            </w:r>
            <w:r w:rsidRPr="00227F09">
              <w:rPr>
                <w:rFonts w:eastAsia="Times New Roman"/>
                <w:color w:val="333333"/>
                <w:szCs w:val="21"/>
              </w:rPr>
              <w:t>tumor</w:t>
            </w:r>
            <w:r w:rsidRPr="00227F09">
              <w:rPr>
                <w:rFonts w:eastAsia="Times New Roman"/>
                <w:szCs w:val="21"/>
              </w:rPr>
              <w:t xml:space="preserve">, or other conditions that may cause gastrointestinal hemorrhage or perforation as determined by the investigator; </w:t>
            </w:r>
          </w:p>
          <w:p w14:paraId="5F2B02C9"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Unresolved toxicities higher than CTCAE Grade 1 caused by any prior anti-cancer treatments, excluding alopecia and ≤ Grade 2 neurotoxicity caused by oxaliplatin; </w:t>
            </w:r>
          </w:p>
          <w:p w14:paraId="1016AFA4"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Patients with a known or suspected allergy to the investigational product or drugs of the same class; </w:t>
            </w:r>
          </w:p>
          <w:p w14:paraId="515CD927"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Pregnant (positive pregnancy test before medication) or breastfeeding women; </w:t>
            </w:r>
          </w:p>
          <w:p w14:paraId="72039E4F"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color w:val="333333"/>
                <w:szCs w:val="21"/>
              </w:rPr>
              <w:t>Drug abuse, medical, psychological, or social conditions may affect patient enrollment and</w:t>
            </w:r>
            <w:r w:rsidRPr="00227F09">
              <w:rPr>
                <w:rFonts w:eastAsia="Times New Roman"/>
                <w:szCs w:val="21"/>
              </w:rPr>
              <w:t xml:space="preserve"> the evaluation of experimental results; </w:t>
            </w:r>
          </w:p>
          <w:p w14:paraId="0FDD212E" w14:textId="77777777" w:rsidR="00DE4AFD" w:rsidRPr="00227F09" w:rsidRDefault="004A4F56" w:rsidP="003F7776">
            <w:pPr>
              <w:pStyle w:val="afd"/>
              <w:widowControl/>
              <w:numPr>
                <w:ilvl w:val="0"/>
                <w:numId w:val="9"/>
              </w:numPr>
              <w:ind w:firstLineChars="0"/>
              <w:contextualSpacing/>
              <w:rPr>
                <w:szCs w:val="21"/>
              </w:rPr>
            </w:pPr>
            <w:r w:rsidRPr="00227F09">
              <w:rPr>
                <w:rFonts w:eastAsia="Times New Roman"/>
                <w:szCs w:val="21"/>
              </w:rPr>
              <w:t xml:space="preserve">Having other untreated or concomitant </w:t>
            </w:r>
            <w:r w:rsidRPr="00227F09">
              <w:rPr>
                <w:rFonts w:eastAsia="Times New Roman"/>
                <w:color w:val="333333"/>
                <w:szCs w:val="21"/>
              </w:rPr>
              <w:t>tumor</w:t>
            </w:r>
            <w:r w:rsidRPr="00227F09">
              <w:rPr>
                <w:rFonts w:eastAsia="Times New Roman"/>
                <w:szCs w:val="21"/>
              </w:rPr>
              <w:t xml:space="preserve">s, except cervical carcinoma in situ, treated basal cell carcinoma, or superficial bladder </w:t>
            </w:r>
            <w:r w:rsidRPr="00227F09">
              <w:rPr>
                <w:rFonts w:eastAsia="Times New Roman"/>
                <w:color w:val="333333"/>
                <w:szCs w:val="21"/>
              </w:rPr>
              <w:t>tumor</w:t>
            </w:r>
            <w:r w:rsidRPr="00227F09">
              <w:rPr>
                <w:rFonts w:eastAsia="Times New Roman"/>
                <w:szCs w:val="21"/>
              </w:rPr>
              <w:t xml:space="preserve">s. Patients can be enrolled if the </w:t>
            </w:r>
            <w:r w:rsidRPr="00227F09">
              <w:rPr>
                <w:rFonts w:eastAsia="Times New Roman"/>
                <w:color w:val="333333"/>
                <w:szCs w:val="21"/>
              </w:rPr>
              <w:t>tumor</w:t>
            </w:r>
            <w:r w:rsidRPr="00227F09">
              <w:rPr>
                <w:rFonts w:eastAsia="Times New Roman"/>
                <w:szCs w:val="21"/>
              </w:rPr>
              <w:t xml:space="preserve"> has been radically resected and there is no evidence of disease for more than 3 years. Treatment for all other </w:t>
            </w:r>
            <w:r w:rsidRPr="00227F09">
              <w:rPr>
                <w:rFonts w:eastAsia="Times New Roman"/>
                <w:color w:val="333333"/>
                <w:szCs w:val="21"/>
              </w:rPr>
              <w:t>tumor</w:t>
            </w:r>
            <w:r w:rsidRPr="00227F09">
              <w:rPr>
                <w:rFonts w:eastAsia="Times New Roman"/>
                <w:szCs w:val="21"/>
              </w:rPr>
              <w:t xml:space="preserve">s must have been completed at least 3 years prior to enrollment; </w:t>
            </w:r>
          </w:p>
          <w:p w14:paraId="314EAB84" w14:textId="77777777" w:rsidR="00DE4AFD" w:rsidRPr="00227F09" w:rsidRDefault="004A4F56" w:rsidP="003F7776">
            <w:pPr>
              <w:pStyle w:val="afd"/>
              <w:numPr>
                <w:ilvl w:val="0"/>
                <w:numId w:val="9"/>
              </w:numPr>
              <w:topLinePunct/>
              <w:adjustRightInd w:val="0"/>
              <w:snapToGrid w:val="0"/>
              <w:ind w:firstLineChars="0"/>
              <w:rPr>
                <w:color w:val="008000"/>
                <w:szCs w:val="21"/>
              </w:rPr>
            </w:pPr>
            <w:r w:rsidRPr="00227F09">
              <w:rPr>
                <w:rFonts w:eastAsia="Times New Roman"/>
                <w:color w:val="333333"/>
                <w:szCs w:val="21"/>
              </w:rPr>
              <w:t>Patients considered by the investigator to be inappropriate for enrollment in this study.</w:t>
            </w:r>
            <w:r w:rsidRPr="00227F09">
              <w:rPr>
                <w:rFonts w:eastAsia="Times New Roman"/>
                <w:szCs w:val="21"/>
              </w:rPr>
              <w:t xml:space="preserve"> </w:t>
            </w:r>
          </w:p>
        </w:tc>
      </w:tr>
      <w:tr w:rsidR="00DE4AFD" w:rsidRPr="00227F09" w14:paraId="6B340244" w14:textId="77777777" w:rsidTr="003F7776">
        <w:trPr>
          <w:jc w:val="center"/>
        </w:trPr>
        <w:tc>
          <w:tcPr>
            <w:tcW w:w="1708" w:type="dxa"/>
          </w:tcPr>
          <w:p w14:paraId="2D7362FB" w14:textId="77777777" w:rsidR="00DE4AFD" w:rsidRPr="00227F09" w:rsidRDefault="004A4F56" w:rsidP="003F7776">
            <w:pPr>
              <w:adjustRightInd w:val="0"/>
              <w:snapToGrid w:val="0"/>
              <w:rPr>
                <w:rFonts w:ascii="Times New Roman" w:eastAsia="宋体" w:hAnsi="Times New Roman" w:cs="Times New Roman"/>
                <w:b/>
              </w:rPr>
            </w:pPr>
            <w:r w:rsidRPr="00227F09">
              <w:rPr>
                <w:rFonts w:ascii="Times New Roman" w:eastAsia="Times New Roman" w:hAnsi="Times New Roman" w:cs="Times New Roman"/>
                <w:b/>
                <w:bCs/>
                <w:color w:val="333333"/>
              </w:rPr>
              <w:lastRenderedPageBreak/>
              <w:t>Criteria for Subjects to Discontinue the Study Treatment</w:t>
            </w:r>
          </w:p>
        </w:tc>
        <w:tc>
          <w:tcPr>
            <w:tcW w:w="7229" w:type="dxa"/>
          </w:tcPr>
          <w:p w14:paraId="3EA901F6" w14:textId="77777777" w:rsidR="00DE4AFD" w:rsidRPr="00227F09" w:rsidRDefault="004A4F56" w:rsidP="003F7776">
            <w:pPr>
              <w:pStyle w:val="HR"/>
              <w:spacing w:after="0" w:line="240" w:lineRule="auto"/>
              <w:ind w:firstLineChars="0" w:firstLine="0"/>
              <w:jc w:val="both"/>
              <w:rPr>
                <w:rFonts w:cs="Times New Roman"/>
                <w:b/>
                <w:sz w:val="21"/>
                <w:szCs w:val="21"/>
                <w:lang w:val="en-US" w:eastAsia="zh-CN"/>
              </w:rPr>
            </w:pPr>
            <w:r w:rsidRPr="00227F09">
              <w:rPr>
                <w:rFonts w:eastAsia="Times New Roman" w:cs="Times New Roman"/>
                <w:b/>
                <w:bCs/>
                <w:color w:val="333333"/>
                <w:sz w:val="21"/>
                <w:szCs w:val="21"/>
                <w:lang w:val="en-US" w:eastAsia="zh-CN"/>
              </w:rPr>
              <w:t>Discontinuation of Investigational Product:</w:t>
            </w:r>
          </w:p>
          <w:p w14:paraId="74BD1ED8" w14:textId="77777777" w:rsidR="00DE4AFD" w:rsidRPr="00227F09" w:rsidRDefault="004A4F56" w:rsidP="003F7776">
            <w:pPr>
              <w:pStyle w:val="HR"/>
              <w:spacing w:after="0" w:line="240" w:lineRule="auto"/>
              <w:ind w:firstLineChars="0" w:firstLine="0"/>
              <w:jc w:val="both"/>
              <w:rPr>
                <w:rFonts w:cs="Times New Roman"/>
                <w:sz w:val="21"/>
                <w:szCs w:val="21"/>
                <w:lang w:val="en-US" w:eastAsia="zh-CN"/>
              </w:rPr>
            </w:pPr>
            <w:r w:rsidRPr="00227F09">
              <w:rPr>
                <w:rFonts w:eastAsia="Times New Roman" w:cs="Times New Roman"/>
                <w:b/>
                <w:bCs/>
                <w:color w:val="333333"/>
                <w:sz w:val="21"/>
                <w:szCs w:val="21"/>
                <w:lang w:val="en-US" w:eastAsia="zh-CN"/>
              </w:rPr>
              <w:t xml:space="preserve">Criteria for completion of study treatment </w:t>
            </w:r>
            <w:r w:rsidRPr="00227F09">
              <w:rPr>
                <w:rFonts w:eastAsia="Times New Roman" w:cs="Times New Roman"/>
                <w:color w:val="333333"/>
                <w:sz w:val="21"/>
                <w:szCs w:val="21"/>
                <w:lang w:val="en-US" w:eastAsia="zh-CN"/>
              </w:rPr>
              <w:t>(any of the following criteria is met):</w:t>
            </w:r>
          </w:p>
          <w:p w14:paraId="16553490" w14:textId="77777777" w:rsidR="00DE4AFD" w:rsidRPr="00227F09" w:rsidRDefault="004A4F56" w:rsidP="003F7776">
            <w:pPr>
              <w:pStyle w:val="HR"/>
              <w:numPr>
                <w:ilvl w:val="0"/>
                <w:numId w:val="10"/>
              </w:numPr>
              <w:spacing w:after="0" w:line="240" w:lineRule="auto"/>
              <w:ind w:firstLineChars="183" w:firstLine="384"/>
              <w:jc w:val="both"/>
              <w:rPr>
                <w:rFonts w:cs="Times New Roman"/>
                <w:sz w:val="21"/>
                <w:szCs w:val="21"/>
                <w:lang w:val="en-US" w:eastAsia="zh-CN"/>
              </w:rPr>
            </w:pPr>
            <w:r w:rsidRPr="00227F09">
              <w:rPr>
                <w:rFonts w:eastAsia="Times New Roman" w:cs="Times New Roman"/>
                <w:sz w:val="21"/>
                <w:szCs w:val="21"/>
                <w:lang w:val="en-US" w:eastAsia="zh-CN"/>
              </w:rPr>
              <w:t xml:space="preserve">Disease progression (including clinical progression); </w:t>
            </w:r>
          </w:p>
          <w:p w14:paraId="5DCE47F6" w14:textId="77777777" w:rsidR="00DE4AFD" w:rsidRPr="00227F09" w:rsidRDefault="004A4F56" w:rsidP="003F7776">
            <w:pPr>
              <w:pStyle w:val="HR"/>
              <w:numPr>
                <w:ilvl w:val="0"/>
                <w:numId w:val="10"/>
              </w:numPr>
              <w:spacing w:after="0" w:line="240" w:lineRule="auto"/>
              <w:ind w:firstLineChars="183" w:firstLine="384"/>
              <w:jc w:val="both"/>
              <w:rPr>
                <w:rFonts w:cs="Times New Roman"/>
                <w:sz w:val="21"/>
                <w:szCs w:val="21"/>
                <w:lang w:val="en-US"/>
              </w:rPr>
            </w:pPr>
            <w:r w:rsidRPr="00227F09">
              <w:rPr>
                <w:rFonts w:eastAsia="Times New Roman" w:cs="Times New Roman"/>
                <w:sz w:val="21"/>
                <w:szCs w:val="21"/>
                <w:lang w:val="en-US"/>
              </w:rPr>
              <w:t xml:space="preserve">Subject death; </w:t>
            </w:r>
          </w:p>
          <w:p w14:paraId="4DAB856D" w14:textId="77777777" w:rsidR="00DE4AFD" w:rsidRPr="00227F09" w:rsidRDefault="004A4F56" w:rsidP="003F7776">
            <w:pPr>
              <w:pStyle w:val="HR"/>
              <w:numPr>
                <w:ilvl w:val="0"/>
                <w:numId w:val="10"/>
              </w:numPr>
              <w:spacing w:after="0" w:line="240" w:lineRule="auto"/>
              <w:ind w:firstLineChars="183" w:firstLine="384"/>
              <w:jc w:val="both"/>
              <w:rPr>
                <w:rFonts w:cs="Times New Roman"/>
                <w:sz w:val="21"/>
                <w:szCs w:val="21"/>
                <w:lang w:val="en-US"/>
              </w:rPr>
            </w:pPr>
            <w:r w:rsidRPr="00227F09">
              <w:rPr>
                <w:rFonts w:eastAsia="Times New Roman" w:cs="Times New Roman"/>
                <w:sz w:val="21"/>
                <w:szCs w:val="21"/>
                <w:lang w:val="en-US"/>
              </w:rPr>
              <w:t xml:space="preserve">The entire study is completed. </w:t>
            </w:r>
          </w:p>
          <w:p w14:paraId="482A975D" w14:textId="77777777" w:rsidR="00DE4AFD" w:rsidRPr="00227F09" w:rsidRDefault="004A4F56" w:rsidP="003F7776">
            <w:pPr>
              <w:pStyle w:val="HR"/>
              <w:spacing w:after="0" w:line="240" w:lineRule="auto"/>
              <w:ind w:firstLineChars="0" w:firstLine="0"/>
              <w:jc w:val="both"/>
              <w:rPr>
                <w:rFonts w:cs="Times New Roman"/>
                <w:sz w:val="21"/>
                <w:szCs w:val="21"/>
                <w:lang w:val="en-US" w:eastAsia="zh-CN"/>
              </w:rPr>
            </w:pPr>
            <w:r w:rsidRPr="00227F09">
              <w:rPr>
                <w:rFonts w:eastAsia="Times New Roman" w:cs="Times New Roman"/>
                <w:color w:val="333333"/>
                <w:sz w:val="21"/>
                <w:szCs w:val="21"/>
                <w:lang w:val="en-US" w:eastAsia="zh-CN"/>
              </w:rPr>
              <w:lastRenderedPageBreak/>
              <w:t>Criteria for early discontinuation of study treatment (any of the following criteria is met):</w:t>
            </w:r>
          </w:p>
          <w:p w14:paraId="24FDB2CA" w14:textId="77777777" w:rsidR="00DE4AFD" w:rsidRPr="00227F09" w:rsidRDefault="004A4F56" w:rsidP="003F7776">
            <w:pPr>
              <w:pStyle w:val="HR"/>
              <w:numPr>
                <w:ilvl w:val="0"/>
                <w:numId w:val="11"/>
              </w:numPr>
              <w:spacing w:after="0" w:line="240" w:lineRule="auto"/>
              <w:ind w:firstLineChars="0"/>
              <w:jc w:val="both"/>
              <w:rPr>
                <w:rFonts w:cs="Times New Roman"/>
                <w:sz w:val="21"/>
                <w:szCs w:val="21"/>
                <w:lang w:val="en-US" w:eastAsia="zh-CN"/>
              </w:rPr>
            </w:pPr>
            <w:r w:rsidRPr="00227F09">
              <w:rPr>
                <w:rFonts w:eastAsia="Times New Roman" w:cs="Times New Roman"/>
                <w:color w:val="333333"/>
                <w:sz w:val="21"/>
                <w:szCs w:val="21"/>
                <w:lang w:val="en-US" w:eastAsia="zh-CN"/>
              </w:rPr>
              <w:t>Unable to continue study treatment due to toxicity of the investigational product;</w:t>
            </w:r>
          </w:p>
          <w:p w14:paraId="33C0A75B" w14:textId="77777777" w:rsidR="00DE4AFD" w:rsidRPr="00227F09" w:rsidRDefault="004A4F56" w:rsidP="003F7776">
            <w:pPr>
              <w:pStyle w:val="HR"/>
              <w:numPr>
                <w:ilvl w:val="0"/>
                <w:numId w:val="11"/>
              </w:numPr>
              <w:spacing w:after="0" w:line="240" w:lineRule="auto"/>
              <w:ind w:firstLineChars="0"/>
              <w:jc w:val="both"/>
              <w:rPr>
                <w:rFonts w:cs="Times New Roman"/>
                <w:sz w:val="21"/>
                <w:szCs w:val="21"/>
                <w:lang w:val="en-US" w:eastAsia="zh-CN"/>
              </w:rPr>
            </w:pPr>
            <w:r w:rsidRPr="00227F09">
              <w:rPr>
                <w:rFonts w:eastAsia="Times New Roman" w:cs="Times New Roman"/>
                <w:sz w:val="21"/>
                <w:szCs w:val="21"/>
                <w:lang w:val="en-US" w:eastAsia="zh-CN"/>
              </w:rPr>
              <w:t xml:space="preserve">The subject or their legally authorized representative withdraws informed consent and requests withdrawal from the study; </w:t>
            </w:r>
          </w:p>
          <w:p w14:paraId="00E11BD7" w14:textId="77777777" w:rsidR="00DE4AFD" w:rsidRPr="00227F09" w:rsidRDefault="004A4F56" w:rsidP="003F7776">
            <w:pPr>
              <w:pStyle w:val="HR"/>
              <w:numPr>
                <w:ilvl w:val="0"/>
                <w:numId w:val="11"/>
              </w:numPr>
              <w:spacing w:after="0" w:line="240" w:lineRule="auto"/>
              <w:ind w:firstLineChars="0"/>
              <w:jc w:val="both"/>
              <w:rPr>
                <w:rFonts w:cs="Times New Roman"/>
                <w:sz w:val="21"/>
                <w:szCs w:val="21"/>
                <w:lang w:val="en-US" w:eastAsia="zh-CN"/>
              </w:rPr>
            </w:pPr>
            <w:r w:rsidRPr="00227F09">
              <w:rPr>
                <w:rFonts w:eastAsia="Times New Roman" w:cs="Times New Roman"/>
                <w:sz w:val="21"/>
                <w:szCs w:val="21"/>
                <w:lang w:val="en-US" w:eastAsia="zh-CN"/>
              </w:rPr>
              <w:t xml:space="preserve">The investigator believes that the study treatment should be discontinued in the best benefit of the subject; </w:t>
            </w:r>
          </w:p>
          <w:p w14:paraId="56F5A90C" w14:textId="77777777" w:rsidR="00DE4AFD" w:rsidRPr="00227F09" w:rsidRDefault="004A4F56" w:rsidP="003F7776">
            <w:pPr>
              <w:pStyle w:val="HR"/>
              <w:numPr>
                <w:ilvl w:val="0"/>
                <w:numId w:val="11"/>
              </w:numPr>
              <w:spacing w:after="0" w:line="240" w:lineRule="auto"/>
              <w:ind w:firstLineChars="0"/>
              <w:jc w:val="both"/>
              <w:rPr>
                <w:rFonts w:cs="Times New Roman"/>
                <w:sz w:val="21"/>
                <w:szCs w:val="21"/>
                <w:lang w:val="en-US"/>
              </w:rPr>
            </w:pPr>
            <w:r w:rsidRPr="00227F09">
              <w:rPr>
                <w:rFonts w:eastAsia="Times New Roman" w:cs="Times New Roman"/>
                <w:sz w:val="21"/>
                <w:szCs w:val="21"/>
                <w:lang w:val="en-US"/>
              </w:rPr>
              <w:t xml:space="preserve">Pregnancy during the study; </w:t>
            </w:r>
          </w:p>
          <w:p w14:paraId="29631611" w14:textId="77777777" w:rsidR="00DE4AFD" w:rsidRPr="00227F09" w:rsidRDefault="004A4F56" w:rsidP="003F7776">
            <w:pPr>
              <w:pStyle w:val="HR"/>
              <w:numPr>
                <w:ilvl w:val="0"/>
                <w:numId w:val="11"/>
              </w:numPr>
              <w:spacing w:after="0" w:line="240" w:lineRule="auto"/>
              <w:ind w:firstLineChars="0"/>
              <w:jc w:val="both"/>
              <w:rPr>
                <w:rFonts w:cs="Times New Roman"/>
                <w:sz w:val="21"/>
                <w:szCs w:val="21"/>
                <w:lang w:val="en-US" w:eastAsia="zh-CN"/>
              </w:rPr>
            </w:pPr>
            <w:r w:rsidRPr="00227F09">
              <w:rPr>
                <w:rFonts w:eastAsia="Times New Roman" w:cs="Times New Roman"/>
                <w:sz w:val="21"/>
                <w:szCs w:val="21"/>
                <w:lang w:val="en-US" w:eastAsia="zh-CN"/>
              </w:rPr>
              <w:t xml:space="preserve">Poor subject compliance, unable to adhere to the study protocol for medication and follow-up; </w:t>
            </w:r>
          </w:p>
          <w:p w14:paraId="59524DE9" w14:textId="77777777" w:rsidR="00DE4AFD" w:rsidRPr="00227F09" w:rsidRDefault="004A4F56" w:rsidP="003F7776">
            <w:pPr>
              <w:pStyle w:val="HR"/>
              <w:numPr>
                <w:ilvl w:val="0"/>
                <w:numId w:val="11"/>
              </w:numPr>
              <w:spacing w:after="0" w:line="240" w:lineRule="auto"/>
              <w:ind w:firstLineChars="0"/>
              <w:jc w:val="both"/>
              <w:rPr>
                <w:rFonts w:cs="Times New Roman"/>
                <w:sz w:val="21"/>
                <w:szCs w:val="21"/>
                <w:lang w:val="en-US" w:eastAsia="zh-CN"/>
              </w:rPr>
            </w:pPr>
            <w:r w:rsidRPr="00227F09">
              <w:rPr>
                <w:rFonts w:eastAsia="Times New Roman" w:cs="Times New Roman"/>
                <w:sz w:val="21"/>
                <w:szCs w:val="21"/>
                <w:lang w:val="en-US" w:eastAsia="zh-CN"/>
              </w:rPr>
              <w:t>Simultaneously received other anti-</w:t>
            </w:r>
            <w:r w:rsidRPr="00227F09">
              <w:rPr>
                <w:rFonts w:eastAsia="Times New Roman" w:cs="Times New Roman"/>
                <w:color w:val="333333"/>
                <w:sz w:val="21"/>
                <w:szCs w:val="21"/>
                <w:lang w:val="en-US" w:eastAsia="zh-CN"/>
              </w:rPr>
              <w:t>tumor</w:t>
            </w:r>
            <w:r w:rsidRPr="00227F09">
              <w:rPr>
                <w:rFonts w:eastAsia="Times New Roman" w:cs="Times New Roman"/>
                <w:sz w:val="21"/>
                <w:szCs w:val="21"/>
                <w:lang w:val="en-US" w:eastAsia="zh-CN"/>
              </w:rPr>
              <w:t xml:space="preserve"> drugs during the study, including chemotherapy, targeted therapy, and immunotherapy; </w:t>
            </w:r>
          </w:p>
          <w:p w14:paraId="4583C547" w14:textId="77777777" w:rsidR="00DE4AFD" w:rsidRPr="00227F09" w:rsidRDefault="004A4F56" w:rsidP="003F7776">
            <w:pPr>
              <w:pStyle w:val="HR"/>
              <w:numPr>
                <w:ilvl w:val="0"/>
                <w:numId w:val="11"/>
              </w:numPr>
              <w:spacing w:after="0" w:line="240" w:lineRule="auto"/>
              <w:ind w:firstLineChars="0"/>
              <w:jc w:val="both"/>
              <w:rPr>
                <w:rFonts w:cs="Times New Roman"/>
                <w:i/>
                <w:color w:val="008000"/>
                <w:sz w:val="21"/>
                <w:szCs w:val="21"/>
              </w:rPr>
            </w:pPr>
            <w:r w:rsidRPr="00227F09">
              <w:rPr>
                <w:rFonts w:eastAsia="Times New Roman" w:cs="Times New Roman"/>
                <w:sz w:val="21"/>
                <w:szCs w:val="21"/>
                <w:lang w:val="en-US" w:eastAsia="zh-CN"/>
              </w:rPr>
              <w:t xml:space="preserve">Loss to follow-up. </w:t>
            </w:r>
          </w:p>
        </w:tc>
      </w:tr>
      <w:tr w:rsidR="00DE4AFD" w:rsidRPr="00227F09" w14:paraId="159308F7" w14:textId="77777777" w:rsidTr="003F7776">
        <w:trPr>
          <w:jc w:val="center"/>
        </w:trPr>
        <w:tc>
          <w:tcPr>
            <w:tcW w:w="1708" w:type="dxa"/>
          </w:tcPr>
          <w:p w14:paraId="4547E3DD" w14:textId="77777777" w:rsidR="00DE4AFD" w:rsidRPr="00227F09" w:rsidRDefault="004A4F56" w:rsidP="003F7776">
            <w:pPr>
              <w:adjustRightInd w:val="0"/>
              <w:snapToGrid w:val="0"/>
              <w:rPr>
                <w:rFonts w:ascii="Times New Roman" w:eastAsia="宋体" w:hAnsi="Times New Roman" w:cs="Times New Roman"/>
                <w:b/>
              </w:rPr>
            </w:pPr>
            <w:r w:rsidRPr="00227F09">
              <w:rPr>
                <w:rFonts w:ascii="Times New Roman" w:eastAsia="Times New Roman" w:hAnsi="Times New Roman" w:cs="Times New Roman"/>
                <w:b/>
                <w:bCs/>
              </w:rPr>
              <w:lastRenderedPageBreak/>
              <w:t>Study Discontinuation Criteria</w:t>
            </w:r>
          </w:p>
        </w:tc>
        <w:tc>
          <w:tcPr>
            <w:tcW w:w="7229" w:type="dxa"/>
          </w:tcPr>
          <w:p w14:paraId="71FD642F" w14:textId="77777777" w:rsidR="00DE4AFD" w:rsidRPr="00227F09" w:rsidRDefault="004A4F56" w:rsidP="003F7776">
            <w:pPr>
              <w:pStyle w:val="HR"/>
              <w:numPr>
                <w:ilvl w:val="0"/>
                <w:numId w:val="12"/>
              </w:numPr>
              <w:spacing w:after="0" w:line="240" w:lineRule="auto"/>
              <w:ind w:firstLineChars="0"/>
              <w:jc w:val="both"/>
              <w:rPr>
                <w:rFonts w:cs="Times New Roman"/>
                <w:sz w:val="21"/>
                <w:szCs w:val="21"/>
                <w:lang w:val="en-US" w:eastAsia="zh-CN"/>
              </w:rPr>
            </w:pPr>
            <w:r w:rsidRPr="00227F09">
              <w:rPr>
                <w:rFonts w:eastAsia="Times New Roman" w:cs="Times New Roman"/>
                <w:color w:val="333333"/>
                <w:sz w:val="21"/>
                <w:szCs w:val="21"/>
                <w:lang w:val="en-US" w:eastAsia="zh-CN"/>
              </w:rPr>
              <w:t xml:space="preserve">The study will be completed when study objectives are archived, or; </w:t>
            </w:r>
          </w:p>
          <w:p w14:paraId="20F9432E" w14:textId="77777777" w:rsidR="00DE4AFD" w:rsidRPr="00227F09" w:rsidRDefault="004A4F56" w:rsidP="003F7776">
            <w:pPr>
              <w:pStyle w:val="HR"/>
              <w:numPr>
                <w:ilvl w:val="0"/>
                <w:numId w:val="12"/>
              </w:numPr>
              <w:spacing w:after="0" w:line="240" w:lineRule="auto"/>
              <w:ind w:firstLineChars="0"/>
              <w:jc w:val="both"/>
              <w:rPr>
                <w:rFonts w:cs="Times New Roman"/>
                <w:sz w:val="21"/>
                <w:szCs w:val="21"/>
                <w:lang w:val="en-US" w:eastAsia="zh-CN"/>
              </w:rPr>
            </w:pPr>
            <w:r w:rsidRPr="00227F09">
              <w:rPr>
                <w:rFonts w:eastAsia="Times New Roman" w:cs="Times New Roman"/>
                <w:color w:val="333333"/>
                <w:sz w:val="21"/>
                <w:szCs w:val="21"/>
                <w:lang w:val="en-US" w:eastAsia="zh-CN"/>
              </w:rPr>
              <w:t xml:space="preserve">The number and severity of AEs in this study suggest that it is not appropriate to continue the clinical study. </w:t>
            </w:r>
          </w:p>
        </w:tc>
      </w:tr>
      <w:tr w:rsidR="00DE4AFD" w:rsidRPr="00227F09" w14:paraId="30718FA3" w14:textId="77777777" w:rsidTr="003F7776">
        <w:trPr>
          <w:jc w:val="center"/>
        </w:trPr>
        <w:tc>
          <w:tcPr>
            <w:tcW w:w="1708" w:type="dxa"/>
          </w:tcPr>
          <w:p w14:paraId="44CBA99F" w14:textId="77777777" w:rsidR="00DE4AFD" w:rsidRPr="00227F09" w:rsidRDefault="004A4F56" w:rsidP="003F7776">
            <w:pPr>
              <w:adjustRightInd w:val="0"/>
              <w:snapToGrid w:val="0"/>
              <w:rPr>
                <w:rFonts w:ascii="Times New Roman" w:eastAsia="宋体" w:hAnsi="Times New Roman" w:cs="Times New Roman"/>
                <w:b/>
              </w:rPr>
            </w:pPr>
            <w:r w:rsidRPr="00227F09">
              <w:rPr>
                <w:rFonts w:ascii="Times New Roman" w:eastAsia="Times New Roman" w:hAnsi="Times New Roman" w:cs="Times New Roman"/>
                <w:b/>
                <w:bCs/>
                <w:color w:val="333333"/>
              </w:rPr>
              <w:t>Dropout Criteria</w:t>
            </w:r>
          </w:p>
        </w:tc>
        <w:tc>
          <w:tcPr>
            <w:tcW w:w="7229" w:type="dxa"/>
          </w:tcPr>
          <w:p w14:paraId="543713F3" w14:textId="77777777" w:rsidR="00DE4AFD" w:rsidRPr="00227F09" w:rsidRDefault="004A4F56" w:rsidP="00085F75">
            <w:pPr>
              <w:pStyle w:val="a7"/>
              <w:ind w:left="90" w:right="26"/>
              <w:jc w:val="both"/>
              <w:rPr>
                <w:rFonts w:ascii="Times New Roman" w:hAnsi="Times New Roman" w:cs="Times New Roman"/>
                <w:sz w:val="21"/>
                <w:szCs w:val="21"/>
                <w:lang w:val="en-US"/>
              </w:rPr>
            </w:pPr>
            <w:r w:rsidRPr="00227F09">
              <w:rPr>
                <w:rFonts w:ascii="Times New Roman" w:eastAsia="Times New Roman" w:hAnsi="Times New Roman" w:cs="Times New Roman"/>
                <w:kern w:val="2"/>
                <w:sz w:val="21"/>
                <w:szCs w:val="21"/>
                <w:lang w:val="en-US" w:bidi="ar-SA"/>
              </w:rPr>
              <w:t xml:space="preserve">All subjects who have signed the informed consent form and passed screening to enter the study have the right to withdraw from this study at any time. </w:t>
            </w:r>
          </w:p>
          <w:p w14:paraId="60052D4A" w14:textId="77777777" w:rsidR="00DE4AFD" w:rsidRPr="00227F09" w:rsidRDefault="004A4F56" w:rsidP="003F7776">
            <w:pPr>
              <w:pStyle w:val="afd"/>
              <w:widowControl/>
              <w:numPr>
                <w:ilvl w:val="0"/>
                <w:numId w:val="13"/>
              </w:numPr>
              <w:ind w:firstLineChars="0"/>
              <w:contextualSpacing/>
              <w:rPr>
                <w:szCs w:val="21"/>
              </w:rPr>
            </w:pPr>
            <w:r w:rsidRPr="00227F09">
              <w:rPr>
                <w:rFonts w:eastAsia="Times New Roman"/>
                <w:szCs w:val="21"/>
              </w:rPr>
              <w:t xml:space="preserve">For subjects who have only signed the informed consent form and passed screening but have not been enrolled, they will not be considered as dropouts. </w:t>
            </w:r>
          </w:p>
          <w:p w14:paraId="41A74BD2" w14:textId="77777777" w:rsidR="00DE4AFD" w:rsidRPr="00227F09" w:rsidRDefault="004A4F56" w:rsidP="003F7776">
            <w:pPr>
              <w:pStyle w:val="afd"/>
              <w:widowControl/>
              <w:numPr>
                <w:ilvl w:val="0"/>
                <w:numId w:val="13"/>
              </w:numPr>
              <w:ind w:left="540" w:firstLineChars="0" w:hanging="180"/>
              <w:contextualSpacing/>
              <w:rPr>
                <w:szCs w:val="21"/>
              </w:rPr>
            </w:pPr>
            <w:r w:rsidRPr="00227F09">
              <w:rPr>
                <w:rFonts w:eastAsia="Times New Roman"/>
                <w:szCs w:val="21"/>
              </w:rPr>
              <w:t>After enrollment, any subject who does not complete two cycles of the trial and therefore cannot be evaluated for efficacy will be considered as a dropout. Except for the following reasons:</w:t>
            </w:r>
          </w:p>
          <w:p w14:paraId="4A148C42" w14:textId="77777777" w:rsidR="00DE4AFD" w:rsidRPr="00227F09" w:rsidRDefault="004A4F56" w:rsidP="003F7776">
            <w:pPr>
              <w:pStyle w:val="afd"/>
              <w:numPr>
                <w:ilvl w:val="1"/>
                <w:numId w:val="14"/>
              </w:numPr>
              <w:tabs>
                <w:tab w:val="left" w:pos="166"/>
              </w:tabs>
              <w:ind w:firstLineChars="0"/>
              <w:rPr>
                <w:szCs w:val="21"/>
              </w:rPr>
            </w:pPr>
            <w:r w:rsidRPr="00227F09">
              <w:rPr>
                <w:rFonts w:eastAsia="Times New Roman"/>
                <w:szCs w:val="21"/>
              </w:rPr>
              <w:t xml:space="preserve">After enrollment, subjects who experience disease progression with clear medical evidence are not considered as dropouts; however, radiological evidence must be provided; </w:t>
            </w:r>
          </w:p>
          <w:p w14:paraId="11559912" w14:textId="536E8CF5" w:rsidR="00DE4AFD" w:rsidRPr="00227F09" w:rsidRDefault="004A4F56" w:rsidP="003F7776">
            <w:pPr>
              <w:pStyle w:val="afd"/>
              <w:numPr>
                <w:ilvl w:val="1"/>
                <w:numId w:val="14"/>
              </w:numPr>
              <w:tabs>
                <w:tab w:val="left" w:pos="166"/>
              </w:tabs>
              <w:ind w:firstLineChars="0"/>
              <w:rPr>
                <w:szCs w:val="21"/>
              </w:rPr>
            </w:pPr>
            <w:r w:rsidRPr="00227F09">
              <w:rPr>
                <w:rFonts w:eastAsia="Times New Roman"/>
                <w:szCs w:val="21"/>
              </w:rPr>
              <w:t>Subjects who discontinue participation due to pregnancy or intolerable toxicity should not be considered as dropouts</w:t>
            </w:r>
            <w:r w:rsidR="001835F0">
              <w:rPr>
                <w:rFonts w:eastAsiaTheme="minorEastAsia" w:hint="eastAsia"/>
                <w:szCs w:val="21"/>
              </w:rPr>
              <w:t>;</w:t>
            </w:r>
            <w:r w:rsidR="001835F0" w:rsidRPr="00227F09">
              <w:rPr>
                <w:rFonts w:eastAsia="Times New Roman"/>
                <w:szCs w:val="21"/>
              </w:rPr>
              <w:t xml:space="preserve"> </w:t>
            </w:r>
          </w:p>
          <w:p w14:paraId="1BDDF9E5" w14:textId="77777777" w:rsidR="00DE4AFD" w:rsidRPr="00227F09" w:rsidRDefault="004A4F56" w:rsidP="003F7776">
            <w:pPr>
              <w:pStyle w:val="afd"/>
              <w:numPr>
                <w:ilvl w:val="1"/>
                <w:numId w:val="14"/>
              </w:numPr>
              <w:tabs>
                <w:tab w:val="left" w:pos="166"/>
              </w:tabs>
              <w:ind w:firstLineChars="0"/>
              <w:rPr>
                <w:szCs w:val="21"/>
              </w:rPr>
            </w:pPr>
            <w:r w:rsidRPr="00227F09">
              <w:rPr>
                <w:rFonts w:eastAsia="Times New Roman"/>
                <w:szCs w:val="21"/>
              </w:rPr>
              <w:t xml:space="preserve">The investigator determines that treatment should be discontinued in the best benefit of the subject; </w:t>
            </w:r>
          </w:p>
          <w:p w14:paraId="2DC87C11" w14:textId="77777777" w:rsidR="00DE4AFD" w:rsidRPr="00227F09" w:rsidRDefault="004A4F56" w:rsidP="003F7776">
            <w:pPr>
              <w:pStyle w:val="afd"/>
              <w:numPr>
                <w:ilvl w:val="1"/>
                <w:numId w:val="14"/>
              </w:numPr>
              <w:tabs>
                <w:tab w:val="left" w:pos="166"/>
              </w:tabs>
              <w:ind w:firstLineChars="0"/>
              <w:rPr>
                <w:szCs w:val="21"/>
              </w:rPr>
            </w:pPr>
            <w:r w:rsidRPr="00227F09">
              <w:rPr>
                <w:rFonts w:eastAsia="Times New Roman"/>
                <w:szCs w:val="21"/>
              </w:rPr>
              <w:t xml:space="preserve">Death after enrollment. </w:t>
            </w:r>
          </w:p>
          <w:p w14:paraId="7F4C62A7" w14:textId="77777777" w:rsidR="00DE4AFD" w:rsidRPr="00227F09" w:rsidRDefault="004A4F56" w:rsidP="00085F75">
            <w:pPr>
              <w:rPr>
                <w:rFonts w:ascii="Times New Roman" w:eastAsia="宋体" w:hAnsi="Times New Roman" w:cs="Times New Roman"/>
              </w:rPr>
            </w:pPr>
            <w:r w:rsidRPr="00227F09">
              <w:rPr>
                <w:rFonts w:ascii="Times New Roman" w:eastAsia="Times New Roman" w:hAnsi="Times New Roman" w:cs="Times New Roman"/>
              </w:rPr>
              <w:t xml:space="preserve">For dropout subjects, the investigator must record the reason for dropout, complete the relevant </w:t>
            </w:r>
            <w:r w:rsidRPr="00227F09">
              <w:rPr>
                <w:rFonts w:ascii="Times New Roman" w:eastAsia="Times New Roman" w:hAnsi="Times New Roman" w:cs="Times New Roman"/>
                <w:color w:val="333333"/>
              </w:rPr>
              <w:t>tumor</w:t>
            </w:r>
            <w:r w:rsidRPr="00227F09">
              <w:rPr>
                <w:rFonts w:ascii="Times New Roman" w:eastAsia="Times New Roman" w:hAnsi="Times New Roman" w:cs="Times New Roman"/>
              </w:rPr>
              <w:t xml:space="preserve"> assessments as much as possible, and record the circumstances of the last visit. </w:t>
            </w:r>
          </w:p>
        </w:tc>
      </w:tr>
      <w:tr w:rsidR="00DE4AFD" w:rsidRPr="00227F09" w14:paraId="1196F337" w14:textId="77777777" w:rsidTr="003F7776">
        <w:trPr>
          <w:jc w:val="center"/>
        </w:trPr>
        <w:tc>
          <w:tcPr>
            <w:tcW w:w="1708" w:type="dxa"/>
          </w:tcPr>
          <w:p w14:paraId="0FA03A82" w14:textId="77777777" w:rsidR="00DE4AFD" w:rsidRPr="00227F09" w:rsidRDefault="004A4F56" w:rsidP="003F7776">
            <w:pPr>
              <w:adjustRightInd w:val="0"/>
              <w:snapToGrid w:val="0"/>
              <w:rPr>
                <w:rFonts w:ascii="Times New Roman" w:eastAsia="宋体" w:hAnsi="Times New Roman" w:cs="Times New Roman"/>
                <w:b/>
              </w:rPr>
            </w:pPr>
            <w:bookmarkStart w:id="5" w:name="_Hlk244507233"/>
            <w:r w:rsidRPr="00227F09">
              <w:rPr>
                <w:rFonts w:ascii="Times New Roman" w:eastAsia="Times New Roman" w:hAnsi="Times New Roman" w:cs="Times New Roman"/>
                <w:b/>
                <w:bCs/>
              </w:rPr>
              <w:t>Sample Size Determination</w:t>
            </w:r>
          </w:p>
        </w:tc>
        <w:tc>
          <w:tcPr>
            <w:tcW w:w="7229" w:type="dxa"/>
          </w:tcPr>
          <w:p w14:paraId="10F13BFC" w14:textId="4FDCE8FB" w:rsidR="00DE4AFD" w:rsidRPr="00227F09" w:rsidRDefault="004A4F56" w:rsidP="003F7776">
            <w:pPr>
              <w:pStyle w:val="afc"/>
              <w:spacing w:line="240" w:lineRule="auto"/>
              <w:ind w:firstLineChars="0" w:firstLine="0"/>
              <w:rPr>
                <w:i/>
                <w:color w:val="008000"/>
                <w:sz w:val="21"/>
                <w:szCs w:val="21"/>
              </w:rPr>
            </w:pPr>
            <w:r w:rsidRPr="00227F09">
              <w:rPr>
                <w:rFonts w:eastAsia="Times New Roman"/>
                <w:sz w:val="21"/>
                <w:szCs w:val="21"/>
              </w:rPr>
              <w:t xml:space="preserve">According to literature results, the rate in the test group is 0.49, and the rate in the control group is 0.23. With a superiority margin of 0, a one-sided alpha of 0.05, beta of 0.2, and a sample size ratio of 1 between the two groups (test group: control group), the calculated sample sizes are 40 cases in the test group and 40 cases in the control group, totaling 80 cases. Considering a 10% dropout rate, the total required sample size is 90 cases. </w:t>
            </w:r>
          </w:p>
        </w:tc>
      </w:tr>
      <w:tr w:rsidR="00DE4AFD" w:rsidRPr="00227F09" w14:paraId="1566948B" w14:textId="77777777" w:rsidTr="003F7776">
        <w:trPr>
          <w:jc w:val="center"/>
        </w:trPr>
        <w:tc>
          <w:tcPr>
            <w:tcW w:w="1708" w:type="dxa"/>
          </w:tcPr>
          <w:p w14:paraId="66FD2F17" w14:textId="77777777" w:rsidR="00DE4AFD" w:rsidRPr="00227F09" w:rsidRDefault="004A4F56" w:rsidP="003F7776">
            <w:pPr>
              <w:adjustRightInd w:val="0"/>
              <w:snapToGrid w:val="0"/>
              <w:rPr>
                <w:rFonts w:ascii="Times New Roman" w:eastAsia="宋体" w:hAnsi="Times New Roman" w:cs="Times New Roman"/>
                <w:b/>
              </w:rPr>
            </w:pPr>
            <w:r w:rsidRPr="00227F09">
              <w:rPr>
                <w:rFonts w:ascii="Times New Roman" w:eastAsia="Times New Roman" w:hAnsi="Times New Roman" w:cs="Times New Roman"/>
                <w:b/>
                <w:bCs/>
              </w:rPr>
              <w:lastRenderedPageBreak/>
              <w:t>Data Analysis and Statistical Methods</w:t>
            </w:r>
          </w:p>
        </w:tc>
        <w:tc>
          <w:tcPr>
            <w:tcW w:w="7229" w:type="dxa"/>
          </w:tcPr>
          <w:p w14:paraId="1A046258" w14:textId="77777777" w:rsidR="00DE4AFD" w:rsidRPr="00227F09" w:rsidRDefault="004A4F56" w:rsidP="00085F75">
            <w:pPr>
              <w:rPr>
                <w:rFonts w:ascii="Times New Roman" w:eastAsia="宋体" w:hAnsi="Times New Roman" w:cs="Times New Roman"/>
              </w:rPr>
            </w:pPr>
            <w:r w:rsidRPr="00227F09">
              <w:rPr>
                <w:rFonts w:ascii="Times New Roman" w:eastAsia="Times New Roman" w:hAnsi="Times New Roman" w:cs="Times New Roman"/>
              </w:rPr>
              <w:t xml:space="preserve">Progression-Free Survival (PFS) is defined as the time from randomization to disease progression or death. For patients who have not reported death at the time of analysis, the date of their last known survival will be taken as the censoring date. The comparison of Objective Response Rate (ORR) between treatment groups will be based on the Intent-to-Treat (ITT) population. The ITT population is defined as all randomized subjects. </w:t>
            </w:r>
          </w:p>
          <w:p w14:paraId="353D8D68" w14:textId="77777777" w:rsidR="00DE4AFD" w:rsidRPr="00227F09" w:rsidRDefault="004A4F56" w:rsidP="00085F75">
            <w:pPr>
              <w:rPr>
                <w:rFonts w:ascii="Times New Roman" w:eastAsia="宋体" w:hAnsi="Times New Roman" w:cs="Times New Roman"/>
                <w:color w:val="008000"/>
              </w:rPr>
            </w:pPr>
            <w:r w:rsidRPr="00227F09">
              <w:rPr>
                <w:rFonts w:ascii="Times New Roman" w:eastAsia="Times New Roman" w:hAnsi="Times New Roman" w:cs="Times New Roman"/>
              </w:rPr>
              <w:t xml:space="preserve">The Kaplan-Meier method will be used to estimate the median survival time of each treatment group, and Kaplan-Meier curves will be plotted to provide a </w:t>
            </w:r>
            <w:r w:rsidRPr="00227F09">
              <w:rPr>
                <w:rFonts w:ascii="Times New Roman" w:eastAsia="Times New Roman" w:hAnsi="Times New Roman" w:cs="Times New Roman"/>
                <w:color w:val="333333"/>
              </w:rPr>
              <w:t>visually intuitive</w:t>
            </w:r>
            <w:r w:rsidRPr="00227F09">
              <w:rPr>
                <w:rFonts w:ascii="Times New Roman" w:eastAsia="Times New Roman" w:hAnsi="Times New Roman" w:cs="Times New Roman"/>
              </w:rPr>
              <w:t xml:space="preserve"> description of the differences between treatment groups. The evaluation of efficacy will be displayed through hazard ratios (HR) estimated by the Cox regression model and their 95% confidence intervals. At the same time, the log-rank test will be used to compare parameters such as PFS and OS between the two groups. </w:t>
            </w:r>
          </w:p>
        </w:tc>
      </w:tr>
      <w:tr w:rsidR="00DE4AFD" w:rsidRPr="00227F09" w14:paraId="413EC95A" w14:textId="77777777" w:rsidTr="003F7776">
        <w:trPr>
          <w:jc w:val="center"/>
        </w:trPr>
        <w:tc>
          <w:tcPr>
            <w:tcW w:w="1708" w:type="dxa"/>
          </w:tcPr>
          <w:p w14:paraId="1B5D5018" w14:textId="77777777" w:rsidR="00DE4AFD" w:rsidRPr="00227F09" w:rsidRDefault="004A4F56" w:rsidP="003F7776">
            <w:pPr>
              <w:adjustRightInd w:val="0"/>
              <w:snapToGrid w:val="0"/>
              <w:rPr>
                <w:rFonts w:ascii="Times New Roman" w:eastAsia="宋体" w:hAnsi="Times New Roman" w:cs="Times New Roman"/>
                <w:b/>
              </w:rPr>
            </w:pPr>
            <w:r w:rsidRPr="00227F09">
              <w:rPr>
                <w:rFonts w:ascii="Times New Roman" w:eastAsia="Times New Roman" w:hAnsi="Times New Roman" w:cs="Times New Roman"/>
                <w:b/>
                <w:bCs/>
              </w:rPr>
              <w:t>Study Progress</w:t>
            </w:r>
          </w:p>
        </w:tc>
        <w:tc>
          <w:tcPr>
            <w:tcW w:w="7229" w:type="dxa"/>
          </w:tcPr>
          <w:p w14:paraId="65D67A04" w14:textId="77777777" w:rsidR="00DE4AFD" w:rsidRPr="00227F09" w:rsidRDefault="004A4F56" w:rsidP="003F7776">
            <w:pPr>
              <w:pStyle w:val="afc"/>
              <w:spacing w:line="240" w:lineRule="auto"/>
              <w:ind w:firstLineChars="0" w:firstLine="0"/>
              <w:rPr>
                <w:sz w:val="21"/>
                <w:szCs w:val="21"/>
              </w:rPr>
            </w:pPr>
            <w:r w:rsidRPr="00227F09">
              <w:rPr>
                <w:rFonts w:eastAsia="Times New Roman"/>
                <w:color w:val="333333"/>
                <w:sz w:val="21"/>
                <w:szCs w:val="21"/>
              </w:rPr>
              <w:t xml:space="preserve">Estimated enrollment of the first subject: </w:t>
            </w:r>
            <w:r w:rsidRPr="00227F09">
              <w:rPr>
                <w:rFonts w:eastAsia="Times New Roman"/>
                <w:sz w:val="21"/>
                <w:szCs w:val="21"/>
              </w:rPr>
              <w:t>August 2021</w:t>
            </w:r>
          </w:p>
          <w:p w14:paraId="7013C85D" w14:textId="77777777" w:rsidR="00DE4AFD" w:rsidRPr="00227F09" w:rsidRDefault="004A4F56" w:rsidP="003F7776">
            <w:pPr>
              <w:pStyle w:val="afc"/>
              <w:spacing w:line="240" w:lineRule="auto"/>
              <w:ind w:firstLineChars="0" w:firstLine="0"/>
              <w:rPr>
                <w:sz w:val="21"/>
                <w:szCs w:val="21"/>
              </w:rPr>
            </w:pPr>
            <w:r w:rsidRPr="00227F09">
              <w:rPr>
                <w:rFonts w:eastAsia="Times New Roman"/>
                <w:sz w:val="21"/>
                <w:szCs w:val="21"/>
              </w:rPr>
              <w:t>Estimated enrollment of the last subject: August 2024</w:t>
            </w:r>
          </w:p>
          <w:p w14:paraId="41FA7A9E" w14:textId="77777777" w:rsidR="00DE4AFD" w:rsidRPr="00227F09" w:rsidRDefault="004A4F56" w:rsidP="003F7776">
            <w:pPr>
              <w:pStyle w:val="afc"/>
              <w:spacing w:line="240" w:lineRule="auto"/>
              <w:ind w:firstLineChars="0" w:firstLine="0"/>
              <w:rPr>
                <w:color w:val="008000"/>
                <w:sz w:val="21"/>
                <w:szCs w:val="21"/>
              </w:rPr>
            </w:pPr>
            <w:r w:rsidRPr="00227F09">
              <w:rPr>
                <w:rFonts w:eastAsia="Times New Roman"/>
                <w:color w:val="333333"/>
                <w:sz w:val="21"/>
                <w:szCs w:val="21"/>
              </w:rPr>
              <w:t>Estimated end of study</w:t>
            </w:r>
            <w:r w:rsidRPr="00227F09">
              <w:rPr>
                <w:rFonts w:eastAsia="Times New Roman"/>
                <w:sz w:val="21"/>
                <w:szCs w:val="21"/>
              </w:rPr>
              <w:t>: August 2025 (including follow-up, data cleaning, and data summary report writing)</w:t>
            </w:r>
          </w:p>
        </w:tc>
      </w:tr>
      <w:bookmarkEnd w:id="5"/>
    </w:tbl>
    <w:p w14:paraId="0D333FD1" w14:textId="77777777" w:rsidR="00DE4AFD" w:rsidRPr="00303844" w:rsidRDefault="00DE4AFD" w:rsidP="00253A8A">
      <w:pPr>
        <w:widowControl/>
        <w:rPr>
          <w:rFonts w:ascii="Times New Roman" w:eastAsia="宋体" w:hAnsi="Times New Roman" w:cs="Times New Roman"/>
        </w:rPr>
        <w:sectPr w:rsidR="00DE4AFD" w:rsidRPr="00303844" w:rsidSect="008C3018">
          <w:footerReference w:type="default" r:id="rId10"/>
          <w:pgSz w:w="11906" w:h="16838"/>
          <w:pgMar w:top="1440" w:right="1440" w:bottom="1440" w:left="1440" w:header="1020" w:footer="737" w:gutter="0"/>
          <w:pgNumType w:start="1"/>
          <w:cols w:space="720"/>
          <w:docGrid w:type="lines" w:linePitch="312"/>
        </w:sectPr>
      </w:pPr>
    </w:p>
    <w:p w14:paraId="6433B6CE" w14:textId="77777777" w:rsidR="00DE4AFD" w:rsidRPr="00303844" w:rsidRDefault="004A4F56" w:rsidP="000C622D">
      <w:pPr>
        <w:pStyle w:val="afb"/>
        <w:rPr>
          <w:rFonts w:eastAsia="宋体"/>
          <w:b/>
          <w:i/>
          <w:color w:val="008000"/>
          <w:kern w:val="0"/>
          <w:sz w:val="16"/>
          <w:szCs w:val="16"/>
        </w:rPr>
      </w:pPr>
      <w:bookmarkStart w:id="6" w:name="_Toc404338147"/>
      <w:bookmarkStart w:id="7" w:name="_Toc184889596"/>
      <w:bookmarkEnd w:id="6"/>
      <w:r w:rsidRPr="00303844">
        <w:rPr>
          <w:rFonts w:eastAsia="Times New Roman"/>
          <w:b/>
          <w:bCs/>
        </w:rPr>
        <w:lastRenderedPageBreak/>
        <w:t xml:space="preserve">Table 1 </w:t>
      </w:r>
      <w:r w:rsidRPr="00303844">
        <w:rPr>
          <w:rFonts w:eastAsia="Times New Roman"/>
          <w:b/>
          <w:bCs/>
          <w:color w:val="333333"/>
        </w:rPr>
        <w:t xml:space="preserve">Study </w:t>
      </w:r>
      <w:r w:rsidRPr="00303844">
        <w:rPr>
          <w:rFonts w:eastAsia="Times New Roman"/>
          <w:b/>
          <w:bCs/>
        </w:rPr>
        <w:t>Flowchart</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132"/>
        <w:gridCol w:w="997"/>
        <w:gridCol w:w="998"/>
        <w:gridCol w:w="666"/>
        <w:gridCol w:w="685"/>
        <w:gridCol w:w="1448"/>
        <w:gridCol w:w="1520"/>
        <w:gridCol w:w="2191"/>
        <w:gridCol w:w="1612"/>
        <w:gridCol w:w="1699"/>
      </w:tblGrid>
      <w:tr w:rsidR="00DE4AFD" w:rsidRPr="00227F09" w14:paraId="01244AAE" w14:textId="77777777" w:rsidTr="0034486D">
        <w:trPr>
          <w:trHeight w:val="270"/>
          <w:tblHeader/>
        </w:trPr>
        <w:tc>
          <w:tcPr>
            <w:tcW w:w="764" w:type="pct"/>
            <w:vMerge w:val="restart"/>
            <w:tcMar>
              <w:top w:w="68" w:type="dxa"/>
              <w:bottom w:w="68" w:type="dxa"/>
            </w:tcMar>
            <w:vAlign w:val="center"/>
          </w:tcPr>
          <w:p w14:paraId="2EF8DA46" w14:textId="77777777" w:rsidR="00DE4AFD" w:rsidRPr="00227F09" w:rsidRDefault="00DE4AFD" w:rsidP="003F7776">
            <w:pPr>
              <w:topLinePunct/>
              <w:adjustRightInd w:val="0"/>
              <w:snapToGrid w:val="0"/>
              <w:jc w:val="center"/>
              <w:rPr>
                <w:rFonts w:ascii="Times New Roman" w:eastAsia="宋体" w:hAnsi="Times New Roman" w:cs="Times New Roman"/>
                <w:b/>
                <w:spacing w:val="-6"/>
              </w:rPr>
            </w:pPr>
          </w:p>
          <w:p w14:paraId="1BDA7650" w14:textId="77777777" w:rsidR="00DE4AFD" w:rsidRPr="00227F09" w:rsidRDefault="004A4F56" w:rsidP="003F7776">
            <w:pPr>
              <w:topLinePunct/>
              <w:adjustRightInd w:val="0"/>
              <w:snapToGrid w:val="0"/>
              <w:jc w:val="center"/>
              <w:rPr>
                <w:rFonts w:ascii="Times New Roman" w:eastAsia="宋体" w:hAnsi="Times New Roman" w:cs="Times New Roman"/>
                <w:b/>
                <w:spacing w:val="-6"/>
              </w:rPr>
            </w:pPr>
            <w:r w:rsidRPr="00227F09">
              <w:rPr>
                <w:rFonts w:ascii="Times New Roman" w:eastAsia="Times New Roman" w:hAnsi="Times New Roman" w:cs="Times New Roman"/>
                <w:b/>
                <w:bCs/>
                <w:spacing w:val="-6"/>
              </w:rPr>
              <w:t>Study Period</w:t>
            </w:r>
          </w:p>
        </w:tc>
        <w:tc>
          <w:tcPr>
            <w:tcW w:w="715" w:type="pct"/>
            <w:gridSpan w:val="2"/>
            <w:vMerge w:val="restart"/>
            <w:tcMar>
              <w:top w:w="68" w:type="dxa"/>
              <w:bottom w:w="68" w:type="dxa"/>
            </w:tcMar>
            <w:vAlign w:val="center"/>
          </w:tcPr>
          <w:p w14:paraId="26F9AE76" w14:textId="77777777" w:rsidR="00DE4AFD" w:rsidRPr="00227F09" w:rsidRDefault="004A4F56" w:rsidP="003F7776">
            <w:pPr>
              <w:topLinePunct/>
              <w:adjustRightInd w:val="0"/>
              <w:snapToGrid w:val="0"/>
              <w:jc w:val="center"/>
              <w:rPr>
                <w:rFonts w:ascii="Times New Roman" w:eastAsia="宋体" w:hAnsi="Times New Roman" w:cs="Times New Roman"/>
                <w:b/>
              </w:rPr>
            </w:pPr>
            <w:proofErr w:type="gramStart"/>
            <w:r w:rsidRPr="00227F09">
              <w:rPr>
                <w:rFonts w:ascii="Times New Roman" w:eastAsia="Times New Roman" w:hAnsi="Times New Roman" w:cs="Times New Roman"/>
                <w:b/>
                <w:bCs/>
                <w:spacing w:val="-6"/>
              </w:rPr>
              <w:t>Screening</w:t>
            </w:r>
            <w:r w:rsidRPr="00227F09">
              <w:rPr>
                <w:rFonts w:ascii="Times New Roman" w:eastAsia="Times New Roman" w:hAnsi="Times New Roman" w:cs="Times New Roman"/>
                <w:b/>
                <w:bCs/>
                <w:spacing w:val="-6"/>
                <w:vertAlign w:val="superscript"/>
              </w:rPr>
              <w:t>[</w:t>
            </w:r>
            <w:proofErr w:type="gramEnd"/>
            <w:r w:rsidRPr="00227F09">
              <w:rPr>
                <w:rFonts w:ascii="Times New Roman" w:eastAsia="Times New Roman" w:hAnsi="Times New Roman" w:cs="Times New Roman"/>
                <w:b/>
                <w:bCs/>
                <w:spacing w:val="-6"/>
                <w:vertAlign w:val="superscript"/>
              </w:rPr>
              <w:t>1]</w:t>
            </w:r>
          </w:p>
        </w:tc>
        <w:tc>
          <w:tcPr>
            <w:tcW w:w="2334" w:type="pct"/>
            <w:gridSpan w:val="5"/>
            <w:vAlign w:val="center"/>
          </w:tcPr>
          <w:p w14:paraId="53A69EB6"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Treatment Period</w:t>
            </w:r>
          </w:p>
        </w:tc>
        <w:tc>
          <w:tcPr>
            <w:tcW w:w="1187" w:type="pct"/>
            <w:gridSpan w:val="2"/>
            <w:vAlign w:val="center"/>
          </w:tcPr>
          <w:p w14:paraId="3A238EA6"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Follow-up Period</w:t>
            </w:r>
          </w:p>
        </w:tc>
      </w:tr>
      <w:tr w:rsidR="00DE4AFD" w:rsidRPr="00227F09" w14:paraId="6C7FF7AB" w14:textId="77777777" w:rsidTr="0034486D">
        <w:trPr>
          <w:trHeight w:val="270"/>
          <w:tblHeader/>
        </w:trPr>
        <w:tc>
          <w:tcPr>
            <w:tcW w:w="764" w:type="pct"/>
            <w:vMerge/>
            <w:tcMar>
              <w:top w:w="68" w:type="dxa"/>
              <w:bottom w:w="68" w:type="dxa"/>
            </w:tcMar>
            <w:vAlign w:val="center"/>
          </w:tcPr>
          <w:p w14:paraId="6851968D" w14:textId="77777777" w:rsidR="00DE4AFD" w:rsidRPr="00227F09" w:rsidRDefault="00DE4AFD" w:rsidP="003F7776">
            <w:pPr>
              <w:topLinePunct/>
              <w:adjustRightInd w:val="0"/>
              <w:snapToGrid w:val="0"/>
              <w:jc w:val="center"/>
              <w:rPr>
                <w:rFonts w:ascii="Times New Roman" w:eastAsia="宋体" w:hAnsi="Times New Roman" w:cs="Times New Roman"/>
                <w:b/>
                <w:spacing w:val="-6"/>
              </w:rPr>
            </w:pPr>
          </w:p>
        </w:tc>
        <w:tc>
          <w:tcPr>
            <w:tcW w:w="715" w:type="pct"/>
            <w:gridSpan w:val="2"/>
            <w:vMerge/>
            <w:tcMar>
              <w:top w:w="68" w:type="dxa"/>
              <w:bottom w:w="68" w:type="dxa"/>
            </w:tcMar>
            <w:vAlign w:val="center"/>
          </w:tcPr>
          <w:p w14:paraId="1D0998E9" w14:textId="77777777" w:rsidR="00DE4AFD" w:rsidRPr="00227F09" w:rsidRDefault="00DE4AFD" w:rsidP="003F7776">
            <w:pPr>
              <w:topLinePunct/>
              <w:adjustRightInd w:val="0"/>
              <w:snapToGrid w:val="0"/>
              <w:jc w:val="center"/>
              <w:rPr>
                <w:rFonts w:ascii="Times New Roman" w:eastAsia="宋体" w:hAnsi="Times New Roman" w:cs="Times New Roman"/>
                <w:b/>
                <w:spacing w:val="-6"/>
              </w:rPr>
            </w:pPr>
          </w:p>
        </w:tc>
        <w:tc>
          <w:tcPr>
            <w:tcW w:w="485" w:type="pct"/>
            <w:gridSpan w:val="2"/>
            <w:vAlign w:val="center"/>
          </w:tcPr>
          <w:p w14:paraId="143BE0FD"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Cycle 1</w:t>
            </w:r>
          </w:p>
        </w:tc>
        <w:tc>
          <w:tcPr>
            <w:tcW w:w="519" w:type="pct"/>
            <w:vAlign w:val="center"/>
          </w:tcPr>
          <w:p w14:paraId="5833022E"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Cycle 2</w:t>
            </w:r>
          </w:p>
        </w:tc>
        <w:tc>
          <w:tcPr>
            <w:tcW w:w="545" w:type="pct"/>
            <w:vAlign w:val="center"/>
          </w:tcPr>
          <w:p w14:paraId="37E7885C"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Subsequent Cycles</w:t>
            </w:r>
          </w:p>
        </w:tc>
        <w:tc>
          <w:tcPr>
            <w:tcW w:w="785" w:type="pct"/>
            <w:vAlign w:val="center"/>
          </w:tcPr>
          <w:p w14:paraId="48670F9B"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End of Treatment/Withdrawal from Study</w:t>
            </w:r>
          </w:p>
        </w:tc>
        <w:tc>
          <w:tcPr>
            <w:tcW w:w="578" w:type="pct"/>
            <w:vAlign w:val="center"/>
          </w:tcPr>
          <w:p w14:paraId="34CE9383"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Safety Follow-</w:t>
            </w:r>
            <w:proofErr w:type="gramStart"/>
            <w:r w:rsidRPr="00227F09">
              <w:rPr>
                <w:rFonts w:ascii="Times New Roman" w:eastAsia="Times New Roman" w:hAnsi="Times New Roman" w:cs="Times New Roman"/>
                <w:b/>
                <w:bCs/>
              </w:rPr>
              <w:t>up</w:t>
            </w:r>
            <w:r w:rsidRPr="00227F09">
              <w:rPr>
                <w:rFonts w:ascii="Times New Roman" w:eastAsia="Times New Roman" w:hAnsi="Times New Roman" w:cs="Times New Roman"/>
                <w:vertAlign w:val="superscript"/>
              </w:rPr>
              <w:t>[</w:t>
            </w:r>
            <w:proofErr w:type="gramEnd"/>
            <w:r w:rsidRPr="00227F09">
              <w:rPr>
                <w:rFonts w:ascii="Times New Roman" w:eastAsia="Times New Roman" w:hAnsi="Times New Roman" w:cs="Times New Roman"/>
                <w:vertAlign w:val="superscript"/>
              </w:rPr>
              <w:t>17]</w:t>
            </w:r>
          </w:p>
        </w:tc>
        <w:tc>
          <w:tcPr>
            <w:tcW w:w="609" w:type="pct"/>
            <w:vAlign w:val="center"/>
          </w:tcPr>
          <w:p w14:paraId="73FDD923"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Survival Follow-up</w:t>
            </w:r>
          </w:p>
        </w:tc>
      </w:tr>
      <w:tr w:rsidR="00DE4AFD" w:rsidRPr="00227F09" w14:paraId="581E2BA5" w14:textId="77777777" w:rsidTr="0034486D">
        <w:trPr>
          <w:tblHeader/>
        </w:trPr>
        <w:tc>
          <w:tcPr>
            <w:tcW w:w="764" w:type="pct"/>
            <w:vMerge/>
            <w:tcMar>
              <w:top w:w="68" w:type="dxa"/>
              <w:bottom w:w="68" w:type="dxa"/>
            </w:tcMar>
            <w:vAlign w:val="center"/>
          </w:tcPr>
          <w:p w14:paraId="044D40F4" w14:textId="77777777" w:rsidR="00DE4AFD" w:rsidRPr="00227F09" w:rsidRDefault="00DE4AFD" w:rsidP="003F7776">
            <w:pPr>
              <w:topLinePunct/>
              <w:adjustRightInd w:val="0"/>
              <w:snapToGrid w:val="0"/>
              <w:jc w:val="center"/>
              <w:rPr>
                <w:rFonts w:ascii="Times New Roman" w:eastAsia="宋体" w:hAnsi="Times New Roman" w:cs="Times New Roman"/>
                <w:b/>
                <w:spacing w:val="-6"/>
              </w:rPr>
            </w:pPr>
          </w:p>
        </w:tc>
        <w:tc>
          <w:tcPr>
            <w:tcW w:w="357" w:type="pct"/>
            <w:tcMar>
              <w:top w:w="68" w:type="dxa"/>
              <w:bottom w:w="68" w:type="dxa"/>
            </w:tcMar>
            <w:vAlign w:val="center"/>
          </w:tcPr>
          <w:p w14:paraId="22C17E6D"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Screening 1</w:t>
            </w:r>
          </w:p>
        </w:tc>
        <w:tc>
          <w:tcPr>
            <w:tcW w:w="357" w:type="pct"/>
            <w:vAlign w:val="center"/>
          </w:tcPr>
          <w:p w14:paraId="741BCE65"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Screening 2</w:t>
            </w:r>
          </w:p>
        </w:tc>
        <w:tc>
          <w:tcPr>
            <w:tcW w:w="239" w:type="pct"/>
            <w:vAlign w:val="center"/>
          </w:tcPr>
          <w:p w14:paraId="69C9FEBC"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rPr>
              <w:t>D1</w:t>
            </w:r>
          </w:p>
        </w:tc>
        <w:tc>
          <w:tcPr>
            <w:tcW w:w="246" w:type="pct"/>
            <w:vAlign w:val="center"/>
          </w:tcPr>
          <w:p w14:paraId="053E70DB"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rPr>
              <w:t>D21</w:t>
            </w:r>
          </w:p>
        </w:tc>
        <w:tc>
          <w:tcPr>
            <w:tcW w:w="519" w:type="pct"/>
            <w:vAlign w:val="center"/>
          </w:tcPr>
          <w:p w14:paraId="477C2D04"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rPr>
              <w:t>D21</w:t>
            </w:r>
          </w:p>
        </w:tc>
        <w:tc>
          <w:tcPr>
            <w:tcW w:w="545" w:type="pct"/>
            <w:vAlign w:val="center"/>
          </w:tcPr>
          <w:p w14:paraId="01D7D9C9"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rPr>
              <w:t>D21</w:t>
            </w:r>
          </w:p>
        </w:tc>
        <w:tc>
          <w:tcPr>
            <w:tcW w:w="785" w:type="pct"/>
            <w:vAlign w:val="center"/>
          </w:tcPr>
          <w:p w14:paraId="50CA93A3"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rPr>
              <w:t>EOT</w:t>
            </w:r>
          </w:p>
        </w:tc>
        <w:tc>
          <w:tcPr>
            <w:tcW w:w="578" w:type="pct"/>
            <w:vAlign w:val="center"/>
          </w:tcPr>
          <w:p w14:paraId="068EC716"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Within 30 days after EOT</w:t>
            </w:r>
          </w:p>
        </w:tc>
        <w:tc>
          <w:tcPr>
            <w:tcW w:w="609" w:type="pct"/>
            <w:vAlign w:val="center"/>
          </w:tcPr>
          <w:p w14:paraId="2E784C91"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Every three months for one year after EOT, and every 6 months thereafter</w:t>
            </w:r>
          </w:p>
        </w:tc>
      </w:tr>
      <w:tr w:rsidR="00DE4AFD" w:rsidRPr="00227F09" w14:paraId="4F656452" w14:textId="77777777" w:rsidTr="0034486D">
        <w:tc>
          <w:tcPr>
            <w:tcW w:w="764" w:type="pct"/>
            <w:vAlign w:val="center"/>
          </w:tcPr>
          <w:p w14:paraId="187D3209" w14:textId="77777777" w:rsidR="00DE4AFD" w:rsidRPr="00227F09" w:rsidRDefault="004A4F56" w:rsidP="003F7776">
            <w:pPr>
              <w:topLinePunct/>
              <w:adjustRightInd w:val="0"/>
              <w:snapToGrid w:val="0"/>
              <w:jc w:val="center"/>
              <w:rPr>
                <w:rFonts w:ascii="Times New Roman" w:eastAsia="宋体" w:hAnsi="Times New Roman" w:cs="Times New Roman"/>
                <w:b/>
                <w:spacing w:val="-6"/>
              </w:rPr>
            </w:pPr>
            <w:r w:rsidRPr="00227F09">
              <w:rPr>
                <w:rFonts w:ascii="Times New Roman" w:eastAsia="Times New Roman" w:hAnsi="Times New Roman" w:cs="Times New Roman"/>
                <w:b/>
                <w:bCs/>
                <w:spacing w:val="-6"/>
              </w:rPr>
              <w:t>Window Period</w:t>
            </w:r>
          </w:p>
        </w:tc>
        <w:tc>
          <w:tcPr>
            <w:tcW w:w="357" w:type="pct"/>
            <w:vAlign w:val="center"/>
          </w:tcPr>
          <w:p w14:paraId="15F535A0" w14:textId="77777777" w:rsidR="00DE4AFD" w:rsidRPr="00227F09" w:rsidRDefault="004A4F56" w:rsidP="003F7776">
            <w:pPr>
              <w:topLinePunct/>
              <w:adjustRightInd w:val="0"/>
              <w:snapToGrid w:val="0"/>
              <w:jc w:val="center"/>
              <w:rPr>
                <w:rFonts w:ascii="Times New Roman" w:eastAsia="宋体" w:hAnsi="Times New Roman" w:cs="Times New Roman"/>
                <w:b/>
                <w:spacing w:val="-6"/>
              </w:rPr>
            </w:pPr>
            <w:r w:rsidRPr="00227F09">
              <w:rPr>
                <w:rFonts w:ascii="Times New Roman" w:eastAsia="Times New Roman" w:hAnsi="Times New Roman" w:cs="Times New Roman"/>
                <w:b/>
                <w:bCs/>
                <w:spacing w:val="-6"/>
              </w:rPr>
              <w:t>Within 21 days prior to dosing</w:t>
            </w:r>
          </w:p>
        </w:tc>
        <w:tc>
          <w:tcPr>
            <w:tcW w:w="357" w:type="pct"/>
            <w:vAlign w:val="center"/>
          </w:tcPr>
          <w:p w14:paraId="7B16F0FF"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Within 7 days prior to dosing</w:t>
            </w:r>
          </w:p>
        </w:tc>
        <w:tc>
          <w:tcPr>
            <w:tcW w:w="239" w:type="pct"/>
            <w:tcMar>
              <w:top w:w="68" w:type="dxa"/>
              <w:bottom w:w="68" w:type="dxa"/>
            </w:tcMar>
            <w:vAlign w:val="center"/>
          </w:tcPr>
          <w:p w14:paraId="3A28577B" w14:textId="77777777" w:rsidR="00DE4AFD" w:rsidRPr="00227F09" w:rsidRDefault="004A4F56" w:rsidP="003F7776">
            <w:pPr>
              <w:topLinePunct/>
              <w:adjustRightInd w:val="0"/>
              <w:snapToGrid w:val="0"/>
              <w:rPr>
                <w:rFonts w:ascii="Times New Roman" w:eastAsia="宋体" w:hAnsi="Times New Roman" w:cs="Times New Roman"/>
                <w:b/>
              </w:rPr>
            </w:pPr>
            <w:r w:rsidRPr="00227F09">
              <w:rPr>
                <w:rFonts w:ascii="Times New Roman" w:eastAsia="Times New Roman" w:hAnsi="Times New Roman" w:cs="Times New Roman"/>
                <w:b/>
                <w:bCs/>
              </w:rPr>
              <w:t>Day 0</w:t>
            </w:r>
          </w:p>
        </w:tc>
        <w:tc>
          <w:tcPr>
            <w:tcW w:w="246" w:type="pct"/>
            <w:vAlign w:val="center"/>
          </w:tcPr>
          <w:p w14:paraId="38B0D271"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±2 days</w:t>
            </w:r>
          </w:p>
        </w:tc>
        <w:tc>
          <w:tcPr>
            <w:tcW w:w="519" w:type="pct"/>
            <w:vAlign w:val="center"/>
          </w:tcPr>
          <w:p w14:paraId="7285FAD6"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±2 days</w:t>
            </w:r>
          </w:p>
        </w:tc>
        <w:tc>
          <w:tcPr>
            <w:tcW w:w="545" w:type="pct"/>
            <w:vAlign w:val="center"/>
          </w:tcPr>
          <w:p w14:paraId="18F4D004"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±2 days</w:t>
            </w:r>
          </w:p>
        </w:tc>
        <w:tc>
          <w:tcPr>
            <w:tcW w:w="785" w:type="pct"/>
            <w:tcMar>
              <w:top w:w="68" w:type="dxa"/>
              <w:bottom w:w="68" w:type="dxa"/>
            </w:tcMar>
            <w:vAlign w:val="center"/>
          </w:tcPr>
          <w:p w14:paraId="02DCEF11"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±3 days</w:t>
            </w:r>
          </w:p>
        </w:tc>
        <w:tc>
          <w:tcPr>
            <w:tcW w:w="578" w:type="pct"/>
            <w:vAlign w:val="center"/>
          </w:tcPr>
          <w:p w14:paraId="70CC08D5"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±7 days</w:t>
            </w:r>
          </w:p>
        </w:tc>
        <w:tc>
          <w:tcPr>
            <w:tcW w:w="609" w:type="pct"/>
            <w:vAlign w:val="center"/>
          </w:tcPr>
          <w:p w14:paraId="5E7BD348"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±7 days</w:t>
            </w:r>
          </w:p>
        </w:tc>
      </w:tr>
      <w:tr w:rsidR="00DE4AFD" w:rsidRPr="00227F09" w14:paraId="6EE4EE88" w14:textId="77777777" w:rsidTr="0034486D">
        <w:tc>
          <w:tcPr>
            <w:tcW w:w="764" w:type="pct"/>
            <w:vAlign w:val="center"/>
          </w:tcPr>
          <w:p w14:paraId="7FC67E98" w14:textId="77777777" w:rsidR="00DE4AFD" w:rsidRPr="00227F09" w:rsidRDefault="004A4F56" w:rsidP="003F7776">
            <w:pPr>
              <w:topLinePunct/>
              <w:adjustRightInd w:val="0"/>
              <w:snapToGrid w:val="0"/>
              <w:rPr>
                <w:rFonts w:ascii="Times New Roman" w:eastAsia="宋体" w:hAnsi="Times New Roman" w:cs="Times New Roman"/>
                <w:spacing w:val="-6"/>
              </w:rPr>
            </w:pPr>
            <w:r w:rsidRPr="00227F09">
              <w:rPr>
                <w:rFonts w:ascii="Times New Roman" w:eastAsia="Times New Roman" w:hAnsi="Times New Roman" w:cs="Times New Roman"/>
                <w:spacing w:val="-6"/>
              </w:rPr>
              <w:t xml:space="preserve">Signing informed </w:t>
            </w:r>
            <w:proofErr w:type="gramStart"/>
            <w:r w:rsidRPr="00227F09">
              <w:rPr>
                <w:rFonts w:ascii="Times New Roman" w:eastAsia="Times New Roman" w:hAnsi="Times New Roman" w:cs="Times New Roman"/>
                <w:spacing w:val="-6"/>
              </w:rPr>
              <w:t>consent</w:t>
            </w:r>
            <w:r w:rsidRPr="00227F09">
              <w:rPr>
                <w:rFonts w:ascii="Times New Roman" w:eastAsia="Times New Roman" w:hAnsi="Times New Roman" w:cs="Times New Roman"/>
                <w:spacing w:val="-6"/>
                <w:vertAlign w:val="superscript"/>
              </w:rPr>
              <w:t>[</w:t>
            </w:r>
            <w:proofErr w:type="gramEnd"/>
            <w:r w:rsidRPr="00227F09">
              <w:rPr>
                <w:rFonts w:ascii="Times New Roman" w:eastAsia="Times New Roman" w:hAnsi="Times New Roman" w:cs="Times New Roman"/>
                <w:spacing w:val="-6"/>
                <w:vertAlign w:val="superscript"/>
              </w:rPr>
              <w:t>1]</w:t>
            </w:r>
          </w:p>
        </w:tc>
        <w:tc>
          <w:tcPr>
            <w:tcW w:w="357" w:type="pct"/>
            <w:vAlign w:val="center"/>
          </w:tcPr>
          <w:p w14:paraId="7CF38121"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357" w:type="pct"/>
          </w:tcPr>
          <w:p w14:paraId="24ADCF31"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239" w:type="pct"/>
            <w:tcMar>
              <w:top w:w="68" w:type="dxa"/>
              <w:bottom w:w="68" w:type="dxa"/>
            </w:tcMar>
            <w:vAlign w:val="center"/>
          </w:tcPr>
          <w:p w14:paraId="3AF25C8C"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246" w:type="pct"/>
          </w:tcPr>
          <w:p w14:paraId="7ED54737"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519" w:type="pct"/>
          </w:tcPr>
          <w:p w14:paraId="5719F972"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545" w:type="pct"/>
          </w:tcPr>
          <w:p w14:paraId="1A837CFB"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785" w:type="pct"/>
            <w:tcMar>
              <w:top w:w="68" w:type="dxa"/>
              <w:bottom w:w="68" w:type="dxa"/>
            </w:tcMar>
            <w:vAlign w:val="center"/>
          </w:tcPr>
          <w:p w14:paraId="415E789C"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578" w:type="pct"/>
          </w:tcPr>
          <w:p w14:paraId="6045C0D4"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609" w:type="pct"/>
          </w:tcPr>
          <w:p w14:paraId="6F035BC8" w14:textId="77777777" w:rsidR="00DE4AFD" w:rsidRPr="00227F09" w:rsidRDefault="00DE4AFD" w:rsidP="003F7776">
            <w:pPr>
              <w:topLinePunct/>
              <w:adjustRightInd w:val="0"/>
              <w:snapToGrid w:val="0"/>
              <w:jc w:val="center"/>
              <w:rPr>
                <w:rFonts w:ascii="Times New Roman" w:eastAsia="宋体" w:hAnsi="Times New Roman" w:cs="Times New Roman"/>
              </w:rPr>
            </w:pPr>
          </w:p>
        </w:tc>
      </w:tr>
      <w:tr w:rsidR="00DE4AFD" w:rsidRPr="00227F09" w14:paraId="71703C48" w14:textId="77777777" w:rsidTr="0034486D">
        <w:tc>
          <w:tcPr>
            <w:tcW w:w="764" w:type="pct"/>
            <w:vAlign w:val="center"/>
          </w:tcPr>
          <w:p w14:paraId="5F9FC061" w14:textId="77777777" w:rsidR="00DE4AFD" w:rsidRPr="00227F09" w:rsidRDefault="004A4F56" w:rsidP="003F7776">
            <w:pPr>
              <w:topLinePunct/>
              <w:adjustRightInd w:val="0"/>
              <w:snapToGrid w:val="0"/>
              <w:rPr>
                <w:rFonts w:ascii="Times New Roman" w:eastAsia="宋体" w:hAnsi="Times New Roman" w:cs="Times New Roman"/>
                <w:spacing w:val="-6"/>
              </w:rPr>
            </w:pPr>
            <w:r w:rsidRPr="00227F09">
              <w:rPr>
                <w:rFonts w:ascii="Times New Roman" w:eastAsia="Times New Roman" w:hAnsi="Times New Roman" w:cs="Times New Roman"/>
                <w:spacing w:val="-6"/>
              </w:rPr>
              <w:t>Demographic data</w:t>
            </w:r>
          </w:p>
        </w:tc>
        <w:tc>
          <w:tcPr>
            <w:tcW w:w="357" w:type="pct"/>
          </w:tcPr>
          <w:p w14:paraId="0EA43583"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357" w:type="pct"/>
          </w:tcPr>
          <w:p w14:paraId="4CA5A81F"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239" w:type="pct"/>
            <w:tcMar>
              <w:top w:w="68" w:type="dxa"/>
              <w:bottom w:w="68" w:type="dxa"/>
            </w:tcMar>
            <w:vAlign w:val="center"/>
          </w:tcPr>
          <w:p w14:paraId="0A2F9CAF"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246" w:type="pct"/>
          </w:tcPr>
          <w:p w14:paraId="5F9A9CDF"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519" w:type="pct"/>
          </w:tcPr>
          <w:p w14:paraId="4980F2CC"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545" w:type="pct"/>
          </w:tcPr>
          <w:p w14:paraId="72EF6980"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785" w:type="pct"/>
            <w:tcMar>
              <w:top w:w="68" w:type="dxa"/>
              <w:bottom w:w="68" w:type="dxa"/>
            </w:tcMar>
            <w:vAlign w:val="center"/>
          </w:tcPr>
          <w:p w14:paraId="65AF5B31"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578" w:type="pct"/>
          </w:tcPr>
          <w:p w14:paraId="134A6535"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609" w:type="pct"/>
          </w:tcPr>
          <w:p w14:paraId="28196624" w14:textId="77777777" w:rsidR="00DE4AFD" w:rsidRPr="00227F09" w:rsidRDefault="00DE4AFD" w:rsidP="003F7776">
            <w:pPr>
              <w:topLinePunct/>
              <w:adjustRightInd w:val="0"/>
              <w:snapToGrid w:val="0"/>
              <w:jc w:val="center"/>
              <w:rPr>
                <w:rFonts w:ascii="Times New Roman" w:eastAsia="宋体" w:hAnsi="Times New Roman" w:cs="Times New Roman"/>
              </w:rPr>
            </w:pPr>
          </w:p>
        </w:tc>
      </w:tr>
      <w:tr w:rsidR="00DE4AFD" w:rsidRPr="00227F09" w14:paraId="6687E3F5" w14:textId="77777777" w:rsidTr="0034486D">
        <w:tc>
          <w:tcPr>
            <w:tcW w:w="764" w:type="pct"/>
            <w:vAlign w:val="center"/>
          </w:tcPr>
          <w:p w14:paraId="79C581C0" w14:textId="77777777" w:rsidR="00DE4AFD" w:rsidRPr="00227F09" w:rsidRDefault="004A4F56" w:rsidP="003F7776">
            <w:pPr>
              <w:topLinePunct/>
              <w:adjustRightInd w:val="0"/>
              <w:snapToGrid w:val="0"/>
              <w:rPr>
                <w:rFonts w:ascii="Times New Roman" w:eastAsia="宋体" w:hAnsi="Times New Roman" w:cs="Times New Roman"/>
                <w:spacing w:val="-6"/>
              </w:rPr>
            </w:pPr>
            <w:r w:rsidRPr="00227F09">
              <w:rPr>
                <w:rFonts w:ascii="Times New Roman" w:eastAsia="Times New Roman" w:hAnsi="Times New Roman" w:cs="Times New Roman"/>
                <w:spacing w:val="-6"/>
              </w:rPr>
              <w:t xml:space="preserve">Medical </w:t>
            </w:r>
            <w:proofErr w:type="gramStart"/>
            <w:r w:rsidRPr="00227F09">
              <w:rPr>
                <w:rFonts w:ascii="Times New Roman" w:eastAsia="Times New Roman" w:hAnsi="Times New Roman" w:cs="Times New Roman"/>
                <w:spacing w:val="-6"/>
              </w:rPr>
              <w:t>history</w:t>
            </w:r>
            <w:r w:rsidRPr="00227F09">
              <w:rPr>
                <w:rFonts w:ascii="Times New Roman" w:eastAsia="Times New Roman" w:hAnsi="Times New Roman" w:cs="Times New Roman"/>
                <w:spacing w:val="-6"/>
                <w:vertAlign w:val="superscript"/>
              </w:rPr>
              <w:t>[</w:t>
            </w:r>
            <w:proofErr w:type="gramEnd"/>
            <w:r w:rsidRPr="00227F09">
              <w:rPr>
                <w:rFonts w:ascii="Times New Roman" w:eastAsia="Times New Roman" w:hAnsi="Times New Roman" w:cs="Times New Roman"/>
                <w:spacing w:val="-6"/>
                <w:vertAlign w:val="superscript"/>
              </w:rPr>
              <w:t>2]</w:t>
            </w:r>
          </w:p>
        </w:tc>
        <w:tc>
          <w:tcPr>
            <w:tcW w:w="357" w:type="pct"/>
          </w:tcPr>
          <w:p w14:paraId="290F9CA9"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357" w:type="pct"/>
          </w:tcPr>
          <w:p w14:paraId="56F9C740"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239" w:type="pct"/>
            <w:tcMar>
              <w:top w:w="68" w:type="dxa"/>
              <w:bottom w:w="68" w:type="dxa"/>
            </w:tcMar>
            <w:vAlign w:val="center"/>
          </w:tcPr>
          <w:p w14:paraId="475DC382"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246" w:type="pct"/>
          </w:tcPr>
          <w:p w14:paraId="73222339"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519" w:type="pct"/>
          </w:tcPr>
          <w:p w14:paraId="7FAE291B"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545" w:type="pct"/>
          </w:tcPr>
          <w:p w14:paraId="576BE41F"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785" w:type="pct"/>
            <w:tcMar>
              <w:top w:w="68" w:type="dxa"/>
              <w:bottom w:w="68" w:type="dxa"/>
            </w:tcMar>
            <w:vAlign w:val="center"/>
          </w:tcPr>
          <w:p w14:paraId="611B6814"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578" w:type="pct"/>
          </w:tcPr>
          <w:p w14:paraId="7374B9E7"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609" w:type="pct"/>
          </w:tcPr>
          <w:p w14:paraId="600CCFAC" w14:textId="77777777" w:rsidR="00DE4AFD" w:rsidRPr="00227F09" w:rsidRDefault="00DE4AFD" w:rsidP="003F7776">
            <w:pPr>
              <w:topLinePunct/>
              <w:adjustRightInd w:val="0"/>
              <w:snapToGrid w:val="0"/>
              <w:jc w:val="center"/>
              <w:rPr>
                <w:rFonts w:ascii="Times New Roman" w:eastAsia="宋体" w:hAnsi="Times New Roman" w:cs="Times New Roman"/>
              </w:rPr>
            </w:pPr>
          </w:p>
        </w:tc>
      </w:tr>
      <w:tr w:rsidR="00DE4AFD" w:rsidRPr="00227F09" w14:paraId="72705BC7" w14:textId="77777777" w:rsidTr="0034486D">
        <w:tc>
          <w:tcPr>
            <w:tcW w:w="764" w:type="pct"/>
            <w:vAlign w:val="center"/>
          </w:tcPr>
          <w:p w14:paraId="06410C1E" w14:textId="77777777" w:rsidR="00DE4AFD" w:rsidRPr="00227F09" w:rsidRDefault="004A4F56" w:rsidP="003F7776">
            <w:pPr>
              <w:topLinePunct/>
              <w:adjustRightInd w:val="0"/>
              <w:snapToGrid w:val="0"/>
              <w:rPr>
                <w:rFonts w:ascii="Times New Roman" w:eastAsia="宋体" w:hAnsi="Times New Roman" w:cs="Times New Roman"/>
                <w:spacing w:val="-6"/>
              </w:rPr>
            </w:pPr>
            <w:r w:rsidRPr="00227F09">
              <w:rPr>
                <w:rFonts w:ascii="Times New Roman" w:eastAsia="Times New Roman" w:hAnsi="Times New Roman" w:cs="Times New Roman"/>
                <w:spacing w:val="-6"/>
              </w:rPr>
              <w:t>BRCA1/2 gene testing</w:t>
            </w:r>
          </w:p>
        </w:tc>
        <w:tc>
          <w:tcPr>
            <w:tcW w:w="357" w:type="pct"/>
          </w:tcPr>
          <w:p w14:paraId="087A93C6"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357" w:type="pct"/>
          </w:tcPr>
          <w:p w14:paraId="6183C13C"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239" w:type="pct"/>
            <w:tcMar>
              <w:top w:w="68" w:type="dxa"/>
              <w:bottom w:w="68" w:type="dxa"/>
            </w:tcMar>
            <w:vAlign w:val="center"/>
          </w:tcPr>
          <w:p w14:paraId="1698FE61"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246" w:type="pct"/>
          </w:tcPr>
          <w:p w14:paraId="06639214"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519" w:type="pct"/>
          </w:tcPr>
          <w:p w14:paraId="34E7BDA4"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545" w:type="pct"/>
          </w:tcPr>
          <w:p w14:paraId="39631525"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785" w:type="pct"/>
            <w:tcMar>
              <w:top w:w="68" w:type="dxa"/>
              <w:bottom w:w="68" w:type="dxa"/>
            </w:tcMar>
            <w:vAlign w:val="center"/>
          </w:tcPr>
          <w:p w14:paraId="292EFABE"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578" w:type="pct"/>
          </w:tcPr>
          <w:p w14:paraId="0A561DBF"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609" w:type="pct"/>
          </w:tcPr>
          <w:p w14:paraId="24BFF03F" w14:textId="77777777" w:rsidR="00DE4AFD" w:rsidRPr="00227F09" w:rsidRDefault="00DE4AFD" w:rsidP="003F7776">
            <w:pPr>
              <w:topLinePunct/>
              <w:adjustRightInd w:val="0"/>
              <w:snapToGrid w:val="0"/>
              <w:jc w:val="center"/>
              <w:rPr>
                <w:rFonts w:ascii="Times New Roman" w:eastAsia="宋体" w:hAnsi="Times New Roman" w:cs="Times New Roman"/>
              </w:rPr>
            </w:pPr>
          </w:p>
        </w:tc>
      </w:tr>
      <w:tr w:rsidR="00DE4AFD" w:rsidRPr="00227F09" w14:paraId="19FDDAD6" w14:textId="77777777" w:rsidTr="0034486D">
        <w:tc>
          <w:tcPr>
            <w:tcW w:w="764" w:type="pct"/>
            <w:vAlign w:val="center"/>
          </w:tcPr>
          <w:p w14:paraId="5B7DD8A7" w14:textId="77777777" w:rsidR="00DE4AFD" w:rsidRPr="00227F09" w:rsidRDefault="004A4F56" w:rsidP="003F7776">
            <w:pPr>
              <w:topLinePunct/>
              <w:adjustRightInd w:val="0"/>
              <w:snapToGrid w:val="0"/>
              <w:rPr>
                <w:rFonts w:ascii="Times New Roman" w:eastAsia="宋体" w:hAnsi="Times New Roman" w:cs="Times New Roman"/>
                <w:spacing w:val="-6"/>
              </w:rPr>
            </w:pPr>
            <w:r w:rsidRPr="00227F09">
              <w:rPr>
                <w:rFonts w:ascii="Times New Roman" w:eastAsia="Times New Roman" w:hAnsi="Times New Roman" w:cs="Times New Roman"/>
                <w:spacing w:val="-6"/>
              </w:rPr>
              <w:t>ECOG s</w:t>
            </w:r>
            <w:r w:rsidRPr="00227F09">
              <w:rPr>
                <w:rFonts w:ascii="Times New Roman" w:eastAsia="Times New Roman" w:hAnsi="Times New Roman" w:cs="Times New Roman"/>
                <w:color w:val="333333"/>
                <w:spacing w:val="-6"/>
              </w:rPr>
              <w:t>core</w:t>
            </w:r>
          </w:p>
        </w:tc>
        <w:tc>
          <w:tcPr>
            <w:tcW w:w="357" w:type="pct"/>
            <w:vAlign w:val="center"/>
          </w:tcPr>
          <w:p w14:paraId="05ED6626"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357" w:type="pct"/>
          </w:tcPr>
          <w:p w14:paraId="7F746D5C"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239" w:type="pct"/>
            <w:tcMar>
              <w:top w:w="68" w:type="dxa"/>
              <w:bottom w:w="68" w:type="dxa"/>
            </w:tcMar>
            <w:vAlign w:val="center"/>
          </w:tcPr>
          <w:p w14:paraId="30944D0C" w14:textId="77777777" w:rsidR="00DE4AFD" w:rsidRPr="00227F09" w:rsidRDefault="00DE4AFD" w:rsidP="003F7776">
            <w:pPr>
              <w:topLinePunct/>
              <w:adjustRightInd w:val="0"/>
              <w:snapToGrid w:val="0"/>
              <w:jc w:val="center"/>
              <w:rPr>
                <w:rFonts w:ascii="Times New Roman" w:eastAsia="宋体" w:hAnsi="Times New Roman" w:cs="Times New Roman"/>
              </w:rPr>
            </w:pPr>
          </w:p>
        </w:tc>
        <w:tc>
          <w:tcPr>
            <w:tcW w:w="246" w:type="pct"/>
          </w:tcPr>
          <w:p w14:paraId="445C8B1E"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19" w:type="pct"/>
          </w:tcPr>
          <w:p w14:paraId="2D51DBDC"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45" w:type="pct"/>
          </w:tcPr>
          <w:p w14:paraId="386C5838"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785" w:type="pct"/>
            <w:tcMar>
              <w:top w:w="68" w:type="dxa"/>
              <w:bottom w:w="68" w:type="dxa"/>
            </w:tcMar>
          </w:tcPr>
          <w:p w14:paraId="2F813942"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78" w:type="pct"/>
          </w:tcPr>
          <w:p w14:paraId="0B7E5572"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609" w:type="pct"/>
          </w:tcPr>
          <w:p w14:paraId="08A0C04C"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2F428D65" w14:textId="77777777" w:rsidTr="0034486D">
        <w:tc>
          <w:tcPr>
            <w:tcW w:w="764" w:type="pct"/>
            <w:vAlign w:val="center"/>
          </w:tcPr>
          <w:p w14:paraId="3AC0F233" w14:textId="77777777" w:rsidR="00DE4AFD" w:rsidRPr="00227F09" w:rsidRDefault="004A4F56" w:rsidP="003F7776">
            <w:pPr>
              <w:topLinePunct/>
              <w:adjustRightInd w:val="0"/>
              <w:snapToGrid w:val="0"/>
              <w:rPr>
                <w:rFonts w:ascii="Times New Roman" w:eastAsia="宋体" w:hAnsi="Times New Roman" w:cs="Times New Roman"/>
                <w:spacing w:val="-6"/>
              </w:rPr>
            </w:pPr>
            <w:r w:rsidRPr="00227F09">
              <w:rPr>
                <w:rFonts w:ascii="Times New Roman" w:eastAsia="Times New Roman" w:hAnsi="Times New Roman" w:cs="Times New Roman"/>
                <w:spacing w:val="-6"/>
              </w:rPr>
              <w:t xml:space="preserve">Physical </w:t>
            </w:r>
            <w:proofErr w:type="gramStart"/>
            <w:r w:rsidRPr="00227F09">
              <w:rPr>
                <w:rFonts w:ascii="Times New Roman" w:eastAsia="Times New Roman" w:hAnsi="Times New Roman" w:cs="Times New Roman"/>
                <w:spacing w:val="-6"/>
              </w:rPr>
              <w:t>examination</w:t>
            </w:r>
            <w:r w:rsidRPr="00227F09">
              <w:rPr>
                <w:rFonts w:ascii="Times New Roman" w:eastAsia="Times New Roman" w:hAnsi="Times New Roman" w:cs="Times New Roman"/>
                <w:spacing w:val="-6"/>
                <w:vertAlign w:val="superscript"/>
              </w:rPr>
              <w:t>[</w:t>
            </w:r>
            <w:proofErr w:type="gramEnd"/>
            <w:r w:rsidRPr="00227F09">
              <w:rPr>
                <w:rFonts w:ascii="Times New Roman" w:eastAsia="Times New Roman" w:hAnsi="Times New Roman" w:cs="Times New Roman"/>
                <w:spacing w:val="-6"/>
                <w:vertAlign w:val="superscript"/>
              </w:rPr>
              <w:t>3]</w:t>
            </w:r>
          </w:p>
        </w:tc>
        <w:tc>
          <w:tcPr>
            <w:tcW w:w="357" w:type="pct"/>
            <w:vAlign w:val="center"/>
          </w:tcPr>
          <w:p w14:paraId="171859AF"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357" w:type="pct"/>
          </w:tcPr>
          <w:p w14:paraId="1C35492C"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239" w:type="pct"/>
            <w:tcMar>
              <w:top w:w="68" w:type="dxa"/>
              <w:bottom w:w="68" w:type="dxa"/>
            </w:tcMar>
            <w:vAlign w:val="center"/>
          </w:tcPr>
          <w:p w14:paraId="4344D21C"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246" w:type="pct"/>
          </w:tcPr>
          <w:p w14:paraId="423D4DB2"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19" w:type="pct"/>
          </w:tcPr>
          <w:p w14:paraId="44DA711E"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45" w:type="pct"/>
          </w:tcPr>
          <w:p w14:paraId="0B32625F"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785" w:type="pct"/>
            <w:tcMar>
              <w:top w:w="68" w:type="dxa"/>
              <w:bottom w:w="68" w:type="dxa"/>
            </w:tcMar>
          </w:tcPr>
          <w:p w14:paraId="26F47B27"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78" w:type="pct"/>
          </w:tcPr>
          <w:p w14:paraId="0C255A31"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609" w:type="pct"/>
          </w:tcPr>
          <w:p w14:paraId="1001C72C"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6D6F1342" w14:textId="77777777" w:rsidTr="0034486D">
        <w:tc>
          <w:tcPr>
            <w:tcW w:w="764" w:type="pct"/>
            <w:vAlign w:val="center"/>
          </w:tcPr>
          <w:p w14:paraId="27372E30" w14:textId="77777777" w:rsidR="00DE4AFD" w:rsidRPr="00227F09" w:rsidRDefault="004A4F56" w:rsidP="003F7776">
            <w:pPr>
              <w:topLinePunct/>
              <w:adjustRightInd w:val="0"/>
              <w:snapToGrid w:val="0"/>
              <w:rPr>
                <w:rFonts w:ascii="Times New Roman" w:eastAsia="宋体" w:hAnsi="Times New Roman" w:cs="Times New Roman"/>
                <w:spacing w:val="-6"/>
              </w:rPr>
            </w:pPr>
            <w:r w:rsidRPr="00227F09">
              <w:rPr>
                <w:rFonts w:ascii="Times New Roman" w:eastAsia="Times New Roman" w:hAnsi="Times New Roman" w:cs="Times New Roman"/>
                <w:spacing w:val="-6"/>
              </w:rPr>
              <w:t>EORTC QLQ-C30 quality of life questionnaire</w:t>
            </w:r>
          </w:p>
        </w:tc>
        <w:tc>
          <w:tcPr>
            <w:tcW w:w="357" w:type="pct"/>
            <w:vAlign w:val="center"/>
          </w:tcPr>
          <w:p w14:paraId="0AF3C0C1"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357" w:type="pct"/>
          </w:tcPr>
          <w:p w14:paraId="4436735F"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2334" w:type="pct"/>
            <w:gridSpan w:val="5"/>
            <w:tcMar>
              <w:top w:w="68" w:type="dxa"/>
              <w:bottom w:w="68" w:type="dxa"/>
            </w:tcMar>
            <w:vAlign w:val="center"/>
          </w:tcPr>
          <w:p w14:paraId="77F4D362"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 it is to be performed</w:t>
            </w:r>
            <w:r w:rsidRPr="00227F09">
              <w:rPr>
                <w:rFonts w:ascii="Times New Roman" w:eastAsia="Times New Roman" w:hAnsi="Times New Roman" w:cs="Times New Roman"/>
                <w:color w:val="333333"/>
                <w:spacing w:val="-6"/>
              </w:rPr>
              <w:t xml:space="preserve"> at the Day 1 visit of each treatment cycle from Cycle 2 onwards until the end of treatment.</w:t>
            </w:r>
            <w:r w:rsidRPr="00227F09">
              <w:rPr>
                <w:rFonts w:ascii="Times New Roman" w:eastAsia="Times New Roman" w:hAnsi="Times New Roman" w:cs="Times New Roman"/>
                <w:spacing w:val="-6"/>
              </w:rPr>
              <w:t xml:space="preserve"> </w:t>
            </w:r>
            <w:r w:rsidRPr="00227F09">
              <w:rPr>
                <w:rFonts w:ascii="Times New Roman" w:eastAsia="Times New Roman" w:hAnsi="Times New Roman" w:cs="Times New Roman"/>
                <w:color w:val="333333"/>
              </w:rPr>
              <w:t>It should be completed before various clinical examinations and clinical assessments are performed and before being informed of any new disease information and initiation of any new treatment.</w:t>
            </w:r>
            <w:r w:rsidRPr="00227F09">
              <w:rPr>
                <w:rFonts w:ascii="Times New Roman" w:eastAsia="Times New Roman" w:hAnsi="Times New Roman" w:cs="Times New Roman"/>
              </w:rPr>
              <w:t xml:space="preserve"> </w:t>
            </w:r>
          </w:p>
        </w:tc>
        <w:tc>
          <w:tcPr>
            <w:tcW w:w="578" w:type="pct"/>
          </w:tcPr>
          <w:p w14:paraId="065E4892"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609" w:type="pct"/>
          </w:tcPr>
          <w:p w14:paraId="6A12C727"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4BE92831" w14:textId="77777777" w:rsidTr="0034486D">
        <w:tc>
          <w:tcPr>
            <w:tcW w:w="764" w:type="pct"/>
            <w:vAlign w:val="center"/>
          </w:tcPr>
          <w:p w14:paraId="5942C0FD" w14:textId="77777777" w:rsidR="00DE4AFD" w:rsidRPr="00227F09" w:rsidRDefault="004A4F56" w:rsidP="003F7776">
            <w:pPr>
              <w:topLinePunct/>
              <w:adjustRightInd w:val="0"/>
              <w:snapToGrid w:val="0"/>
              <w:rPr>
                <w:rFonts w:ascii="Times New Roman" w:eastAsia="宋体" w:hAnsi="Times New Roman" w:cs="Times New Roman"/>
                <w:spacing w:val="-6"/>
              </w:rPr>
            </w:pPr>
            <w:r w:rsidRPr="00227F09">
              <w:rPr>
                <w:rFonts w:ascii="Times New Roman" w:eastAsia="Times New Roman" w:hAnsi="Times New Roman" w:cs="Times New Roman"/>
                <w:spacing w:val="-6"/>
              </w:rPr>
              <w:lastRenderedPageBreak/>
              <w:t>Vital signs</w:t>
            </w:r>
          </w:p>
        </w:tc>
        <w:tc>
          <w:tcPr>
            <w:tcW w:w="357" w:type="pct"/>
            <w:vAlign w:val="center"/>
          </w:tcPr>
          <w:p w14:paraId="70F2870B"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357" w:type="pct"/>
          </w:tcPr>
          <w:p w14:paraId="2333A8BC"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239" w:type="pct"/>
            <w:tcMar>
              <w:top w:w="68" w:type="dxa"/>
              <w:bottom w:w="68" w:type="dxa"/>
            </w:tcMar>
            <w:vAlign w:val="center"/>
          </w:tcPr>
          <w:p w14:paraId="0FDCF1F7"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246" w:type="pct"/>
          </w:tcPr>
          <w:p w14:paraId="2A3B5704"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19" w:type="pct"/>
          </w:tcPr>
          <w:p w14:paraId="4185F677"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45" w:type="pct"/>
          </w:tcPr>
          <w:p w14:paraId="4B4D0E0B"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785" w:type="pct"/>
            <w:tcMar>
              <w:top w:w="68" w:type="dxa"/>
              <w:bottom w:w="68" w:type="dxa"/>
            </w:tcMar>
          </w:tcPr>
          <w:p w14:paraId="66209B87"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78" w:type="pct"/>
          </w:tcPr>
          <w:p w14:paraId="0BFB7A97"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609" w:type="pct"/>
          </w:tcPr>
          <w:p w14:paraId="499A9F96"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515D334B" w14:textId="77777777" w:rsidTr="0034486D">
        <w:tc>
          <w:tcPr>
            <w:tcW w:w="764" w:type="pct"/>
            <w:vAlign w:val="center"/>
          </w:tcPr>
          <w:p w14:paraId="4AB7AC74" w14:textId="77777777" w:rsidR="00DE4AFD" w:rsidRPr="00227F09" w:rsidRDefault="004A4F56" w:rsidP="003F7776">
            <w:pPr>
              <w:topLinePunct/>
              <w:adjustRightInd w:val="0"/>
              <w:snapToGrid w:val="0"/>
              <w:rPr>
                <w:rFonts w:ascii="Times New Roman" w:eastAsia="宋体" w:hAnsi="Times New Roman" w:cs="Times New Roman"/>
                <w:spacing w:val="-6"/>
              </w:rPr>
            </w:pPr>
            <w:r w:rsidRPr="00227F09">
              <w:rPr>
                <w:rFonts w:ascii="Times New Roman" w:eastAsia="Times New Roman" w:hAnsi="Times New Roman" w:cs="Times New Roman"/>
                <w:spacing w:val="-6"/>
              </w:rPr>
              <w:t>Blood pressure (recorded in the subject's diary card)</w:t>
            </w:r>
          </w:p>
        </w:tc>
        <w:tc>
          <w:tcPr>
            <w:tcW w:w="357" w:type="pct"/>
            <w:vAlign w:val="center"/>
          </w:tcPr>
          <w:p w14:paraId="035FB104"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357" w:type="pct"/>
          </w:tcPr>
          <w:p w14:paraId="091695E3"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w w:val="99"/>
              </w:rPr>
              <w:t>X</w:t>
            </w:r>
          </w:p>
        </w:tc>
        <w:tc>
          <w:tcPr>
            <w:tcW w:w="239" w:type="pct"/>
            <w:tcMar>
              <w:top w:w="68" w:type="dxa"/>
              <w:bottom w:w="68" w:type="dxa"/>
            </w:tcMar>
          </w:tcPr>
          <w:p w14:paraId="4280D81E"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246" w:type="pct"/>
          </w:tcPr>
          <w:p w14:paraId="63EFC8A5"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w w:val="99"/>
              </w:rPr>
              <w:t>X</w:t>
            </w:r>
          </w:p>
        </w:tc>
        <w:tc>
          <w:tcPr>
            <w:tcW w:w="519" w:type="pct"/>
          </w:tcPr>
          <w:p w14:paraId="00F1424E"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w w:val="99"/>
              </w:rPr>
              <w:t>X</w:t>
            </w:r>
          </w:p>
        </w:tc>
        <w:tc>
          <w:tcPr>
            <w:tcW w:w="545" w:type="pct"/>
          </w:tcPr>
          <w:p w14:paraId="42894E14"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w w:val="99"/>
              </w:rPr>
              <w:t>X</w:t>
            </w:r>
          </w:p>
        </w:tc>
        <w:tc>
          <w:tcPr>
            <w:tcW w:w="785" w:type="pct"/>
            <w:tcMar>
              <w:top w:w="68" w:type="dxa"/>
              <w:bottom w:w="68" w:type="dxa"/>
            </w:tcMar>
          </w:tcPr>
          <w:p w14:paraId="28852165"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w w:val="99"/>
              </w:rPr>
              <w:t>X</w:t>
            </w:r>
          </w:p>
        </w:tc>
        <w:tc>
          <w:tcPr>
            <w:tcW w:w="578" w:type="pct"/>
          </w:tcPr>
          <w:p w14:paraId="165EF39D"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w w:val="99"/>
              </w:rPr>
              <w:t>X</w:t>
            </w:r>
          </w:p>
        </w:tc>
        <w:tc>
          <w:tcPr>
            <w:tcW w:w="609" w:type="pct"/>
          </w:tcPr>
          <w:p w14:paraId="53B4924B"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55ED88ED" w14:textId="77777777" w:rsidTr="0034486D">
        <w:tc>
          <w:tcPr>
            <w:tcW w:w="764" w:type="pct"/>
            <w:vMerge w:val="restart"/>
            <w:vAlign w:val="center"/>
          </w:tcPr>
          <w:p w14:paraId="7F859B3C" w14:textId="77777777" w:rsidR="00DE4AFD" w:rsidRPr="00227F09" w:rsidRDefault="00DE4AFD" w:rsidP="003F7776">
            <w:pPr>
              <w:topLinePunct/>
              <w:adjustRightInd w:val="0"/>
              <w:snapToGrid w:val="0"/>
              <w:jc w:val="center"/>
              <w:rPr>
                <w:rFonts w:ascii="Times New Roman" w:eastAsia="宋体" w:hAnsi="Times New Roman" w:cs="Times New Roman"/>
                <w:b/>
                <w:spacing w:val="-6"/>
              </w:rPr>
            </w:pPr>
          </w:p>
          <w:p w14:paraId="43A14894" w14:textId="77777777" w:rsidR="00DE4AFD" w:rsidRPr="00227F09" w:rsidRDefault="004A4F56" w:rsidP="003F7776">
            <w:pPr>
              <w:topLinePunct/>
              <w:adjustRightInd w:val="0"/>
              <w:snapToGrid w:val="0"/>
              <w:rPr>
                <w:rFonts w:ascii="Times New Roman" w:eastAsia="宋体" w:hAnsi="Times New Roman" w:cs="Times New Roman"/>
                <w:b/>
                <w:spacing w:val="-6"/>
              </w:rPr>
            </w:pPr>
            <w:r w:rsidRPr="00227F09">
              <w:rPr>
                <w:rFonts w:ascii="Times New Roman" w:eastAsia="Times New Roman" w:hAnsi="Times New Roman" w:cs="Times New Roman"/>
                <w:b/>
                <w:bCs/>
                <w:spacing w:val="-6"/>
              </w:rPr>
              <w:t>Study Period</w:t>
            </w:r>
          </w:p>
        </w:tc>
        <w:tc>
          <w:tcPr>
            <w:tcW w:w="715" w:type="pct"/>
            <w:gridSpan w:val="2"/>
            <w:vMerge w:val="restart"/>
            <w:vAlign w:val="center"/>
          </w:tcPr>
          <w:p w14:paraId="1D6A324E" w14:textId="77777777" w:rsidR="00DE4AFD" w:rsidRPr="00227F09" w:rsidRDefault="004A4F56" w:rsidP="003F7776">
            <w:pPr>
              <w:topLinePunct/>
              <w:adjustRightInd w:val="0"/>
              <w:snapToGrid w:val="0"/>
              <w:jc w:val="center"/>
              <w:rPr>
                <w:rFonts w:ascii="Times New Roman" w:eastAsia="宋体" w:hAnsi="Times New Roman" w:cs="Times New Roman"/>
                <w:b/>
              </w:rPr>
            </w:pPr>
            <w:proofErr w:type="gramStart"/>
            <w:r w:rsidRPr="00227F09">
              <w:rPr>
                <w:rFonts w:ascii="Times New Roman" w:eastAsia="Times New Roman" w:hAnsi="Times New Roman" w:cs="Times New Roman"/>
                <w:b/>
                <w:bCs/>
                <w:spacing w:val="-6"/>
              </w:rPr>
              <w:t>Screening</w:t>
            </w:r>
            <w:r w:rsidRPr="00227F09">
              <w:rPr>
                <w:rFonts w:ascii="Times New Roman" w:eastAsia="Times New Roman" w:hAnsi="Times New Roman" w:cs="Times New Roman"/>
                <w:b/>
                <w:bCs/>
                <w:spacing w:val="-6"/>
                <w:vertAlign w:val="superscript"/>
              </w:rPr>
              <w:t>[</w:t>
            </w:r>
            <w:proofErr w:type="gramEnd"/>
            <w:r w:rsidRPr="00227F09">
              <w:rPr>
                <w:rFonts w:ascii="Times New Roman" w:eastAsia="Times New Roman" w:hAnsi="Times New Roman" w:cs="Times New Roman"/>
                <w:b/>
                <w:bCs/>
                <w:spacing w:val="-6"/>
                <w:vertAlign w:val="superscript"/>
              </w:rPr>
              <w:t>1]</w:t>
            </w:r>
          </w:p>
        </w:tc>
        <w:tc>
          <w:tcPr>
            <w:tcW w:w="2334" w:type="pct"/>
            <w:gridSpan w:val="5"/>
            <w:tcMar>
              <w:top w:w="68" w:type="dxa"/>
              <w:bottom w:w="68" w:type="dxa"/>
            </w:tcMar>
            <w:vAlign w:val="center"/>
          </w:tcPr>
          <w:p w14:paraId="0E189A54"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Treatment Period</w:t>
            </w:r>
          </w:p>
        </w:tc>
        <w:tc>
          <w:tcPr>
            <w:tcW w:w="1187" w:type="pct"/>
            <w:gridSpan w:val="2"/>
            <w:vAlign w:val="center"/>
          </w:tcPr>
          <w:p w14:paraId="60E540A3"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Follow-up Period</w:t>
            </w:r>
          </w:p>
        </w:tc>
      </w:tr>
      <w:tr w:rsidR="00DE4AFD" w:rsidRPr="00227F09" w14:paraId="2A40D14E" w14:textId="77777777" w:rsidTr="0034486D">
        <w:tc>
          <w:tcPr>
            <w:tcW w:w="764" w:type="pct"/>
            <w:vMerge/>
            <w:vAlign w:val="center"/>
          </w:tcPr>
          <w:p w14:paraId="14AAD287" w14:textId="77777777" w:rsidR="00DE4AFD" w:rsidRPr="00227F09" w:rsidRDefault="00DE4AFD" w:rsidP="003F7776">
            <w:pPr>
              <w:topLinePunct/>
              <w:adjustRightInd w:val="0"/>
              <w:snapToGrid w:val="0"/>
              <w:rPr>
                <w:rFonts w:ascii="Times New Roman" w:eastAsia="宋体" w:hAnsi="Times New Roman" w:cs="Times New Roman"/>
                <w:b/>
                <w:spacing w:val="-6"/>
              </w:rPr>
            </w:pPr>
          </w:p>
        </w:tc>
        <w:tc>
          <w:tcPr>
            <w:tcW w:w="715" w:type="pct"/>
            <w:gridSpan w:val="2"/>
            <w:vMerge/>
            <w:vAlign w:val="center"/>
          </w:tcPr>
          <w:p w14:paraId="785B4421" w14:textId="77777777" w:rsidR="00DE4AFD" w:rsidRPr="00227F09" w:rsidRDefault="00DE4AFD" w:rsidP="003F7776">
            <w:pPr>
              <w:topLinePunct/>
              <w:adjustRightInd w:val="0"/>
              <w:snapToGrid w:val="0"/>
              <w:jc w:val="center"/>
              <w:rPr>
                <w:rFonts w:ascii="Times New Roman" w:eastAsia="宋体" w:hAnsi="Times New Roman" w:cs="Times New Roman"/>
                <w:b/>
              </w:rPr>
            </w:pPr>
          </w:p>
        </w:tc>
        <w:tc>
          <w:tcPr>
            <w:tcW w:w="485" w:type="pct"/>
            <w:gridSpan w:val="2"/>
            <w:tcMar>
              <w:top w:w="68" w:type="dxa"/>
              <w:bottom w:w="68" w:type="dxa"/>
            </w:tcMar>
            <w:vAlign w:val="center"/>
          </w:tcPr>
          <w:p w14:paraId="6051A3F1"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Cycle 1</w:t>
            </w:r>
          </w:p>
        </w:tc>
        <w:tc>
          <w:tcPr>
            <w:tcW w:w="519" w:type="pct"/>
            <w:vAlign w:val="center"/>
          </w:tcPr>
          <w:p w14:paraId="370B3B6E"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Cycle 2</w:t>
            </w:r>
          </w:p>
        </w:tc>
        <w:tc>
          <w:tcPr>
            <w:tcW w:w="545" w:type="pct"/>
            <w:vAlign w:val="center"/>
          </w:tcPr>
          <w:p w14:paraId="44F3AD7F"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Subsequent Cycles</w:t>
            </w:r>
          </w:p>
        </w:tc>
        <w:tc>
          <w:tcPr>
            <w:tcW w:w="785" w:type="pct"/>
            <w:tcMar>
              <w:top w:w="68" w:type="dxa"/>
              <w:bottom w:w="68" w:type="dxa"/>
            </w:tcMar>
            <w:vAlign w:val="center"/>
          </w:tcPr>
          <w:p w14:paraId="5353C65D"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End of Treatment/Withdrawal from Study</w:t>
            </w:r>
          </w:p>
        </w:tc>
        <w:tc>
          <w:tcPr>
            <w:tcW w:w="578" w:type="pct"/>
            <w:vAlign w:val="center"/>
          </w:tcPr>
          <w:p w14:paraId="4FEDC6D5"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Safety Follow-</w:t>
            </w:r>
            <w:proofErr w:type="gramStart"/>
            <w:r w:rsidRPr="00227F09">
              <w:rPr>
                <w:rFonts w:ascii="Times New Roman" w:eastAsia="Times New Roman" w:hAnsi="Times New Roman" w:cs="Times New Roman"/>
                <w:b/>
                <w:bCs/>
              </w:rPr>
              <w:t>up</w:t>
            </w:r>
            <w:r w:rsidRPr="00227F09">
              <w:rPr>
                <w:rFonts w:ascii="Times New Roman" w:eastAsia="Times New Roman" w:hAnsi="Times New Roman" w:cs="Times New Roman"/>
                <w:vertAlign w:val="superscript"/>
              </w:rPr>
              <w:t>[</w:t>
            </w:r>
            <w:proofErr w:type="gramEnd"/>
            <w:r w:rsidRPr="00227F09">
              <w:rPr>
                <w:rFonts w:ascii="Times New Roman" w:eastAsia="Times New Roman" w:hAnsi="Times New Roman" w:cs="Times New Roman"/>
                <w:vertAlign w:val="superscript"/>
              </w:rPr>
              <w:t>17]</w:t>
            </w:r>
          </w:p>
        </w:tc>
        <w:tc>
          <w:tcPr>
            <w:tcW w:w="609" w:type="pct"/>
            <w:vAlign w:val="center"/>
          </w:tcPr>
          <w:p w14:paraId="6FF1CC8B"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Survival Follow-up</w:t>
            </w:r>
          </w:p>
        </w:tc>
      </w:tr>
      <w:tr w:rsidR="00DE4AFD" w:rsidRPr="00227F09" w14:paraId="0D80DE4A" w14:textId="77777777" w:rsidTr="0034486D">
        <w:tc>
          <w:tcPr>
            <w:tcW w:w="764" w:type="pct"/>
            <w:vMerge/>
            <w:vAlign w:val="center"/>
          </w:tcPr>
          <w:p w14:paraId="13AA6AE4" w14:textId="77777777" w:rsidR="00DE4AFD" w:rsidRPr="00227F09" w:rsidRDefault="00DE4AFD" w:rsidP="003F7776">
            <w:pPr>
              <w:topLinePunct/>
              <w:adjustRightInd w:val="0"/>
              <w:snapToGrid w:val="0"/>
              <w:rPr>
                <w:rFonts w:ascii="Times New Roman" w:eastAsia="宋体" w:hAnsi="Times New Roman" w:cs="Times New Roman"/>
                <w:b/>
                <w:spacing w:val="-6"/>
              </w:rPr>
            </w:pPr>
          </w:p>
        </w:tc>
        <w:tc>
          <w:tcPr>
            <w:tcW w:w="357" w:type="pct"/>
            <w:vAlign w:val="center"/>
          </w:tcPr>
          <w:p w14:paraId="0BD3603C" w14:textId="77777777" w:rsidR="00DE4AFD" w:rsidRPr="00227F09" w:rsidRDefault="004A4F56" w:rsidP="003F7776">
            <w:pPr>
              <w:topLinePunct/>
              <w:adjustRightInd w:val="0"/>
              <w:snapToGrid w:val="0"/>
              <w:jc w:val="center"/>
              <w:rPr>
                <w:rFonts w:ascii="Times New Roman" w:eastAsia="宋体" w:hAnsi="Times New Roman" w:cs="Times New Roman"/>
                <w:b/>
                <w:spacing w:val="-6"/>
              </w:rPr>
            </w:pPr>
            <w:r w:rsidRPr="00227F09">
              <w:rPr>
                <w:rFonts w:ascii="Times New Roman" w:eastAsia="Times New Roman" w:hAnsi="Times New Roman" w:cs="Times New Roman"/>
                <w:b/>
                <w:bCs/>
              </w:rPr>
              <w:t>Screening 1</w:t>
            </w:r>
          </w:p>
        </w:tc>
        <w:tc>
          <w:tcPr>
            <w:tcW w:w="357" w:type="pct"/>
            <w:vAlign w:val="center"/>
          </w:tcPr>
          <w:p w14:paraId="471F8223"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Screening 2</w:t>
            </w:r>
          </w:p>
        </w:tc>
        <w:tc>
          <w:tcPr>
            <w:tcW w:w="239" w:type="pct"/>
            <w:tcMar>
              <w:top w:w="68" w:type="dxa"/>
              <w:bottom w:w="68" w:type="dxa"/>
            </w:tcMar>
            <w:vAlign w:val="center"/>
          </w:tcPr>
          <w:p w14:paraId="1ED0563A"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rPr>
              <w:t>D1</w:t>
            </w:r>
          </w:p>
        </w:tc>
        <w:tc>
          <w:tcPr>
            <w:tcW w:w="246" w:type="pct"/>
            <w:vAlign w:val="center"/>
          </w:tcPr>
          <w:p w14:paraId="3988BCEC"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rPr>
              <w:t>D21</w:t>
            </w:r>
          </w:p>
        </w:tc>
        <w:tc>
          <w:tcPr>
            <w:tcW w:w="519" w:type="pct"/>
            <w:vAlign w:val="center"/>
          </w:tcPr>
          <w:p w14:paraId="4DC47902"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rPr>
              <w:t>D21</w:t>
            </w:r>
          </w:p>
        </w:tc>
        <w:tc>
          <w:tcPr>
            <w:tcW w:w="545" w:type="pct"/>
            <w:vAlign w:val="center"/>
          </w:tcPr>
          <w:p w14:paraId="05632250"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rPr>
              <w:t>D21</w:t>
            </w:r>
          </w:p>
        </w:tc>
        <w:tc>
          <w:tcPr>
            <w:tcW w:w="785" w:type="pct"/>
            <w:tcMar>
              <w:top w:w="68" w:type="dxa"/>
              <w:bottom w:w="68" w:type="dxa"/>
            </w:tcMar>
            <w:vAlign w:val="center"/>
          </w:tcPr>
          <w:p w14:paraId="47280FB5"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rPr>
              <w:t>EOT</w:t>
            </w:r>
          </w:p>
        </w:tc>
        <w:tc>
          <w:tcPr>
            <w:tcW w:w="578" w:type="pct"/>
            <w:vAlign w:val="center"/>
          </w:tcPr>
          <w:p w14:paraId="66EF78E1"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Within 30 days after EOT</w:t>
            </w:r>
          </w:p>
        </w:tc>
        <w:tc>
          <w:tcPr>
            <w:tcW w:w="609" w:type="pct"/>
            <w:vAlign w:val="center"/>
          </w:tcPr>
          <w:p w14:paraId="0BFD3FAF"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Every three months for one year after EOT, and every 6 months thereafter</w:t>
            </w:r>
          </w:p>
        </w:tc>
      </w:tr>
      <w:tr w:rsidR="00DE4AFD" w:rsidRPr="00227F09" w14:paraId="3F9D86EB" w14:textId="77777777" w:rsidTr="0034486D">
        <w:tc>
          <w:tcPr>
            <w:tcW w:w="764" w:type="pct"/>
            <w:vAlign w:val="center"/>
          </w:tcPr>
          <w:p w14:paraId="23DC7BD3" w14:textId="77777777" w:rsidR="00DE4AFD" w:rsidRPr="00227F09" w:rsidRDefault="004A4F56" w:rsidP="003F7776">
            <w:pPr>
              <w:topLinePunct/>
              <w:adjustRightInd w:val="0"/>
              <w:snapToGrid w:val="0"/>
              <w:rPr>
                <w:rFonts w:ascii="Times New Roman" w:eastAsia="宋体" w:hAnsi="Times New Roman" w:cs="Times New Roman"/>
                <w:spacing w:val="-6"/>
              </w:rPr>
            </w:pPr>
            <w:r w:rsidRPr="00227F09">
              <w:rPr>
                <w:rFonts w:ascii="Times New Roman" w:eastAsia="Times New Roman" w:hAnsi="Times New Roman" w:cs="Times New Roman"/>
                <w:b/>
                <w:bCs/>
                <w:spacing w:val="-6"/>
              </w:rPr>
              <w:t>Window Period</w:t>
            </w:r>
          </w:p>
        </w:tc>
        <w:tc>
          <w:tcPr>
            <w:tcW w:w="357" w:type="pct"/>
            <w:vAlign w:val="center"/>
          </w:tcPr>
          <w:p w14:paraId="5C87174E"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b/>
                <w:bCs/>
                <w:spacing w:val="-6"/>
              </w:rPr>
              <w:t>Within 21 days prior to dosing</w:t>
            </w:r>
          </w:p>
        </w:tc>
        <w:tc>
          <w:tcPr>
            <w:tcW w:w="357" w:type="pct"/>
            <w:vAlign w:val="center"/>
          </w:tcPr>
          <w:p w14:paraId="4595FA61"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b/>
                <w:bCs/>
              </w:rPr>
              <w:t>Within 7 days prior to dosing</w:t>
            </w:r>
          </w:p>
        </w:tc>
        <w:tc>
          <w:tcPr>
            <w:tcW w:w="239" w:type="pct"/>
            <w:tcMar>
              <w:top w:w="68" w:type="dxa"/>
              <w:bottom w:w="68" w:type="dxa"/>
            </w:tcMar>
            <w:vAlign w:val="center"/>
          </w:tcPr>
          <w:p w14:paraId="25B33C6C"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b/>
                <w:bCs/>
              </w:rPr>
              <w:t>Day 0</w:t>
            </w:r>
          </w:p>
        </w:tc>
        <w:tc>
          <w:tcPr>
            <w:tcW w:w="246" w:type="pct"/>
            <w:vAlign w:val="center"/>
          </w:tcPr>
          <w:p w14:paraId="6821C543"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b/>
                <w:bCs/>
              </w:rPr>
              <w:t>±2 days</w:t>
            </w:r>
          </w:p>
        </w:tc>
        <w:tc>
          <w:tcPr>
            <w:tcW w:w="519" w:type="pct"/>
            <w:vAlign w:val="center"/>
          </w:tcPr>
          <w:p w14:paraId="729986DC"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b/>
                <w:bCs/>
              </w:rPr>
              <w:t>±2 days</w:t>
            </w:r>
          </w:p>
        </w:tc>
        <w:tc>
          <w:tcPr>
            <w:tcW w:w="545" w:type="pct"/>
            <w:vAlign w:val="center"/>
          </w:tcPr>
          <w:p w14:paraId="06D798DE"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b/>
                <w:bCs/>
              </w:rPr>
              <w:t>±2 days</w:t>
            </w:r>
          </w:p>
        </w:tc>
        <w:tc>
          <w:tcPr>
            <w:tcW w:w="785" w:type="pct"/>
            <w:tcMar>
              <w:top w:w="68" w:type="dxa"/>
              <w:bottom w:w="68" w:type="dxa"/>
            </w:tcMar>
            <w:vAlign w:val="center"/>
          </w:tcPr>
          <w:p w14:paraId="18102257"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b/>
                <w:bCs/>
              </w:rPr>
              <w:t>±3 days</w:t>
            </w:r>
          </w:p>
        </w:tc>
        <w:tc>
          <w:tcPr>
            <w:tcW w:w="578" w:type="pct"/>
            <w:vAlign w:val="center"/>
          </w:tcPr>
          <w:p w14:paraId="3E022518"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b/>
                <w:bCs/>
              </w:rPr>
              <w:t>±7 days</w:t>
            </w:r>
          </w:p>
        </w:tc>
        <w:tc>
          <w:tcPr>
            <w:tcW w:w="609" w:type="pct"/>
            <w:vAlign w:val="center"/>
          </w:tcPr>
          <w:p w14:paraId="7355DA1D"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b/>
                <w:bCs/>
              </w:rPr>
              <w:t>±7 days</w:t>
            </w:r>
          </w:p>
        </w:tc>
      </w:tr>
      <w:tr w:rsidR="00DE4AFD" w:rsidRPr="00227F09" w14:paraId="4F26247C" w14:textId="77777777" w:rsidTr="0034486D">
        <w:tc>
          <w:tcPr>
            <w:tcW w:w="764" w:type="pct"/>
            <w:vAlign w:val="center"/>
          </w:tcPr>
          <w:p w14:paraId="194DACEE" w14:textId="77777777" w:rsidR="00DE4AFD" w:rsidRPr="00227F09" w:rsidRDefault="004A4F56" w:rsidP="003F7776">
            <w:pPr>
              <w:topLinePunct/>
              <w:adjustRightInd w:val="0"/>
              <w:snapToGrid w:val="0"/>
              <w:rPr>
                <w:rFonts w:ascii="Times New Roman" w:eastAsia="宋体" w:hAnsi="Times New Roman" w:cs="Times New Roman"/>
                <w:spacing w:val="-6"/>
              </w:rPr>
            </w:pPr>
            <w:r w:rsidRPr="00227F09">
              <w:rPr>
                <w:rFonts w:ascii="Times New Roman" w:eastAsia="Times New Roman" w:hAnsi="Times New Roman" w:cs="Times New Roman"/>
                <w:color w:val="333333"/>
                <w:spacing w:val="-6"/>
              </w:rPr>
              <w:t xml:space="preserve">Stool routine + fecal </w:t>
            </w:r>
            <w:r w:rsidRPr="00227F09">
              <w:rPr>
                <w:rFonts w:ascii="Times New Roman" w:eastAsia="Times New Roman" w:hAnsi="Times New Roman" w:cs="Times New Roman"/>
                <w:color w:val="333333"/>
                <w:spacing w:val="-6"/>
              </w:rPr>
              <w:lastRenderedPageBreak/>
              <w:t>occult blood</w:t>
            </w:r>
          </w:p>
        </w:tc>
        <w:tc>
          <w:tcPr>
            <w:tcW w:w="357" w:type="pct"/>
            <w:vAlign w:val="center"/>
          </w:tcPr>
          <w:p w14:paraId="53EFEBD8"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357" w:type="pct"/>
          </w:tcPr>
          <w:p w14:paraId="36379EF4" w14:textId="77777777" w:rsidR="00DE4AFD" w:rsidRPr="00227F09" w:rsidRDefault="004A4F56" w:rsidP="003F7776">
            <w:pPr>
              <w:topLinePunct/>
              <w:adjustRightInd w:val="0"/>
              <w:snapToGrid w:val="0"/>
              <w:jc w:val="center"/>
              <w:rPr>
                <w:rFonts w:ascii="Times New Roman" w:eastAsia="宋体" w:hAnsi="Times New Roman" w:cs="Times New Roman"/>
                <w:w w:val="99"/>
              </w:rPr>
            </w:pPr>
            <w:r w:rsidRPr="00227F09">
              <w:rPr>
                <w:rFonts w:ascii="Times New Roman" w:eastAsia="Times New Roman" w:hAnsi="Times New Roman" w:cs="Times New Roman"/>
                <w:w w:val="99"/>
              </w:rPr>
              <w:t>X</w:t>
            </w:r>
          </w:p>
        </w:tc>
        <w:tc>
          <w:tcPr>
            <w:tcW w:w="239" w:type="pct"/>
            <w:tcMar>
              <w:top w:w="68" w:type="dxa"/>
              <w:bottom w:w="68" w:type="dxa"/>
            </w:tcMar>
          </w:tcPr>
          <w:p w14:paraId="0ED9B62F"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246" w:type="pct"/>
          </w:tcPr>
          <w:p w14:paraId="512EDDC0" w14:textId="77777777" w:rsidR="00DE4AFD" w:rsidRPr="00227F09" w:rsidRDefault="004A4F56" w:rsidP="003F7776">
            <w:pPr>
              <w:topLinePunct/>
              <w:adjustRightInd w:val="0"/>
              <w:snapToGrid w:val="0"/>
              <w:jc w:val="center"/>
              <w:rPr>
                <w:rFonts w:ascii="Times New Roman" w:eastAsia="宋体" w:hAnsi="Times New Roman" w:cs="Times New Roman"/>
                <w:w w:val="99"/>
              </w:rPr>
            </w:pPr>
            <w:r w:rsidRPr="00227F09">
              <w:rPr>
                <w:rFonts w:ascii="Times New Roman" w:eastAsia="Times New Roman" w:hAnsi="Times New Roman" w:cs="Times New Roman"/>
                <w:w w:val="99"/>
              </w:rPr>
              <w:t>X</w:t>
            </w:r>
          </w:p>
        </w:tc>
        <w:tc>
          <w:tcPr>
            <w:tcW w:w="519" w:type="pct"/>
          </w:tcPr>
          <w:p w14:paraId="0DFDDCD4" w14:textId="77777777" w:rsidR="00DE4AFD" w:rsidRPr="00227F09" w:rsidRDefault="004A4F56" w:rsidP="003F7776">
            <w:pPr>
              <w:topLinePunct/>
              <w:adjustRightInd w:val="0"/>
              <w:snapToGrid w:val="0"/>
              <w:jc w:val="center"/>
              <w:rPr>
                <w:rFonts w:ascii="Times New Roman" w:eastAsia="宋体" w:hAnsi="Times New Roman" w:cs="Times New Roman"/>
                <w:w w:val="99"/>
              </w:rPr>
            </w:pPr>
            <w:r w:rsidRPr="00227F09">
              <w:rPr>
                <w:rFonts w:ascii="Times New Roman" w:eastAsia="Times New Roman" w:hAnsi="Times New Roman" w:cs="Times New Roman"/>
                <w:w w:val="99"/>
              </w:rPr>
              <w:t>X</w:t>
            </w:r>
          </w:p>
        </w:tc>
        <w:tc>
          <w:tcPr>
            <w:tcW w:w="545" w:type="pct"/>
          </w:tcPr>
          <w:p w14:paraId="5F0D6ED4" w14:textId="77777777" w:rsidR="00DE4AFD" w:rsidRPr="00227F09" w:rsidRDefault="004A4F56" w:rsidP="003F7776">
            <w:pPr>
              <w:topLinePunct/>
              <w:adjustRightInd w:val="0"/>
              <w:snapToGrid w:val="0"/>
              <w:jc w:val="center"/>
              <w:rPr>
                <w:rFonts w:ascii="Times New Roman" w:eastAsia="宋体" w:hAnsi="Times New Roman" w:cs="Times New Roman"/>
                <w:w w:val="99"/>
              </w:rPr>
            </w:pPr>
            <w:r w:rsidRPr="00227F09">
              <w:rPr>
                <w:rFonts w:ascii="Times New Roman" w:eastAsia="Times New Roman" w:hAnsi="Times New Roman" w:cs="Times New Roman"/>
                <w:w w:val="99"/>
              </w:rPr>
              <w:t>X</w:t>
            </w:r>
          </w:p>
        </w:tc>
        <w:tc>
          <w:tcPr>
            <w:tcW w:w="785" w:type="pct"/>
            <w:tcMar>
              <w:top w:w="68" w:type="dxa"/>
              <w:bottom w:w="68" w:type="dxa"/>
            </w:tcMar>
          </w:tcPr>
          <w:p w14:paraId="2161B59A" w14:textId="77777777" w:rsidR="00DE4AFD" w:rsidRPr="00227F09" w:rsidRDefault="004A4F56" w:rsidP="003F7776">
            <w:pPr>
              <w:topLinePunct/>
              <w:adjustRightInd w:val="0"/>
              <w:snapToGrid w:val="0"/>
              <w:jc w:val="center"/>
              <w:rPr>
                <w:rFonts w:ascii="Times New Roman" w:eastAsia="宋体" w:hAnsi="Times New Roman" w:cs="Times New Roman"/>
                <w:w w:val="99"/>
              </w:rPr>
            </w:pPr>
            <w:r w:rsidRPr="00227F09">
              <w:rPr>
                <w:rFonts w:ascii="Times New Roman" w:eastAsia="Times New Roman" w:hAnsi="Times New Roman" w:cs="Times New Roman"/>
                <w:w w:val="99"/>
              </w:rPr>
              <w:t>X</w:t>
            </w:r>
          </w:p>
        </w:tc>
        <w:tc>
          <w:tcPr>
            <w:tcW w:w="578" w:type="pct"/>
          </w:tcPr>
          <w:p w14:paraId="3C808EB7"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w w:val="99"/>
              </w:rPr>
              <w:t>X</w:t>
            </w:r>
          </w:p>
        </w:tc>
        <w:tc>
          <w:tcPr>
            <w:tcW w:w="609" w:type="pct"/>
          </w:tcPr>
          <w:p w14:paraId="2AEFDE0B"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744035F9" w14:textId="77777777" w:rsidTr="0034486D">
        <w:tc>
          <w:tcPr>
            <w:tcW w:w="764" w:type="pct"/>
            <w:vAlign w:val="center"/>
          </w:tcPr>
          <w:p w14:paraId="055296BF" w14:textId="77777777" w:rsidR="00DE4AFD" w:rsidRPr="00227F09" w:rsidRDefault="004A4F56" w:rsidP="003F7776">
            <w:pPr>
              <w:topLinePunct/>
              <w:adjustRightInd w:val="0"/>
              <w:snapToGrid w:val="0"/>
              <w:rPr>
                <w:rFonts w:ascii="Times New Roman" w:eastAsia="宋体" w:hAnsi="Times New Roman" w:cs="Times New Roman"/>
                <w:spacing w:val="-6"/>
              </w:rPr>
            </w:pPr>
            <w:r w:rsidRPr="00227F09">
              <w:rPr>
                <w:rFonts w:ascii="Times New Roman" w:eastAsia="Times New Roman" w:hAnsi="Times New Roman" w:cs="Times New Roman"/>
                <w:spacing w:val="-6"/>
              </w:rPr>
              <w:t>Immunology test</w:t>
            </w:r>
          </w:p>
        </w:tc>
        <w:tc>
          <w:tcPr>
            <w:tcW w:w="357" w:type="pct"/>
            <w:vAlign w:val="center"/>
          </w:tcPr>
          <w:p w14:paraId="4C6DCDDD"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357" w:type="pct"/>
          </w:tcPr>
          <w:p w14:paraId="2B7F8522" w14:textId="77777777" w:rsidR="00DE4AFD" w:rsidRPr="00227F09" w:rsidRDefault="004A4F56" w:rsidP="003F7776">
            <w:pPr>
              <w:topLinePunct/>
              <w:adjustRightInd w:val="0"/>
              <w:snapToGrid w:val="0"/>
              <w:jc w:val="center"/>
              <w:rPr>
                <w:rFonts w:ascii="Times New Roman" w:eastAsia="宋体" w:hAnsi="Times New Roman" w:cs="Times New Roman"/>
                <w:w w:val="99"/>
              </w:rPr>
            </w:pPr>
            <w:r w:rsidRPr="00227F09">
              <w:rPr>
                <w:rFonts w:ascii="Times New Roman" w:eastAsia="Times New Roman" w:hAnsi="Times New Roman" w:cs="Times New Roman"/>
                <w:w w:val="99"/>
              </w:rPr>
              <w:t>X</w:t>
            </w:r>
          </w:p>
        </w:tc>
        <w:tc>
          <w:tcPr>
            <w:tcW w:w="239" w:type="pct"/>
            <w:tcMar>
              <w:top w:w="68" w:type="dxa"/>
              <w:bottom w:w="68" w:type="dxa"/>
            </w:tcMar>
          </w:tcPr>
          <w:p w14:paraId="562327C4"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246" w:type="pct"/>
          </w:tcPr>
          <w:p w14:paraId="1DB96FCF" w14:textId="77777777" w:rsidR="00DE4AFD" w:rsidRPr="00227F09" w:rsidRDefault="004A4F56" w:rsidP="003F7776">
            <w:pPr>
              <w:topLinePunct/>
              <w:adjustRightInd w:val="0"/>
              <w:snapToGrid w:val="0"/>
              <w:jc w:val="center"/>
              <w:rPr>
                <w:rFonts w:ascii="Times New Roman" w:eastAsia="宋体" w:hAnsi="Times New Roman" w:cs="Times New Roman"/>
                <w:w w:val="99"/>
              </w:rPr>
            </w:pPr>
            <w:r w:rsidRPr="00227F09">
              <w:rPr>
                <w:rFonts w:ascii="Times New Roman" w:eastAsia="Times New Roman" w:hAnsi="Times New Roman" w:cs="Times New Roman"/>
                <w:w w:val="99"/>
              </w:rPr>
              <w:t>X</w:t>
            </w:r>
          </w:p>
        </w:tc>
        <w:tc>
          <w:tcPr>
            <w:tcW w:w="519" w:type="pct"/>
          </w:tcPr>
          <w:p w14:paraId="6E03175C" w14:textId="77777777" w:rsidR="00DE4AFD" w:rsidRPr="00227F09" w:rsidRDefault="004A4F56" w:rsidP="003F7776">
            <w:pPr>
              <w:topLinePunct/>
              <w:adjustRightInd w:val="0"/>
              <w:snapToGrid w:val="0"/>
              <w:jc w:val="center"/>
              <w:rPr>
                <w:rFonts w:ascii="Times New Roman" w:eastAsia="宋体" w:hAnsi="Times New Roman" w:cs="Times New Roman"/>
                <w:w w:val="99"/>
              </w:rPr>
            </w:pPr>
            <w:r w:rsidRPr="00227F09">
              <w:rPr>
                <w:rFonts w:ascii="Times New Roman" w:eastAsia="Times New Roman" w:hAnsi="Times New Roman" w:cs="Times New Roman"/>
                <w:w w:val="99"/>
              </w:rPr>
              <w:t>X</w:t>
            </w:r>
          </w:p>
        </w:tc>
        <w:tc>
          <w:tcPr>
            <w:tcW w:w="545" w:type="pct"/>
          </w:tcPr>
          <w:p w14:paraId="07A42959" w14:textId="77777777" w:rsidR="00DE4AFD" w:rsidRPr="00227F09" w:rsidRDefault="004A4F56" w:rsidP="003F7776">
            <w:pPr>
              <w:topLinePunct/>
              <w:adjustRightInd w:val="0"/>
              <w:snapToGrid w:val="0"/>
              <w:jc w:val="center"/>
              <w:rPr>
                <w:rFonts w:ascii="Times New Roman" w:eastAsia="宋体" w:hAnsi="Times New Roman" w:cs="Times New Roman"/>
                <w:w w:val="99"/>
              </w:rPr>
            </w:pPr>
            <w:r w:rsidRPr="00227F09">
              <w:rPr>
                <w:rFonts w:ascii="Times New Roman" w:eastAsia="Times New Roman" w:hAnsi="Times New Roman" w:cs="Times New Roman"/>
                <w:w w:val="99"/>
              </w:rPr>
              <w:t>X</w:t>
            </w:r>
          </w:p>
        </w:tc>
        <w:tc>
          <w:tcPr>
            <w:tcW w:w="785" w:type="pct"/>
            <w:tcMar>
              <w:top w:w="68" w:type="dxa"/>
              <w:bottom w:w="68" w:type="dxa"/>
            </w:tcMar>
          </w:tcPr>
          <w:p w14:paraId="3FD2F7CD" w14:textId="77777777" w:rsidR="00DE4AFD" w:rsidRPr="00227F09" w:rsidRDefault="004A4F56" w:rsidP="003F7776">
            <w:pPr>
              <w:topLinePunct/>
              <w:adjustRightInd w:val="0"/>
              <w:snapToGrid w:val="0"/>
              <w:jc w:val="center"/>
              <w:rPr>
                <w:rFonts w:ascii="Times New Roman" w:eastAsia="宋体" w:hAnsi="Times New Roman" w:cs="Times New Roman"/>
                <w:w w:val="99"/>
              </w:rPr>
            </w:pPr>
            <w:r w:rsidRPr="00227F09">
              <w:rPr>
                <w:rFonts w:ascii="Times New Roman" w:eastAsia="Times New Roman" w:hAnsi="Times New Roman" w:cs="Times New Roman"/>
                <w:w w:val="99"/>
              </w:rPr>
              <w:t>X</w:t>
            </w:r>
          </w:p>
        </w:tc>
        <w:tc>
          <w:tcPr>
            <w:tcW w:w="578" w:type="pct"/>
          </w:tcPr>
          <w:p w14:paraId="1B793D5B"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w w:val="99"/>
              </w:rPr>
              <w:t>X</w:t>
            </w:r>
          </w:p>
        </w:tc>
        <w:tc>
          <w:tcPr>
            <w:tcW w:w="609" w:type="pct"/>
          </w:tcPr>
          <w:p w14:paraId="15338349"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47BF181C" w14:textId="77777777" w:rsidTr="0034486D">
        <w:tc>
          <w:tcPr>
            <w:tcW w:w="764" w:type="pct"/>
            <w:vAlign w:val="center"/>
          </w:tcPr>
          <w:p w14:paraId="5E6382F9" w14:textId="77777777" w:rsidR="00DE4AFD" w:rsidRPr="00227F09" w:rsidRDefault="004A4F56" w:rsidP="003F7776">
            <w:pPr>
              <w:topLinePunct/>
              <w:adjustRightInd w:val="0"/>
              <w:snapToGrid w:val="0"/>
              <w:rPr>
                <w:rFonts w:ascii="Times New Roman" w:eastAsia="宋体" w:hAnsi="Times New Roman" w:cs="Times New Roman"/>
                <w:spacing w:val="-6"/>
              </w:rPr>
            </w:pPr>
            <w:r w:rsidRPr="00227F09">
              <w:rPr>
                <w:rFonts w:ascii="Times New Roman" w:eastAsia="Times New Roman" w:hAnsi="Times New Roman" w:cs="Times New Roman"/>
                <w:spacing w:val="-6"/>
              </w:rPr>
              <w:t xml:space="preserve">Hepatitis B and C </w:t>
            </w:r>
            <w:proofErr w:type="gramStart"/>
            <w:r w:rsidRPr="00227F09">
              <w:rPr>
                <w:rFonts w:ascii="Times New Roman" w:eastAsia="Times New Roman" w:hAnsi="Times New Roman" w:cs="Times New Roman"/>
                <w:spacing w:val="-6"/>
              </w:rPr>
              <w:t>testing</w:t>
            </w:r>
            <w:r w:rsidRPr="00227F09">
              <w:rPr>
                <w:rFonts w:ascii="Times New Roman" w:eastAsia="Times New Roman" w:hAnsi="Times New Roman" w:cs="Times New Roman"/>
                <w:spacing w:val="-6"/>
                <w:vertAlign w:val="superscript"/>
              </w:rPr>
              <w:t>[</w:t>
            </w:r>
            <w:proofErr w:type="gramEnd"/>
            <w:r w:rsidRPr="00227F09">
              <w:rPr>
                <w:rFonts w:ascii="Times New Roman" w:eastAsia="Times New Roman" w:hAnsi="Times New Roman" w:cs="Times New Roman"/>
                <w:spacing w:val="-6"/>
                <w:vertAlign w:val="superscript"/>
              </w:rPr>
              <w:t>4]</w:t>
            </w:r>
          </w:p>
        </w:tc>
        <w:tc>
          <w:tcPr>
            <w:tcW w:w="357" w:type="pct"/>
            <w:vAlign w:val="center"/>
          </w:tcPr>
          <w:p w14:paraId="2AA46B7E"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w w:val="99"/>
              </w:rPr>
              <w:t>X</w:t>
            </w:r>
          </w:p>
        </w:tc>
        <w:tc>
          <w:tcPr>
            <w:tcW w:w="357" w:type="pct"/>
          </w:tcPr>
          <w:p w14:paraId="00BC7CDF" w14:textId="77777777" w:rsidR="00DE4AFD" w:rsidRPr="00227F09" w:rsidRDefault="00DE4AFD" w:rsidP="003F7776">
            <w:pPr>
              <w:topLinePunct/>
              <w:adjustRightInd w:val="0"/>
              <w:snapToGrid w:val="0"/>
              <w:jc w:val="center"/>
              <w:rPr>
                <w:rFonts w:ascii="Times New Roman" w:eastAsia="宋体" w:hAnsi="Times New Roman" w:cs="Times New Roman"/>
                <w:w w:val="99"/>
              </w:rPr>
            </w:pPr>
          </w:p>
        </w:tc>
        <w:tc>
          <w:tcPr>
            <w:tcW w:w="239" w:type="pct"/>
            <w:tcMar>
              <w:top w:w="68" w:type="dxa"/>
              <w:bottom w:w="68" w:type="dxa"/>
            </w:tcMar>
            <w:vAlign w:val="center"/>
          </w:tcPr>
          <w:p w14:paraId="5A0F1E0C"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246" w:type="pct"/>
          </w:tcPr>
          <w:p w14:paraId="1100A48E"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519" w:type="pct"/>
          </w:tcPr>
          <w:p w14:paraId="60B593A1"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545" w:type="pct"/>
          </w:tcPr>
          <w:p w14:paraId="30ED8299"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785" w:type="pct"/>
            <w:tcMar>
              <w:top w:w="68" w:type="dxa"/>
              <w:bottom w:w="68" w:type="dxa"/>
            </w:tcMar>
          </w:tcPr>
          <w:p w14:paraId="22B7EBC5"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578" w:type="pct"/>
          </w:tcPr>
          <w:p w14:paraId="04DCA349"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609" w:type="pct"/>
          </w:tcPr>
          <w:p w14:paraId="1F70DC45"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687124BB" w14:textId="77777777" w:rsidTr="0034486D">
        <w:tc>
          <w:tcPr>
            <w:tcW w:w="764" w:type="pct"/>
            <w:vAlign w:val="center"/>
          </w:tcPr>
          <w:p w14:paraId="090CCA3C" w14:textId="77777777" w:rsidR="00DE4AFD" w:rsidRPr="00227F09" w:rsidRDefault="004A4F56" w:rsidP="003F7776">
            <w:pPr>
              <w:topLinePunct/>
              <w:adjustRightInd w:val="0"/>
              <w:snapToGrid w:val="0"/>
              <w:rPr>
                <w:rFonts w:ascii="Times New Roman" w:eastAsia="宋体" w:hAnsi="Times New Roman" w:cs="Times New Roman"/>
                <w:spacing w:val="-6"/>
              </w:rPr>
            </w:pPr>
            <w:r w:rsidRPr="00227F09">
              <w:rPr>
                <w:rFonts w:ascii="Times New Roman" w:eastAsia="Times New Roman" w:hAnsi="Times New Roman" w:cs="Times New Roman"/>
                <w:spacing w:val="-6"/>
              </w:rPr>
              <w:t xml:space="preserve">HIV </w:t>
            </w:r>
            <w:proofErr w:type="gramStart"/>
            <w:r w:rsidRPr="00227F09">
              <w:rPr>
                <w:rFonts w:ascii="Times New Roman" w:eastAsia="Times New Roman" w:hAnsi="Times New Roman" w:cs="Times New Roman"/>
                <w:spacing w:val="-6"/>
              </w:rPr>
              <w:t>testing</w:t>
            </w:r>
            <w:r w:rsidRPr="00227F09">
              <w:rPr>
                <w:rFonts w:ascii="Times New Roman" w:eastAsia="Times New Roman" w:hAnsi="Times New Roman" w:cs="Times New Roman"/>
                <w:spacing w:val="-6"/>
                <w:vertAlign w:val="superscript"/>
              </w:rPr>
              <w:t>[</w:t>
            </w:r>
            <w:proofErr w:type="gramEnd"/>
            <w:r w:rsidRPr="00227F09">
              <w:rPr>
                <w:rFonts w:ascii="Times New Roman" w:eastAsia="Times New Roman" w:hAnsi="Times New Roman" w:cs="Times New Roman"/>
                <w:spacing w:val="-6"/>
                <w:vertAlign w:val="superscript"/>
              </w:rPr>
              <w:t>5]</w:t>
            </w:r>
          </w:p>
        </w:tc>
        <w:tc>
          <w:tcPr>
            <w:tcW w:w="357" w:type="pct"/>
            <w:vAlign w:val="center"/>
          </w:tcPr>
          <w:p w14:paraId="4AB70E07" w14:textId="77777777" w:rsidR="00DE4AFD" w:rsidRPr="00227F09" w:rsidRDefault="004A4F56" w:rsidP="003F7776">
            <w:pPr>
              <w:topLinePunct/>
              <w:adjustRightInd w:val="0"/>
              <w:snapToGrid w:val="0"/>
              <w:jc w:val="center"/>
              <w:rPr>
                <w:rFonts w:ascii="Times New Roman" w:eastAsia="宋体" w:hAnsi="Times New Roman" w:cs="Times New Roman"/>
                <w:w w:val="99"/>
              </w:rPr>
            </w:pPr>
            <w:r w:rsidRPr="00227F09">
              <w:rPr>
                <w:rFonts w:ascii="Times New Roman" w:eastAsia="Times New Roman" w:hAnsi="Times New Roman" w:cs="Times New Roman"/>
                <w:w w:val="99"/>
              </w:rPr>
              <w:t>X</w:t>
            </w:r>
          </w:p>
        </w:tc>
        <w:tc>
          <w:tcPr>
            <w:tcW w:w="357" w:type="pct"/>
          </w:tcPr>
          <w:p w14:paraId="6BA1FF27" w14:textId="77777777" w:rsidR="00DE4AFD" w:rsidRPr="00227F09" w:rsidRDefault="00DE4AFD" w:rsidP="003F7776">
            <w:pPr>
              <w:topLinePunct/>
              <w:adjustRightInd w:val="0"/>
              <w:snapToGrid w:val="0"/>
              <w:jc w:val="center"/>
              <w:rPr>
                <w:rFonts w:ascii="Times New Roman" w:eastAsia="宋体" w:hAnsi="Times New Roman" w:cs="Times New Roman"/>
                <w:w w:val="99"/>
              </w:rPr>
            </w:pPr>
          </w:p>
        </w:tc>
        <w:tc>
          <w:tcPr>
            <w:tcW w:w="239" w:type="pct"/>
            <w:tcMar>
              <w:top w:w="68" w:type="dxa"/>
              <w:bottom w:w="68" w:type="dxa"/>
            </w:tcMar>
            <w:vAlign w:val="center"/>
          </w:tcPr>
          <w:p w14:paraId="40C6687D"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246" w:type="pct"/>
          </w:tcPr>
          <w:p w14:paraId="16A35DDA"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519" w:type="pct"/>
          </w:tcPr>
          <w:p w14:paraId="145430E4"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545" w:type="pct"/>
          </w:tcPr>
          <w:p w14:paraId="7CE4533F"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785" w:type="pct"/>
            <w:tcMar>
              <w:top w:w="68" w:type="dxa"/>
              <w:bottom w:w="68" w:type="dxa"/>
            </w:tcMar>
          </w:tcPr>
          <w:p w14:paraId="5E5A8F79"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578" w:type="pct"/>
          </w:tcPr>
          <w:p w14:paraId="533EEAE6"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609" w:type="pct"/>
          </w:tcPr>
          <w:p w14:paraId="2FC66082"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1F5E03BB" w14:textId="77777777" w:rsidTr="0034486D">
        <w:tc>
          <w:tcPr>
            <w:tcW w:w="764" w:type="pct"/>
            <w:vAlign w:val="center"/>
          </w:tcPr>
          <w:p w14:paraId="579AFB0A" w14:textId="77777777" w:rsidR="00DE4AFD" w:rsidRPr="00227F09" w:rsidRDefault="004A4F56" w:rsidP="003F7776">
            <w:pPr>
              <w:topLinePunct/>
              <w:adjustRightInd w:val="0"/>
              <w:snapToGrid w:val="0"/>
              <w:rPr>
                <w:rFonts w:ascii="Times New Roman" w:eastAsia="宋体" w:hAnsi="Times New Roman" w:cs="Times New Roman"/>
                <w:spacing w:val="-6"/>
              </w:rPr>
            </w:pPr>
            <w:r w:rsidRPr="00227F09">
              <w:rPr>
                <w:rFonts w:ascii="Times New Roman" w:eastAsia="Times New Roman" w:hAnsi="Times New Roman" w:cs="Times New Roman"/>
                <w:spacing w:val="-6"/>
              </w:rPr>
              <w:t xml:space="preserve">Blood </w:t>
            </w:r>
            <w:proofErr w:type="gramStart"/>
            <w:r w:rsidRPr="00227F09">
              <w:rPr>
                <w:rFonts w:ascii="Times New Roman" w:eastAsia="Times New Roman" w:hAnsi="Times New Roman" w:cs="Times New Roman"/>
                <w:spacing w:val="-6"/>
              </w:rPr>
              <w:t>pregnancy</w:t>
            </w:r>
            <w:r w:rsidRPr="00227F09">
              <w:rPr>
                <w:rFonts w:ascii="Times New Roman" w:eastAsia="Times New Roman" w:hAnsi="Times New Roman" w:cs="Times New Roman"/>
                <w:spacing w:val="-6"/>
                <w:vertAlign w:val="superscript"/>
              </w:rPr>
              <w:t>[</w:t>
            </w:r>
            <w:proofErr w:type="gramEnd"/>
            <w:r w:rsidRPr="00227F09">
              <w:rPr>
                <w:rFonts w:ascii="Times New Roman" w:eastAsia="Times New Roman" w:hAnsi="Times New Roman" w:cs="Times New Roman"/>
                <w:spacing w:val="-6"/>
                <w:vertAlign w:val="superscript"/>
              </w:rPr>
              <w:t>6]</w:t>
            </w:r>
          </w:p>
        </w:tc>
        <w:tc>
          <w:tcPr>
            <w:tcW w:w="357" w:type="pct"/>
            <w:vAlign w:val="center"/>
          </w:tcPr>
          <w:p w14:paraId="6F9D980E"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357" w:type="pct"/>
          </w:tcPr>
          <w:p w14:paraId="0BDF40BC"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239" w:type="pct"/>
            <w:tcMar>
              <w:top w:w="68" w:type="dxa"/>
              <w:bottom w:w="68" w:type="dxa"/>
            </w:tcMar>
            <w:vAlign w:val="center"/>
          </w:tcPr>
          <w:p w14:paraId="0EC3124A"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246" w:type="pct"/>
          </w:tcPr>
          <w:p w14:paraId="6CA157E1"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519" w:type="pct"/>
          </w:tcPr>
          <w:p w14:paraId="04B53905"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545" w:type="pct"/>
          </w:tcPr>
          <w:p w14:paraId="3759260C"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785" w:type="pct"/>
            <w:tcMar>
              <w:top w:w="68" w:type="dxa"/>
              <w:bottom w:w="68" w:type="dxa"/>
            </w:tcMar>
            <w:vAlign w:val="center"/>
          </w:tcPr>
          <w:p w14:paraId="72155ACC"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578" w:type="pct"/>
          </w:tcPr>
          <w:p w14:paraId="3849260B"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609" w:type="pct"/>
          </w:tcPr>
          <w:p w14:paraId="6945370E"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56EA2FA7" w14:textId="77777777" w:rsidTr="0034486D">
        <w:tc>
          <w:tcPr>
            <w:tcW w:w="764" w:type="pct"/>
            <w:vAlign w:val="center"/>
          </w:tcPr>
          <w:p w14:paraId="74C1E922" w14:textId="77777777" w:rsidR="00DE4AFD" w:rsidRPr="00227F09" w:rsidRDefault="004A4F56" w:rsidP="003F7776">
            <w:pPr>
              <w:topLinePunct/>
              <w:adjustRightInd w:val="0"/>
              <w:snapToGrid w:val="0"/>
              <w:rPr>
                <w:rFonts w:ascii="Times New Roman" w:eastAsia="宋体" w:hAnsi="Times New Roman" w:cs="Times New Roman"/>
                <w:spacing w:val="-6"/>
              </w:rPr>
            </w:pPr>
            <w:proofErr w:type="gramStart"/>
            <w:r w:rsidRPr="00227F09">
              <w:rPr>
                <w:rFonts w:ascii="Times New Roman" w:eastAsia="Times New Roman" w:hAnsi="Times New Roman" w:cs="Times New Roman"/>
                <w:color w:val="333333"/>
                <w:spacing w:val="-6"/>
              </w:rPr>
              <w:t>Hematology</w:t>
            </w:r>
            <w:r w:rsidRPr="00227F09">
              <w:rPr>
                <w:rFonts w:ascii="Times New Roman" w:eastAsia="Times New Roman" w:hAnsi="Times New Roman" w:cs="Times New Roman"/>
                <w:spacing w:val="-6"/>
                <w:vertAlign w:val="superscript"/>
              </w:rPr>
              <w:t>[</w:t>
            </w:r>
            <w:proofErr w:type="gramEnd"/>
            <w:r w:rsidRPr="00227F09">
              <w:rPr>
                <w:rFonts w:ascii="Times New Roman" w:eastAsia="Times New Roman" w:hAnsi="Times New Roman" w:cs="Times New Roman"/>
                <w:spacing w:val="-6"/>
                <w:vertAlign w:val="superscript"/>
              </w:rPr>
              <w:t>7]</w:t>
            </w:r>
          </w:p>
        </w:tc>
        <w:tc>
          <w:tcPr>
            <w:tcW w:w="357" w:type="pct"/>
            <w:vAlign w:val="center"/>
          </w:tcPr>
          <w:p w14:paraId="4E19B323"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357" w:type="pct"/>
          </w:tcPr>
          <w:p w14:paraId="4AFA343C"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239" w:type="pct"/>
            <w:tcMar>
              <w:top w:w="68" w:type="dxa"/>
              <w:bottom w:w="68" w:type="dxa"/>
            </w:tcMar>
            <w:vAlign w:val="center"/>
          </w:tcPr>
          <w:p w14:paraId="7BB2B88F"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246" w:type="pct"/>
          </w:tcPr>
          <w:p w14:paraId="125F5331"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19" w:type="pct"/>
          </w:tcPr>
          <w:p w14:paraId="6E074169"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45" w:type="pct"/>
          </w:tcPr>
          <w:p w14:paraId="27654558"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785" w:type="pct"/>
            <w:tcMar>
              <w:top w:w="68" w:type="dxa"/>
              <w:bottom w:w="68" w:type="dxa"/>
            </w:tcMar>
          </w:tcPr>
          <w:p w14:paraId="7321FF88"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78" w:type="pct"/>
          </w:tcPr>
          <w:p w14:paraId="7A54F7F1"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609" w:type="pct"/>
          </w:tcPr>
          <w:p w14:paraId="28B8DC5A"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55A1E5FF" w14:textId="77777777" w:rsidTr="0034486D">
        <w:tc>
          <w:tcPr>
            <w:tcW w:w="764" w:type="pct"/>
            <w:vAlign w:val="center"/>
          </w:tcPr>
          <w:p w14:paraId="7132F407" w14:textId="77777777" w:rsidR="00DE4AFD" w:rsidRPr="00227F09" w:rsidRDefault="004A4F56" w:rsidP="003F7776">
            <w:pPr>
              <w:topLinePunct/>
              <w:adjustRightInd w:val="0"/>
              <w:snapToGrid w:val="0"/>
              <w:rPr>
                <w:rFonts w:ascii="Times New Roman" w:eastAsia="宋体" w:hAnsi="Times New Roman" w:cs="Times New Roman"/>
                <w:spacing w:val="-6"/>
              </w:rPr>
            </w:pPr>
            <w:r w:rsidRPr="00227F09">
              <w:rPr>
                <w:rFonts w:ascii="Times New Roman" w:eastAsia="Times New Roman" w:hAnsi="Times New Roman" w:cs="Times New Roman"/>
                <w:color w:val="333333"/>
                <w:spacing w:val="-6"/>
              </w:rPr>
              <w:t xml:space="preserve">Blood </w:t>
            </w:r>
            <w:proofErr w:type="gramStart"/>
            <w:r w:rsidRPr="00227F09">
              <w:rPr>
                <w:rFonts w:ascii="Times New Roman" w:eastAsia="Times New Roman" w:hAnsi="Times New Roman" w:cs="Times New Roman"/>
                <w:color w:val="333333"/>
                <w:spacing w:val="-6"/>
              </w:rPr>
              <w:t>chemistry</w:t>
            </w:r>
            <w:r w:rsidRPr="00227F09">
              <w:rPr>
                <w:rFonts w:ascii="Times New Roman" w:eastAsia="Times New Roman" w:hAnsi="Times New Roman" w:cs="Times New Roman"/>
                <w:spacing w:val="-6"/>
                <w:vertAlign w:val="superscript"/>
              </w:rPr>
              <w:t>[</w:t>
            </w:r>
            <w:proofErr w:type="gramEnd"/>
            <w:r w:rsidRPr="00227F09">
              <w:rPr>
                <w:rFonts w:ascii="Times New Roman" w:eastAsia="Times New Roman" w:hAnsi="Times New Roman" w:cs="Times New Roman"/>
                <w:spacing w:val="-6"/>
                <w:vertAlign w:val="superscript"/>
              </w:rPr>
              <w:t>8]</w:t>
            </w:r>
          </w:p>
        </w:tc>
        <w:tc>
          <w:tcPr>
            <w:tcW w:w="357" w:type="pct"/>
            <w:vAlign w:val="center"/>
          </w:tcPr>
          <w:p w14:paraId="4AC8B2FE"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357" w:type="pct"/>
          </w:tcPr>
          <w:p w14:paraId="10879D42"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239" w:type="pct"/>
            <w:tcMar>
              <w:top w:w="68" w:type="dxa"/>
              <w:bottom w:w="68" w:type="dxa"/>
            </w:tcMar>
            <w:vAlign w:val="center"/>
          </w:tcPr>
          <w:p w14:paraId="3DA89E6E"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246" w:type="pct"/>
          </w:tcPr>
          <w:p w14:paraId="08D2B74F"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19" w:type="pct"/>
          </w:tcPr>
          <w:p w14:paraId="16CF00E8"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45" w:type="pct"/>
          </w:tcPr>
          <w:p w14:paraId="1E628865"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785" w:type="pct"/>
            <w:tcMar>
              <w:top w:w="68" w:type="dxa"/>
              <w:bottom w:w="68" w:type="dxa"/>
            </w:tcMar>
          </w:tcPr>
          <w:p w14:paraId="45174270"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78" w:type="pct"/>
          </w:tcPr>
          <w:p w14:paraId="285CA1EC"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609" w:type="pct"/>
          </w:tcPr>
          <w:p w14:paraId="04BCAF68"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5FDC3A22" w14:textId="77777777" w:rsidTr="0034486D">
        <w:tc>
          <w:tcPr>
            <w:tcW w:w="764" w:type="pct"/>
            <w:vAlign w:val="center"/>
          </w:tcPr>
          <w:p w14:paraId="3F0150D6" w14:textId="77777777" w:rsidR="00DE4AFD" w:rsidRPr="00227F09" w:rsidRDefault="004A4F56" w:rsidP="003F7776">
            <w:pPr>
              <w:topLinePunct/>
              <w:adjustRightInd w:val="0"/>
              <w:snapToGrid w:val="0"/>
              <w:rPr>
                <w:rFonts w:ascii="Times New Roman" w:eastAsia="宋体" w:hAnsi="Times New Roman" w:cs="Times New Roman"/>
                <w:spacing w:val="-6"/>
              </w:rPr>
            </w:pPr>
            <w:proofErr w:type="gramStart"/>
            <w:r w:rsidRPr="00227F09">
              <w:rPr>
                <w:rFonts w:ascii="Times New Roman" w:eastAsia="Times New Roman" w:hAnsi="Times New Roman" w:cs="Times New Roman"/>
                <w:spacing w:val="-6"/>
              </w:rPr>
              <w:t>Coagulation</w:t>
            </w:r>
            <w:r w:rsidRPr="00227F09">
              <w:rPr>
                <w:rFonts w:ascii="Times New Roman" w:eastAsia="Times New Roman" w:hAnsi="Times New Roman" w:cs="Times New Roman"/>
                <w:spacing w:val="-6"/>
                <w:vertAlign w:val="superscript"/>
              </w:rPr>
              <w:t>[</w:t>
            </w:r>
            <w:proofErr w:type="gramEnd"/>
            <w:r w:rsidRPr="00227F09">
              <w:rPr>
                <w:rFonts w:ascii="Times New Roman" w:eastAsia="Times New Roman" w:hAnsi="Times New Roman" w:cs="Times New Roman"/>
                <w:spacing w:val="-6"/>
                <w:vertAlign w:val="superscript"/>
              </w:rPr>
              <w:t>9]</w:t>
            </w:r>
          </w:p>
        </w:tc>
        <w:tc>
          <w:tcPr>
            <w:tcW w:w="357" w:type="pct"/>
            <w:vAlign w:val="center"/>
          </w:tcPr>
          <w:p w14:paraId="3086FC7B"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357" w:type="pct"/>
          </w:tcPr>
          <w:p w14:paraId="4590D340"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239" w:type="pct"/>
            <w:tcMar>
              <w:top w:w="68" w:type="dxa"/>
              <w:bottom w:w="68" w:type="dxa"/>
            </w:tcMar>
            <w:vAlign w:val="center"/>
          </w:tcPr>
          <w:p w14:paraId="60050C8C"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246" w:type="pct"/>
          </w:tcPr>
          <w:p w14:paraId="3CBF4FF2"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19" w:type="pct"/>
          </w:tcPr>
          <w:p w14:paraId="126ABEC6"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45" w:type="pct"/>
          </w:tcPr>
          <w:p w14:paraId="24256CD3"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785" w:type="pct"/>
            <w:tcMar>
              <w:top w:w="68" w:type="dxa"/>
              <w:bottom w:w="68" w:type="dxa"/>
            </w:tcMar>
          </w:tcPr>
          <w:p w14:paraId="4ACCABA6"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78" w:type="pct"/>
          </w:tcPr>
          <w:p w14:paraId="28E1E6B5"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609" w:type="pct"/>
          </w:tcPr>
          <w:p w14:paraId="7D5C7AB4"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6D528EFD" w14:textId="77777777" w:rsidTr="0034486D">
        <w:tc>
          <w:tcPr>
            <w:tcW w:w="764" w:type="pct"/>
            <w:vAlign w:val="center"/>
          </w:tcPr>
          <w:p w14:paraId="1EAF162D" w14:textId="77777777" w:rsidR="00DE4AFD" w:rsidRPr="00227F09" w:rsidRDefault="004A4F56" w:rsidP="003F7776">
            <w:pPr>
              <w:topLinePunct/>
              <w:adjustRightInd w:val="0"/>
              <w:snapToGrid w:val="0"/>
              <w:rPr>
                <w:rFonts w:ascii="Times New Roman" w:eastAsia="宋体" w:hAnsi="Times New Roman" w:cs="Times New Roman"/>
                <w:spacing w:val="-6"/>
              </w:rPr>
            </w:pPr>
            <w:r w:rsidRPr="00227F09">
              <w:rPr>
                <w:rFonts w:ascii="Times New Roman" w:eastAsia="Times New Roman" w:hAnsi="Times New Roman" w:cs="Times New Roman"/>
                <w:spacing w:val="-6"/>
              </w:rPr>
              <w:t xml:space="preserve">Thyroid </w:t>
            </w:r>
            <w:proofErr w:type="gramStart"/>
            <w:r w:rsidRPr="00227F09">
              <w:rPr>
                <w:rFonts w:ascii="Times New Roman" w:eastAsia="Times New Roman" w:hAnsi="Times New Roman" w:cs="Times New Roman"/>
                <w:spacing w:val="-6"/>
              </w:rPr>
              <w:t>function</w:t>
            </w:r>
            <w:r w:rsidRPr="00227F09">
              <w:rPr>
                <w:rFonts w:ascii="Times New Roman" w:eastAsia="Times New Roman" w:hAnsi="Times New Roman" w:cs="Times New Roman"/>
                <w:spacing w:val="-6"/>
                <w:vertAlign w:val="superscript"/>
              </w:rPr>
              <w:t>[</w:t>
            </w:r>
            <w:proofErr w:type="gramEnd"/>
            <w:r w:rsidRPr="00227F09">
              <w:rPr>
                <w:rFonts w:ascii="Times New Roman" w:eastAsia="Times New Roman" w:hAnsi="Times New Roman" w:cs="Times New Roman"/>
                <w:spacing w:val="-6"/>
                <w:vertAlign w:val="superscript"/>
              </w:rPr>
              <w:t>10]</w:t>
            </w:r>
          </w:p>
        </w:tc>
        <w:tc>
          <w:tcPr>
            <w:tcW w:w="357" w:type="pct"/>
            <w:vAlign w:val="center"/>
          </w:tcPr>
          <w:p w14:paraId="3DF27E6F"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357" w:type="pct"/>
          </w:tcPr>
          <w:p w14:paraId="1AE94A1C"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239" w:type="pct"/>
            <w:tcMar>
              <w:top w:w="68" w:type="dxa"/>
              <w:bottom w:w="68" w:type="dxa"/>
            </w:tcMar>
            <w:vAlign w:val="center"/>
          </w:tcPr>
          <w:p w14:paraId="02CCC93A"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246" w:type="pct"/>
          </w:tcPr>
          <w:p w14:paraId="05505A44"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19" w:type="pct"/>
          </w:tcPr>
          <w:p w14:paraId="76A38BEA"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45" w:type="pct"/>
          </w:tcPr>
          <w:p w14:paraId="7B3B7D17"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785" w:type="pct"/>
            <w:tcMar>
              <w:top w:w="68" w:type="dxa"/>
              <w:bottom w:w="68" w:type="dxa"/>
            </w:tcMar>
          </w:tcPr>
          <w:p w14:paraId="343ADE68"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78" w:type="pct"/>
          </w:tcPr>
          <w:p w14:paraId="517309C8"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609" w:type="pct"/>
          </w:tcPr>
          <w:p w14:paraId="454B1ADE"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0F6D6B07" w14:textId="77777777" w:rsidTr="0034486D">
        <w:tc>
          <w:tcPr>
            <w:tcW w:w="764" w:type="pct"/>
            <w:vAlign w:val="center"/>
          </w:tcPr>
          <w:p w14:paraId="13445FAC" w14:textId="77777777" w:rsidR="00DE4AFD" w:rsidRPr="00227F09" w:rsidRDefault="004A4F56" w:rsidP="003F7776">
            <w:pPr>
              <w:topLinePunct/>
              <w:adjustRightInd w:val="0"/>
              <w:snapToGrid w:val="0"/>
              <w:rPr>
                <w:rFonts w:ascii="Times New Roman" w:eastAsia="宋体" w:hAnsi="Times New Roman" w:cs="Times New Roman"/>
                <w:spacing w:val="-6"/>
              </w:rPr>
            </w:pPr>
            <w:proofErr w:type="gramStart"/>
            <w:r w:rsidRPr="00227F09">
              <w:rPr>
                <w:rFonts w:ascii="Times New Roman" w:eastAsia="Times New Roman" w:hAnsi="Times New Roman" w:cs="Times New Roman"/>
                <w:spacing w:val="-6"/>
              </w:rPr>
              <w:t>Urinalysis</w:t>
            </w:r>
            <w:r w:rsidRPr="00227F09">
              <w:rPr>
                <w:rFonts w:ascii="Times New Roman" w:eastAsia="Times New Roman" w:hAnsi="Times New Roman" w:cs="Times New Roman"/>
                <w:spacing w:val="-6"/>
                <w:vertAlign w:val="superscript"/>
              </w:rPr>
              <w:t>[</w:t>
            </w:r>
            <w:proofErr w:type="gramEnd"/>
            <w:r w:rsidRPr="00227F09">
              <w:rPr>
                <w:rFonts w:ascii="Times New Roman" w:eastAsia="Times New Roman" w:hAnsi="Times New Roman" w:cs="Times New Roman"/>
                <w:spacing w:val="-6"/>
                <w:vertAlign w:val="superscript"/>
              </w:rPr>
              <w:t>11]</w:t>
            </w:r>
          </w:p>
        </w:tc>
        <w:tc>
          <w:tcPr>
            <w:tcW w:w="357" w:type="pct"/>
            <w:vAlign w:val="center"/>
          </w:tcPr>
          <w:p w14:paraId="4117025B"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357" w:type="pct"/>
          </w:tcPr>
          <w:p w14:paraId="2AC231BB"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239" w:type="pct"/>
            <w:tcMar>
              <w:top w:w="68" w:type="dxa"/>
              <w:bottom w:w="68" w:type="dxa"/>
            </w:tcMar>
            <w:vAlign w:val="center"/>
          </w:tcPr>
          <w:p w14:paraId="76FA9026"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246" w:type="pct"/>
          </w:tcPr>
          <w:p w14:paraId="0578EB02"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19" w:type="pct"/>
          </w:tcPr>
          <w:p w14:paraId="0ADC601B"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45" w:type="pct"/>
          </w:tcPr>
          <w:p w14:paraId="435F9E03"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785" w:type="pct"/>
            <w:tcMar>
              <w:top w:w="68" w:type="dxa"/>
              <w:bottom w:w="68" w:type="dxa"/>
            </w:tcMar>
          </w:tcPr>
          <w:p w14:paraId="463DA764"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78" w:type="pct"/>
          </w:tcPr>
          <w:p w14:paraId="464B7A0D"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609" w:type="pct"/>
          </w:tcPr>
          <w:p w14:paraId="58960C94"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07360D83" w14:textId="77777777" w:rsidTr="0034486D">
        <w:tc>
          <w:tcPr>
            <w:tcW w:w="764" w:type="pct"/>
            <w:vAlign w:val="center"/>
          </w:tcPr>
          <w:p w14:paraId="73AF962D" w14:textId="77777777" w:rsidR="00DE4AFD" w:rsidRPr="00227F09" w:rsidRDefault="004A4F56" w:rsidP="003F7776">
            <w:pPr>
              <w:topLinePunct/>
              <w:adjustRightInd w:val="0"/>
              <w:snapToGrid w:val="0"/>
              <w:rPr>
                <w:rFonts w:ascii="Times New Roman" w:eastAsia="宋体" w:hAnsi="Times New Roman" w:cs="Times New Roman"/>
                <w:spacing w:val="-6"/>
              </w:rPr>
            </w:pPr>
            <w:r w:rsidRPr="00227F09">
              <w:rPr>
                <w:rFonts w:ascii="Times New Roman" w:eastAsia="Times New Roman" w:hAnsi="Times New Roman" w:cs="Times New Roman"/>
                <w:spacing w:val="-6"/>
              </w:rPr>
              <w:t>Echocardiogram</w:t>
            </w:r>
          </w:p>
        </w:tc>
        <w:tc>
          <w:tcPr>
            <w:tcW w:w="357" w:type="pct"/>
            <w:vAlign w:val="center"/>
          </w:tcPr>
          <w:p w14:paraId="322123C0"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357" w:type="pct"/>
          </w:tcPr>
          <w:p w14:paraId="3C6549B4"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2334" w:type="pct"/>
            <w:gridSpan w:val="5"/>
            <w:tcMar>
              <w:top w:w="68" w:type="dxa"/>
              <w:bottom w:w="68" w:type="dxa"/>
            </w:tcMar>
            <w:vAlign w:val="center"/>
          </w:tcPr>
          <w:p w14:paraId="14C946C6"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color w:val="333333"/>
                <w:spacing w:val="-6"/>
              </w:rPr>
              <w:t>X, left ventricular ejection fraction (LVEF) will be evaluated every 6 weeks ± 2 days from start of treatment</w:t>
            </w:r>
            <w:r w:rsidRPr="00227F09">
              <w:rPr>
                <w:rFonts w:ascii="Times New Roman" w:eastAsia="Times New Roman" w:hAnsi="Times New Roman" w:cs="Times New Roman"/>
                <w:spacing w:val="-6"/>
              </w:rPr>
              <w:t xml:space="preserve">. </w:t>
            </w:r>
          </w:p>
        </w:tc>
        <w:tc>
          <w:tcPr>
            <w:tcW w:w="578" w:type="pct"/>
          </w:tcPr>
          <w:p w14:paraId="08ACDF3E"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609" w:type="pct"/>
          </w:tcPr>
          <w:p w14:paraId="6AFD01AC"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2C82A1DE" w14:textId="77777777" w:rsidTr="0034486D">
        <w:tc>
          <w:tcPr>
            <w:tcW w:w="764" w:type="pct"/>
            <w:vAlign w:val="center"/>
          </w:tcPr>
          <w:p w14:paraId="3FB10EF7" w14:textId="77777777" w:rsidR="00DE4AFD" w:rsidRPr="00227F09" w:rsidRDefault="004A4F56" w:rsidP="003F7776">
            <w:pPr>
              <w:topLinePunct/>
              <w:adjustRightInd w:val="0"/>
              <w:snapToGrid w:val="0"/>
              <w:rPr>
                <w:rFonts w:ascii="Times New Roman" w:eastAsia="宋体" w:hAnsi="Times New Roman" w:cs="Times New Roman"/>
                <w:spacing w:val="-6"/>
              </w:rPr>
            </w:pPr>
            <w:r w:rsidRPr="00227F09">
              <w:rPr>
                <w:rFonts w:ascii="Times New Roman" w:eastAsia="Times New Roman" w:hAnsi="Times New Roman" w:cs="Times New Roman"/>
                <w:spacing w:val="-6"/>
              </w:rPr>
              <w:t xml:space="preserve">12-lead </w:t>
            </w:r>
            <w:proofErr w:type="gramStart"/>
            <w:r w:rsidRPr="00227F09">
              <w:rPr>
                <w:rFonts w:ascii="Times New Roman" w:eastAsia="Times New Roman" w:hAnsi="Times New Roman" w:cs="Times New Roman"/>
                <w:spacing w:val="-6"/>
              </w:rPr>
              <w:t>electrocardiogram</w:t>
            </w:r>
            <w:r w:rsidRPr="00227F09">
              <w:rPr>
                <w:rFonts w:ascii="Times New Roman" w:eastAsia="Times New Roman" w:hAnsi="Times New Roman" w:cs="Times New Roman"/>
                <w:spacing w:val="-6"/>
                <w:vertAlign w:val="superscript"/>
              </w:rPr>
              <w:t>[</w:t>
            </w:r>
            <w:proofErr w:type="gramEnd"/>
            <w:r w:rsidRPr="00227F09">
              <w:rPr>
                <w:rFonts w:ascii="Times New Roman" w:eastAsia="Times New Roman" w:hAnsi="Times New Roman" w:cs="Times New Roman"/>
                <w:spacing w:val="-6"/>
                <w:vertAlign w:val="superscript"/>
              </w:rPr>
              <w:t>12]</w:t>
            </w:r>
          </w:p>
        </w:tc>
        <w:tc>
          <w:tcPr>
            <w:tcW w:w="357" w:type="pct"/>
            <w:vAlign w:val="center"/>
          </w:tcPr>
          <w:p w14:paraId="0697F24D"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357" w:type="pct"/>
          </w:tcPr>
          <w:p w14:paraId="0E371BEA"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239" w:type="pct"/>
            <w:tcMar>
              <w:top w:w="68" w:type="dxa"/>
              <w:bottom w:w="68" w:type="dxa"/>
            </w:tcMar>
            <w:vAlign w:val="center"/>
          </w:tcPr>
          <w:p w14:paraId="73368C5D"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246" w:type="pct"/>
          </w:tcPr>
          <w:p w14:paraId="0EB3BA02"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19" w:type="pct"/>
          </w:tcPr>
          <w:p w14:paraId="1FF399B3"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45" w:type="pct"/>
          </w:tcPr>
          <w:p w14:paraId="5F5C19A1"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785" w:type="pct"/>
            <w:tcMar>
              <w:top w:w="68" w:type="dxa"/>
              <w:bottom w:w="68" w:type="dxa"/>
            </w:tcMar>
          </w:tcPr>
          <w:p w14:paraId="6B5018C4"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78" w:type="pct"/>
          </w:tcPr>
          <w:p w14:paraId="7AD30AE4"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609" w:type="pct"/>
          </w:tcPr>
          <w:p w14:paraId="0D55B80E"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1B418BBB" w14:textId="77777777" w:rsidTr="0034486D">
        <w:tc>
          <w:tcPr>
            <w:tcW w:w="764" w:type="pct"/>
            <w:vAlign w:val="center"/>
          </w:tcPr>
          <w:p w14:paraId="2A887EA4" w14:textId="77777777" w:rsidR="00DE4AFD" w:rsidRPr="00227F09" w:rsidRDefault="004A4F56" w:rsidP="003F7776">
            <w:pPr>
              <w:topLinePunct/>
              <w:adjustRightInd w:val="0"/>
              <w:snapToGrid w:val="0"/>
              <w:jc w:val="center"/>
              <w:rPr>
                <w:rFonts w:ascii="Times New Roman" w:eastAsia="宋体" w:hAnsi="Times New Roman" w:cs="Times New Roman"/>
                <w:b/>
                <w:spacing w:val="-6"/>
              </w:rPr>
            </w:pPr>
            <w:r w:rsidRPr="00227F09">
              <w:rPr>
                <w:rFonts w:ascii="Times New Roman" w:eastAsia="Times New Roman" w:hAnsi="Times New Roman" w:cs="Times New Roman"/>
                <w:color w:val="333333"/>
              </w:rPr>
              <w:lastRenderedPageBreak/>
              <w:t xml:space="preserve">Tumor </w:t>
            </w:r>
            <w:proofErr w:type="gramStart"/>
            <w:r w:rsidRPr="00227F09">
              <w:rPr>
                <w:rFonts w:ascii="Times New Roman" w:eastAsia="Times New Roman" w:hAnsi="Times New Roman" w:cs="Times New Roman"/>
                <w:color w:val="333333"/>
              </w:rPr>
              <w:t>imaging</w:t>
            </w:r>
            <w:r w:rsidRPr="00227F09">
              <w:rPr>
                <w:rFonts w:ascii="Times New Roman" w:eastAsia="Times New Roman" w:hAnsi="Times New Roman" w:cs="Times New Roman"/>
                <w:vertAlign w:val="superscript"/>
              </w:rPr>
              <w:t>[</w:t>
            </w:r>
            <w:proofErr w:type="gramEnd"/>
            <w:r w:rsidRPr="00227F09">
              <w:rPr>
                <w:rFonts w:ascii="Times New Roman" w:eastAsia="Times New Roman" w:hAnsi="Times New Roman" w:cs="Times New Roman"/>
                <w:vertAlign w:val="superscript"/>
              </w:rPr>
              <w:t>13]</w:t>
            </w:r>
          </w:p>
        </w:tc>
        <w:tc>
          <w:tcPr>
            <w:tcW w:w="357" w:type="pct"/>
            <w:vAlign w:val="center"/>
          </w:tcPr>
          <w:p w14:paraId="516F2DDF"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357" w:type="pct"/>
          </w:tcPr>
          <w:p w14:paraId="313FAB1D"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2334" w:type="pct"/>
            <w:gridSpan w:val="5"/>
            <w:tcMar>
              <w:top w:w="68" w:type="dxa"/>
              <w:bottom w:w="68" w:type="dxa"/>
            </w:tcMar>
          </w:tcPr>
          <w:p w14:paraId="72944EF9"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color w:val="333333"/>
                <w:spacing w:val="-6"/>
              </w:rPr>
              <w:t xml:space="preserve">X, tumor imaging evaluation (CT or MRI) will be performed every 6 weeks ± 2 days after the start of treatment until disease progression, death, or withdrawal of consent, whichever occurs first. </w:t>
            </w:r>
            <w:r w:rsidRPr="00227F09">
              <w:rPr>
                <w:rFonts w:ascii="Times New Roman" w:eastAsia="Times New Roman" w:hAnsi="Times New Roman" w:cs="Times New Roman"/>
                <w:color w:val="333333"/>
              </w:rPr>
              <w:t>If there is early withdrawal or withdrawal due to non-disease progression factors, it is recommended to continue evaluation until disease progression occurs.</w:t>
            </w:r>
            <w:r w:rsidRPr="00227F09">
              <w:rPr>
                <w:rFonts w:ascii="Times New Roman" w:eastAsia="Times New Roman" w:hAnsi="Times New Roman" w:cs="Times New Roman"/>
              </w:rPr>
              <w:t xml:space="preserve"> </w:t>
            </w:r>
            <w:r w:rsidRPr="00227F09">
              <w:rPr>
                <w:rFonts w:ascii="Times New Roman" w:eastAsia="Times New Roman" w:hAnsi="Times New Roman" w:cs="Times New Roman"/>
                <w:color w:val="333333"/>
              </w:rPr>
              <w:t>Unscheduled tumor assessments may be performed by the investigator as clinically indicated.</w:t>
            </w:r>
            <w:r w:rsidRPr="00227F09">
              <w:rPr>
                <w:rFonts w:ascii="Times New Roman" w:eastAsia="Times New Roman" w:hAnsi="Times New Roman" w:cs="Times New Roman"/>
              </w:rPr>
              <w:t xml:space="preserve"> </w:t>
            </w:r>
          </w:p>
        </w:tc>
        <w:tc>
          <w:tcPr>
            <w:tcW w:w="578" w:type="pct"/>
          </w:tcPr>
          <w:p w14:paraId="3EA6A5B0"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609" w:type="pct"/>
          </w:tcPr>
          <w:p w14:paraId="1A2F14E6"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32A0DB2F" w14:textId="77777777" w:rsidTr="0034486D">
        <w:tc>
          <w:tcPr>
            <w:tcW w:w="764" w:type="pct"/>
            <w:vMerge w:val="restart"/>
            <w:vAlign w:val="center"/>
          </w:tcPr>
          <w:p w14:paraId="3C9A460C" w14:textId="77777777" w:rsidR="00DE4AFD" w:rsidRPr="00227F09" w:rsidRDefault="00DE4AFD" w:rsidP="003F7776">
            <w:pPr>
              <w:topLinePunct/>
              <w:adjustRightInd w:val="0"/>
              <w:snapToGrid w:val="0"/>
              <w:jc w:val="center"/>
              <w:rPr>
                <w:rFonts w:ascii="Times New Roman" w:eastAsia="宋体" w:hAnsi="Times New Roman" w:cs="Times New Roman"/>
                <w:b/>
                <w:spacing w:val="-6"/>
              </w:rPr>
            </w:pPr>
          </w:p>
          <w:p w14:paraId="057E0E48" w14:textId="77777777" w:rsidR="00DE4AFD" w:rsidRPr="00227F09" w:rsidRDefault="004A4F56" w:rsidP="003F7776">
            <w:pPr>
              <w:topLinePunct/>
              <w:adjustRightInd w:val="0"/>
              <w:snapToGrid w:val="0"/>
              <w:rPr>
                <w:rFonts w:ascii="Times New Roman" w:eastAsia="宋体" w:hAnsi="Times New Roman" w:cs="Times New Roman"/>
                <w:b/>
                <w:spacing w:val="-6"/>
              </w:rPr>
            </w:pPr>
            <w:r w:rsidRPr="00227F09">
              <w:rPr>
                <w:rFonts w:ascii="Times New Roman" w:eastAsia="Times New Roman" w:hAnsi="Times New Roman" w:cs="Times New Roman"/>
                <w:b/>
                <w:bCs/>
                <w:spacing w:val="-6"/>
              </w:rPr>
              <w:t>Study Period</w:t>
            </w:r>
          </w:p>
        </w:tc>
        <w:tc>
          <w:tcPr>
            <w:tcW w:w="715" w:type="pct"/>
            <w:gridSpan w:val="2"/>
            <w:vMerge w:val="restart"/>
            <w:vAlign w:val="center"/>
          </w:tcPr>
          <w:p w14:paraId="4FF6A46A" w14:textId="77777777" w:rsidR="00DE4AFD" w:rsidRPr="00227F09" w:rsidRDefault="004A4F56" w:rsidP="003F7776">
            <w:pPr>
              <w:topLinePunct/>
              <w:adjustRightInd w:val="0"/>
              <w:snapToGrid w:val="0"/>
              <w:jc w:val="center"/>
              <w:rPr>
                <w:rFonts w:ascii="Times New Roman" w:eastAsia="宋体" w:hAnsi="Times New Roman" w:cs="Times New Roman"/>
                <w:b/>
              </w:rPr>
            </w:pPr>
            <w:proofErr w:type="gramStart"/>
            <w:r w:rsidRPr="00227F09">
              <w:rPr>
                <w:rFonts w:ascii="Times New Roman" w:eastAsia="Times New Roman" w:hAnsi="Times New Roman" w:cs="Times New Roman"/>
                <w:b/>
                <w:bCs/>
                <w:spacing w:val="-6"/>
              </w:rPr>
              <w:t>Screening</w:t>
            </w:r>
            <w:r w:rsidRPr="00227F09">
              <w:rPr>
                <w:rFonts w:ascii="Times New Roman" w:eastAsia="Times New Roman" w:hAnsi="Times New Roman" w:cs="Times New Roman"/>
                <w:b/>
                <w:bCs/>
                <w:spacing w:val="-6"/>
                <w:vertAlign w:val="superscript"/>
              </w:rPr>
              <w:t>[</w:t>
            </w:r>
            <w:proofErr w:type="gramEnd"/>
            <w:r w:rsidRPr="00227F09">
              <w:rPr>
                <w:rFonts w:ascii="Times New Roman" w:eastAsia="Times New Roman" w:hAnsi="Times New Roman" w:cs="Times New Roman"/>
                <w:b/>
                <w:bCs/>
                <w:spacing w:val="-6"/>
                <w:vertAlign w:val="superscript"/>
              </w:rPr>
              <w:t>1]</w:t>
            </w:r>
          </w:p>
        </w:tc>
        <w:tc>
          <w:tcPr>
            <w:tcW w:w="2334" w:type="pct"/>
            <w:gridSpan w:val="5"/>
            <w:tcMar>
              <w:top w:w="68" w:type="dxa"/>
              <w:bottom w:w="68" w:type="dxa"/>
            </w:tcMar>
            <w:vAlign w:val="center"/>
          </w:tcPr>
          <w:p w14:paraId="440E628E"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Treatment Period</w:t>
            </w:r>
          </w:p>
        </w:tc>
        <w:tc>
          <w:tcPr>
            <w:tcW w:w="1187" w:type="pct"/>
            <w:gridSpan w:val="2"/>
            <w:vAlign w:val="center"/>
          </w:tcPr>
          <w:p w14:paraId="76E7B893"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Follow-up Period</w:t>
            </w:r>
          </w:p>
        </w:tc>
      </w:tr>
      <w:tr w:rsidR="00DE4AFD" w:rsidRPr="00227F09" w14:paraId="7DFCBB96" w14:textId="77777777" w:rsidTr="0034486D">
        <w:tc>
          <w:tcPr>
            <w:tcW w:w="764" w:type="pct"/>
            <w:vMerge/>
            <w:vAlign w:val="center"/>
          </w:tcPr>
          <w:p w14:paraId="6005769C" w14:textId="77777777" w:rsidR="00DE4AFD" w:rsidRPr="00227F09" w:rsidRDefault="00DE4AFD" w:rsidP="003F7776">
            <w:pPr>
              <w:topLinePunct/>
              <w:adjustRightInd w:val="0"/>
              <w:snapToGrid w:val="0"/>
              <w:rPr>
                <w:rFonts w:ascii="Times New Roman" w:eastAsia="宋体" w:hAnsi="Times New Roman" w:cs="Times New Roman"/>
                <w:b/>
                <w:spacing w:val="-6"/>
              </w:rPr>
            </w:pPr>
          </w:p>
        </w:tc>
        <w:tc>
          <w:tcPr>
            <w:tcW w:w="715" w:type="pct"/>
            <w:gridSpan w:val="2"/>
            <w:vMerge/>
            <w:vAlign w:val="center"/>
          </w:tcPr>
          <w:p w14:paraId="4CA42506" w14:textId="77777777" w:rsidR="00DE4AFD" w:rsidRPr="00227F09" w:rsidRDefault="00DE4AFD" w:rsidP="003F7776">
            <w:pPr>
              <w:topLinePunct/>
              <w:adjustRightInd w:val="0"/>
              <w:snapToGrid w:val="0"/>
              <w:jc w:val="center"/>
              <w:rPr>
                <w:rFonts w:ascii="Times New Roman" w:eastAsia="宋体" w:hAnsi="Times New Roman" w:cs="Times New Roman"/>
                <w:b/>
              </w:rPr>
            </w:pPr>
          </w:p>
        </w:tc>
        <w:tc>
          <w:tcPr>
            <w:tcW w:w="485" w:type="pct"/>
            <w:gridSpan w:val="2"/>
            <w:tcMar>
              <w:top w:w="68" w:type="dxa"/>
              <w:bottom w:w="68" w:type="dxa"/>
            </w:tcMar>
            <w:vAlign w:val="center"/>
          </w:tcPr>
          <w:p w14:paraId="502D35AA"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Cycle 1</w:t>
            </w:r>
          </w:p>
        </w:tc>
        <w:tc>
          <w:tcPr>
            <w:tcW w:w="519" w:type="pct"/>
            <w:vAlign w:val="center"/>
          </w:tcPr>
          <w:p w14:paraId="71709678"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Cycle 2</w:t>
            </w:r>
          </w:p>
        </w:tc>
        <w:tc>
          <w:tcPr>
            <w:tcW w:w="545" w:type="pct"/>
            <w:vAlign w:val="center"/>
          </w:tcPr>
          <w:p w14:paraId="07496006"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Subsequent Cycles</w:t>
            </w:r>
          </w:p>
        </w:tc>
        <w:tc>
          <w:tcPr>
            <w:tcW w:w="785" w:type="pct"/>
            <w:tcMar>
              <w:top w:w="68" w:type="dxa"/>
              <w:bottom w:w="68" w:type="dxa"/>
            </w:tcMar>
            <w:vAlign w:val="center"/>
          </w:tcPr>
          <w:p w14:paraId="24F58559"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End of Treatment/Withdrawal from Study</w:t>
            </w:r>
          </w:p>
        </w:tc>
        <w:tc>
          <w:tcPr>
            <w:tcW w:w="578" w:type="pct"/>
            <w:vAlign w:val="center"/>
          </w:tcPr>
          <w:p w14:paraId="7A095F86"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Safety Follow-</w:t>
            </w:r>
            <w:proofErr w:type="gramStart"/>
            <w:r w:rsidRPr="00227F09">
              <w:rPr>
                <w:rFonts w:ascii="Times New Roman" w:eastAsia="Times New Roman" w:hAnsi="Times New Roman" w:cs="Times New Roman"/>
                <w:b/>
                <w:bCs/>
              </w:rPr>
              <w:t>up</w:t>
            </w:r>
            <w:r w:rsidRPr="00227F09">
              <w:rPr>
                <w:rFonts w:ascii="Times New Roman" w:eastAsia="Times New Roman" w:hAnsi="Times New Roman" w:cs="Times New Roman"/>
                <w:vertAlign w:val="superscript"/>
              </w:rPr>
              <w:t>[</w:t>
            </w:r>
            <w:proofErr w:type="gramEnd"/>
            <w:r w:rsidRPr="00227F09">
              <w:rPr>
                <w:rFonts w:ascii="Times New Roman" w:eastAsia="Times New Roman" w:hAnsi="Times New Roman" w:cs="Times New Roman"/>
                <w:vertAlign w:val="superscript"/>
              </w:rPr>
              <w:t>17]</w:t>
            </w:r>
          </w:p>
        </w:tc>
        <w:tc>
          <w:tcPr>
            <w:tcW w:w="609" w:type="pct"/>
            <w:vAlign w:val="center"/>
          </w:tcPr>
          <w:p w14:paraId="54A2A0B9"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Survival Follow-up</w:t>
            </w:r>
          </w:p>
        </w:tc>
      </w:tr>
      <w:tr w:rsidR="00DE4AFD" w:rsidRPr="00227F09" w14:paraId="4C1C8E41" w14:textId="77777777" w:rsidTr="0034486D">
        <w:tc>
          <w:tcPr>
            <w:tcW w:w="764" w:type="pct"/>
            <w:vMerge/>
            <w:vAlign w:val="center"/>
          </w:tcPr>
          <w:p w14:paraId="63B55649" w14:textId="77777777" w:rsidR="00DE4AFD" w:rsidRPr="00227F09" w:rsidRDefault="00DE4AFD" w:rsidP="003F7776">
            <w:pPr>
              <w:topLinePunct/>
              <w:adjustRightInd w:val="0"/>
              <w:snapToGrid w:val="0"/>
              <w:rPr>
                <w:rFonts w:ascii="Times New Roman" w:eastAsia="宋体" w:hAnsi="Times New Roman" w:cs="Times New Roman"/>
                <w:b/>
                <w:spacing w:val="-6"/>
              </w:rPr>
            </w:pPr>
          </w:p>
        </w:tc>
        <w:tc>
          <w:tcPr>
            <w:tcW w:w="357" w:type="pct"/>
            <w:vAlign w:val="center"/>
          </w:tcPr>
          <w:p w14:paraId="3EBC24D5" w14:textId="77777777" w:rsidR="00DE4AFD" w:rsidRPr="00227F09" w:rsidRDefault="004A4F56" w:rsidP="003F7776">
            <w:pPr>
              <w:topLinePunct/>
              <w:adjustRightInd w:val="0"/>
              <w:snapToGrid w:val="0"/>
              <w:jc w:val="center"/>
              <w:rPr>
                <w:rFonts w:ascii="Times New Roman" w:eastAsia="宋体" w:hAnsi="Times New Roman" w:cs="Times New Roman"/>
                <w:b/>
                <w:spacing w:val="-6"/>
              </w:rPr>
            </w:pPr>
            <w:r w:rsidRPr="00227F09">
              <w:rPr>
                <w:rFonts w:ascii="Times New Roman" w:eastAsia="Times New Roman" w:hAnsi="Times New Roman" w:cs="Times New Roman"/>
                <w:b/>
                <w:bCs/>
              </w:rPr>
              <w:t>Screening 1</w:t>
            </w:r>
          </w:p>
        </w:tc>
        <w:tc>
          <w:tcPr>
            <w:tcW w:w="357" w:type="pct"/>
            <w:vAlign w:val="center"/>
          </w:tcPr>
          <w:p w14:paraId="52DDD1F3"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Screening 2</w:t>
            </w:r>
          </w:p>
        </w:tc>
        <w:tc>
          <w:tcPr>
            <w:tcW w:w="239" w:type="pct"/>
            <w:tcMar>
              <w:top w:w="68" w:type="dxa"/>
              <w:bottom w:w="68" w:type="dxa"/>
            </w:tcMar>
            <w:vAlign w:val="center"/>
          </w:tcPr>
          <w:p w14:paraId="22CC3790" w14:textId="77777777" w:rsidR="00DE4AFD" w:rsidRPr="00227F09" w:rsidRDefault="004A4F56" w:rsidP="003F7776">
            <w:pPr>
              <w:topLinePunct/>
              <w:adjustRightInd w:val="0"/>
              <w:snapToGrid w:val="0"/>
              <w:rPr>
                <w:rFonts w:ascii="Times New Roman" w:eastAsia="宋体" w:hAnsi="Times New Roman" w:cs="Times New Roman"/>
                <w:b/>
              </w:rPr>
            </w:pPr>
            <w:r w:rsidRPr="00227F09">
              <w:rPr>
                <w:rFonts w:ascii="Times New Roman" w:eastAsia="Times New Roman" w:hAnsi="Times New Roman" w:cs="Times New Roman"/>
                <w:b/>
              </w:rPr>
              <w:t>D1</w:t>
            </w:r>
          </w:p>
        </w:tc>
        <w:tc>
          <w:tcPr>
            <w:tcW w:w="246" w:type="pct"/>
            <w:vAlign w:val="center"/>
          </w:tcPr>
          <w:p w14:paraId="0F7C5274"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rPr>
              <w:t>D21</w:t>
            </w:r>
          </w:p>
        </w:tc>
        <w:tc>
          <w:tcPr>
            <w:tcW w:w="519" w:type="pct"/>
            <w:vAlign w:val="center"/>
          </w:tcPr>
          <w:p w14:paraId="2F73D607"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rPr>
              <w:t>D21</w:t>
            </w:r>
          </w:p>
        </w:tc>
        <w:tc>
          <w:tcPr>
            <w:tcW w:w="545" w:type="pct"/>
            <w:vAlign w:val="center"/>
          </w:tcPr>
          <w:p w14:paraId="09E692A1"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rPr>
              <w:t>D21</w:t>
            </w:r>
          </w:p>
        </w:tc>
        <w:tc>
          <w:tcPr>
            <w:tcW w:w="785" w:type="pct"/>
            <w:tcMar>
              <w:top w:w="68" w:type="dxa"/>
              <w:bottom w:w="68" w:type="dxa"/>
            </w:tcMar>
            <w:vAlign w:val="center"/>
          </w:tcPr>
          <w:p w14:paraId="6D93D3EC"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rPr>
              <w:t>EOT</w:t>
            </w:r>
          </w:p>
        </w:tc>
        <w:tc>
          <w:tcPr>
            <w:tcW w:w="578" w:type="pct"/>
            <w:vAlign w:val="center"/>
          </w:tcPr>
          <w:p w14:paraId="5B35EFBB"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Within 30 days after EOT</w:t>
            </w:r>
          </w:p>
        </w:tc>
        <w:tc>
          <w:tcPr>
            <w:tcW w:w="609" w:type="pct"/>
            <w:vAlign w:val="center"/>
          </w:tcPr>
          <w:p w14:paraId="3F3AC175" w14:textId="77777777" w:rsidR="00DE4AFD" w:rsidRPr="00227F09" w:rsidRDefault="004A4F56" w:rsidP="003F7776">
            <w:pPr>
              <w:topLinePunct/>
              <w:adjustRightInd w:val="0"/>
              <w:snapToGrid w:val="0"/>
              <w:jc w:val="center"/>
              <w:rPr>
                <w:rFonts w:ascii="Times New Roman" w:eastAsia="宋体" w:hAnsi="Times New Roman" w:cs="Times New Roman"/>
                <w:b/>
              </w:rPr>
            </w:pPr>
            <w:r w:rsidRPr="00227F09">
              <w:rPr>
                <w:rFonts w:ascii="Times New Roman" w:eastAsia="Times New Roman" w:hAnsi="Times New Roman" w:cs="Times New Roman"/>
                <w:b/>
                <w:bCs/>
              </w:rPr>
              <w:t>Every three months for one year after EOT, and every 6 months thereafter</w:t>
            </w:r>
          </w:p>
        </w:tc>
      </w:tr>
      <w:tr w:rsidR="00DE4AFD" w:rsidRPr="00227F09" w14:paraId="223C7552" w14:textId="77777777" w:rsidTr="0034486D">
        <w:tc>
          <w:tcPr>
            <w:tcW w:w="764" w:type="pct"/>
            <w:vAlign w:val="center"/>
          </w:tcPr>
          <w:p w14:paraId="7E8A2AE7" w14:textId="77777777" w:rsidR="00DE4AFD" w:rsidRPr="00227F09" w:rsidRDefault="004A4F56" w:rsidP="003F7776">
            <w:pPr>
              <w:topLinePunct/>
              <w:adjustRightInd w:val="0"/>
              <w:snapToGrid w:val="0"/>
              <w:rPr>
                <w:rFonts w:ascii="Times New Roman" w:eastAsia="宋体" w:hAnsi="Times New Roman" w:cs="Times New Roman"/>
              </w:rPr>
            </w:pPr>
            <w:r w:rsidRPr="00227F09">
              <w:rPr>
                <w:rFonts w:ascii="Times New Roman" w:eastAsia="Times New Roman" w:hAnsi="Times New Roman" w:cs="Times New Roman"/>
                <w:b/>
                <w:bCs/>
                <w:spacing w:val="-6"/>
              </w:rPr>
              <w:t>Window Period</w:t>
            </w:r>
          </w:p>
        </w:tc>
        <w:tc>
          <w:tcPr>
            <w:tcW w:w="357" w:type="pct"/>
            <w:vAlign w:val="center"/>
          </w:tcPr>
          <w:p w14:paraId="159CD136"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b/>
                <w:bCs/>
                <w:spacing w:val="-6"/>
              </w:rPr>
              <w:t>Within 21 days prior to dosing</w:t>
            </w:r>
          </w:p>
        </w:tc>
        <w:tc>
          <w:tcPr>
            <w:tcW w:w="357" w:type="pct"/>
            <w:vAlign w:val="center"/>
          </w:tcPr>
          <w:p w14:paraId="3C12D0AC"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b/>
                <w:bCs/>
              </w:rPr>
              <w:t xml:space="preserve">Within 7 days prior to </w:t>
            </w:r>
            <w:r w:rsidRPr="00227F09">
              <w:rPr>
                <w:rFonts w:ascii="Times New Roman" w:eastAsia="Times New Roman" w:hAnsi="Times New Roman" w:cs="Times New Roman"/>
                <w:b/>
                <w:bCs/>
              </w:rPr>
              <w:lastRenderedPageBreak/>
              <w:t>dosing</w:t>
            </w:r>
          </w:p>
        </w:tc>
        <w:tc>
          <w:tcPr>
            <w:tcW w:w="239" w:type="pct"/>
            <w:tcMar>
              <w:top w:w="68" w:type="dxa"/>
              <w:bottom w:w="68" w:type="dxa"/>
            </w:tcMar>
            <w:vAlign w:val="center"/>
          </w:tcPr>
          <w:p w14:paraId="38DC17F9" w14:textId="77777777" w:rsidR="00DE4AFD" w:rsidRPr="00227F09" w:rsidRDefault="004A4F56" w:rsidP="003F7776">
            <w:pPr>
              <w:topLinePunct/>
              <w:adjustRightInd w:val="0"/>
              <w:snapToGrid w:val="0"/>
              <w:rPr>
                <w:rFonts w:ascii="Times New Roman" w:eastAsia="宋体" w:hAnsi="Times New Roman" w:cs="Times New Roman"/>
                <w:spacing w:val="-6"/>
              </w:rPr>
            </w:pPr>
            <w:r w:rsidRPr="00227F09">
              <w:rPr>
                <w:rFonts w:ascii="Times New Roman" w:eastAsia="Times New Roman" w:hAnsi="Times New Roman" w:cs="Times New Roman"/>
                <w:b/>
                <w:bCs/>
              </w:rPr>
              <w:lastRenderedPageBreak/>
              <w:t>Day 0</w:t>
            </w:r>
          </w:p>
        </w:tc>
        <w:tc>
          <w:tcPr>
            <w:tcW w:w="246" w:type="pct"/>
            <w:vAlign w:val="center"/>
          </w:tcPr>
          <w:p w14:paraId="6E907BDA"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b/>
                <w:bCs/>
              </w:rPr>
              <w:t>±2 days</w:t>
            </w:r>
          </w:p>
        </w:tc>
        <w:tc>
          <w:tcPr>
            <w:tcW w:w="519" w:type="pct"/>
            <w:vAlign w:val="center"/>
          </w:tcPr>
          <w:p w14:paraId="37EC5694"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b/>
                <w:bCs/>
              </w:rPr>
              <w:t>±2 days</w:t>
            </w:r>
          </w:p>
        </w:tc>
        <w:tc>
          <w:tcPr>
            <w:tcW w:w="545" w:type="pct"/>
            <w:vAlign w:val="center"/>
          </w:tcPr>
          <w:p w14:paraId="00C23354"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b/>
                <w:bCs/>
              </w:rPr>
              <w:t>±2 days</w:t>
            </w:r>
          </w:p>
        </w:tc>
        <w:tc>
          <w:tcPr>
            <w:tcW w:w="785" w:type="pct"/>
            <w:tcMar>
              <w:top w:w="68" w:type="dxa"/>
              <w:bottom w:w="68" w:type="dxa"/>
            </w:tcMar>
            <w:vAlign w:val="center"/>
          </w:tcPr>
          <w:p w14:paraId="3537BC89"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b/>
                <w:bCs/>
              </w:rPr>
              <w:t>±3 days</w:t>
            </w:r>
          </w:p>
        </w:tc>
        <w:tc>
          <w:tcPr>
            <w:tcW w:w="578" w:type="pct"/>
            <w:vAlign w:val="center"/>
          </w:tcPr>
          <w:p w14:paraId="3648B541"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b/>
                <w:bCs/>
              </w:rPr>
              <w:t>±7 days</w:t>
            </w:r>
          </w:p>
        </w:tc>
        <w:tc>
          <w:tcPr>
            <w:tcW w:w="609" w:type="pct"/>
            <w:vAlign w:val="center"/>
          </w:tcPr>
          <w:p w14:paraId="1E5E49A8"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b/>
                <w:bCs/>
              </w:rPr>
              <w:t>±7 days</w:t>
            </w:r>
          </w:p>
        </w:tc>
      </w:tr>
      <w:tr w:rsidR="00DE4AFD" w:rsidRPr="00227F09" w14:paraId="407535CA" w14:textId="77777777" w:rsidTr="0034486D">
        <w:tc>
          <w:tcPr>
            <w:tcW w:w="764" w:type="pct"/>
            <w:vAlign w:val="center"/>
          </w:tcPr>
          <w:p w14:paraId="046D829D" w14:textId="77777777" w:rsidR="00DE4AFD" w:rsidRPr="00227F09" w:rsidRDefault="004A4F56" w:rsidP="003F7776">
            <w:pPr>
              <w:topLinePunct/>
              <w:adjustRightInd w:val="0"/>
              <w:snapToGrid w:val="0"/>
              <w:jc w:val="center"/>
              <w:rPr>
                <w:rFonts w:ascii="Times New Roman" w:eastAsia="宋体" w:hAnsi="Times New Roman" w:cs="Times New Roman"/>
              </w:rPr>
            </w:pPr>
            <w:r w:rsidRPr="00227F09">
              <w:rPr>
                <w:rFonts w:ascii="Times New Roman" w:eastAsia="Times New Roman" w:hAnsi="Times New Roman" w:cs="Times New Roman"/>
                <w:color w:val="333333"/>
              </w:rPr>
              <w:t xml:space="preserve">Tumor </w:t>
            </w:r>
            <w:r w:rsidRPr="00227F09">
              <w:rPr>
                <w:rFonts w:ascii="Times New Roman" w:eastAsia="Times New Roman" w:hAnsi="Times New Roman" w:cs="Times New Roman"/>
              </w:rPr>
              <w:t>marker testing</w:t>
            </w:r>
          </w:p>
        </w:tc>
        <w:tc>
          <w:tcPr>
            <w:tcW w:w="357" w:type="pct"/>
            <w:vAlign w:val="center"/>
          </w:tcPr>
          <w:p w14:paraId="783880DF"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357" w:type="pct"/>
          </w:tcPr>
          <w:p w14:paraId="2AB4E1ED"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2334" w:type="pct"/>
            <w:gridSpan w:val="5"/>
            <w:tcMar>
              <w:top w:w="68" w:type="dxa"/>
              <w:bottom w:w="68" w:type="dxa"/>
            </w:tcMar>
          </w:tcPr>
          <w:p w14:paraId="784BFEC3" w14:textId="77777777" w:rsidR="00DE4AFD" w:rsidRPr="00227F09" w:rsidRDefault="004A4F56" w:rsidP="003F7776">
            <w:pPr>
              <w:topLinePunct/>
              <w:adjustRightInd w:val="0"/>
              <w:snapToGrid w:val="0"/>
              <w:jc w:val="center"/>
              <w:rPr>
                <w:rFonts w:ascii="Times New Roman" w:eastAsia="宋体" w:hAnsi="Times New Roman" w:cs="Times New Roman"/>
              </w:rPr>
            </w:pPr>
            <w:r w:rsidRPr="00227F09">
              <w:rPr>
                <w:rFonts w:ascii="Times New Roman" w:eastAsia="Times New Roman" w:hAnsi="Times New Roman" w:cs="Times New Roman"/>
                <w:color w:val="333333"/>
                <w:spacing w:val="-6"/>
              </w:rPr>
              <w:t>X (at each tumor assessment visit)</w:t>
            </w:r>
          </w:p>
        </w:tc>
        <w:tc>
          <w:tcPr>
            <w:tcW w:w="578" w:type="pct"/>
          </w:tcPr>
          <w:p w14:paraId="16796B7D"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609" w:type="pct"/>
          </w:tcPr>
          <w:p w14:paraId="4B1D5C92"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56D31A46" w14:textId="77777777" w:rsidTr="0034486D">
        <w:tc>
          <w:tcPr>
            <w:tcW w:w="764" w:type="pct"/>
            <w:vAlign w:val="center"/>
          </w:tcPr>
          <w:p w14:paraId="37AC3512" w14:textId="77777777" w:rsidR="00DE4AFD" w:rsidRPr="00227F09" w:rsidRDefault="004A4F56" w:rsidP="003F7776">
            <w:pPr>
              <w:topLinePunct/>
              <w:adjustRightInd w:val="0"/>
              <w:snapToGrid w:val="0"/>
              <w:jc w:val="center"/>
              <w:rPr>
                <w:rFonts w:ascii="Times New Roman" w:eastAsia="宋体" w:hAnsi="Times New Roman" w:cs="Times New Roman"/>
              </w:rPr>
            </w:pPr>
            <w:r w:rsidRPr="00227F09">
              <w:rPr>
                <w:rFonts w:ascii="Times New Roman" w:eastAsia="Times New Roman" w:hAnsi="Times New Roman" w:cs="Times New Roman"/>
                <w:color w:val="333333"/>
              </w:rPr>
              <w:t>Tumor specimen collection</w:t>
            </w:r>
          </w:p>
        </w:tc>
        <w:tc>
          <w:tcPr>
            <w:tcW w:w="357" w:type="pct"/>
            <w:vAlign w:val="center"/>
          </w:tcPr>
          <w:p w14:paraId="647CB746"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357" w:type="pct"/>
          </w:tcPr>
          <w:p w14:paraId="1F8FDA10"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2334" w:type="pct"/>
            <w:gridSpan w:val="5"/>
            <w:tcMar>
              <w:top w:w="68" w:type="dxa"/>
              <w:bottom w:w="68" w:type="dxa"/>
            </w:tcMar>
          </w:tcPr>
          <w:p w14:paraId="6CAD6549"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578" w:type="pct"/>
          </w:tcPr>
          <w:p w14:paraId="53139AAE"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609" w:type="pct"/>
          </w:tcPr>
          <w:p w14:paraId="3221D41D"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56F80DA7" w14:textId="77777777" w:rsidTr="0034486D">
        <w:tc>
          <w:tcPr>
            <w:tcW w:w="764" w:type="pct"/>
            <w:vAlign w:val="center"/>
          </w:tcPr>
          <w:p w14:paraId="6B9D5DAC" w14:textId="77777777" w:rsidR="00DE4AFD" w:rsidRPr="00227F09" w:rsidRDefault="004A4F56" w:rsidP="003F7776">
            <w:pPr>
              <w:topLinePunct/>
              <w:adjustRightInd w:val="0"/>
              <w:snapToGrid w:val="0"/>
              <w:rPr>
                <w:rFonts w:ascii="Times New Roman" w:eastAsia="宋体" w:hAnsi="Times New Roman" w:cs="Times New Roman"/>
              </w:rPr>
            </w:pPr>
            <w:r w:rsidRPr="00227F09">
              <w:rPr>
                <w:rFonts w:ascii="Times New Roman" w:eastAsia="Times New Roman" w:hAnsi="Times New Roman" w:cs="Times New Roman"/>
                <w:color w:val="333333"/>
              </w:rPr>
              <w:t>Drug dispensing/</w:t>
            </w:r>
            <w:proofErr w:type="gramStart"/>
            <w:r w:rsidRPr="00227F09">
              <w:rPr>
                <w:rFonts w:ascii="Times New Roman" w:eastAsia="Times New Roman" w:hAnsi="Times New Roman" w:cs="Times New Roman"/>
                <w:color w:val="333333"/>
              </w:rPr>
              <w:t>recovery</w:t>
            </w:r>
            <w:r w:rsidRPr="00227F09">
              <w:rPr>
                <w:rFonts w:ascii="Times New Roman" w:eastAsia="Times New Roman" w:hAnsi="Times New Roman" w:cs="Times New Roman"/>
                <w:vertAlign w:val="superscript"/>
              </w:rPr>
              <w:t>[</w:t>
            </w:r>
            <w:proofErr w:type="gramEnd"/>
            <w:r w:rsidRPr="00227F09">
              <w:rPr>
                <w:rFonts w:ascii="Times New Roman" w:eastAsia="Times New Roman" w:hAnsi="Times New Roman" w:cs="Times New Roman"/>
                <w:vertAlign w:val="superscript"/>
              </w:rPr>
              <w:t>14]</w:t>
            </w:r>
          </w:p>
        </w:tc>
        <w:tc>
          <w:tcPr>
            <w:tcW w:w="357" w:type="pct"/>
            <w:vAlign w:val="center"/>
          </w:tcPr>
          <w:p w14:paraId="0F1F80C7"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357" w:type="pct"/>
          </w:tcPr>
          <w:p w14:paraId="469C1E58"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239" w:type="pct"/>
            <w:tcMar>
              <w:top w:w="68" w:type="dxa"/>
              <w:bottom w:w="68" w:type="dxa"/>
            </w:tcMar>
          </w:tcPr>
          <w:p w14:paraId="6E44FDD1"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246" w:type="pct"/>
          </w:tcPr>
          <w:p w14:paraId="67CA31AF"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19" w:type="pct"/>
          </w:tcPr>
          <w:p w14:paraId="52E10307"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45" w:type="pct"/>
          </w:tcPr>
          <w:p w14:paraId="1D3E186F"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785" w:type="pct"/>
            <w:tcMar>
              <w:top w:w="68" w:type="dxa"/>
              <w:bottom w:w="68" w:type="dxa"/>
            </w:tcMar>
          </w:tcPr>
          <w:p w14:paraId="723C1B96"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78" w:type="pct"/>
          </w:tcPr>
          <w:p w14:paraId="06FB2B5A"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609" w:type="pct"/>
          </w:tcPr>
          <w:p w14:paraId="6CBAD7DC"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590738D4" w14:textId="77777777" w:rsidTr="0034486D">
        <w:tc>
          <w:tcPr>
            <w:tcW w:w="764" w:type="pct"/>
            <w:vAlign w:val="center"/>
          </w:tcPr>
          <w:p w14:paraId="0530ADE4" w14:textId="77777777" w:rsidR="00DE4AFD" w:rsidRPr="00227F09" w:rsidRDefault="004A4F56" w:rsidP="003F7776">
            <w:pPr>
              <w:topLinePunct/>
              <w:adjustRightInd w:val="0"/>
              <w:snapToGrid w:val="0"/>
              <w:rPr>
                <w:rFonts w:ascii="Times New Roman" w:eastAsia="宋体" w:hAnsi="Times New Roman" w:cs="Times New Roman"/>
                <w:spacing w:val="-6"/>
              </w:rPr>
            </w:pPr>
            <w:r w:rsidRPr="00227F09">
              <w:rPr>
                <w:rFonts w:ascii="Times New Roman" w:eastAsia="Times New Roman" w:hAnsi="Times New Roman" w:cs="Times New Roman"/>
              </w:rPr>
              <w:t>Concomitant medication/</w:t>
            </w:r>
            <w:proofErr w:type="gramStart"/>
            <w:r w:rsidRPr="00227F09">
              <w:rPr>
                <w:rFonts w:ascii="Times New Roman" w:eastAsia="Times New Roman" w:hAnsi="Times New Roman" w:cs="Times New Roman"/>
              </w:rPr>
              <w:t>treatment</w:t>
            </w:r>
            <w:r w:rsidRPr="00227F09">
              <w:rPr>
                <w:rFonts w:ascii="Times New Roman" w:eastAsia="Times New Roman" w:hAnsi="Times New Roman" w:cs="Times New Roman"/>
                <w:vertAlign w:val="superscript"/>
              </w:rPr>
              <w:t>[</w:t>
            </w:r>
            <w:proofErr w:type="gramEnd"/>
            <w:r w:rsidRPr="00227F09">
              <w:rPr>
                <w:rFonts w:ascii="Times New Roman" w:eastAsia="Times New Roman" w:hAnsi="Times New Roman" w:cs="Times New Roman"/>
                <w:vertAlign w:val="superscript"/>
              </w:rPr>
              <w:t>15]</w:t>
            </w:r>
          </w:p>
        </w:tc>
        <w:tc>
          <w:tcPr>
            <w:tcW w:w="357" w:type="pct"/>
          </w:tcPr>
          <w:p w14:paraId="378BBEB9"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357" w:type="pct"/>
          </w:tcPr>
          <w:p w14:paraId="07209035"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239" w:type="pct"/>
            <w:tcMar>
              <w:top w:w="68" w:type="dxa"/>
              <w:bottom w:w="68" w:type="dxa"/>
            </w:tcMar>
            <w:vAlign w:val="center"/>
          </w:tcPr>
          <w:p w14:paraId="0749024C"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246" w:type="pct"/>
          </w:tcPr>
          <w:p w14:paraId="16E9C433"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19" w:type="pct"/>
          </w:tcPr>
          <w:p w14:paraId="2118A0E9"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45" w:type="pct"/>
          </w:tcPr>
          <w:p w14:paraId="48E1CFF4"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785" w:type="pct"/>
            <w:tcMar>
              <w:top w:w="68" w:type="dxa"/>
              <w:bottom w:w="68" w:type="dxa"/>
            </w:tcMar>
          </w:tcPr>
          <w:p w14:paraId="19F39E28"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78" w:type="pct"/>
          </w:tcPr>
          <w:p w14:paraId="32072831"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609" w:type="pct"/>
          </w:tcPr>
          <w:p w14:paraId="579DBA77"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769A000D" w14:textId="77777777" w:rsidTr="0034486D">
        <w:tc>
          <w:tcPr>
            <w:tcW w:w="764" w:type="pct"/>
            <w:vAlign w:val="center"/>
          </w:tcPr>
          <w:p w14:paraId="051BEF71" w14:textId="77777777" w:rsidR="00DE4AFD" w:rsidRPr="00227F09" w:rsidRDefault="004A4F56" w:rsidP="003F7776">
            <w:pPr>
              <w:topLinePunct/>
              <w:adjustRightInd w:val="0"/>
              <w:snapToGrid w:val="0"/>
              <w:rPr>
                <w:rFonts w:ascii="Times New Roman" w:eastAsia="宋体" w:hAnsi="Times New Roman" w:cs="Times New Roman"/>
              </w:rPr>
            </w:pPr>
            <w:r w:rsidRPr="00227F09">
              <w:rPr>
                <w:rFonts w:ascii="Times New Roman" w:eastAsia="Times New Roman" w:hAnsi="Times New Roman" w:cs="Times New Roman"/>
              </w:rPr>
              <w:t xml:space="preserve">Record </w:t>
            </w:r>
            <w:proofErr w:type="gramStart"/>
            <w:r w:rsidRPr="00227F09">
              <w:rPr>
                <w:rFonts w:ascii="Times New Roman" w:eastAsia="Times New Roman" w:hAnsi="Times New Roman" w:cs="Times New Roman"/>
                <w:color w:val="333333"/>
              </w:rPr>
              <w:t>AE</w:t>
            </w:r>
            <w:r w:rsidRPr="00227F09">
              <w:rPr>
                <w:rFonts w:ascii="Times New Roman" w:eastAsia="Times New Roman" w:hAnsi="Times New Roman" w:cs="Times New Roman"/>
                <w:vertAlign w:val="superscript"/>
              </w:rPr>
              <w:t>[</w:t>
            </w:r>
            <w:proofErr w:type="gramEnd"/>
            <w:r w:rsidRPr="00227F09">
              <w:rPr>
                <w:rFonts w:ascii="Times New Roman" w:eastAsia="Times New Roman" w:hAnsi="Times New Roman" w:cs="Times New Roman"/>
                <w:vertAlign w:val="superscript"/>
              </w:rPr>
              <w:t>16]</w:t>
            </w:r>
          </w:p>
        </w:tc>
        <w:tc>
          <w:tcPr>
            <w:tcW w:w="357" w:type="pct"/>
          </w:tcPr>
          <w:p w14:paraId="1BBD6E09"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357" w:type="pct"/>
          </w:tcPr>
          <w:p w14:paraId="4D331AA6"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239" w:type="pct"/>
            <w:tcMar>
              <w:top w:w="68" w:type="dxa"/>
              <w:bottom w:w="68" w:type="dxa"/>
            </w:tcMar>
            <w:vAlign w:val="center"/>
          </w:tcPr>
          <w:p w14:paraId="3C9221CE"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246" w:type="pct"/>
          </w:tcPr>
          <w:p w14:paraId="4D27AAF6"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19" w:type="pct"/>
          </w:tcPr>
          <w:p w14:paraId="05D67204"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45" w:type="pct"/>
          </w:tcPr>
          <w:p w14:paraId="0EE0C458"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785" w:type="pct"/>
            <w:tcMar>
              <w:top w:w="68" w:type="dxa"/>
              <w:bottom w:w="68" w:type="dxa"/>
            </w:tcMar>
          </w:tcPr>
          <w:p w14:paraId="5FD922FB"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578" w:type="pct"/>
          </w:tcPr>
          <w:p w14:paraId="281FEE2C"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609" w:type="pct"/>
          </w:tcPr>
          <w:p w14:paraId="6C00D28B"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r>
      <w:tr w:rsidR="00DE4AFD" w:rsidRPr="00227F09" w14:paraId="4A6A8217" w14:textId="77777777" w:rsidTr="0034486D">
        <w:tc>
          <w:tcPr>
            <w:tcW w:w="764" w:type="pct"/>
            <w:vAlign w:val="center"/>
          </w:tcPr>
          <w:p w14:paraId="0D00DFBF" w14:textId="77777777" w:rsidR="00DE4AFD" w:rsidRPr="00227F09" w:rsidRDefault="004A4F56" w:rsidP="003F7776">
            <w:pPr>
              <w:topLinePunct/>
              <w:adjustRightInd w:val="0"/>
              <w:snapToGrid w:val="0"/>
              <w:rPr>
                <w:rFonts w:ascii="Times New Roman" w:eastAsia="宋体" w:hAnsi="Times New Roman" w:cs="Times New Roman"/>
              </w:rPr>
            </w:pPr>
            <w:r w:rsidRPr="00227F09">
              <w:rPr>
                <w:rFonts w:ascii="Times New Roman" w:eastAsia="Times New Roman" w:hAnsi="Times New Roman" w:cs="Times New Roman"/>
              </w:rPr>
              <w:t>Survival follow-</w:t>
            </w:r>
            <w:proofErr w:type="gramStart"/>
            <w:r w:rsidRPr="00227F09">
              <w:rPr>
                <w:rFonts w:ascii="Times New Roman" w:eastAsia="Times New Roman" w:hAnsi="Times New Roman" w:cs="Times New Roman"/>
              </w:rPr>
              <w:t>up</w:t>
            </w:r>
            <w:r w:rsidRPr="00227F09">
              <w:rPr>
                <w:rFonts w:ascii="Times New Roman" w:eastAsia="Times New Roman" w:hAnsi="Times New Roman" w:cs="Times New Roman"/>
                <w:vertAlign w:val="superscript"/>
              </w:rPr>
              <w:t>[</w:t>
            </w:r>
            <w:proofErr w:type="gramEnd"/>
            <w:r w:rsidRPr="00227F09">
              <w:rPr>
                <w:rFonts w:ascii="Times New Roman" w:eastAsia="Times New Roman" w:hAnsi="Times New Roman" w:cs="Times New Roman"/>
                <w:vertAlign w:val="superscript"/>
              </w:rPr>
              <w:t>18]</w:t>
            </w:r>
          </w:p>
        </w:tc>
        <w:tc>
          <w:tcPr>
            <w:tcW w:w="357" w:type="pct"/>
            <w:vAlign w:val="center"/>
          </w:tcPr>
          <w:p w14:paraId="759460F3"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357" w:type="pct"/>
          </w:tcPr>
          <w:p w14:paraId="58583DD1"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239" w:type="pct"/>
            <w:tcMar>
              <w:top w:w="68" w:type="dxa"/>
              <w:bottom w:w="68" w:type="dxa"/>
            </w:tcMar>
            <w:vAlign w:val="center"/>
          </w:tcPr>
          <w:p w14:paraId="4C48585C"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246" w:type="pct"/>
          </w:tcPr>
          <w:p w14:paraId="0E72AEAC"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519" w:type="pct"/>
          </w:tcPr>
          <w:p w14:paraId="60A3A984"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545" w:type="pct"/>
          </w:tcPr>
          <w:p w14:paraId="01AB0D2A"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785" w:type="pct"/>
            <w:tcMar>
              <w:top w:w="68" w:type="dxa"/>
              <w:bottom w:w="68" w:type="dxa"/>
            </w:tcMar>
          </w:tcPr>
          <w:p w14:paraId="1A24C06E" w14:textId="77777777" w:rsidR="00DE4AFD" w:rsidRPr="00227F09" w:rsidRDefault="00DE4AFD" w:rsidP="003F7776">
            <w:pPr>
              <w:topLinePunct/>
              <w:adjustRightInd w:val="0"/>
              <w:snapToGrid w:val="0"/>
              <w:jc w:val="center"/>
              <w:rPr>
                <w:rFonts w:ascii="Times New Roman" w:eastAsia="宋体" w:hAnsi="Times New Roman" w:cs="Times New Roman"/>
                <w:spacing w:val="-6"/>
              </w:rPr>
            </w:pPr>
          </w:p>
        </w:tc>
        <w:tc>
          <w:tcPr>
            <w:tcW w:w="578" w:type="pct"/>
          </w:tcPr>
          <w:p w14:paraId="0EF6E9F9"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c>
          <w:tcPr>
            <w:tcW w:w="609" w:type="pct"/>
          </w:tcPr>
          <w:p w14:paraId="317AADCE" w14:textId="77777777" w:rsidR="00DE4AFD" w:rsidRPr="00227F09" w:rsidRDefault="004A4F56" w:rsidP="003F7776">
            <w:pPr>
              <w:topLinePunct/>
              <w:adjustRightInd w:val="0"/>
              <w:snapToGrid w:val="0"/>
              <w:jc w:val="center"/>
              <w:rPr>
                <w:rFonts w:ascii="Times New Roman" w:eastAsia="宋体" w:hAnsi="Times New Roman" w:cs="Times New Roman"/>
                <w:spacing w:val="-6"/>
              </w:rPr>
            </w:pPr>
            <w:r w:rsidRPr="00227F09">
              <w:rPr>
                <w:rFonts w:ascii="Times New Roman" w:eastAsia="Times New Roman" w:hAnsi="Times New Roman" w:cs="Times New Roman"/>
                <w:spacing w:val="-6"/>
              </w:rPr>
              <w:t>X</w:t>
            </w:r>
          </w:p>
        </w:tc>
      </w:tr>
    </w:tbl>
    <w:p w14:paraId="730D866B" w14:textId="1E098473" w:rsidR="00DE4AFD" w:rsidRPr="00303844" w:rsidRDefault="00DE4AFD" w:rsidP="00DC03A8">
      <w:pPr>
        <w:rPr>
          <w:rFonts w:ascii="Times New Roman" w:eastAsia="宋体" w:hAnsi="Times New Roman" w:cs="Times New Roman"/>
        </w:rPr>
      </w:pPr>
    </w:p>
    <w:p w14:paraId="68EA9D72" w14:textId="77777777" w:rsidR="00DE4AFD" w:rsidRPr="0034486D" w:rsidRDefault="004A4F56" w:rsidP="0034486D">
      <w:pPr>
        <w:rPr>
          <w:rFonts w:ascii="Times New Roman" w:eastAsia="宋体" w:hAnsi="Times New Roman" w:cs="Times New Roman"/>
          <w:i/>
          <w:color w:val="000000" w:themeColor="text1"/>
          <w:spacing w:val="-6"/>
        </w:rPr>
      </w:pPr>
      <w:r w:rsidRPr="0034486D">
        <w:rPr>
          <w:rFonts w:ascii="Times New Roman" w:eastAsia="Times New Roman" w:hAnsi="Times New Roman" w:cs="Times New Roman"/>
          <w:color w:val="000000" w:themeColor="text1"/>
        </w:rPr>
        <w:t xml:space="preserve">Note: in addition to the test items and time points listed in the table, the investigator may add items that are necessary at any time, and fill out in the CRF’s Additional Examinations at Visits. </w:t>
      </w:r>
    </w:p>
    <w:p w14:paraId="0BA711E2" w14:textId="77777777" w:rsidR="00DE4AFD" w:rsidRPr="0034486D" w:rsidRDefault="00DE4AFD" w:rsidP="0034486D">
      <w:pPr>
        <w:rPr>
          <w:rFonts w:ascii="Times New Roman" w:eastAsia="宋体" w:hAnsi="Times New Roman" w:cs="Times New Roman"/>
          <w:i/>
          <w:color w:val="000000" w:themeColor="text1"/>
          <w:spacing w:val="-6"/>
        </w:rPr>
      </w:pPr>
    </w:p>
    <w:p w14:paraId="2365BB0F" w14:textId="77777777" w:rsidR="00DE4AFD" w:rsidRPr="0034486D" w:rsidRDefault="004A4F56" w:rsidP="0034486D">
      <w:pPr>
        <w:pStyle w:val="afd"/>
        <w:numPr>
          <w:ilvl w:val="0"/>
          <w:numId w:val="15"/>
        </w:numPr>
        <w:tabs>
          <w:tab w:val="left" w:pos="0"/>
        </w:tabs>
        <w:adjustRightInd w:val="0"/>
        <w:snapToGrid w:val="0"/>
        <w:ind w:firstLineChars="0"/>
        <w:textAlignment w:val="baseline"/>
        <w:rPr>
          <w:color w:val="000000" w:themeColor="text1"/>
        </w:rPr>
      </w:pPr>
      <w:r w:rsidRPr="0034486D">
        <w:rPr>
          <w:rFonts w:eastAsia="Times New Roman"/>
          <w:color w:val="000000" w:themeColor="text1"/>
          <w:szCs w:val="20"/>
        </w:rPr>
        <w:t xml:space="preserve">Informed consent must be obtained before all study-specific procedures in this study, which can be signed before the 21-day window period of screening. The subject who fails screening may be re-screened once, and need to re-sign the ICF and obtain a new subject number. </w:t>
      </w:r>
    </w:p>
    <w:p w14:paraId="10C5EB85" w14:textId="77777777" w:rsidR="00DE4AFD" w:rsidRPr="0034486D" w:rsidRDefault="004A4F56" w:rsidP="0034486D">
      <w:pPr>
        <w:pStyle w:val="afd"/>
        <w:numPr>
          <w:ilvl w:val="0"/>
          <w:numId w:val="15"/>
        </w:numPr>
        <w:tabs>
          <w:tab w:val="left" w:pos="540"/>
        </w:tabs>
        <w:adjustRightInd w:val="0"/>
        <w:snapToGrid w:val="0"/>
        <w:ind w:firstLineChars="0"/>
        <w:textAlignment w:val="baseline"/>
        <w:rPr>
          <w:color w:val="000000" w:themeColor="text1"/>
        </w:rPr>
      </w:pPr>
      <w:r w:rsidRPr="0034486D">
        <w:rPr>
          <w:rFonts w:eastAsia="Times New Roman"/>
          <w:color w:val="000000" w:themeColor="text1"/>
          <w:szCs w:val="20"/>
        </w:rPr>
        <w:t xml:space="preserve">The time of the last dose of prior anti-tumor therapy must be recorded. </w:t>
      </w:r>
    </w:p>
    <w:p w14:paraId="13E90238" w14:textId="77777777" w:rsidR="00DE4AFD" w:rsidRPr="0034486D" w:rsidRDefault="004A4F56" w:rsidP="0034486D">
      <w:pPr>
        <w:pStyle w:val="afd"/>
        <w:numPr>
          <w:ilvl w:val="0"/>
          <w:numId w:val="15"/>
        </w:numPr>
        <w:tabs>
          <w:tab w:val="left" w:pos="540"/>
        </w:tabs>
        <w:adjustRightInd w:val="0"/>
        <w:snapToGrid w:val="0"/>
        <w:ind w:firstLineChars="0"/>
        <w:textAlignment w:val="baseline"/>
        <w:rPr>
          <w:color w:val="000000" w:themeColor="text1"/>
        </w:rPr>
      </w:pPr>
      <w:r w:rsidRPr="0034486D">
        <w:rPr>
          <w:rFonts w:eastAsia="Times New Roman"/>
          <w:color w:val="000000" w:themeColor="text1"/>
          <w:szCs w:val="20"/>
        </w:rPr>
        <w:lastRenderedPageBreak/>
        <w:t xml:space="preserve">Physical examination: physical examination included height (at screening only), weight, head, eyes, ears, nose, throat, neck, heart, chest (including lungs), abdomen, extremities, skin, lymph nodes, neurological status, and general condition. Once at screening and every 3 weeks (± 2 days) during dosing. </w:t>
      </w:r>
    </w:p>
    <w:p w14:paraId="6D06DAF5" w14:textId="77777777" w:rsidR="00DE4AFD" w:rsidRPr="0034486D" w:rsidRDefault="004A4F56" w:rsidP="0034486D">
      <w:pPr>
        <w:pStyle w:val="afd"/>
        <w:numPr>
          <w:ilvl w:val="0"/>
          <w:numId w:val="15"/>
        </w:numPr>
        <w:adjustRightInd w:val="0"/>
        <w:snapToGrid w:val="0"/>
        <w:ind w:firstLineChars="0"/>
        <w:textAlignment w:val="baseline"/>
        <w:rPr>
          <w:color w:val="000000" w:themeColor="text1"/>
        </w:rPr>
      </w:pPr>
      <w:r w:rsidRPr="0034486D">
        <w:rPr>
          <w:rFonts w:eastAsia="Times New Roman"/>
          <w:color w:val="000000" w:themeColor="text1"/>
          <w:szCs w:val="20"/>
        </w:rPr>
        <w:t xml:space="preserve">All subjects will undergo HCV antibody, hepatitis B five items (HBsAg, </w:t>
      </w:r>
      <w:proofErr w:type="spellStart"/>
      <w:r w:rsidRPr="0034486D">
        <w:rPr>
          <w:rFonts w:eastAsia="Times New Roman"/>
          <w:color w:val="000000" w:themeColor="text1"/>
          <w:szCs w:val="20"/>
        </w:rPr>
        <w:t>HBsAb</w:t>
      </w:r>
      <w:proofErr w:type="spellEnd"/>
      <w:r w:rsidRPr="0034486D">
        <w:rPr>
          <w:rFonts w:eastAsia="Times New Roman"/>
          <w:color w:val="000000" w:themeColor="text1"/>
          <w:szCs w:val="20"/>
        </w:rPr>
        <w:t xml:space="preserve">, </w:t>
      </w:r>
      <w:proofErr w:type="spellStart"/>
      <w:r w:rsidRPr="0034486D">
        <w:rPr>
          <w:rFonts w:eastAsia="Times New Roman"/>
          <w:color w:val="000000" w:themeColor="text1"/>
          <w:szCs w:val="20"/>
        </w:rPr>
        <w:t>HBcAb</w:t>
      </w:r>
      <w:proofErr w:type="spellEnd"/>
      <w:r w:rsidRPr="0034486D">
        <w:rPr>
          <w:rFonts w:eastAsia="Times New Roman"/>
          <w:color w:val="000000" w:themeColor="text1"/>
          <w:szCs w:val="20"/>
        </w:rPr>
        <w:t xml:space="preserve">, </w:t>
      </w:r>
      <w:proofErr w:type="spellStart"/>
      <w:r w:rsidRPr="0034486D">
        <w:rPr>
          <w:rFonts w:eastAsia="Times New Roman"/>
          <w:color w:val="000000" w:themeColor="text1"/>
          <w:szCs w:val="20"/>
        </w:rPr>
        <w:t>HBeAg</w:t>
      </w:r>
      <w:proofErr w:type="spellEnd"/>
      <w:r w:rsidRPr="0034486D">
        <w:rPr>
          <w:rFonts w:eastAsia="Times New Roman"/>
          <w:color w:val="000000" w:themeColor="text1"/>
          <w:szCs w:val="20"/>
        </w:rPr>
        <w:t xml:space="preserve"> and </w:t>
      </w:r>
      <w:proofErr w:type="spellStart"/>
      <w:r w:rsidRPr="0034486D">
        <w:rPr>
          <w:rFonts w:eastAsia="Times New Roman"/>
          <w:color w:val="000000" w:themeColor="text1"/>
          <w:szCs w:val="20"/>
        </w:rPr>
        <w:t>HBeAb</w:t>
      </w:r>
      <w:proofErr w:type="spellEnd"/>
      <w:r w:rsidRPr="0034486D">
        <w:rPr>
          <w:rFonts w:eastAsia="Times New Roman"/>
          <w:color w:val="000000" w:themeColor="text1"/>
          <w:szCs w:val="20"/>
        </w:rPr>
        <w:t xml:space="preserve">) and HBV-DNA tests at screening at each local laboratory. HCV RNA test will be performed in HCV antibody positive subjects. </w:t>
      </w:r>
    </w:p>
    <w:p w14:paraId="3B0AE72F" w14:textId="77777777" w:rsidR="00DE4AFD" w:rsidRPr="0034486D" w:rsidRDefault="004A4F56" w:rsidP="0034486D">
      <w:pPr>
        <w:pStyle w:val="afd"/>
        <w:numPr>
          <w:ilvl w:val="0"/>
          <w:numId w:val="15"/>
        </w:numPr>
        <w:adjustRightInd w:val="0"/>
        <w:snapToGrid w:val="0"/>
        <w:ind w:firstLineChars="0"/>
        <w:textAlignment w:val="baseline"/>
        <w:rPr>
          <w:color w:val="000000" w:themeColor="text1"/>
        </w:rPr>
      </w:pPr>
      <w:r w:rsidRPr="0034486D">
        <w:rPr>
          <w:rFonts w:eastAsia="Times New Roman"/>
          <w:color w:val="000000" w:themeColor="text1"/>
          <w:szCs w:val="20"/>
        </w:rPr>
        <w:t xml:space="preserve">HIV antibody screening is performed at screening, and tests performed prior to screening are also acceptable and do not need to be repeated at screening. If HIV antibody screening prior to or during the screening is positive, enrollment is not allowed. </w:t>
      </w:r>
    </w:p>
    <w:p w14:paraId="2C53CB6B" w14:textId="77777777" w:rsidR="00DE4AFD" w:rsidRPr="0034486D" w:rsidRDefault="004A4F56" w:rsidP="0034486D">
      <w:pPr>
        <w:pStyle w:val="afd"/>
        <w:numPr>
          <w:ilvl w:val="0"/>
          <w:numId w:val="15"/>
        </w:numPr>
        <w:adjustRightInd w:val="0"/>
        <w:snapToGrid w:val="0"/>
        <w:ind w:firstLineChars="0"/>
        <w:textAlignment w:val="baseline"/>
        <w:rPr>
          <w:color w:val="000000" w:themeColor="text1"/>
        </w:rPr>
      </w:pPr>
      <w:r w:rsidRPr="0034486D">
        <w:rPr>
          <w:rFonts w:eastAsia="Times New Roman"/>
          <w:color w:val="000000" w:themeColor="text1"/>
          <w:szCs w:val="20"/>
        </w:rPr>
        <w:t xml:space="preserve">Blood pregnancy tests will be performed at screening and at the 30-day safety follow-up visit. Female subjects of childbearing potential should complete the test within 7 days prior to the first dose of the investigational product. Women of childbearing potential must undergo a serum pregnancy test, and enrolled subjects must have a negative serum test result. Female subjects are still considered to have childbearing potential if they are postmenopausal but have not reached postmenopausal status (menopausal for a period of ≥ 12 consecutive months, for no other reason other than menopause) and have not undergone sterilization (removal of ovaries and/or uterus), and should have the serum pregnancy test. </w:t>
      </w:r>
    </w:p>
    <w:p w14:paraId="25AF9D71" w14:textId="77777777" w:rsidR="00DE4AFD" w:rsidRPr="0034486D" w:rsidRDefault="004A4F56" w:rsidP="0034486D">
      <w:pPr>
        <w:pStyle w:val="afd"/>
        <w:numPr>
          <w:ilvl w:val="0"/>
          <w:numId w:val="15"/>
        </w:numPr>
        <w:adjustRightInd w:val="0"/>
        <w:ind w:firstLineChars="0"/>
        <w:textAlignment w:val="baseline"/>
        <w:rPr>
          <w:color w:val="000000" w:themeColor="text1"/>
        </w:rPr>
      </w:pPr>
      <w:r w:rsidRPr="0034486D">
        <w:rPr>
          <w:rFonts w:eastAsia="Times New Roman"/>
          <w:color w:val="000000" w:themeColor="text1"/>
          <w:szCs w:val="20"/>
        </w:rPr>
        <w:t xml:space="preserve">Hematology: complete blood count (absolute), including red blood cell count, white blood cell </w:t>
      </w:r>
      <w:proofErr w:type="gramStart"/>
      <w:r w:rsidRPr="0034486D">
        <w:rPr>
          <w:rFonts w:eastAsia="Times New Roman"/>
          <w:color w:val="000000" w:themeColor="text1"/>
          <w:szCs w:val="20"/>
        </w:rPr>
        <w:t>count</w:t>
      </w:r>
      <w:proofErr w:type="gramEnd"/>
      <w:r w:rsidRPr="0034486D">
        <w:rPr>
          <w:rFonts w:eastAsia="Times New Roman"/>
          <w:color w:val="000000" w:themeColor="text1"/>
          <w:szCs w:val="20"/>
        </w:rPr>
        <w:t xml:space="preserve"> with differential (neutrophils, lymphocytes, monocytes, eosinophils and basophils), platelet count, hemoglobin, and hematocrit, should be performed within 7 days prior to the first dose of the investigational product. It should be performed within 2 days prior to dosing on Day 1 of each cycle from Cycle 2 onwards and during the safety follow-up period. Unscheduled tests may be performed as clinically indicated. </w:t>
      </w:r>
    </w:p>
    <w:p w14:paraId="5D37BC29" w14:textId="77777777" w:rsidR="00DE4AFD" w:rsidRPr="0034486D" w:rsidRDefault="004A4F56" w:rsidP="0034486D">
      <w:pPr>
        <w:pStyle w:val="afd"/>
        <w:numPr>
          <w:ilvl w:val="0"/>
          <w:numId w:val="15"/>
        </w:numPr>
        <w:adjustRightInd w:val="0"/>
        <w:ind w:firstLineChars="0"/>
        <w:textAlignment w:val="baseline"/>
        <w:rPr>
          <w:color w:val="000000" w:themeColor="text1"/>
        </w:rPr>
      </w:pPr>
      <w:r w:rsidRPr="0034486D">
        <w:rPr>
          <w:rFonts w:eastAsia="Times New Roman"/>
          <w:color w:val="000000" w:themeColor="text1"/>
          <w:szCs w:val="20"/>
        </w:rPr>
        <w:t xml:space="preserve">Clinical chemistry includes ALT, AST, total bilirubin, BUN (urea nitrogen) or urea, Cr (blood creatinine), blood glucose, potassium, sodium, chloride, calcium, phosphorus, magnesium, total protein, albumin, albumin/globulin ratio, LDH (lactate dehydrogenase), ALP (alkaline phosphatase), AFP (α-fetoprotein), amylase, lipase, triglycerides and total cholesterol, and should be performed within 7 days prior to the first dose of the investigational product. It should be performed within 2 days prior to dosing on Day 1 of each cycle from Cycle 2 onwards and during the safety follow-up period. Unscheduled tests may be performed as clinically indicated. </w:t>
      </w:r>
    </w:p>
    <w:p w14:paraId="3E3A4F01" w14:textId="6968FB24" w:rsidR="00DE4AFD" w:rsidRPr="0034486D" w:rsidRDefault="004A4F56" w:rsidP="0034486D">
      <w:pPr>
        <w:pStyle w:val="afd"/>
        <w:numPr>
          <w:ilvl w:val="0"/>
          <w:numId w:val="15"/>
        </w:numPr>
        <w:adjustRightInd w:val="0"/>
        <w:ind w:firstLineChars="0"/>
        <w:textAlignment w:val="baseline"/>
        <w:rPr>
          <w:color w:val="000000" w:themeColor="text1"/>
        </w:rPr>
      </w:pPr>
      <w:r w:rsidRPr="0034486D">
        <w:rPr>
          <w:rFonts w:eastAsia="Times New Roman"/>
          <w:color w:val="000000" w:themeColor="text1"/>
          <w:szCs w:val="20"/>
        </w:rPr>
        <w:t xml:space="preserve">Coagulation function includes prothrombin time (PT), activated partial thrombin time (APTT) and INR. </w:t>
      </w:r>
      <w:r w:rsidRPr="0034486D">
        <w:rPr>
          <w:rFonts w:eastAsia="Times New Roman"/>
          <w:color w:val="000000" w:themeColor="text1"/>
        </w:rPr>
        <w:t>It should be performed within 7 days prior to the first dose of the investigational product.</w:t>
      </w:r>
      <w:r w:rsidR="00C6522E">
        <w:rPr>
          <w:rFonts w:eastAsiaTheme="minorEastAsia" w:hint="eastAsia"/>
          <w:color w:val="000000" w:themeColor="text1"/>
        </w:rPr>
        <w:t xml:space="preserve"> </w:t>
      </w:r>
      <w:r w:rsidRPr="0034486D">
        <w:rPr>
          <w:rFonts w:eastAsia="Times New Roman"/>
          <w:color w:val="000000" w:themeColor="text1"/>
          <w:szCs w:val="20"/>
        </w:rPr>
        <w:t xml:space="preserve">It should be performed within 2 days prior to dosing on Day 1 of each cycle from Cycle 2 onwards and during the safety follow-up period. Unscheduled tests may be performed as clinically indicated. </w:t>
      </w:r>
    </w:p>
    <w:p w14:paraId="5DF5B898" w14:textId="77777777" w:rsidR="00DE4AFD" w:rsidRPr="0034486D" w:rsidRDefault="004A4F56" w:rsidP="0034486D">
      <w:pPr>
        <w:pStyle w:val="afd"/>
        <w:numPr>
          <w:ilvl w:val="0"/>
          <w:numId w:val="15"/>
        </w:numPr>
        <w:adjustRightInd w:val="0"/>
        <w:ind w:firstLineChars="0"/>
        <w:textAlignment w:val="baseline"/>
        <w:rPr>
          <w:color w:val="000000" w:themeColor="text1"/>
        </w:rPr>
      </w:pPr>
      <w:r w:rsidRPr="0034486D">
        <w:rPr>
          <w:rFonts w:eastAsia="Times New Roman"/>
          <w:color w:val="000000" w:themeColor="text1"/>
          <w:szCs w:val="20"/>
        </w:rPr>
        <w:t xml:space="preserve">Thyroid function: including serum free triiodothyronine (FT3), serum free thyroxine (FT4), and thyroid stimulating hormone (TSH), to be performed within 7 days prior to the first dose of the investigational product. It should be performed within 2 days prior to dosing on Day 1 of each cycle from Cycle 2 onwards and during the safety follow-up period. Unscheduled tests may be performed as clinically indicated. </w:t>
      </w:r>
    </w:p>
    <w:p w14:paraId="36B79A40" w14:textId="77777777" w:rsidR="00DE4AFD" w:rsidRPr="0034486D" w:rsidRDefault="004A4F56" w:rsidP="0034486D">
      <w:pPr>
        <w:pStyle w:val="afd"/>
        <w:numPr>
          <w:ilvl w:val="0"/>
          <w:numId w:val="15"/>
        </w:numPr>
        <w:adjustRightInd w:val="0"/>
        <w:ind w:firstLineChars="0"/>
        <w:textAlignment w:val="baseline"/>
        <w:rPr>
          <w:color w:val="000000" w:themeColor="text1"/>
        </w:rPr>
      </w:pPr>
      <w:r w:rsidRPr="0034486D">
        <w:rPr>
          <w:rFonts w:eastAsia="Times New Roman"/>
          <w:color w:val="000000" w:themeColor="text1"/>
          <w:szCs w:val="20"/>
        </w:rPr>
        <w:t xml:space="preserve">Urinalysis: including specific gravity, pH, white blood cells, red blood cells, protein, glucose, ketone bodies and casts, to be performed within 7 days prior to the first dose. It is recommended to perform 24-hour urine protein quantification as soon as possible (e.g., within 72 h) if it shows urinary protein++ in two consecutive urinalyses. </w:t>
      </w:r>
    </w:p>
    <w:p w14:paraId="3CA56CD5" w14:textId="77777777" w:rsidR="00DE4AFD" w:rsidRPr="00303844" w:rsidRDefault="004A4F56" w:rsidP="00253A8A">
      <w:pPr>
        <w:pStyle w:val="afd"/>
        <w:numPr>
          <w:ilvl w:val="0"/>
          <w:numId w:val="15"/>
        </w:numPr>
        <w:tabs>
          <w:tab w:val="left" w:pos="540"/>
        </w:tabs>
        <w:adjustRightInd w:val="0"/>
        <w:snapToGrid w:val="0"/>
        <w:ind w:firstLineChars="0"/>
        <w:textAlignment w:val="baseline"/>
      </w:pPr>
      <w:r w:rsidRPr="00303844">
        <w:rPr>
          <w:rFonts w:eastAsia="Times New Roman"/>
          <w:color w:val="333333"/>
          <w:szCs w:val="20"/>
        </w:rPr>
        <w:lastRenderedPageBreak/>
        <w:t>Cardiac monitoring: left ventricular ejection fraction (LVEF) will be evaluated by echocardiography at screening, every 6 weeks ± 2 days after the start of treatment, and within 30 days after the end of treatment; 12-lead electrocardiogram will be performed at screening, within 2 days prior to dosing on Day 1 of each treatment cycle starting from Cycle 2, and within 30 days after the end of treatment.</w:t>
      </w:r>
      <w:r w:rsidRPr="00303844">
        <w:rPr>
          <w:rFonts w:eastAsia="Times New Roman"/>
          <w:szCs w:val="20"/>
        </w:rPr>
        <w:t xml:space="preserve"> </w:t>
      </w:r>
    </w:p>
    <w:p w14:paraId="314CEA37" w14:textId="3255C44D" w:rsidR="00DE4AFD" w:rsidRPr="00303844" w:rsidRDefault="004A4F56" w:rsidP="00253A8A">
      <w:pPr>
        <w:pStyle w:val="afd"/>
        <w:numPr>
          <w:ilvl w:val="0"/>
          <w:numId w:val="15"/>
        </w:numPr>
        <w:tabs>
          <w:tab w:val="left" w:pos="540"/>
        </w:tabs>
        <w:adjustRightInd w:val="0"/>
        <w:snapToGrid w:val="0"/>
        <w:ind w:firstLineChars="0"/>
        <w:textAlignment w:val="baseline"/>
      </w:pPr>
      <w:r w:rsidRPr="00303844">
        <w:rPr>
          <w:rFonts w:eastAsia="Times New Roman"/>
          <w:color w:val="333333"/>
          <w:szCs w:val="20"/>
        </w:rPr>
        <w:t xml:space="preserve">Baseline tumor assessment will be performed within 21 days before the first dose of the </w:t>
      </w:r>
      <w:r w:rsidRPr="00303844">
        <w:rPr>
          <w:rFonts w:eastAsia="Times New Roman"/>
          <w:szCs w:val="20"/>
        </w:rPr>
        <w:t xml:space="preserve">investigational product. </w:t>
      </w:r>
      <w:r w:rsidRPr="00303844">
        <w:rPr>
          <w:rFonts w:eastAsia="Times New Roman"/>
          <w:color w:val="333333"/>
        </w:rPr>
        <w:t>Baseline tumor evaluation will be performed according to RECIST v1.1. Imaging (CT or MRI) examinations of the chest and abdomen may be performed, and if clinically indicated, any other known or suspected sites of disease (e.g., pelvis) may be performed using appropriate methods (CT scan or MRI).</w:t>
      </w:r>
      <w:r w:rsidRPr="00303844">
        <w:rPr>
          <w:rFonts w:eastAsia="Times New Roman"/>
        </w:rPr>
        <w:t xml:space="preserve"> </w:t>
      </w:r>
      <w:r w:rsidRPr="00303844">
        <w:rPr>
          <w:rFonts w:eastAsia="Times New Roman"/>
          <w:color w:val="333333"/>
        </w:rPr>
        <w:t>The presence or absence of a primary lesion, the presence or absence of measurable disease/or the non-measurable disease will be recorded.</w:t>
      </w:r>
      <w:r w:rsidRPr="00303844">
        <w:rPr>
          <w:rFonts w:eastAsia="Times New Roman"/>
        </w:rPr>
        <w:t xml:space="preserve"> </w:t>
      </w:r>
      <w:r w:rsidRPr="00303844">
        <w:rPr>
          <w:rFonts w:eastAsia="Times New Roman"/>
          <w:color w:val="333333"/>
        </w:rPr>
        <w:t xml:space="preserve">Baseline and post-treatment response assessments will be performed using the same method and by the same </w:t>
      </w:r>
      <w:proofErr w:type="gramStart"/>
      <w:r w:rsidRPr="00303844">
        <w:rPr>
          <w:rFonts w:eastAsia="Times New Roman"/>
          <w:color w:val="333333"/>
        </w:rPr>
        <w:t>investigator</w:t>
      </w:r>
      <w:proofErr w:type="gramEnd"/>
      <w:r w:rsidRPr="00303844">
        <w:rPr>
          <w:rFonts w:eastAsia="Times New Roman"/>
          <w:color w:val="333333"/>
        </w:rPr>
        <w:t xml:space="preserve"> if possible (RECIST 1.1 criteria); tumor imaging assessments (CT or MRI</w:t>
      </w:r>
      <w:r w:rsidR="00C6522E" w:rsidRPr="00303844">
        <w:rPr>
          <w:rFonts w:eastAsia="Times New Roman"/>
          <w:color w:val="333333"/>
        </w:rPr>
        <w:t>),</w:t>
      </w:r>
      <w:r w:rsidRPr="00303844">
        <w:rPr>
          <w:rFonts w:eastAsia="Times New Roman"/>
          <w:color w:val="333333"/>
        </w:rPr>
        <w:t xml:space="preserve"> will be performed every 6 weeks (+/-2 days</w:t>
      </w:r>
      <w:r w:rsidR="00C6522E" w:rsidRPr="00303844">
        <w:rPr>
          <w:rFonts w:eastAsia="Times New Roman"/>
          <w:color w:val="333333"/>
        </w:rPr>
        <w:t>),</w:t>
      </w:r>
      <w:r w:rsidRPr="00303844">
        <w:rPr>
          <w:rFonts w:eastAsia="Times New Roman"/>
          <w:color w:val="333333"/>
        </w:rPr>
        <w:t xml:space="preserve"> after the start of treatment until disease progression, death, or withdrawal of consent, whichever occurs first. Unscheduled tumor assessments may be performed by the investigator as clinically indicated.</w:t>
      </w:r>
      <w:r w:rsidRPr="00303844">
        <w:rPr>
          <w:rFonts w:eastAsia="Times New Roman"/>
        </w:rPr>
        <w:t xml:space="preserve"> </w:t>
      </w:r>
      <w:r w:rsidRPr="00303844">
        <w:rPr>
          <w:rFonts w:eastAsia="Times New Roman"/>
          <w:color w:val="333333"/>
          <w:szCs w:val="20"/>
        </w:rPr>
        <w:t xml:space="preserve">At the same time, BIRC will be established for real-time acquisition and blinded independent central assessment of tumor imaging data (RECIST v1.1 criteria). </w:t>
      </w:r>
    </w:p>
    <w:p w14:paraId="6EC21AB7" w14:textId="77777777" w:rsidR="00DE4AFD" w:rsidRPr="00303844" w:rsidRDefault="004A4F56" w:rsidP="00253A8A">
      <w:pPr>
        <w:pStyle w:val="afd"/>
        <w:widowControl/>
        <w:numPr>
          <w:ilvl w:val="0"/>
          <w:numId w:val="15"/>
        </w:numPr>
        <w:autoSpaceDE w:val="0"/>
        <w:autoSpaceDN w:val="0"/>
        <w:adjustRightInd w:val="0"/>
        <w:snapToGrid w:val="0"/>
        <w:ind w:firstLineChars="0"/>
        <w:textAlignment w:val="baseline"/>
      </w:pPr>
      <w:r w:rsidRPr="00303844">
        <w:rPr>
          <w:rFonts w:eastAsia="Times New Roman"/>
          <w:szCs w:val="20"/>
        </w:rPr>
        <w:t xml:space="preserve">Drug dispensing/recovery: </w:t>
      </w:r>
      <w:proofErr w:type="spellStart"/>
      <w:r w:rsidRPr="00303844">
        <w:rPr>
          <w:rFonts w:eastAsia="Times New Roman"/>
          <w:szCs w:val="20"/>
        </w:rPr>
        <w:t>surufatinib</w:t>
      </w:r>
      <w:proofErr w:type="spellEnd"/>
      <w:r w:rsidRPr="00303844">
        <w:rPr>
          <w:rFonts w:eastAsia="Times New Roman"/>
          <w:szCs w:val="20"/>
        </w:rPr>
        <w:t xml:space="preserve"> is taken orally once daily, 21 days per cycle, dispensed once per cycle. </w:t>
      </w:r>
      <w:r w:rsidRPr="00303844">
        <w:rPr>
          <w:rFonts w:eastAsia="Times New Roman"/>
          <w:color w:val="333333"/>
          <w:szCs w:val="20"/>
        </w:rPr>
        <w:t>Unused study medication should be returned to the study site at the end of each treatment cycle or at the beginning of the next treatment cycle, and a safety visit must be completed before dispensing the product.</w:t>
      </w:r>
      <w:r w:rsidRPr="00303844">
        <w:rPr>
          <w:rFonts w:eastAsia="Times New Roman"/>
          <w:szCs w:val="20"/>
        </w:rPr>
        <w:t xml:space="preserve"> </w:t>
      </w:r>
    </w:p>
    <w:p w14:paraId="2787DD69" w14:textId="77777777" w:rsidR="00DE4AFD" w:rsidRPr="00303844" w:rsidRDefault="004A4F56" w:rsidP="00253A8A">
      <w:pPr>
        <w:pStyle w:val="afd"/>
        <w:widowControl/>
        <w:numPr>
          <w:ilvl w:val="0"/>
          <w:numId w:val="15"/>
        </w:numPr>
        <w:autoSpaceDE w:val="0"/>
        <w:autoSpaceDN w:val="0"/>
        <w:adjustRightInd w:val="0"/>
        <w:snapToGrid w:val="0"/>
        <w:ind w:firstLineChars="0"/>
        <w:textAlignment w:val="baseline"/>
      </w:pPr>
      <w:r w:rsidRPr="00303844">
        <w:rPr>
          <w:rFonts w:eastAsia="Times New Roman"/>
          <w:color w:val="333333"/>
          <w:szCs w:val="20"/>
        </w:rPr>
        <w:t>Concomitant medications include any prescription and over-the-counter drugs.</w:t>
      </w:r>
      <w:r w:rsidRPr="00303844">
        <w:rPr>
          <w:rFonts w:eastAsia="Times New Roman"/>
          <w:szCs w:val="20"/>
        </w:rPr>
        <w:t xml:space="preserve"> </w:t>
      </w:r>
      <w:r w:rsidRPr="00303844">
        <w:rPr>
          <w:rFonts w:eastAsia="Times New Roman"/>
          <w:color w:val="333333"/>
          <w:szCs w:val="20"/>
        </w:rPr>
        <w:t xml:space="preserve">All medications taken by the patient between 21 days prior to the first dose and the 30-day safety visit should be recorded, including: generic name and daily dose of the product; reason for use of the product; </w:t>
      </w:r>
      <w:r w:rsidRPr="00303844">
        <w:rPr>
          <w:rFonts w:eastAsia="Times New Roman"/>
          <w:szCs w:val="20"/>
        </w:rPr>
        <w:t xml:space="preserve">and the start and end dates of use. </w:t>
      </w:r>
      <w:r w:rsidRPr="00303844">
        <w:rPr>
          <w:rFonts w:eastAsia="Times New Roman"/>
          <w:color w:val="333333"/>
          <w:szCs w:val="20"/>
        </w:rPr>
        <w:t>Only subsequent anti-tumor therapies will be recorded after the 30-day safety visit.</w:t>
      </w:r>
      <w:r w:rsidRPr="00303844">
        <w:rPr>
          <w:rFonts w:eastAsia="Times New Roman"/>
          <w:szCs w:val="20"/>
        </w:rPr>
        <w:t xml:space="preserve"> </w:t>
      </w:r>
    </w:p>
    <w:p w14:paraId="2245D399" w14:textId="77777777" w:rsidR="00DE4AFD" w:rsidRPr="00303844" w:rsidRDefault="004A4F56" w:rsidP="00253A8A">
      <w:pPr>
        <w:pStyle w:val="afd"/>
        <w:widowControl/>
        <w:numPr>
          <w:ilvl w:val="0"/>
          <w:numId w:val="15"/>
        </w:numPr>
        <w:autoSpaceDE w:val="0"/>
        <w:autoSpaceDN w:val="0"/>
        <w:adjustRightInd w:val="0"/>
        <w:snapToGrid w:val="0"/>
        <w:ind w:firstLineChars="0"/>
        <w:textAlignment w:val="baseline"/>
      </w:pPr>
      <w:r w:rsidRPr="00303844">
        <w:rPr>
          <w:rFonts w:eastAsia="Times New Roman"/>
          <w:color w:val="333333"/>
          <w:szCs w:val="20"/>
        </w:rPr>
        <w:t xml:space="preserve">AEs will be collected from the time of signing the informed consent form until 30 days after the last dose of the investigational product. Serious adverse events (SAEs) will be collected from the time of signing the informed consent form until 30 days after the last dose or the start of new anti-tumor therapy, and only SAEs related to the investigational product will be collected 30 days after the last dose. AEs related to </w:t>
      </w:r>
      <w:r w:rsidRPr="00303844">
        <w:rPr>
          <w:rFonts w:eastAsia="Times New Roman"/>
          <w:szCs w:val="20"/>
        </w:rPr>
        <w:t>investigational product</w:t>
      </w:r>
      <w:r w:rsidRPr="00303844">
        <w:rPr>
          <w:rFonts w:eastAsia="Times New Roman"/>
          <w:color w:val="333333"/>
          <w:szCs w:val="20"/>
        </w:rPr>
        <w:t xml:space="preserve"> will be followed until they recover to Grade 0 - 1 or to baseline, or assessed by the investigator as reaching a stable state, or confirmed unrelated to study treatment, or until the subject starts a new anti-tumor therapy, is lost to follow-up, or withdraws consent.</w:t>
      </w:r>
      <w:r w:rsidRPr="00303844">
        <w:rPr>
          <w:rFonts w:eastAsia="Times New Roman"/>
          <w:szCs w:val="20"/>
        </w:rPr>
        <w:t xml:space="preserve"> </w:t>
      </w:r>
    </w:p>
    <w:p w14:paraId="6BD34EE0" w14:textId="77777777" w:rsidR="00DE4AFD" w:rsidRPr="00303844" w:rsidRDefault="004A4F56" w:rsidP="00253A8A">
      <w:pPr>
        <w:pStyle w:val="afd"/>
        <w:widowControl/>
        <w:numPr>
          <w:ilvl w:val="0"/>
          <w:numId w:val="15"/>
        </w:numPr>
        <w:tabs>
          <w:tab w:val="left" w:pos="540"/>
        </w:tabs>
        <w:adjustRightInd w:val="0"/>
        <w:snapToGrid w:val="0"/>
        <w:ind w:firstLineChars="0"/>
        <w:textAlignment w:val="baseline"/>
      </w:pPr>
      <w:r w:rsidRPr="00303844">
        <w:rPr>
          <w:rFonts w:eastAsia="Times New Roman"/>
          <w:color w:val="333333"/>
          <w:szCs w:val="20"/>
        </w:rPr>
        <w:t xml:space="preserve">Subjects who complete or early discontinue the </w:t>
      </w:r>
      <w:r w:rsidRPr="00303844">
        <w:rPr>
          <w:rFonts w:eastAsia="Times New Roman"/>
          <w:szCs w:val="20"/>
        </w:rPr>
        <w:t>investigational product</w:t>
      </w:r>
      <w:r w:rsidRPr="00303844">
        <w:rPr>
          <w:rFonts w:eastAsia="Times New Roman"/>
          <w:color w:val="333333"/>
          <w:szCs w:val="20"/>
        </w:rPr>
        <w:t xml:space="preserve"> treatment should return to the study site for safety assessment 30 (± 7) days after the last dose or before the initiation of other anti-tumor therapy, whichever occurs first.</w:t>
      </w:r>
      <w:r w:rsidRPr="00303844">
        <w:rPr>
          <w:rFonts w:eastAsia="Times New Roman"/>
          <w:szCs w:val="20"/>
        </w:rPr>
        <w:t xml:space="preserve"> </w:t>
      </w:r>
      <w:r w:rsidRPr="00303844">
        <w:rPr>
          <w:rFonts w:eastAsia="Times New Roman"/>
          <w:color w:val="333333"/>
          <w:szCs w:val="20"/>
        </w:rPr>
        <w:t>SAEs occurring within 30 days after the last treatment should be followed up to 30 (+/-7) days after the last treatment if possible or until the initiation of another anti-tumor therapy, whichever occurs first.</w:t>
      </w:r>
      <w:r w:rsidRPr="00303844">
        <w:rPr>
          <w:rFonts w:eastAsia="Times New Roman"/>
          <w:szCs w:val="20"/>
        </w:rPr>
        <w:t xml:space="preserve"> </w:t>
      </w:r>
      <w:r w:rsidRPr="00303844">
        <w:rPr>
          <w:rFonts w:eastAsia="Times New Roman"/>
          <w:color w:val="333333"/>
          <w:szCs w:val="20"/>
        </w:rPr>
        <w:t xml:space="preserve">Continuation of tumor imaging assessments at this visit is recommended for subjects who have completed treatment but have not been assessed as disease progression. </w:t>
      </w:r>
    </w:p>
    <w:p w14:paraId="2485CD5B" w14:textId="77777777" w:rsidR="00DE4AFD" w:rsidRPr="00303844" w:rsidRDefault="004A4F56" w:rsidP="00253A8A">
      <w:pPr>
        <w:pStyle w:val="afd"/>
        <w:widowControl/>
        <w:numPr>
          <w:ilvl w:val="0"/>
          <w:numId w:val="15"/>
        </w:numPr>
        <w:tabs>
          <w:tab w:val="left" w:pos="540"/>
        </w:tabs>
        <w:adjustRightInd w:val="0"/>
        <w:snapToGrid w:val="0"/>
        <w:ind w:firstLineChars="0"/>
        <w:textAlignment w:val="baseline"/>
      </w:pPr>
      <w:r w:rsidRPr="00303844">
        <w:rPr>
          <w:rFonts w:eastAsia="Times New Roman"/>
          <w:color w:val="333333"/>
          <w:szCs w:val="20"/>
        </w:rPr>
        <w:t>Survival follow-up: survival follow-up will be performed every 3 months for one year after the end of treatment, and every 6 months after one year. Subsequent anti-tumor therapy and study-related SAEs will be collected.</w:t>
      </w:r>
      <w:r w:rsidRPr="00303844">
        <w:rPr>
          <w:rFonts w:eastAsia="Times New Roman"/>
          <w:szCs w:val="20"/>
        </w:rPr>
        <w:t xml:space="preserve"> </w:t>
      </w:r>
      <w:r w:rsidRPr="00303844">
        <w:rPr>
          <w:rFonts w:eastAsia="Times New Roman"/>
          <w:color w:val="333333"/>
          <w:szCs w:val="20"/>
        </w:rPr>
        <w:t xml:space="preserve">All surviving subjects will be followed for survival once before the end of the entire study. </w:t>
      </w:r>
    </w:p>
    <w:p w14:paraId="4619BE37" w14:textId="77777777" w:rsidR="00DE4AFD" w:rsidRPr="00A00B16" w:rsidRDefault="00DE4AFD" w:rsidP="00A00B16">
      <w:pPr>
        <w:widowControl/>
        <w:tabs>
          <w:tab w:val="left" w:pos="540"/>
        </w:tabs>
        <w:adjustRightInd w:val="0"/>
        <w:snapToGrid w:val="0"/>
        <w:spacing w:line="360" w:lineRule="auto"/>
        <w:textAlignment w:val="baseline"/>
        <w:rPr>
          <w:rFonts w:ascii="Times New Roman" w:eastAsia="宋体" w:hAnsi="Times New Roman" w:cs="Times New Roman"/>
          <w:sz w:val="24"/>
        </w:rPr>
      </w:pPr>
    </w:p>
    <w:p w14:paraId="00E3EDA0" w14:textId="77777777" w:rsidR="00DE4AFD" w:rsidRPr="00303844" w:rsidRDefault="00DE4AFD" w:rsidP="00253A8A">
      <w:pPr>
        <w:rPr>
          <w:rFonts w:ascii="Times New Roman" w:eastAsia="宋体" w:hAnsi="Times New Roman" w:cs="Times New Roman"/>
        </w:rPr>
        <w:sectPr w:rsidR="00DE4AFD" w:rsidRPr="00303844" w:rsidSect="008C3018">
          <w:pgSz w:w="16838" w:h="11906" w:orient="landscape"/>
          <w:pgMar w:top="1440" w:right="1440" w:bottom="1440" w:left="1440" w:header="1020" w:footer="737" w:gutter="0"/>
          <w:cols w:space="720"/>
          <w:docGrid w:type="lines" w:linePitch="312"/>
        </w:sectPr>
      </w:pPr>
    </w:p>
    <w:p w14:paraId="61B8C794" w14:textId="77777777" w:rsidR="00DE4AFD" w:rsidRPr="00303844" w:rsidRDefault="004A4F56" w:rsidP="000C622D">
      <w:pPr>
        <w:pStyle w:val="10"/>
        <w:spacing w:before="0" w:after="0" w:line="360" w:lineRule="auto"/>
        <w:jc w:val="both"/>
        <w:rPr>
          <w:rFonts w:cs="Times New Roman"/>
        </w:rPr>
      </w:pPr>
      <w:bookmarkStart w:id="8" w:name="_Toc456353430"/>
      <w:bookmarkStart w:id="9" w:name="_Toc184889597"/>
      <w:bookmarkEnd w:id="8"/>
      <w:r w:rsidRPr="00303844">
        <w:rPr>
          <w:rFonts w:eastAsia="Times New Roman" w:cs="Times New Roman"/>
          <w:color w:val="333333"/>
        </w:rPr>
        <w:lastRenderedPageBreak/>
        <w:t>Introduction: Study Background and Scientific Rationale</w:t>
      </w:r>
      <w:bookmarkEnd w:id="9"/>
    </w:p>
    <w:p w14:paraId="08CD6724" w14:textId="77777777" w:rsidR="00DE4AFD" w:rsidRPr="00303844" w:rsidRDefault="004A4F56" w:rsidP="000C622D">
      <w:pPr>
        <w:pStyle w:val="21"/>
        <w:spacing w:before="0" w:after="0" w:line="360" w:lineRule="auto"/>
        <w:rPr>
          <w:rFonts w:eastAsia="宋体" w:cs="Times New Roman"/>
        </w:rPr>
      </w:pPr>
      <w:bookmarkStart w:id="10" w:name="_Ref294170715"/>
      <w:bookmarkStart w:id="11" w:name="_Toc378654953"/>
      <w:bookmarkStart w:id="12" w:name="_Toc405195523"/>
      <w:bookmarkStart w:id="13" w:name="_Ref461022972"/>
      <w:bookmarkStart w:id="14" w:name="_Toc273442747"/>
      <w:bookmarkStart w:id="15" w:name="_Toc158441565"/>
      <w:bookmarkStart w:id="16" w:name="_Toc456353431"/>
      <w:bookmarkStart w:id="17" w:name="_Toc347212903"/>
      <w:bookmarkStart w:id="18" w:name="_Toc184889598"/>
      <w:bookmarkEnd w:id="10"/>
      <w:bookmarkEnd w:id="11"/>
      <w:bookmarkEnd w:id="12"/>
      <w:bookmarkEnd w:id="13"/>
      <w:bookmarkEnd w:id="14"/>
      <w:bookmarkEnd w:id="15"/>
      <w:bookmarkEnd w:id="16"/>
      <w:bookmarkEnd w:id="17"/>
      <w:r w:rsidRPr="00303844">
        <w:rPr>
          <w:rFonts w:eastAsia="Times New Roman" w:cs="Times New Roman"/>
          <w:color w:val="333333"/>
        </w:rPr>
        <w:t>Study Background</w:t>
      </w:r>
      <w:bookmarkEnd w:id="18"/>
    </w:p>
    <w:p w14:paraId="4AFA728B"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Pancreatic carcinoma, known as the king of cancers, is one of the malignant tumors of the digestive system with extremely high mortality. The global overall incidence and death rates are increasing year by year, resulting in 466,000 deaths worldwide in 2020</w:t>
      </w:r>
      <w:r w:rsidRPr="00303844">
        <w:rPr>
          <w:rFonts w:eastAsia="Times New Roman" w:cs="Times New Roman"/>
          <w:color w:val="000000"/>
          <w:vertAlign w:val="superscript"/>
          <w:lang w:val="en-US" w:eastAsia="zh-CN"/>
        </w:rPr>
        <w:t>[1]</w:t>
      </w:r>
      <w:r w:rsidRPr="00303844">
        <w:rPr>
          <w:rFonts w:eastAsia="Times New Roman" w:cs="Times New Roman"/>
          <w:color w:val="000000"/>
          <w:lang w:val="en-US" w:eastAsia="zh-CN"/>
        </w:rPr>
        <w:t>. In our country, the mortality rate of pancreatic carcinoma ranks sixth among malignant tumors. In 2020, there were 125,000 new cases and 122,000 deaths, characterized by high malignancy and poor prognosis.</w:t>
      </w:r>
      <w:r w:rsidRPr="00303844">
        <w:rPr>
          <w:rFonts w:eastAsia="Times New Roman" w:cs="Times New Roman"/>
          <w:lang w:val="en-US" w:eastAsia="zh-CN"/>
        </w:rPr>
        <w:t xml:space="preserve"> </w:t>
      </w:r>
    </w:p>
    <w:p w14:paraId="05092D9E"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The main treatment methods for pancreatic carcinoma include surgical resection, chemotherapy, radiotherapy, and biological therapy, but the therapeutic effects are not ideal; it is one of the malignant tumors with the poorest treatment outcomes.</w:t>
      </w:r>
      <w:r w:rsidRPr="00303844">
        <w:rPr>
          <w:rFonts w:eastAsia="Times New Roman" w:cs="Times New Roman"/>
          <w:lang w:val="en-US" w:eastAsia="zh-CN"/>
        </w:rPr>
        <w:t xml:space="preserve"> </w:t>
      </w:r>
      <w:r w:rsidRPr="00303844">
        <w:rPr>
          <w:rFonts w:eastAsia="Times New Roman" w:cs="Times New Roman"/>
          <w:color w:val="000000"/>
          <w:lang w:val="en-US" w:eastAsia="zh-CN"/>
        </w:rPr>
        <w:t xml:space="preserve">The 5-year survival rate for patients with pancreatic carcinoma is only 7.2%, the lowest among malignant </w:t>
      </w:r>
      <w:proofErr w:type="gramStart"/>
      <w:r w:rsidRPr="00303844">
        <w:rPr>
          <w:rFonts w:eastAsia="Times New Roman" w:cs="Times New Roman"/>
          <w:color w:val="000000"/>
          <w:lang w:val="en-US" w:eastAsia="zh-CN"/>
        </w:rPr>
        <w:t>tumors</w:t>
      </w:r>
      <w:r w:rsidRPr="00303844">
        <w:rPr>
          <w:rFonts w:eastAsia="Times New Roman" w:cs="Times New Roman"/>
          <w:color w:val="000000"/>
          <w:vertAlign w:val="superscript"/>
          <w:lang w:val="en-US" w:eastAsia="zh-CN"/>
        </w:rPr>
        <w:t>[</w:t>
      </w:r>
      <w:proofErr w:type="gramEnd"/>
      <w:r w:rsidRPr="00303844">
        <w:rPr>
          <w:rFonts w:eastAsia="Times New Roman" w:cs="Times New Roman"/>
          <w:color w:val="000000"/>
          <w:vertAlign w:val="superscript"/>
          <w:lang w:val="en-US" w:eastAsia="zh-CN"/>
        </w:rPr>
        <w:t>2]</w:t>
      </w:r>
      <w:r w:rsidRPr="00303844">
        <w:rPr>
          <w:rFonts w:eastAsia="Times New Roman" w:cs="Times New Roman"/>
          <w:color w:val="000000"/>
          <w:lang w:val="en-US" w:eastAsia="zh-CN"/>
        </w:rPr>
        <w:t xml:space="preserve">; it is predicted that by 2030, the mortality of pancreatic carcinoma will be second only to lung </w:t>
      </w:r>
      <w:proofErr w:type="gramStart"/>
      <w:r w:rsidRPr="00303844">
        <w:rPr>
          <w:rFonts w:eastAsia="Times New Roman" w:cs="Times New Roman"/>
          <w:color w:val="000000"/>
          <w:lang w:val="en-US" w:eastAsia="zh-CN"/>
        </w:rPr>
        <w:t>cancer</w:t>
      </w:r>
      <w:r w:rsidRPr="00303844">
        <w:rPr>
          <w:rFonts w:eastAsia="Times New Roman" w:cs="Times New Roman"/>
          <w:color w:val="000000"/>
          <w:vertAlign w:val="superscript"/>
          <w:lang w:val="en-US" w:eastAsia="zh-CN"/>
        </w:rPr>
        <w:t>[</w:t>
      </w:r>
      <w:proofErr w:type="gramEnd"/>
      <w:r w:rsidRPr="00303844">
        <w:rPr>
          <w:rFonts w:eastAsia="Times New Roman" w:cs="Times New Roman"/>
          <w:color w:val="000000"/>
          <w:vertAlign w:val="superscript"/>
          <w:lang w:val="en-US" w:eastAsia="zh-CN"/>
        </w:rPr>
        <w:t>3]</w:t>
      </w:r>
      <w:r w:rsidRPr="00303844">
        <w:rPr>
          <w:rFonts w:eastAsia="Times New Roman" w:cs="Times New Roman"/>
          <w:color w:val="000000"/>
          <w:lang w:val="en-US" w:eastAsia="zh-CN"/>
        </w:rPr>
        <w:t>.</w:t>
      </w:r>
      <w:r w:rsidRPr="00303844">
        <w:rPr>
          <w:rFonts w:eastAsia="Times New Roman" w:cs="Times New Roman"/>
          <w:lang w:val="en-US" w:eastAsia="zh-CN"/>
        </w:rPr>
        <w:t xml:space="preserve"> </w:t>
      </w:r>
      <w:r w:rsidRPr="00303844">
        <w:rPr>
          <w:rFonts w:eastAsia="Times New Roman" w:cs="Times New Roman"/>
          <w:color w:val="000000"/>
          <w:lang w:val="en-US" w:eastAsia="zh-CN"/>
        </w:rPr>
        <w:t>At present, surgery is still the only method by which pancreatic carcinoma patients can achieve long-term survival. However, more than 80% of advanced pancreatic carcinoma patients have lost the possibility of surgery, making aggressive medical treatment particularly important.</w:t>
      </w:r>
      <w:r w:rsidRPr="00303844">
        <w:rPr>
          <w:rFonts w:eastAsia="Times New Roman" w:cs="Times New Roman"/>
          <w:lang w:val="en-US" w:eastAsia="zh-CN"/>
        </w:rPr>
        <w:t xml:space="preserve"> </w:t>
      </w:r>
      <w:r w:rsidRPr="00303844">
        <w:rPr>
          <w:rFonts w:eastAsia="Times New Roman" w:cs="Times New Roman"/>
          <w:color w:val="000000"/>
          <w:lang w:val="en-US" w:eastAsia="zh-CN"/>
        </w:rPr>
        <w:t>The overall treatment efficacy for locally advanced pancreatic carcinoma or pancreatic carcinoma combined with distant metastasis is poor; it is recommended to carry out relevant clinical studies.</w:t>
      </w:r>
      <w:r w:rsidRPr="00303844">
        <w:rPr>
          <w:rFonts w:eastAsia="Times New Roman" w:cs="Times New Roman"/>
          <w:lang w:val="en-US" w:eastAsia="zh-CN"/>
        </w:rPr>
        <w:t xml:space="preserve"> </w:t>
      </w:r>
      <w:r w:rsidRPr="00303844">
        <w:rPr>
          <w:rFonts w:eastAsia="Times New Roman" w:cs="Times New Roman"/>
          <w:color w:val="000000"/>
          <w:lang w:val="en-US" w:eastAsia="zh-CN"/>
        </w:rPr>
        <w:t>For patients with advanced pancreatic carcinoma who have no progression after first-line chemotherapy and have good performance status, maintenance therapy can be considered.</w:t>
      </w:r>
      <w:r w:rsidRPr="00303844">
        <w:rPr>
          <w:rFonts w:eastAsia="Times New Roman" w:cs="Times New Roman"/>
          <w:lang w:val="en-US" w:eastAsia="zh-CN"/>
        </w:rPr>
        <w:t xml:space="preserve"> </w:t>
      </w:r>
      <w:r w:rsidRPr="00303844">
        <w:rPr>
          <w:rFonts w:eastAsia="Times New Roman" w:cs="Times New Roman"/>
          <w:color w:val="000000"/>
          <w:lang w:val="en-US" w:eastAsia="zh-CN"/>
        </w:rPr>
        <w:t>The choice of drugs and duration of therapy for maintenance treatment require further clinical exploration and verification.</w:t>
      </w:r>
      <w:r w:rsidRPr="00303844">
        <w:rPr>
          <w:rFonts w:eastAsia="Times New Roman" w:cs="Times New Roman"/>
          <w:lang w:val="en-US" w:eastAsia="zh-CN"/>
        </w:rPr>
        <w:t xml:space="preserve"> </w:t>
      </w:r>
    </w:p>
    <w:p w14:paraId="4C27C82F"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At present, the treatment of pancreatic carcinoma metastatic still mainly relies on chemotherapy.</w:t>
      </w:r>
      <w:r w:rsidRPr="00303844">
        <w:rPr>
          <w:rFonts w:eastAsia="Times New Roman" w:cs="Times New Roman"/>
          <w:lang w:val="en-US" w:eastAsia="zh-CN"/>
        </w:rPr>
        <w:t xml:space="preserve"> </w:t>
      </w:r>
      <w:r w:rsidRPr="00303844">
        <w:rPr>
          <w:rFonts w:eastAsia="Times New Roman" w:cs="Times New Roman"/>
          <w:color w:val="000000"/>
          <w:lang w:val="en-US" w:eastAsia="zh-CN"/>
        </w:rPr>
        <w:t>For patients with pancreatic carcinoma metastatic who have lost the opportunity for surgery and have KPS≥70, standard treatment generally involves combination chemotherapy.</w:t>
      </w:r>
      <w:r w:rsidRPr="00303844">
        <w:rPr>
          <w:rFonts w:eastAsia="Times New Roman" w:cs="Times New Roman"/>
          <w:lang w:val="en-US" w:eastAsia="zh-CN"/>
        </w:rPr>
        <w:t xml:space="preserve"> </w:t>
      </w:r>
      <w:r w:rsidRPr="00303844">
        <w:rPr>
          <w:rFonts w:eastAsia="Times New Roman" w:cs="Times New Roman"/>
          <w:color w:val="000000"/>
          <w:lang w:val="en-US" w:eastAsia="zh-CN"/>
        </w:rPr>
        <w:t xml:space="preserve">Among them, there are currently two internationally recognized standard first-line chemotherapy regimens: the three-drug regimen of oxaliplatin + irinotecan + 5-FU/leucovorin (FOLFIRINOX), and the two-drug regimen of nab-paclitaxel + gemcitabine </w:t>
      </w:r>
      <w:r w:rsidRPr="00303844">
        <w:rPr>
          <w:rFonts w:eastAsia="Times New Roman" w:cs="Times New Roman"/>
          <w:color w:val="000000"/>
          <w:lang w:val="en-US" w:eastAsia="zh-CN"/>
        </w:rPr>
        <w:lastRenderedPageBreak/>
        <w:t xml:space="preserve">(AG). The expected response rate of the FOLFIRINOX regimen is 30%, with an expected survival of 11-12 months; the expected response rate of the AG regimen is 25%-30%, with an expected survival of 8.5-11 </w:t>
      </w:r>
      <w:proofErr w:type="gramStart"/>
      <w:r w:rsidRPr="00303844">
        <w:rPr>
          <w:rFonts w:eastAsia="Times New Roman" w:cs="Times New Roman"/>
          <w:color w:val="000000"/>
          <w:lang w:val="en-US" w:eastAsia="zh-CN"/>
        </w:rPr>
        <w:t>months</w:t>
      </w:r>
      <w:r w:rsidRPr="00303844">
        <w:rPr>
          <w:rFonts w:eastAsia="Times New Roman" w:cs="Times New Roman"/>
          <w:color w:val="000000"/>
          <w:vertAlign w:val="superscript"/>
          <w:lang w:val="en-US" w:eastAsia="zh-CN"/>
        </w:rPr>
        <w:t>[</w:t>
      </w:r>
      <w:proofErr w:type="gramEnd"/>
      <w:r w:rsidRPr="00303844">
        <w:rPr>
          <w:rFonts w:eastAsia="Times New Roman" w:cs="Times New Roman"/>
          <w:color w:val="000000"/>
          <w:vertAlign w:val="superscript"/>
          <w:lang w:val="en-US" w:eastAsia="zh-CN"/>
        </w:rPr>
        <w:t>4-7]</w:t>
      </w:r>
      <w:r w:rsidRPr="00303844">
        <w:rPr>
          <w:rFonts w:eastAsia="Times New Roman" w:cs="Times New Roman"/>
          <w:color w:val="000000"/>
          <w:lang w:val="en-US" w:eastAsia="zh-CN"/>
        </w:rPr>
        <w:t>.</w:t>
      </w:r>
      <w:r w:rsidRPr="00303844">
        <w:rPr>
          <w:rFonts w:eastAsia="Times New Roman" w:cs="Times New Roman"/>
          <w:lang w:val="en-US" w:eastAsia="zh-CN"/>
        </w:rPr>
        <w:t xml:space="preserve"> </w:t>
      </w:r>
      <w:r w:rsidRPr="00303844">
        <w:rPr>
          <w:rFonts w:eastAsia="Times New Roman" w:cs="Times New Roman"/>
          <w:color w:val="000000"/>
          <w:lang w:val="en-US" w:eastAsia="zh-CN"/>
        </w:rPr>
        <w:t>The AG regimen and the FOLFIRINOX regimen can serve interchangeably as first-line and second-line treatments; that is, after patients develop drug resistance to the first-line treatment, they can switch to the other regimen for continued therapy.</w:t>
      </w:r>
      <w:r w:rsidRPr="00303844">
        <w:rPr>
          <w:rFonts w:eastAsia="Times New Roman" w:cs="Times New Roman"/>
          <w:lang w:val="en-US" w:eastAsia="zh-CN"/>
        </w:rPr>
        <w:t xml:space="preserve"> </w:t>
      </w:r>
      <w:r w:rsidRPr="00303844">
        <w:rPr>
          <w:rFonts w:eastAsia="Times New Roman" w:cs="Times New Roman"/>
          <w:color w:val="000000"/>
          <w:lang w:val="en-US" w:eastAsia="zh-CN"/>
        </w:rPr>
        <w:t xml:space="preserve">Retrospective studies of the two regimens indicate that the sequence of use does not affect patient </w:t>
      </w:r>
      <w:proofErr w:type="gramStart"/>
      <w:r w:rsidRPr="00303844">
        <w:rPr>
          <w:rFonts w:eastAsia="Times New Roman" w:cs="Times New Roman"/>
          <w:color w:val="000000"/>
          <w:lang w:val="en-US" w:eastAsia="zh-CN"/>
        </w:rPr>
        <w:t>prognosis</w:t>
      </w:r>
      <w:r w:rsidRPr="00303844">
        <w:rPr>
          <w:rFonts w:eastAsia="Times New Roman" w:cs="Times New Roman"/>
          <w:color w:val="000000"/>
          <w:vertAlign w:val="superscript"/>
          <w:lang w:val="en-US" w:eastAsia="zh-CN"/>
        </w:rPr>
        <w:t>[</w:t>
      </w:r>
      <w:proofErr w:type="gramEnd"/>
      <w:r w:rsidRPr="00303844">
        <w:rPr>
          <w:rFonts w:eastAsia="Times New Roman" w:cs="Times New Roman"/>
          <w:color w:val="000000"/>
          <w:vertAlign w:val="superscript"/>
          <w:lang w:val="en-US" w:eastAsia="zh-CN"/>
        </w:rPr>
        <w:t>8]</w:t>
      </w:r>
      <w:r w:rsidRPr="00303844">
        <w:rPr>
          <w:rFonts w:eastAsia="Times New Roman" w:cs="Times New Roman"/>
          <w:color w:val="000000"/>
          <w:lang w:val="en-US" w:eastAsia="zh-CN"/>
        </w:rPr>
        <w:t>.</w:t>
      </w:r>
      <w:r w:rsidRPr="00303844">
        <w:rPr>
          <w:rFonts w:eastAsia="Times New Roman" w:cs="Times New Roman"/>
          <w:lang w:val="en-US" w:eastAsia="zh-CN"/>
        </w:rPr>
        <w:t xml:space="preserve"> </w:t>
      </w:r>
    </w:p>
    <w:p w14:paraId="2D379F59"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A randomized controlled phase II study presented at the 2020 ASCO GI further evaluated the efficacy and safety of nab-paclitaxel (nab-P) combined with tegafur (S-1) compared to nab-paclitaxel combined with gemcitabine (Gem) in the treatment of advanced ductal adenocarcinoma of pancreas.</w:t>
      </w:r>
      <w:r w:rsidRPr="00303844">
        <w:rPr>
          <w:rFonts w:eastAsia="Times New Roman" w:cs="Times New Roman"/>
          <w:lang w:val="en-US" w:eastAsia="zh-CN"/>
        </w:rPr>
        <w:t xml:space="preserve"> </w:t>
      </w:r>
      <w:r w:rsidRPr="00303844">
        <w:rPr>
          <w:rFonts w:eastAsia="Times New Roman" w:cs="Times New Roman"/>
          <w:color w:val="000000"/>
          <w:lang w:val="en-US" w:eastAsia="zh-CN"/>
        </w:rPr>
        <w:t>The results showed that compared to the nab-P/Gem group, the nab-P/S-1 group had higher ORR, primary lesion ORR, and longer PFS, without statistical significance.</w:t>
      </w:r>
      <w:r w:rsidRPr="00303844">
        <w:rPr>
          <w:rFonts w:eastAsia="Times New Roman" w:cs="Times New Roman"/>
          <w:lang w:val="en-US" w:eastAsia="zh-CN"/>
        </w:rPr>
        <w:t xml:space="preserve"> </w:t>
      </w:r>
      <w:r w:rsidRPr="00303844">
        <w:rPr>
          <w:rFonts w:eastAsia="Times New Roman" w:cs="Times New Roman"/>
          <w:iCs/>
          <w:color w:val="000000"/>
          <w:lang w:val="en-US" w:eastAsia="zh-CN"/>
        </w:rPr>
        <w:t>The nab-P/S-1 regimen may have lower hematological toxicity.</w:t>
      </w:r>
      <w:r w:rsidRPr="00303844">
        <w:rPr>
          <w:rFonts w:eastAsia="Times New Roman" w:cs="Times New Roman"/>
          <w:iCs/>
          <w:lang w:val="en-US" w:eastAsia="zh-CN"/>
        </w:rPr>
        <w:t xml:space="preserve"> </w:t>
      </w:r>
      <w:r w:rsidRPr="00303844">
        <w:rPr>
          <w:rFonts w:eastAsia="Times New Roman" w:cs="Times New Roman"/>
          <w:iCs/>
          <w:color w:val="000000"/>
          <w:lang w:val="en-US" w:eastAsia="zh-CN"/>
        </w:rPr>
        <w:t>The survival status of patients is currently under further follow-up.</w:t>
      </w:r>
      <w:r w:rsidRPr="00303844">
        <w:rPr>
          <w:rFonts w:eastAsia="Times New Roman" w:cs="Times New Roman"/>
          <w:iCs/>
          <w:lang w:val="en-US" w:eastAsia="zh-CN"/>
        </w:rPr>
        <w:t xml:space="preserve"> </w:t>
      </w:r>
      <w:r w:rsidRPr="00303844">
        <w:rPr>
          <w:rFonts w:eastAsia="Times New Roman" w:cs="Times New Roman"/>
          <w:iCs/>
          <w:color w:val="000000"/>
          <w:lang w:val="en-US" w:eastAsia="zh-CN"/>
        </w:rPr>
        <w:t xml:space="preserve">The results suggest that the efficacy of the AS regimen (nab-P/S-1) is similar to that of the AG regimen (nab-P/Gem) and may be considered as a substitute for the AG regimen in advanced </w:t>
      </w:r>
      <w:proofErr w:type="gramStart"/>
      <w:r w:rsidRPr="00303844">
        <w:rPr>
          <w:rFonts w:eastAsia="Times New Roman" w:cs="Times New Roman"/>
          <w:iCs/>
          <w:color w:val="000000"/>
          <w:lang w:val="en-US" w:eastAsia="zh-CN"/>
        </w:rPr>
        <w:t>chemotherapy</w:t>
      </w:r>
      <w:r w:rsidRPr="00303844">
        <w:rPr>
          <w:rFonts w:eastAsia="Times New Roman" w:cs="Times New Roman"/>
          <w:iCs/>
          <w:color w:val="000000"/>
          <w:vertAlign w:val="superscript"/>
          <w:lang w:val="en-US" w:eastAsia="zh-CN"/>
        </w:rPr>
        <w:t>[</w:t>
      </w:r>
      <w:proofErr w:type="gramEnd"/>
      <w:r w:rsidRPr="00303844">
        <w:rPr>
          <w:rFonts w:eastAsia="Times New Roman" w:cs="Times New Roman"/>
          <w:iCs/>
          <w:color w:val="000000"/>
          <w:vertAlign w:val="superscript"/>
          <w:lang w:val="en-US" w:eastAsia="zh-CN"/>
        </w:rPr>
        <w:t>9]</w:t>
      </w:r>
      <w:r w:rsidRPr="00303844">
        <w:rPr>
          <w:rFonts w:eastAsia="Times New Roman" w:cs="Times New Roman"/>
          <w:iCs/>
          <w:color w:val="000000"/>
          <w:lang w:val="en-US" w:eastAsia="zh-CN"/>
        </w:rPr>
        <w:t>.</w:t>
      </w:r>
      <w:r w:rsidRPr="00303844">
        <w:rPr>
          <w:rFonts w:eastAsia="Times New Roman" w:cs="Times New Roman"/>
          <w:iCs/>
          <w:lang w:val="en-US" w:eastAsia="zh-CN"/>
        </w:rPr>
        <w:t xml:space="preserve"> </w:t>
      </w:r>
      <w:r w:rsidRPr="00303844">
        <w:rPr>
          <w:rFonts w:eastAsia="Times New Roman" w:cs="Times New Roman"/>
          <w:color w:val="000000"/>
          <w:lang w:val="en-US" w:eastAsia="zh-CN"/>
        </w:rPr>
        <w:t xml:space="preserve">A recent retrospective study published by our site on 322 patients with advanced pancreatic carcinoma from four hospitals in China showed that among 232 patients receiving the AS regimen, 79 patients receiving the AG regimen, and 11 patients receiving the FOLFIRINOX regimen, the ORRs were 46.9%, 18.7%, and 0%, respectively; the DCRs were 87.2%, 69.3%, and 63.6%, respectively; the incidence rates of Grade 3/4 </w:t>
      </w:r>
      <w:r w:rsidRPr="00303844">
        <w:rPr>
          <w:rFonts w:eastAsia="Times New Roman" w:cs="Times New Roman"/>
          <w:color w:val="333333"/>
          <w:lang w:val="en-US" w:eastAsia="zh-CN"/>
        </w:rPr>
        <w:t>AE</w:t>
      </w:r>
      <w:r w:rsidRPr="00303844">
        <w:rPr>
          <w:rFonts w:eastAsia="Times New Roman" w:cs="Times New Roman"/>
          <w:color w:val="000000"/>
          <w:lang w:val="en-US" w:eastAsia="zh-CN"/>
        </w:rPr>
        <w:t>s were 29.9%, 25%, and 36.4%, respectively.</w:t>
      </w:r>
      <w:r w:rsidRPr="00303844">
        <w:rPr>
          <w:rFonts w:eastAsia="Times New Roman" w:cs="Times New Roman"/>
          <w:lang w:val="en-US" w:eastAsia="zh-CN"/>
        </w:rPr>
        <w:t xml:space="preserve"> </w:t>
      </w:r>
      <w:r w:rsidRPr="00303844">
        <w:rPr>
          <w:rFonts w:eastAsia="Times New Roman" w:cs="Times New Roman"/>
          <w:color w:val="000000"/>
          <w:lang w:val="en-US" w:eastAsia="zh-CN"/>
        </w:rPr>
        <w:t xml:space="preserve">The ORR and DCR of the AS regimen were higher than those of the other two regimens, and the incidence of AEs was </w:t>
      </w:r>
      <w:proofErr w:type="gramStart"/>
      <w:r w:rsidRPr="00303844">
        <w:rPr>
          <w:rFonts w:eastAsia="Times New Roman" w:cs="Times New Roman"/>
          <w:color w:val="000000"/>
          <w:lang w:val="en-US" w:eastAsia="zh-CN"/>
        </w:rPr>
        <w:t>lower</w:t>
      </w:r>
      <w:r w:rsidRPr="00303844">
        <w:rPr>
          <w:rFonts w:eastAsia="Times New Roman" w:cs="Times New Roman"/>
          <w:color w:val="000000"/>
          <w:vertAlign w:val="superscript"/>
          <w:lang w:val="en-US" w:eastAsia="zh-CN"/>
        </w:rPr>
        <w:t>[</w:t>
      </w:r>
      <w:proofErr w:type="gramEnd"/>
      <w:r w:rsidRPr="00303844">
        <w:rPr>
          <w:rFonts w:eastAsia="Times New Roman" w:cs="Times New Roman"/>
          <w:color w:val="000000"/>
          <w:vertAlign w:val="superscript"/>
          <w:lang w:val="en-US" w:eastAsia="zh-CN"/>
        </w:rPr>
        <w:t>10]</w:t>
      </w:r>
      <w:r w:rsidRPr="00303844">
        <w:rPr>
          <w:rFonts w:eastAsia="Times New Roman" w:cs="Times New Roman"/>
          <w:color w:val="000000"/>
          <w:lang w:val="en-US" w:eastAsia="zh-CN"/>
        </w:rPr>
        <w:t>.</w:t>
      </w:r>
      <w:r w:rsidRPr="00303844">
        <w:rPr>
          <w:rFonts w:eastAsia="Times New Roman" w:cs="Times New Roman"/>
          <w:lang w:val="en-US" w:eastAsia="zh-CN"/>
        </w:rPr>
        <w:t xml:space="preserve"> </w:t>
      </w:r>
    </w:p>
    <w:p w14:paraId="49E8DEDD"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The traditional treatment regimen for pancreatic carcinoma is gemcitabine-based chemotherapy, but in recent years, multiple studies have been conducted on targeted therapy and immunotherapy.</w:t>
      </w:r>
      <w:r w:rsidRPr="00303844">
        <w:rPr>
          <w:rFonts w:eastAsia="Times New Roman" w:cs="Times New Roman"/>
          <w:lang w:val="en-US" w:eastAsia="zh-CN"/>
        </w:rPr>
        <w:t xml:space="preserve"> </w:t>
      </w:r>
    </w:p>
    <w:p w14:paraId="05BAB3B5" w14:textId="680EA2B7" w:rsidR="00DE4AFD" w:rsidRPr="00303844" w:rsidRDefault="004A4F56" w:rsidP="00E04753">
      <w:pPr>
        <w:pStyle w:val="HR"/>
        <w:spacing w:after="0"/>
        <w:ind w:firstLineChars="0" w:firstLine="0"/>
        <w:jc w:val="both"/>
        <w:rPr>
          <w:rFonts w:cs="Times New Roman"/>
          <w:lang w:val="en-US" w:eastAsia="zh-CN"/>
        </w:rPr>
      </w:pPr>
      <w:bookmarkStart w:id="19" w:name="_Hlk184892384"/>
      <w:r w:rsidRPr="00303844">
        <w:rPr>
          <w:rFonts w:eastAsia="Times New Roman" w:cs="Times New Roman"/>
          <w:lang w:val="en-US" w:eastAsia="zh-CN"/>
        </w:rPr>
        <w:t>ICI</w:t>
      </w:r>
      <w:bookmarkEnd w:id="19"/>
      <w:r w:rsidRPr="00303844">
        <w:rPr>
          <w:rFonts w:eastAsia="Times New Roman" w:cs="Times New Roman"/>
          <w:lang w:val="en-US" w:eastAsia="zh-CN"/>
        </w:rPr>
        <w:t xml:space="preserve">s have become a novel therapeutic approach for certain tumors, but early study results of ipilimumab or PD-L1 monoclonal antibodies in the treatment of advanced pancreatic </w:t>
      </w:r>
      <w:r w:rsidRPr="00303844">
        <w:rPr>
          <w:rFonts w:eastAsia="Times New Roman" w:cs="Times New Roman"/>
          <w:lang w:val="en-US" w:eastAsia="zh-CN"/>
        </w:rPr>
        <w:lastRenderedPageBreak/>
        <w:t xml:space="preserve">carcinoma are not </w:t>
      </w:r>
      <w:proofErr w:type="gramStart"/>
      <w:r w:rsidRPr="00303844">
        <w:rPr>
          <w:rFonts w:eastAsia="Times New Roman" w:cs="Times New Roman"/>
          <w:lang w:val="en-US" w:eastAsia="zh-CN"/>
        </w:rPr>
        <w:t>ideal</w:t>
      </w:r>
      <w:r w:rsidRPr="00303844">
        <w:rPr>
          <w:rFonts w:eastAsia="Times New Roman" w:cs="Times New Roman"/>
          <w:vertAlign w:val="superscript"/>
          <w:lang w:val="en-US" w:eastAsia="zh-CN"/>
        </w:rPr>
        <w:t>[</w:t>
      </w:r>
      <w:proofErr w:type="gramEnd"/>
      <w:r w:rsidRPr="00303844">
        <w:rPr>
          <w:rFonts w:eastAsia="Times New Roman" w:cs="Times New Roman"/>
          <w:vertAlign w:val="superscript"/>
          <w:lang w:val="en-US" w:eastAsia="zh-CN"/>
        </w:rPr>
        <w:t>11]</w:t>
      </w:r>
      <w:r w:rsidRPr="00303844">
        <w:rPr>
          <w:rFonts w:eastAsia="Times New Roman" w:cs="Times New Roman"/>
          <w:lang w:val="en-US" w:eastAsia="zh-CN"/>
        </w:rPr>
        <w:t xml:space="preserve">. Pancreatic carcinoma usually has a low tumor mutational burden (TMB) (1 mt/Mb), while high TMB is usually associated with high response rates to immunotherapy. However, the combination therapy of ICIs with radiotherapy and/or chemotherapy has shown encouraging study results. </w:t>
      </w:r>
      <w:r w:rsidRPr="00303844">
        <w:rPr>
          <w:rFonts w:eastAsia="Times New Roman" w:cs="Times New Roman"/>
          <w:color w:val="333333"/>
          <w:lang w:val="en-US" w:eastAsia="zh-CN"/>
        </w:rPr>
        <w:t>Therefore, it is important to select an appropriate target population, rational immunotherapy combinations (e.g., combination radiotherapy, chemotherapy, targeted therapies, etc., and combinations of multiple immunotherapies).</w:t>
      </w:r>
      <w:r w:rsidRPr="00303844">
        <w:rPr>
          <w:rFonts w:eastAsia="Times New Roman" w:cs="Times New Roman"/>
          <w:lang w:val="en-US" w:eastAsia="zh-CN"/>
        </w:rPr>
        <w:t xml:space="preserve"> </w:t>
      </w:r>
    </w:p>
    <w:p w14:paraId="668CDE0D"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 xml:space="preserve">An initial analysis of a phase </w:t>
      </w:r>
      <w:proofErr w:type="spellStart"/>
      <w:r w:rsidRPr="00303844">
        <w:rPr>
          <w:rFonts w:eastAsia="Times New Roman" w:cs="Times New Roman"/>
          <w:color w:val="000000"/>
          <w:lang w:val="en-US" w:eastAsia="zh-CN"/>
        </w:rPr>
        <w:t>Ib</w:t>
      </w:r>
      <w:proofErr w:type="spellEnd"/>
      <w:r w:rsidRPr="00303844">
        <w:rPr>
          <w:rFonts w:eastAsia="Times New Roman" w:cs="Times New Roman"/>
          <w:color w:val="000000"/>
          <w:lang w:val="en-US" w:eastAsia="zh-CN"/>
        </w:rPr>
        <w:t xml:space="preserve"> clinical study of ipilimumab combined with gemcitabine in the treatment of locally advanced/unresectable/pancreatic carcinoma metastatic included 16 patients, and the results showed that the median progression-free survival (PFS) of the combination therapy was 2.5 months, and the median overall survival (OS) reached 8.5 months.</w:t>
      </w:r>
      <w:r w:rsidRPr="00303844">
        <w:rPr>
          <w:rFonts w:eastAsia="Times New Roman" w:cs="Times New Roman"/>
          <w:lang w:val="en-US" w:eastAsia="zh-CN"/>
        </w:rPr>
        <w:t xml:space="preserve"> </w:t>
      </w:r>
      <w:r w:rsidRPr="00303844">
        <w:rPr>
          <w:rFonts w:eastAsia="Times New Roman" w:cs="Times New Roman"/>
          <w:color w:val="000000"/>
          <w:lang w:val="en-US" w:eastAsia="zh-CN"/>
        </w:rPr>
        <w:t xml:space="preserve">Among 11 evaluable patients, 2 patients achieved partial response (PR), 5 patients achieved stable disease (SD), and the most common AEs were mainly hematologic </w:t>
      </w:r>
      <w:proofErr w:type="gramStart"/>
      <w:r w:rsidRPr="00303844">
        <w:rPr>
          <w:rFonts w:eastAsia="Times New Roman" w:cs="Times New Roman"/>
          <w:color w:val="000000"/>
          <w:lang w:val="en-US" w:eastAsia="zh-CN"/>
        </w:rPr>
        <w:t>toxicities</w:t>
      </w:r>
      <w:r w:rsidRPr="00303844">
        <w:rPr>
          <w:rFonts w:eastAsia="Times New Roman" w:cs="Times New Roman"/>
          <w:color w:val="000000"/>
          <w:vertAlign w:val="superscript"/>
          <w:lang w:val="en-US" w:eastAsia="zh-CN"/>
        </w:rPr>
        <w:t>[</w:t>
      </w:r>
      <w:proofErr w:type="gramEnd"/>
      <w:r w:rsidRPr="00303844">
        <w:rPr>
          <w:rFonts w:eastAsia="Times New Roman" w:cs="Times New Roman"/>
          <w:color w:val="000000"/>
          <w:vertAlign w:val="superscript"/>
          <w:lang w:val="en-US" w:eastAsia="zh-CN"/>
        </w:rPr>
        <w:t>12]</w:t>
      </w:r>
      <w:r w:rsidRPr="00303844">
        <w:rPr>
          <w:rFonts w:eastAsia="Times New Roman" w:cs="Times New Roman"/>
          <w:color w:val="000000"/>
          <w:lang w:val="en-US" w:eastAsia="zh-CN"/>
        </w:rPr>
        <w:t>.</w:t>
      </w:r>
      <w:r w:rsidRPr="00303844">
        <w:rPr>
          <w:rFonts w:eastAsia="Times New Roman" w:cs="Times New Roman"/>
          <w:lang w:val="en-US" w:eastAsia="zh-CN"/>
        </w:rPr>
        <w:t xml:space="preserve"> </w:t>
      </w:r>
      <w:r w:rsidRPr="00303844">
        <w:rPr>
          <w:rFonts w:eastAsia="Times New Roman" w:cs="Times New Roman"/>
          <w:color w:val="000000"/>
          <w:lang w:val="en-US" w:eastAsia="zh-CN"/>
        </w:rPr>
        <w:t xml:space="preserve">In a phase I study of </w:t>
      </w:r>
      <w:proofErr w:type="spellStart"/>
      <w:r w:rsidRPr="00303844">
        <w:rPr>
          <w:rFonts w:eastAsia="Times New Roman" w:cs="Times New Roman"/>
          <w:color w:val="000000"/>
          <w:lang w:val="en-US" w:eastAsia="zh-CN"/>
        </w:rPr>
        <w:t>tremelimumab</w:t>
      </w:r>
      <w:proofErr w:type="spellEnd"/>
      <w:r w:rsidRPr="00303844">
        <w:rPr>
          <w:rFonts w:eastAsia="Times New Roman" w:cs="Times New Roman"/>
          <w:color w:val="000000"/>
          <w:lang w:val="en-US" w:eastAsia="zh-CN"/>
        </w:rPr>
        <w:t xml:space="preserve"> combined with gemcitabine in the treatment of advanced pancreatic carcinoma (untreated patients), the median OS reached 7.4 months, and among 28 evaluable patients, 2 patients achieved PR, and 7 patients achieved </w:t>
      </w:r>
      <w:proofErr w:type="gramStart"/>
      <w:r w:rsidRPr="00303844">
        <w:rPr>
          <w:rFonts w:eastAsia="Times New Roman" w:cs="Times New Roman"/>
          <w:color w:val="000000"/>
          <w:lang w:val="en-US" w:eastAsia="zh-CN"/>
        </w:rPr>
        <w:t>SD</w:t>
      </w:r>
      <w:r w:rsidRPr="00303844">
        <w:rPr>
          <w:rFonts w:eastAsia="Times New Roman" w:cs="Times New Roman"/>
          <w:color w:val="000000"/>
          <w:vertAlign w:val="superscript"/>
          <w:lang w:val="en-US" w:eastAsia="zh-CN"/>
        </w:rPr>
        <w:t>[</w:t>
      </w:r>
      <w:proofErr w:type="gramEnd"/>
      <w:r w:rsidRPr="00303844">
        <w:rPr>
          <w:rFonts w:eastAsia="Times New Roman" w:cs="Times New Roman"/>
          <w:color w:val="000000"/>
          <w:vertAlign w:val="superscript"/>
          <w:lang w:val="en-US" w:eastAsia="zh-CN"/>
        </w:rPr>
        <w:t>13]</w:t>
      </w:r>
      <w:r w:rsidRPr="00303844">
        <w:rPr>
          <w:rFonts w:eastAsia="Times New Roman" w:cs="Times New Roman"/>
          <w:color w:val="000000"/>
          <w:lang w:val="en-US" w:eastAsia="zh-CN"/>
        </w:rPr>
        <w:t>.</w:t>
      </w:r>
      <w:r w:rsidRPr="00303844">
        <w:rPr>
          <w:rFonts w:eastAsia="Times New Roman" w:cs="Times New Roman"/>
          <w:lang w:val="en-US" w:eastAsia="zh-CN"/>
        </w:rPr>
        <w:t xml:space="preserve"> </w:t>
      </w:r>
      <w:r w:rsidRPr="00303844">
        <w:rPr>
          <w:rFonts w:eastAsia="Times New Roman" w:cs="Times New Roman"/>
          <w:color w:val="000000"/>
          <w:lang w:val="en-US" w:eastAsia="zh-CN"/>
        </w:rPr>
        <w:t xml:space="preserve">An </w:t>
      </w:r>
      <w:proofErr w:type="spellStart"/>
      <w:r w:rsidRPr="00303844">
        <w:rPr>
          <w:rFonts w:eastAsia="Times New Roman" w:cs="Times New Roman"/>
          <w:color w:val="000000"/>
          <w:lang w:val="en-US" w:eastAsia="zh-CN"/>
        </w:rPr>
        <w:t>Ib</w:t>
      </w:r>
      <w:proofErr w:type="spellEnd"/>
      <w:r w:rsidRPr="00303844">
        <w:rPr>
          <w:rFonts w:eastAsia="Times New Roman" w:cs="Times New Roman"/>
          <w:color w:val="000000"/>
          <w:lang w:val="en-US" w:eastAsia="zh-CN"/>
        </w:rPr>
        <w:t xml:space="preserve">/II phase study evaluated the efficacy and safety of pembrolizumab combined with gemcitabine and nab-paclitaxel in the treatment of advanced or pancreatic carcinoma metastatic (untreated), enrolling 12 patients. The results showed that 25% of patients achieved PR and 67% achieved SD; PFS and OS were 9.1 months and 15.0 months, respectively, demonstrating promising efficacy, and Grade 3 AEs occurred in only 53% of </w:t>
      </w:r>
      <w:proofErr w:type="gramStart"/>
      <w:r w:rsidRPr="00303844">
        <w:rPr>
          <w:rFonts w:eastAsia="Times New Roman" w:cs="Times New Roman"/>
          <w:color w:val="000000"/>
          <w:lang w:val="en-US" w:eastAsia="zh-CN"/>
        </w:rPr>
        <w:t>patients</w:t>
      </w:r>
      <w:r w:rsidRPr="00303844">
        <w:rPr>
          <w:rFonts w:eastAsia="Times New Roman" w:cs="Times New Roman"/>
          <w:color w:val="000000"/>
          <w:vertAlign w:val="superscript"/>
          <w:lang w:val="en-US" w:eastAsia="zh-CN"/>
        </w:rPr>
        <w:t>[</w:t>
      </w:r>
      <w:proofErr w:type="gramEnd"/>
      <w:r w:rsidRPr="00303844">
        <w:rPr>
          <w:rFonts w:eastAsia="Times New Roman" w:cs="Times New Roman"/>
          <w:color w:val="000000"/>
          <w:vertAlign w:val="superscript"/>
          <w:lang w:val="en-US" w:eastAsia="zh-CN"/>
        </w:rPr>
        <w:t>14]</w:t>
      </w:r>
      <w:r w:rsidRPr="00303844">
        <w:rPr>
          <w:rFonts w:eastAsia="Times New Roman" w:cs="Times New Roman"/>
          <w:color w:val="000000"/>
          <w:lang w:val="en-US" w:eastAsia="zh-CN"/>
        </w:rPr>
        <w:t>.</w:t>
      </w:r>
      <w:r w:rsidRPr="00303844">
        <w:rPr>
          <w:rFonts w:eastAsia="Times New Roman" w:cs="Times New Roman"/>
          <w:lang w:val="en-US" w:eastAsia="zh-CN"/>
        </w:rPr>
        <w:t xml:space="preserve"> </w:t>
      </w:r>
      <w:r w:rsidRPr="00303844">
        <w:rPr>
          <w:rFonts w:eastAsia="Times New Roman" w:cs="Times New Roman"/>
          <w:color w:val="000000"/>
          <w:lang w:val="en-US" w:eastAsia="zh-CN"/>
        </w:rPr>
        <w:t xml:space="preserve">In a phase I study of nivolumab combined with nab-paclitaxel and gemcitabine as first-line treatment for locally advanced or pancreatic carcinoma metastatic, among 50 patients, 2% achieved complete response (CR), 16% achieved PR, and 46% achieved SD; PFS and OS were 5.5 and 9.9 months, </w:t>
      </w:r>
      <w:proofErr w:type="gramStart"/>
      <w:r w:rsidRPr="00303844">
        <w:rPr>
          <w:rFonts w:eastAsia="Times New Roman" w:cs="Times New Roman"/>
          <w:color w:val="000000"/>
          <w:lang w:val="en-US" w:eastAsia="zh-CN"/>
        </w:rPr>
        <w:t>respectively</w:t>
      </w:r>
      <w:r w:rsidRPr="00303844">
        <w:rPr>
          <w:rFonts w:eastAsia="Times New Roman" w:cs="Times New Roman"/>
          <w:color w:val="000000"/>
          <w:vertAlign w:val="superscript"/>
          <w:lang w:val="en-US" w:eastAsia="zh-CN"/>
        </w:rPr>
        <w:t>[</w:t>
      </w:r>
      <w:proofErr w:type="gramEnd"/>
      <w:r w:rsidRPr="00303844">
        <w:rPr>
          <w:rFonts w:eastAsia="Times New Roman" w:cs="Times New Roman"/>
          <w:color w:val="000000"/>
          <w:vertAlign w:val="superscript"/>
          <w:lang w:val="en-US" w:eastAsia="zh-CN"/>
        </w:rPr>
        <w:t>15]</w:t>
      </w:r>
      <w:r w:rsidRPr="00303844">
        <w:rPr>
          <w:rFonts w:eastAsia="Times New Roman" w:cs="Times New Roman"/>
          <w:color w:val="000000"/>
          <w:lang w:val="en-US" w:eastAsia="zh-CN"/>
        </w:rPr>
        <w:t>.</w:t>
      </w:r>
      <w:r w:rsidRPr="00303844">
        <w:rPr>
          <w:rFonts w:eastAsia="Times New Roman" w:cs="Times New Roman"/>
          <w:lang w:val="en-US" w:eastAsia="zh-CN"/>
        </w:rPr>
        <w:t xml:space="preserve"> </w:t>
      </w:r>
      <w:r w:rsidRPr="00303844">
        <w:rPr>
          <w:rFonts w:eastAsia="Times New Roman" w:cs="Times New Roman"/>
          <w:color w:val="000000"/>
          <w:lang w:val="en-US" w:eastAsia="zh-CN"/>
        </w:rPr>
        <w:t xml:space="preserve">At the 2020 ESMO conference, a randomized phase II clinical trial was reported on gemcitabine + nab-paclitaxel + durvalumab (D) + </w:t>
      </w:r>
      <w:proofErr w:type="spellStart"/>
      <w:r w:rsidRPr="00303844">
        <w:rPr>
          <w:rFonts w:eastAsia="Times New Roman" w:cs="Times New Roman"/>
          <w:color w:val="000000"/>
          <w:lang w:val="en-US" w:eastAsia="zh-CN"/>
        </w:rPr>
        <w:t>tremelimumab</w:t>
      </w:r>
      <w:proofErr w:type="spellEnd"/>
      <w:r w:rsidRPr="00303844">
        <w:rPr>
          <w:rFonts w:eastAsia="Times New Roman" w:cs="Times New Roman"/>
          <w:color w:val="000000"/>
          <w:lang w:val="en-US" w:eastAsia="zh-CN"/>
        </w:rPr>
        <w:t xml:space="preserve"> (T) as first-line treatment for ductal adenocarcinoma of pancreas metastatic.</w:t>
      </w:r>
      <w:r w:rsidRPr="00303844">
        <w:rPr>
          <w:rFonts w:eastAsia="Times New Roman" w:cs="Times New Roman"/>
          <w:lang w:val="en-US" w:eastAsia="zh-CN"/>
        </w:rPr>
        <w:t xml:space="preserve"> </w:t>
      </w:r>
      <w:r w:rsidRPr="00303844">
        <w:rPr>
          <w:rFonts w:eastAsia="Times New Roman" w:cs="Times New Roman"/>
          <w:color w:val="000000"/>
          <w:lang w:val="en-US" w:eastAsia="zh-CN"/>
        </w:rPr>
        <w:t xml:space="preserve">The </w:t>
      </w:r>
      <w:proofErr w:type="spellStart"/>
      <w:r w:rsidRPr="00303844">
        <w:rPr>
          <w:rFonts w:eastAsia="Times New Roman" w:cs="Times New Roman"/>
          <w:color w:val="000000"/>
          <w:lang w:val="en-US" w:eastAsia="zh-CN"/>
        </w:rPr>
        <w:t>mOS</w:t>
      </w:r>
      <w:proofErr w:type="spellEnd"/>
      <w:r w:rsidRPr="00303844">
        <w:rPr>
          <w:rFonts w:eastAsia="Times New Roman" w:cs="Times New Roman"/>
          <w:color w:val="000000"/>
          <w:lang w:val="en-US" w:eastAsia="zh-CN"/>
        </w:rPr>
        <w:t xml:space="preserve"> times for the AG group and the AG+D+T group were 8.8 months and 9.8 months, respectively; the </w:t>
      </w:r>
      <w:proofErr w:type="spellStart"/>
      <w:r w:rsidRPr="00303844">
        <w:rPr>
          <w:rFonts w:eastAsia="Times New Roman" w:cs="Times New Roman"/>
          <w:color w:val="000000"/>
          <w:lang w:val="en-US" w:eastAsia="zh-CN"/>
        </w:rPr>
        <w:t>mPFS</w:t>
      </w:r>
      <w:proofErr w:type="spellEnd"/>
      <w:r w:rsidRPr="00303844">
        <w:rPr>
          <w:rFonts w:eastAsia="Times New Roman" w:cs="Times New Roman"/>
          <w:color w:val="000000"/>
          <w:lang w:val="en-US" w:eastAsia="zh-CN"/>
        </w:rPr>
        <w:t xml:space="preserve"> times were 5.4 months and 5.5 </w:t>
      </w:r>
      <w:r w:rsidRPr="00303844">
        <w:rPr>
          <w:rFonts w:eastAsia="Times New Roman" w:cs="Times New Roman"/>
          <w:color w:val="000000"/>
          <w:lang w:val="en-US" w:eastAsia="zh-CN"/>
        </w:rPr>
        <w:lastRenderedPageBreak/>
        <w:t xml:space="preserve">months, and the ORR were 23.0% and 30.3%, respectively. There were no significant statistical differences in these three </w:t>
      </w:r>
      <w:r w:rsidRPr="00303844">
        <w:rPr>
          <w:rFonts w:eastAsia="Times New Roman" w:cs="Times New Roman"/>
          <w:lang w:val="en-US" w:eastAsia="zh-CN"/>
        </w:rPr>
        <w:t>parameters</w:t>
      </w:r>
      <w:r w:rsidRPr="00303844">
        <w:rPr>
          <w:rFonts w:eastAsia="Times New Roman" w:cs="Times New Roman"/>
          <w:color w:val="000000"/>
          <w:lang w:val="en-US" w:eastAsia="zh-CN"/>
        </w:rPr>
        <w:t>. The DCRs of the AG group and the AG+D+T group were 57.4% and 70.6</w:t>
      </w:r>
      <w:proofErr w:type="gramStart"/>
      <w:r w:rsidRPr="00303844">
        <w:rPr>
          <w:rFonts w:eastAsia="Times New Roman" w:cs="Times New Roman"/>
          <w:color w:val="000000"/>
          <w:lang w:val="en-US" w:eastAsia="zh-CN"/>
        </w:rPr>
        <w:t>%</w:t>
      </w:r>
      <w:r w:rsidRPr="00303844">
        <w:rPr>
          <w:rFonts w:eastAsia="Times New Roman" w:cs="Times New Roman"/>
          <w:color w:val="000000"/>
          <w:vertAlign w:val="superscript"/>
          <w:lang w:val="en-US" w:eastAsia="zh-CN"/>
        </w:rPr>
        <w:t>[</w:t>
      </w:r>
      <w:proofErr w:type="gramEnd"/>
      <w:r w:rsidRPr="00303844">
        <w:rPr>
          <w:rFonts w:eastAsia="Times New Roman" w:cs="Times New Roman"/>
          <w:color w:val="000000"/>
          <w:vertAlign w:val="superscript"/>
          <w:lang w:val="en-US" w:eastAsia="zh-CN"/>
        </w:rPr>
        <w:t>16]</w:t>
      </w:r>
      <w:r w:rsidRPr="00303844">
        <w:rPr>
          <w:rFonts w:eastAsia="Times New Roman" w:cs="Times New Roman"/>
          <w:color w:val="000000"/>
          <w:lang w:val="en-US" w:eastAsia="zh-CN"/>
        </w:rPr>
        <w:t>.</w:t>
      </w:r>
      <w:r w:rsidRPr="00303844">
        <w:rPr>
          <w:rFonts w:eastAsia="Times New Roman" w:cs="Times New Roman"/>
          <w:lang w:val="en-US" w:eastAsia="zh-CN"/>
        </w:rPr>
        <w:t xml:space="preserve"> </w:t>
      </w:r>
      <w:r w:rsidRPr="00303844">
        <w:rPr>
          <w:rFonts w:eastAsia="Times New Roman" w:cs="Times New Roman"/>
          <w:color w:val="000000"/>
          <w:lang w:val="en-US" w:eastAsia="zh-CN"/>
        </w:rPr>
        <w:t>Although adding D+T on the basis of the AG regimen did not significantly improve patients' OS, PFS, and ORR, the DCR of the AG+D+T group showed a trend of improvement.</w:t>
      </w:r>
      <w:r w:rsidRPr="00303844">
        <w:rPr>
          <w:rFonts w:eastAsia="Times New Roman" w:cs="Times New Roman"/>
          <w:lang w:val="en-US" w:eastAsia="zh-CN"/>
        </w:rPr>
        <w:t xml:space="preserve"> </w:t>
      </w:r>
      <w:r w:rsidRPr="00303844">
        <w:rPr>
          <w:rFonts w:eastAsia="Times New Roman" w:cs="Times New Roman"/>
          <w:color w:val="000000"/>
          <w:lang w:val="en-US" w:eastAsia="zh-CN"/>
        </w:rPr>
        <w:t xml:space="preserve">At the 2020 CSCO academic conference, Professor Liwei Wang's team presented the preliminary study results of a prospective single-arm exploratory clinical study on the efficacy and safety of </w:t>
      </w:r>
      <w:proofErr w:type="spellStart"/>
      <w:r w:rsidRPr="00303844">
        <w:rPr>
          <w:rFonts w:eastAsia="Times New Roman" w:cs="Times New Roman"/>
          <w:color w:val="000000"/>
          <w:lang w:val="en-US" w:eastAsia="zh-CN"/>
        </w:rPr>
        <w:t>camrelizumab</w:t>
      </w:r>
      <w:proofErr w:type="spellEnd"/>
      <w:r w:rsidRPr="00303844">
        <w:rPr>
          <w:rFonts w:eastAsia="Times New Roman" w:cs="Times New Roman"/>
          <w:color w:val="000000"/>
          <w:lang w:val="en-US" w:eastAsia="zh-CN"/>
        </w:rPr>
        <w:t xml:space="preserve"> combined with nab-paclitaxel and gemcitabine as first-line treatment for pancreatic carcinoma metastatic, introducing the phased study outcomes of </w:t>
      </w:r>
      <w:proofErr w:type="spellStart"/>
      <w:r w:rsidRPr="00303844">
        <w:rPr>
          <w:rFonts w:eastAsia="Times New Roman" w:cs="Times New Roman"/>
          <w:color w:val="000000"/>
          <w:lang w:val="en-US" w:eastAsia="zh-CN"/>
        </w:rPr>
        <w:t>camrelizumab</w:t>
      </w:r>
      <w:proofErr w:type="spellEnd"/>
      <w:r w:rsidRPr="00303844">
        <w:rPr>
          <w:rFonts w:eastAsia="Times New Roman" w:cs="Times New Roman"/>
          <w:color w:val="000000"/>
          <w:lang w:val="en-US" w:eastAsia="zh-CN"/>
        </w:rPr>
        <w:t xml:space="preserve"> combined with chemotherapy as first-line treatment for pancreatic carcinoma metastatic. For 12 patients who had undergone at least one imaging assessment, preliminary results showed that the objective response rate (ORR) reached 75%, and the disease control rate (DCR) reached 83.3</w:t>
      </w:r>
      <w:proofErr w:type="gramStart"/>
      <w:r w:rsidRPr="00303844">
        <w:rPr>
          <w:rFonts w:eastAsia="Times New Roman" w:cs="Times New Roman"/>
          <w:color w:val="000000"/>
          <w:lang w:val="en-US" w:eastAsia="zh-CN"/>
        </w:rPr>
        <w:t>%</w:t>
      </w:r>
      <w:r w:rsidRPr="00303844">
        <w:rPr>
          <w:rFonts w:eastAsia="Times New Roman" w:cs="Times New Roman"/>
          <w:color w:val="000000"/>
          <w:vertAlign w:val="superscript"/>
          <w:lang w:val="en-US" w:eastAsia="zh-CN"/>
        </w:rPr>
        <w:t>[</w:t>
      </w:r>
      <w:proofErr w:type="gramEnd"/>
      <w:r w:rsidRPr="00303844">
        <w:rPr>
          <w:rFonts w:eastAsia="Times New Roman" w:cs="Times New Roman"/>
          <w:color w:val="000000"/>
          <w:vertAlign w:val="superscript"/>
          <w:lang w:val="en-US" w:eastAsia="zh-CN"/>
        </w:rPr>
        <w:t>17]</w:t>
      </w:r>
      <w:r w:rsidRPr="00303844">
        <w:rPr>
          <w:rFonts w:eastAsia="Times New Roman" w:cs="Times New Roman"/>
          <w:color w:val="000000"/>
          <w:lang w:val="en-US" w:eastAsia="zh-CN"/>
        </w:rPr>
        <w:t>.</w:t>
      </w:r>
      <w:r w:rsidRPr="00303844">
        <w:rPr>
          <w:rFonts w:eastAsia="Times New Roman" w:cs="Times New Roman"/>
          <w:lang w:val="en-US" w:eastAsia="zh-CN"/>
        </w:rPr>
        <w:t xml:space="preserve"> </w:t>
      </w:r>
      <w:r w:rsidRPr="00303844">
        <w:rPr>
          <w:rFonts w:eastAsia="Times New Roman" w:cs="Times New Roman"/>
          <w:color w:val="000000"/>
          <w:lang w:val="en-US" w:eastAsia="zh-CN"/>
        </w:rPr>
        <w:t>ICIs combined with chemotherapy have shown promising efficacy in the treatment of pancreatic carcinoma, but current studies are still mainly small-sample studies, and more clinical study is needed to verify efficacy and safety.</w:t>
      </w:r>
      <w:r w:rsidRPr="00303844">
        <w:rPr>
          <w:rFonts w:eastAsia="Times New Roman" w:cs="Times New Roman"/>
          <w:lang w:val="en-US" w:eastAsia="zh-CN"/>
        </w:rPr>
        <w:t xml:space="preserve"> </w:t>
      </w:r>
    </w:p>
    <w:p w14:paraId="452F7483"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iCs/>
          <w:color w:val="000000"/>
          <w:lang w:val="en-US" w:eastAsia="zh-CN"/>
        </w:rPr>
        <w:t xml:space="preserve">Patients with advanced pancreatic carcinoma who have not progressed after first-line treatment (including </w:t>
      </w:r>
      <w:r w:rsidRPr="00303844">
        <w:rPr>
          <w:rFonts w:cs="宋体" w:hint="eastAsia"/>
          <w:iCs/>
          <w:color w:val="000000"/>
          <w:lang w:val="en-US" w:eastAsia="zh-CN"/>
        </w:rPr>
        <w:t>①</w:t>
      </w:r>
      <w:r w:rsidRPr="00303844">
        <w:rPr>
          <w:rFonts w:eastAsia="Times New Roman" w:cs="Times New Roman"/>
          <w:iCs/>
          <w:color w:val="000000"/>
          <w:lang w:val="en-US" w:eastAsia="zh-CN"/>
        </w:rPr>
        <w:t xml:space="preserve"> pancreatic carcinoma metastatic after systemic chemotherapy or </w:t>
      </w:r>
      <w:r w:rsidRPr="00303844">
        <w:rPr>
          <w:rFonts w:cs="宋体" w:hint="eastAsia"/>
          <w:iCs/>
          <w:color w:val="000000"/>
          <w:lang w:val="en-US" w:eastAsia="zh-CN"/>
        </w:rPr>
        <w:t>②</w:t>
      </w:r>
      <w:r w:rsidRPr="00303844">
        <w:rPr>
          <w:rFonts w:eastAsia="Times New Roman" w:cs="Times New Roman"/>
          <w:iCs/>
          <w:color w:val="000000"/>
          <w:lang w:val="en-US" w:eastAsia="zh-CN"/>
        </w:rPr>
        <w:t xml:space="preserve"> locally advanced pancreatic carcinoma after concurrent chemoradiotherapy), may consider maintenance therapy if their performance status is good.</w:t>
      </w:r>
      <w:r w:rsidRPr="00303844">
        <w:rPr>
          <w:rFonts w:eastAsia="Times New Roman" w:cs="Times New Roman"/>
          <w:iCs/>
          <w:lang w:val="en-US" w:eastAsia="zh-CN"/>
        </w:rPr>
        <w:t xml:space="preserve"> </w:t>
      </w:r>
      <w:r w:rsidRPr="00303844">
        <w:rPr>
          <w:rFonts w:eastAsia="Times New Roman" w:cs="Times New Roman"/>
          <w:iCs/>
          <w:color w:val="000000"/>
          <w:lang w:val="en-US" w:eastAsia="zh-CN"/>
        </w:rPr>
        <w:t xml:space="preserve">Olaparib has been approved by the U.S. Food and Drug Administration (FDA) for maintenance therapy in patients with pancreatic carcinoma metastatic carrying germline </w:t>
      </w:r>
      <w:r w:rsidRPr="00303844">
        <w:rPr>
          <w:rFonts w:eastAsia="Times New Roman" w:cs="Times New Roman"/>
          <w:i/>
          <w:iCs/>
          <w:color w:val="000000"/>
          <w:lang w:val="en-US" w:eastAsia="zh-CN"/>
        </w:rPr>
        <w:t>BRCA</w:t>
      </w:r>
      <w:r w:rsidRPr="00303844">
        <w:rPr>
          <w:rFonts w:eastAsia="Times New Roman" w:cs="Times New Roman"/>
          <w:iCs/>
          <w:color w:val="000000"/>
          <w:lang w:val="en-US" w:eastAsia="zh-CN"/>
        </w:rPr>
        <w:t xml:space="preserve"> mutations, who have not progressed after receiving at least 16 weeks of first-line platinum-based chemotherapy.</w:t>
      </w:r>
      <w:r w:rsidRPr="00303844">
        <w:rPr>
          <w:rFonts w:eastAsia="Times New Roman" w:cs="Times New Roman"/>
          <w:iCs/>
          <w:lang w:val="en-US" w:eastAsia="zh-CN"/>
        </w:rPr>
        <w:t xml:space="preserve"> </w:t>
      </w:r>
      <w:r w:rsidRPr="00303844">
        <w:rPr>
          <w:rFonts w:eastAsia="Times New Roman" w:cs="Times New Roman"/>
          <w:color w:val="000000"/>
          <w:lang w:val="en-US" w:eastAsia="zh-CN"/>
        </w:rPr>
        <w:t>In addition, other maintenance regimens that can be tried clinically include: (1) FOLFIRI or FOLFOX regimen for maintenance therapy after the FOLFIRINOX regimen; (2) 5-FU/LV or capecitabine for maintenance therapy after the FOLFIRINOX regimen; (3) single-agent GEM for maintenance therapy after GEM combined with nab-paclitaxel; (4) S-1 for maintenance therapy after nab-paclitaxel combined with S-1.</w:t>
      </w:r>
      <w:r w:rsidRPr="00303844">
        <w:rPr>
          <w:rFonts w:eastAsia="Times New Roman" w:cs="Times New Roman"/>
          <w:lang w:val="en-US" w:eastAsia="zh-CN"/>
        </w:rPr>
        <w:t xml:space="preserve"> </w:t>
      </w:r>
      <w:r w:rsidRPr="00303844">
        <w:rPr>
          <w:rFonts w:eastAsia="Times New Roman" w:cs="Times New Roman"/>
          <w:color w:val="000000"/>
          <w:lang w:val="en-US" w:eastAsia="zh-CN"/>
        </w:rPr>
        <w:t>However, the above regimens still require validation by high-level clinical trial results.</w:t>
      </w:r>
      <w:r w:rsidRPr="00303844">
        <w:rPr>
          <w:rFonts w:eastAsia="Times New Roman" w:cs="Times New Roman"/>
          <w:lang w:val="en-US" w:eastAsia="zh-CN"/>
        </w:rPr>
        <w:t xml:space="preserve"> </w:t>
      </w:r>
    </w:p>
    <w:p w14:paraId="48958C9F" w14:textId="77777777" w:rsidR="00DE4AFD" w:rsidRPr="00303844" w:rsidRDefault="004A4F56" w:rsidP="000C622D">
      <w:pPr>
        <w:pStyle w:val="21"/>
        <w:spacing w:before="0" w:after="0" w:line="360" w:lineRule="auto"/>
        <w:rPr>
          <w:rFonts w:eastAsia="宋体" w:cs="Times New Roman"/>
        </w:rPr>
      </w:pPr>
      <w:bookmarkStart w:id="20" w:name="_Toc184889599"/>
      <w:r w:rsidRPr="00303844">
        <w:rPr>
          <w:rFonts w:eastAsia="Times New Roman" w:cs="Times New Roman"/>
        </w:rPr>
        <w:lastRenderedPageBreak/>
        <w:t>Physicochemical Properties and Pharmaceutical Characteristics of the Investigational Product</w:t>
      </w:r>
      <w:bookmarkEnd w:id="20"/>
    </w:p>
    <w:p w14:paraId="083925BF" w14:textId="3C713B37" w:rsidR="00CA470A" w:rsidRPr="00303844" w:rsidRDefault="00CA470A" w:rsidP="00E04753">
      <w:pPr>
        <w:pStyle w:val="HR"/>
        <w:spacing w:after="0"/>
        <w:ind w:firstLineChars="0" w:firstLine="0"/>
        <w:jc w:val="both"/>
        <w:rPr>
          <w:rFonts w:cs="Times New Roman"/>
          <w:iCs/>
          <w:color w:val="000000" w:themeColor="text1"/>
          <w:lang w:val="en-US" w:eastAsia="zh-CN"/>
        </w:rPr>
      </w:pPr>
      <w:proofErr w:type="spellStart"/>
      <w:r w:rsidRPr="00303844">
        <w:rPr>
          <w:rFonts w:eastAsia="Times New Roman" w:cs="Times New Roman"/>
          <w:color w:val="000000"/>
          <w:lang w:val="en-US" w:eastAsia="zh-CN"/>
        </w:rPr>
        <w:t>Camrelizumab</w:t>
      </w:r>
      <w:proofErr w:type="spellEnd"/>
      <w:r w:rsidRPr="00303844">
        <w:rPr>
          <w:rFonts w:eastAsia="Times New Roman" w:cs="Times New Roman"/>
          <w:color w:val="000000"/>
          <w:lang w:val="en-US" w:eastAsia="zh-CN"/>
        </w:rPr>
        <w:t xml:space="preserve"> (R &amp; D code: SHR-1210) is a humanized anti-programmed cell death receptor 1 (PD-1) antibody. It is an original drug independently developed by Jiangsu </w:t>
      </w:r>
      <w:proofErr w:type="spellStart"/>
      <w:r w:rsidRPr="00303844">
        <w:rPr>
          <w:rFonts w:eastAsia="Times New Roman" w:cs="Times New Roman"/>
          <w:color w:val="000000"/>
          <w:lang w:val="en-US" w:eastAsia="zh-CN"/>
        </w:rPr>
        <w:t>Hengrui</w:t>
      </w:r>
      <w:proofErr w:type="spellEnd"/>
      <w:r w:rsidRPr="00303844">
        <w:rPr>
          <w:rFonts w:eastAsia="Times New Roman" w:cs="Times New Roman"/>
          <w:color w:val="000000"/>
          <w:lang w:val="en-US" w:eastAsia="zh-CN"/>
        </w:rPr>
        <w:t xml:space="preserve"> Pharmaceuticals Co., Ltd., and </w:t>
      </w:r>
      <w:proofErr w:type="spellStart"/>
      <w:r w:rsidRPr="00303844">
        <w:rPr>
          <w:rFonts w:eastAsia="Times New Roman" w:cs="Times New Roman"/>
          <w:color w:val="000000"/>
          <w:lang w:val="en-US" w:eastAsia="zh-CN"/>
        </w:rPr>
        <w:t>Hengrui</w:t>
      </w:r>
      <w:proofErr w:type="spellEnd"/>
      <w:r w:rsidRPr="00303844">
        <w:rPr>
          <w:rFonts w:eastAsia="Times New Roman" w:cs="Times New Roman"/>
          <w:color w:val="000000"/>
          <w:lang w:val="en-US" w:eastAsia="zh-CN"/>
        </w:rPr>
        <w:t xml:space="preserve"> holds the global development rights to </w:t>
      </w:r>
      <w:proofErr w:type="spellStart"/>
      <w:r w:rsidRPr="00303844">
        <w:rPr>
          <w:rFonts w:eastAsia="Times New Roman" w:cs="Times New Roman"/>
          <w:color w:val="000000"/>
          <w:lang w:val="en-US" w:eastAsia="zh-CN"/>
        </w:rPr>
        <w:t>Camrelizumab</w:t>
      </w:r>
      <w:proofErr w:type="spellEnd"/>
      <w:r w:rsidRPr="00303844">
        <w:rPr>
          <w:rFonts w:eastAsia="Times New Roman" w:cs="Times New Roman"/>
          <w:color w:val="000000"/>
          <w:lang w:val="en-US" w:eastAsia="zh-CN"/>
        </w:rPr>
        <w:t>.</w:t>
      </w:r>
      <w:r w:rsidRPr="00303844">
        <w:rPr>
          <w:rFonts w:eastAsia="Times New Roman" w:cs="Times New Roman"/>
          <w:lang w:val="en-US" w:eastAsia="zh-CN"/>
        </w:rPr>
        <w:t xml:space="preserve"> </w:t>
      </w:r>
    </w:p>
    <w:p w14:paraId="06ED7C4E" w14:textId="6D1607A2" w:rsidR="00CA470A" w:rsidRPr="00303844" w:rsidRDefault="00CA470A"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 xml:space="preserve">English Generic Name: </w:t>
      </w:r>
      <w:proofErr w:type="spellStart"/>
      <w:r w:rsidRPr="00303844">
        <w:rPr>
          <w:rFonts w:eastAsia="Times New Roman" w:cs="Times New Roman"/>
          <w:color w:val="000000"/>
          <w:lang w:val="en-US" w:eastAsia="zh-CN"/>
        </w:rPr>
        <w:t>Camrelizumab</w:t>
      </w:r>
      <w:proofErr w:type="spellEnd"/>
      <w:r w:rsidRPr="00303844">
        <w:rPr>
          <w:rFonts w:eastAsia="Times New Roman" w:cs="Times New Roman"/>
          <w:color w:val="000000"/>
          <w:lang w:val="en-US" w:eastAsia="zh-CN"/>
        </w:rPr>
        <w:t xml:space="preserve"> for Injection</w:t>
      </w:r>
    </w:p>
    <w:p w14:paraId="0A316C16" w14:textId="77777777" w:rsidR="00CA470A" w:rsidRPr="00303844" w:rsidRDefault="00CA470A"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Laboratory Code: SHR-1210</w:t>
      </w:r>
    </w:p>
    <w:p w14:paraId="5E226C95" w14:textId="4CB6F325" w:rsidR="00CA470A" w:rsidRPr="00303844" w:rsidRDefault="00CA470A" w:rsidP="00E04753">
      <w:pPr>
        <w:pStyle w:val="HR"/>
        <w:spacing w:after="0"/>
        <w:ind w:firstLineChars="0" w:firstLine="0"/>
        <w:jc w:val="both"/>
        <w:rPr>
          <w:rFonts w:cs="Times New Roman"/>
          <w:iCs/>
          <w:color w:val="000000" w:themeColor="text1"/>
          <w:vertAlign w:val="subscript"/>
          <w:lang w:val="en-US" w:eastAsia="zh-CN"/>
        </w:rPr>
      </w:pPr>
      <w:r w:rsidRPr="00303844">
        <w:rPr>
          <w:rFonts w:eastAsia="Times New Roman" w:cs="Times New Roman"/>
          <w:color w:val="000000"/>
          <w:lang w:val="en-US" w:eastAsia="zh-CN"/>
        </w:rPr>
        <w:t>Molecular Formula: C</w:t>
      </w:r>
      <w:r w:rsidRPr="00303844">
        <w:rPr>
          <w:rFonts w:eastAsia="Times New Roman" w:cs="Times New Roman"/>
          <w:color w:val="000000"/>
          <w:vertAlign w:val="subscript"/>
          <w:lang w:val="en-US" w:eastAsia="zh-CN"/>
        </w:rPr>
        <w:t>6390</w:t>
      </w:r>
      <w:r w:rsidRPr="00303844">
        <w:rPr>
          <w:rFonts w:eastAsia="Times New Roman" w:cs="Times New Roman"/>
          <w:color w:val="000000"/>
          <w:lang w:val="en-US" w:eastAsia="zh-CN"/>
        </w:rPr>
        <w:t>H</w:t>
      </w:r>
      <w:r w:rsidRPr="00303844">
        <w:rPr>
          <w:rFonts w:eastAsia="Times New Roman" w:cs="Times New Roman"/>
          <w:color w:val="000000"/>
          <w:vertAlign w:val="subscript"/>
          <w:lang w:val="en-US" w:eastAsia="zh-CN"/>
        </w:rPr>
        <w:t>9838</w:t>
      </w:r>
      <w:r w:rsidRPr="00303844">
        <w:rPr>
          <w:rFonts w:eastAsia="Times New Roman" w:cs="Times New Roman"/>
          <w:color w:val="000000"/>
          <w:lang w:val="en-US" w:eastAsia="zh-CN"/>
        </w:rPr>
        <w:t>N</w:t>
      </w:r>
      <w:r w:rsidRPr="00303844">
        <w:rPr>
          <w:rFonts w:eastAsia="Times New Roman" w:cs="Times New Roman"/>
          <w:color w:val="000000"/>
          <w:vertAlign w:val="subscript"/>
          <w:lang w:val="en-US" w:eastAsia="zh-CN"/>
        </w:rPr>
        <w:t>1678</w:t>
      </w:r>
      <w:r w:rsidRPr="00303844">
        <w:rPr>
          <w:rFonts w:eastAsia="Times New Roman" w:cs="Times New Roman"/>
          <w:color w:val="000000"/>
          <w:lang w:val="en-US" w:eastAsia="zh-CN"/>
        </w:rPr>
        <w:t>O</w:t>
      </w:r>
      <w:r w:rsidRPr="00303844">
        <w:rPr>
          <w:rFonts w:eastAsia="Times New Roman" w:cs="Times New Roman"/>
          <w:color w:val="000000"/>
          <w:vertAlign w:val="subscript"/>
          <w:lang w:val="en-US" w:eastAsia="zh-CN"/>
        </w:rPr>
        <w:t>2004</w:t>
      </w:r>
      <w:r w:rsidRPr="00303844">
        <w:rPr>
          <w:rFonts w:eastAsia="Times New Roman" w:cs="Times New Roman"/>
          <w:color w:val="000000"/>
          <w:lang w:val="en-US" w:eastAsia="zh-CN"/>
        </w:rPr>
        <w:t>S</w:t>
      </w:r>
      <w:r w:rsidRPr="00303844">
        <w:rPr>
          <w:rFonts w:eastAsia="Times New Roman" w:cs="Times New Roman"/>
          <w:color w:val="000000"/>
          <w:vertAlign w:val="subscript"/>
          <w:lang w:val="en-US" w:eastAsia="zh-CN"/>
        </w:rPr>
        <w:t>46</w:t>
      </w:r>
    </w:p>
    <w:p w14:paraId="69AC74D5" w14:textId="6732C7E6" w:rsidR="00CA470A" w:rsidRPr="00303844" w:rsidRDefault="00CA470A"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Molecular Weight: 143,708</w:t>
      </w:r>
    </w:p>
    <w:p w14:paraId="0B0B82DB" w14:textId="2A12B1DD" w:rsidR="00CA470A" w:rsidRPr="00303844" w:rsidRDefault="00CA470A"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b/>
          <w:bCs/>
          <w:iCs/>
          <w:color w:val="000000"/>
          <w:lang w:val="en-US" w:eastAsia="zh-CN"/>
        </w:rPr>
        <w:t>Physical Properties:</w:t>
      </w:r>
      <w:r w:rsidRPr="00303844">
        <w:rPr>
          <w:rFonts w:eastAsia="Times New Roman" w:cs="Times New Roman"/>
          <w:bCs/>
          <w:iCs/>
          <w:color w:val="000000"/>
          <w:lang w:val="en-US" w:eastAsia="zh-CN"/>
        </w:rPr>
        <w:t xml:space="preserve"> </w:t>
      </w:r>
      <w:proofErr w:type="spellStart"/>
      <w:r w:rsidRPr="00303844">
        <w:rPr>
          <w:rFonts w:eastAsia="Times New Roman" w:cs="Times New Roman"/>
          <w:bCs/>
          <w:iCs/>
          <w:color w:val="000000"/>
          <w:lang w:val="en-US" w:eastAsia="zh-CN"/>
        </w:rPr>
        <w:t>Camrelizumab</w:t>
      </w:r>
      <w:proofErr w:type="spellEnd"/>
      <w:r w:rsidRPr="00303844">
        <w:rPr>
          <w:rFonts w:eastAsia="Times New Roman" w:cs="Times New Roman"/>
          <w:bCs/>
          <w:iCs/>
          <w:color w:val="000000"/>
          <w:lang w:val="en-US" w:eastAsia="zh-CN"/>
        </w:rPr>
        <w:t xml:space="preserve"> for clinical use is a white or off-white lyophilized powder, used after reconstitution.</w:t>
      </w:r>
      <w:r w:rsidRPr="00303844">
        <w:rPr>
          <w:rFonts w:eastAsia="Times New Roman" w:cs="Times New Roman"/>
          <w:bCs/>
          <w:iCs/>
          <w:lang w:val="en-US" w:eastAsia="zh-CN"/>
        </w:rPr>
        <w:t xml:space="preserve"> </w:t>
      </w:r>
      <w:r w:rsidRPr="00303844">
        <w:rPr>
          <w:rFonts w:eastAsia="Times New Roman" w:cs="Times New Roman"/>
          <w:color w:val="000000"/>
          <w:lang w:val="en-US" w:eastAsia="zh-CN"/>
        </w:rPr>
        <w:t xml:space="preserve">When reconstituted with sterile water for injection, the preparation has a pH value of 5.0 to 5.8 and an osmotic pressure of 270 </w:t>
      </w:r>
      <w:proofErr w:type="spellStart"/>
      <w:r w:rsidRPr="00303844">
        <w:rPr>
          <w:rFonts w:eastAsia="Times New Roman" w:cs="Times New Roman"/>
          <w:color w:val="000000"/>
          <w:lang w:val="en-US" w:eastAsia="zh-CN"/>
        </w:rPr>
        <w:t>mOsm</w:t>
      </w:r>
      <w:proofErr w:type="spellEnd"/>
      <w:r w:rsidRPr="00303844">
        <w:rPr>
          <w:rFonts w:eastAsia="Times New Roman" w:cs="Times New Roman"/>
          <w:color w:val="000000"/>
          <w:lang w:val="en-US" w:eastAsia="zh-CN"/>
        </w:rPr>
        <w:t xml:space="preserve">/kg to 330 </w:t>
      </w:r>
      <w:proofErr w:type="spellStart"/>
      <w:r w:rsidRPr="00303844">
        <w:rPr>
          <w:rFonts w:eastAsia="Times New Roman" w:cs="Times New Roman"/>
          <w:color w:val="000000"/>
          <w:lang w:val="en-US" w:eastAsia="zh-CN"/>
        </w:rPr>
        <w:t>mOsm</w:t>
      </w:r>
      <w:proofErr w:type="spellEnd"/>
      <w:r w:rsidRPr="00303844">
        <w:rPr>
          <w:rFonts w:eastAsia="Times New Roman" w:cs="Times New Roman"/>
          <w:color w:val="000000"/>
          <w:lang w:val="en-US" w:eastAsia="zh-CN"/>
        </w:rPr>
        <w:t>/kg.</w:t>
      </w:r>
      <w:r w:rsidRPr="00303844">
        <w:rPr>
          <w:rFonts w:eastAsia="Times New Roman" w:cs="Times New Roman"/>
          <w:lang w:val="en-US" w:eastAsia="zh-CN"/>
        </w:rPr>
        <w:t xml:space="preserve"> </w:t>
      </w:r>
    </w:p>
    <w:p w14:paraId="7AB4FE15" w14:textId="223F2F70" w:rsidR="00EF5A06" w:rsidRPr="00303844" w:rsidRDefault="00EF5A0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b/>
          <w:bCs/>
          <w:color w:val="000000"/>
          <w:lang w:val="en-US" w:eastAsia="zh-CN"/>
        </w:rPr>
        <w:t xml:space="preserve">Chemical Properties: </w:t>
      </w:r>
      <w:proofErr w:type="spellStart"/>
      <w:r w:rsidRPr="00303844">
        <w:rPr>
          <w:rFonts w:eastAsia="Times New Roman" w:cs="Times New Roman"/>
          <w:color w:val="000000"/>
          <w:lang w:val="en-US" w:eastAsia="zh-CN"/>
        </w:rPr>
        <w:t>Camrelizumab</w:t>
      </w:r>
      <w:proofErr w:type="spellEnd"/>
      <w:r w:rsidRPr="00303844">
        <w:rPr>
          <w:rFonts w:eastAsia="Times New Roman" w:cs="Times New Roman"/>
          <w:color w:val="000000"/>
          <w:lang w:val="en-US" w:eastAsia="zh-CN"/>
        </w:rPr>
        <w:t xml:space="preserve"> is a humanized monoclonal antibody (IgG4, </w:t>
      </w:r>
      <w:proofErr w:type="spellStart"/>
      <w:r w:rsidRPr="00303844">
        <w:rPr>
          <w:rFonts w:eastAsia="Times New Roman" w:cs="Times New Roman"/>
          <w:color w:val="000000"/>
          <w:lang w:val="en-US" w:eastAsia="zh-CN"/>
        </w:rPr>
        <w:t>IgK</w:t>
      </w:r>
      <w:proofErr w:type="spellEnd"/>
      <w:r w:rsidRPr="00303844">
        <w:rPr>
          <w:rFonts w:eastAsia="Times New Roman" w:cs="Times New Roman"/>
          <w:color w:val="000000"/>
          <w:lang w:val="en-US" w:eastAsia="zh-CN"/>
        </w:rPr>
        <w:t>) expressed in Chinese hamster ovary (CHO) cell lines using recombinant technology.</w:t>
      </w:r>
      <w:r w:rsidRPr="00303844">
        <w:rPr>
          <w:rFonts w:eastAsia="Times New Roman" w:cs="Times New Roman"/>
          <w:lang w:val="en-US" w:eastAsia="zh-CN"/>
        </w:rPr>
        <w:t xml:space="preserve"> </w:t>
      </w:r>
      <w:proofErr w:type="spellStart"/>
      <w:r w:rsidRPr="00303844">
        <w:rPr>
          <w:rFonts w:eastAsia="Times New Roman" w:cs="Times New Roman"/>
          <w:color w:val="000000"/>
          <w:lang w:val="en-US" w:eastAsia="zh-CN"/>
        </w:rPr>
        <w:t>Camrelizumab</w:t>
      </w:r>
      <w:proofErr w:type="spellEnd"/>
      <w:r w:rsidRPr="00303844">
        <w:rPr>
          <w:rFonts w:eastAsia="Times New Roman" w:cs="Times New Roman"/>
          <w:color w:val="000000"/>
          <w:lang w:val="en-US" w:eastAsia="zh-CN"/>
        </w:rPr>
        <w:t xml:space="preserve"> contains 1,314 amino acids, with a molecular weight of 143,708 Daltons, and a molecular formula of C</w:t>
      </w:r>
      <w:r w:rsidRPr="00303844">
        <w:rPr>
          <w:rFonts w:eastAsia="Times New Roman" w:cs="Times New Roman"/>
          <w:color w:val="000000"/>
          <w:vertAlign w:val="subscript"/>
          <w:lang w:val="en-US" w:eastAsia="zh-CN"/>
        </w:rPr>
        <w:t>6390</w:t>
      </w:r>
      <w:r w:rsidRPr="00303844">
        <w:rPr>
          <w:rFonts w:eastAsia="Times New Roman" w:cs="Times New Roman"/>
          <w:color w:val="000000"/>
          <w:lang w:val="en-US" w:eastAsia="zh-CN"/>
        </w:rPr>
        <w:t>H</w:t>
      </w:r>
      <w:r w:rsidRPr="00303844">
        <w:rPr>
          <w:rFonts w:eastAsia="Times New Roman" w:cs="Times New Roman"/>
          <w:color w:val="000000"/>
          <w:vertAlign w:val="subscript"/>
          <w:lang w:val="en-US" w:eastAsia="zh-CN"/>
        </w:rPr>
        <w:t>9838</w:t>
      </w:r>
      <w:r w:rsidRPr="00303844">
        <w:rPr>
          <w:rFonts w:eastAsia="Times New Roman" w:cs="Times New Roman"/>
          <w:color w:val="000000"/>
          <w:lang w:val="en-US" w:eastAsia="zh-CN"/>
        </w:rPr>
        <w:t>N</w:t>
      </w:r>
      <w:r w:rsidRPr="00303844">
        <w:rPr>
          <w:rFonts w:eastAsia="Times New Roman" w:cs="Times New Roman"/>
          <w:color w:val="000000"/>
          <w:vertAlign w:val="subscript"/>
          <w:lang w:val="en-US" w:eastAsia="zh-CN"/>
        </w:rPr>
        <w:t>1678</w:t>
      </w:r>
      <w:r w:rsidRPr="00303844">
        <w:rPr>
          <w:rFonts w:eastAsia="Times New Roman" w:cs="Times New Roman"/>
          <w:color w:val="000000"/>
          <w:lang w:val="en-US" w:eastAsia="zh-CN"/>
        </w:rPr>
        <w:t>O</w:t>
      </w:r>
      <w:r w:rsidRPr="00303844">
        <w:rPr>
          <w:rFonts w:eastAsia="Times New Roman" w:cs="Times New Roman"/>
          <w:color w:val="000000"/>
          <w:vertAlign w:val="subscript"/>
          <w:lang w:val="en-US" w:eastAsia="zh-CN"/>
        </w:rPr>
        <w:t>2004</w:t>
      </w:r>
      <w:r w:rsidRPr="00303844">
        <w:rPr>
          <w:rFonts w:eastAsia="Times New Roman" w:cs="Times New Roman"/>
          <w:color w:val="000000"/>
          <w:lang w:val="en-US" w:eastAsia="zh-CN"/>
        </w:rPr>
        <w:t>S</w:t>
      </w:r>
      <w:r w:rsidRPr="00303844">
        <w:rPr>
          <w:rFonts w:eastAsia="Times New Roman" w:cs="Times New Roman"/>
          <w:color w:val="000000"/>
          <w:vertAlign w:val="subscript"/>
          <w:lang w:val="en-US" w:eastAsia="zh-CN"/>
        </w:rPr>
        <w:t>46</w:t>
      </w:r>
      <w:r w:rsidRPr="00303844">
        <w:rPr>
          <w:rFonts w:eastAsia="Times New Roman" w:cs="Times New Roman"/>
          <w:color w:val="000000"/>
          <w:lang w:val="en-US" w:eastAsia="zh-CN"/>
        </w:rPr>
        <w:t>.</w:t>
      </w:r>
      <w:r w:rsidRPr="00303844">
        <w:rPr>
          <w:rFonts w:eastAsia="Times New Roman" w:cs="Times New Roman"/>
          <w:lang w:val="en-US" w:eastAsia="zh-CN"/>
        </w:rPr>
        <w:t xml:space="preserve"> </w:t>
      </w:r>
      <w:r w:rsidRPr="00303844">
        <w:rPr>
          <w:rFonts w:eastAsia="Times New Roman" w:cs="Times New Roman"/>
          <w:iCs/>
          <w:color w:val="000000"/>
          <w:lang w:val="en-US" w:eastAsia="zh-CN"/>
        </w:rPr>
        <w:t xml:space="preserve">Its molecule is a </w:t>
      </w:r>
      <w:proofErr w:type="spellStart"/>
      <w:r w:rsidRPr="00303844">
        <w:rPr>
          <w:rFonts w:eastAsia="Times New Roman" w:cs="Times New Roman"/>
          <w:iCs/>
          <w:color w:val="000000"/>
          <w:lang w:val="en-US" w:eastAsia="zh-CN"/>
        </w:rPr>
        <w:t>heterotetramer</w:t>
      </w:r>
      <w:proofErr w:type="spellEnd"/>
      <w:r w:rsidRPr="00303844">
        <w:rPr>
          <w:rFonts w:eastAsia="Times New Roman" w:cs="Times New Roman"/>
          <w:iCs/>
          <w:color w:val="000000"/>
          <w:lang w:val="en-US" w:eastAsia="zh-CN"/>
        </w:rPr>
        <w:t xml:space="preserve"> containing two identical heavy chains and two identical light chains, covalently linked via intra-chain and inter-chain disulfide bonds.</w:t>
      </w:r>
      <w:r w:rsidRPr="00303844">
        <w:rPr>
          <w:rFonts w:eastAsia="Times New Roman" w:cs="Times New Roman"/>
          <w:iCs/>
          <w:lang w:val="en-US" w:eastAsia="zh-CN"/>
        </w:rPr>
        <w:t xml:space="preserve"> </w:t>
      </w:r>
      <w:r w:rsidRPr="00303844">
        <w:rPr>
          <w:rFonts w:eastAsia="Times New Roman" w:cs="Times New Roman"/>
          <w:iCs/>
          <w:color w:val="000000"/>
          <w:lang w:val="en-US" w:eastAsia="zh-CN"/>
        </w:rPr>
        <w:t>Each heavy chain consists of 443 amino acids, and each light chain consists of 214 amino acids.</w:t>
      </w:r>
      <w:r w:rsidRPr="00303844">
        <w:rPr>
          <w:rFonts w:eastAsia="Times New Roman" w:cs="Times New Roman"/>
          <w:iCs/>
          <w:lang w:val="en-US" w:eastAsia="zh-CN"/>
        </w:rPr>
        <w:t xml:space="preserve"> </w:t>
      </w:r>
      <w:r w:rsidRPr="00303844">
        <w:rPr>
          <w:rFonts w:eastAsia="Times New Roman" w:cs="Times New Roman"/>
          <w:color w:val="000000"/>
          <w:lang w:val="en-US" w:eastAsia="zh-CN"/>
        </w:rPr>
        <w:t xml:space="preserve">Each heavy chain is linked via N-glycosylation at the typical glycosylation site of asparagine at position 293, and is predominantly a C-terminal lysine residue. </w:t>
      </w:r>
    </w:p>
    <w:p w14:paraId="0C02BF58" w14:textId="6CAEE53C" w:rsidR="00CA470A" w:rsidRPr="00303844" w:rsidRDefault="00CA470A" w:rsidP="00E04753">
      <w:pPr>
        <w:pStyle w:val="HR"/>
        <w:spacing w:after="0"/>
        <w:ind w:firstLineChars="0" w:firstLine="0"/>
        <w:jc w:val="both"/>
        <w:rPr>
          <w:rFonts w:cs="Times New Roman"/>
          <w:iCs/>
          <w:color w:val="000000" w:themeColor="text1"/>
          <w:lang w:val="en-US" w:eastAsia="zh-CN"/>
        </w:rPr>
      </w:pPr>
      <w:proofErr w:type="spellStart"/>
      <w:r w:rsidRPr="00303844">
        <w:rPr>
          <w:rFonts w:eastAsia="Times New Roman" w:cs="Times New Roman"/>
          <w:iCs/>
          <w:color w:val="000000"/>
          <w:lang w:val="en-US" w:eastAsia="zh-CN"/>
        </w:rPr>
        <w:t>Camrelizumab</w:t>
      </w:r>
      <w:proofErr w:type="spellEnd"/>
      <w:r w:rsidRPr="00303844">
        <w:rPr>
          <w:rFonts w:eastAsia="Times New Roman" w:cs="Times New Roman"/>
          <w:iCs/>
          <w:color w:val="000000"/>
          <w:lang w:val="en-US" w:eastAsia="zh-CN"/>
        </w:rPr>
        <w:t xml:space="preserve"> preparation is a white or off-white lyophilized powder with a dosage of 200 mg per vial, packaged in 20 mL USP Type I glass vials, and the concentration of the active pharmaceutical ingredient is 40 mg/mL (the buffer consists of 10 mM sodium acetate, 9% (w/v) </w:t>
      </w:r>
      <w:proofErr w:type="gramStart"/>
      <w:r w:rsidRPr="00303844">
        <w:rPr>
          <w:rFonts w:eastAsia="Times New Roman" w:cs="Times New Roman"/>
          <w:iCs/>
          <w:color w:val="000000"/>
          <w:lang w:val="en-US" w:eastAsia="zh-CN"/>
        </w:rPr>
        <w:t>α,α</w:t>
      </w:r>
      <w:proofErr w:type="gramEnd"/>
      <w:r w:rsidRPr="00303844">
        <w:rPr>
          <w:rFonts w:eastAsia="Times New Roman" w:cs="Times New Roman"/>
          <w:iCs/>
          <w:color w:val="000000"/>
          <w:lang w:val="en-US" w:eastAsia="zh-CN"/>
        </w:rPr>
        <w:t>-trehalose dihydrate, and 0.02% (w/v) polysorbate 20, with a pH value of 5.0 to 5.8).</w:t>
      </w:r>
      <w:r w:rsidRPr="00303844">
        <w:rPr>
          <w:rFonts w:eastAsia="Times New Roman" w:cs="Times New Roman"/>
          <w:iCs/>
          <w:lang w:val="en-US" w:eastAsia="zh-CN"/>
        </w:rPr>
        <w:t xml:space="preserve"> </w:t>
      </w:r>
      <w:r w:rsidRPr="00303844">
        <w:rPr>
          <w:rFonts w:eastAsia="Times New Roman" w:cs="Times New Roman"/>
          <w:iCs/>
          <w:color w:val="000000"/>
          <w:lang w:val="en-US" w:eastAsia="zh-CN"/>
        </w:rPr>
        <w:t>Each vial of preparation is reconstituted with 5.0 mL of sterile water for injection, resulting in a concentration of 40 mg/mL after dissolution.</w:t>
      </w:r>
      <w:r w:rsidRPr="00303844">
        <w:rPr>
          <w:rFonts w:eastAsia="Times New Roman" w:cs="Times New Roman"/>
          <w:iCs/>
          <w:lang w:val="en-US" w:eastAsia="zh-CN"/>
        </w:rPr>
        <w:t xml:space="preserve"> </w:t>
      </w:r>
      <w:r w:rsidRPr="00303844">
        <w:rPr>
          <w:rFonts w:eastAsia="Times New Roman" w:cs="Times New Roman"/>
          <w:color w:val="000000"/>
          <w:lang w:val="en-US" w:eastAsia="zh-CN"/>
        </w:rPr>
        <w:t xml:space="preserve">The reconstituted preparation is further diluted in </w:t>
      </w:r>
      <w:r w:rsidRPr="00303844">
        <w:rPr>
          <w:rFonts w:eastAsia="Times New Roman" w:cs="Times New Roman"/>
          <w:color w:val="000000"/>
          <w:lang w:val="en-US" w:eastAsia="zh-CN"/>
        </w:rPr>
        <w:lastRenderedPageBreak/>
        <w:t>an infusion bag with an intravenous injection mixture containing 5% glucose or 0.9% sodium chloride to a final concentration of 0.5 mg/mL to 10 mg/</w:t>
      </w:r>
      <w:proofErr w:type="spellStart"/>
      <w:r w:rsidRPr="00303844">
        <w:rPr>
          <w:rFonts w:eastAsia="Times New Roman" w:cs="Times New Roman"/>
          <w:color w:val="000000"/>
          <w:lang w:val="en-US" w:eastAsia="zh-CN"/>
        </w:rPr>
        <w:t>mL.</w:t>
      </w:r>
      <w:proofErr w:type="spellEnd"/>
      <w:r w:rsidRPr="00303844">
        <w:rPr>
          <w:rFonts w:eastAsia="Times New Roman" w:cs="Times New Roman"/>
          <w:lang w:val="en-US" w:eastAsia="zh-CN"/>
        </w:rPr>
        <w:t xml:space="preserve"> </w:t>
      </w:r>
    </w:p>
    <w:p w14:paraId="44A6CF74" w14:textId="77777777" w:rsidR="00CA470A" w:rsidRPr="00303844" w:rsidRDefault="00CA470A" w:rsidP="000C622D">
      <w:pPr>
        <w:pStyle w:val="HR"/>
        <w:spacing w:after="0"/>
        <w:ind w:firstLineChars="0" w:firstLine="0"/>
        <w:jc w:val="both"/>
        <w:rPr>
          <w:rFonts w:cs="Times New Roman"/>
          <w:iCs/>
          <w:color w:val="000000" w:themeColor="text1"/>
          <w:lang w:val="en-US" w:eastAsia="zh-CN"/>
        </w:rPr>
      </w:pPr>
    </w:p>
    <w:p w14:paraId="2C409118" w14:textId="2F55C37C" w:rsidR="00DE4AFD" w:rsidRPr="00303844" w:rsidRDefault="004A4F56" w:rsidP="00E04753">
      <w:pPr>
        <w:pStyle w:val="HR"/>
        <w:spacing w:after="0"/>
        <w:ind w:firstLineChars="0" w:firstLine="0"/>
        <w:jc w:val="both"/>
        <w:rPr>
          <w:rFonts w:cs="Times New Roman"/>
          <w:iCs/>
          <w:color w:val="000000" w:themeColor="text1"/>
          <w:lang w:val="en-US" w:eastAsia="zh-CN"/>
        </w:rPr>
      </w:pPr>
      <w:proofErr w:type="spellStart"/>
      <w:r w:rsidRPr="00303844">
        <w:rPr>
          <w:rFonts w:eastAsia="Times New Roman" w:cs="Times New Roman"/>
          <w:color w:val="000000"/>
          <w:lang w:val="en-US" w:eastAsia="zh-CN"/>
        </w:rPr>
        <w:t>Surufatinib</w:t>
      </w:r>
      <w:proofErr w:type="spellEnd"/>
      <w:r w:rsidRPr="00303844">
        <w:rPr>
          <w:rFonts w:eastAsia="Times New Roman" w:cs="Times New Roman"/>
          <w:color w:val="000000"/>
          <w:lang w:val="en-US" w:eastAsia="zh-CN"/>
        </w:rPr>
        <w:t xml:space="preserve"> is a small molecule kinase inhibitor that primarily acts on vascular endothelial growth factor receptors (VEGFR1, 2, 3), fibroblast growth factor receptor (FGFR1), and colony-stimulating factor 1 receptor (CSF1R). It is a patented product exclusively developed by Hutchison Whampoa Pharmaceuticals (Shanghai) Co., Ltd.</w:t>
      </w:r>
      <w:r w:rsidRPr="00303844">
        <w:rPr>
          <w:rFonts w:eastAsia="Times New Roman" w:cs="Times New Roman"/>
          <w:lang w:val="en-US" w:eastAsia="zh-CN"/>
        </w:rPr>
        <w:t xml:space="preserve"> </w:t>
      </w:r>
    </w:p>
    <w:p w14:paraId="797EA5DA" w14:textId="012F4FAA"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 xml:space="preserve">English </w:t>
      </w:r>
      <w:r w:rsidR="00027BAF">
        <w:rPr>
          <w:rFonts w:eastAsiaTheme="minorEastAsia" w:cs="Times New Roman" w:hint="eastAsia"/>
          <w:color w:val="000000"/>
          <w:lang w:val="en-US" w:eastAsia="zh-CN"/>
        </w:rPr>
        <w:t>G</w:t>
      </w:r>
      <w:r w:rsidR="00027BAF" w:rsidRPr="00303844">
        <w:rPr>
          <w:rFonts w:eastAsia="Times New Roman" w:cs="Times New Roman"/>
          <w:color w:val="000000"/>
          <w:lang w:val="en-US" w:eastAsia="zh-CN"/>
        </w:rPr>
        <w:t xml:space="preserve">eneric </w:t>
      </w:r>
      <w:r w:rsidR="00027BAF">
        <w:rPr>
          <w:rFonts w:eastAsiaTheme="minorEastAsia" w:cs="Times New Roman" w:hint="eastAsia"/>
          <w:color w:val="000000"/>
          <w:lang w:val="en-US" w:eastAsia="zh-CN"/>
        </w:rPr>
        <w:t>N</w:t>
      </w:r>
      <w:r w:rsidR="00027BAF" w:rsidRPr="00303844">
        <w:rPr>
          <w:rFonts w:eastAsia="Times New Roman" w:cs="Times New Roman"/>
          <w:color w:val="000000"/>
          <w:lang w:val="en-US" w:eastAsia="zh-CN"/>
        </w:rPr>
        <w:t>ame</w:t>
      </w:r>
      <w:r w:rsidRPr="00303844">
        <w:rPr>
          <w:rFonts w:eastAsia="Times New Roman" w:cs="Times New Roman"/>
          <w:color w:val="000000"/>
          <w:lang w:val="en-US" w:eastAsia="zh-CN"/>
        </w:rPr>
        <w:t xml:space="preserve">: </w:t>
      </w:r>
      <w:proofErr w:type="spellStart"/>
      <w:r w:rsidR="00C6522E" w:rsidRPr="00303844">
        <w:rPr>
          <w:rFonts w:eastAsia="Times New Roman" w:cs="Times New Roman"/>
          <w:color w:val="000000"/>
          <w:lang w:val="en-US" w:eastAsia="zh-CN"/>
        </w:rPr>
        <w:t>Surufatinib</w:t>
      </w:r>
      <w:proofErr w:type="spellEnd"/>
      <w:r w:rsidRPr="00303844">
        <w:rPr>
          <w:rFonts w:eastAsia="Times New Roman" w:cs="Times New Roman"/>
          <w:color w:val="000000"/>
          <w:lang w:val="en-US" w:eastAsia="zh-CN"/>
        </w:rPr>
        <w:t xml:space="preserve"> Capsules</w:t>
      </w:r>
    </w:p>
    <w:p w14:paraId="64C46EBE" w14:textId="77777777" w:rsidR="00027BAF" w:rsidRDefault="004A4F56" w:rsidP="00E04753">
      <w:pPr>
        <w:pStyle w:val="HR"/>
        <w:spacing w:after="0"/>
        <w:ind w:firstLineChars="0" w:firstLine="0"/>
        <w:jc w:val="both"/>
        <w:rPr>
          <w:rFonts w:eastAsiaTheme="minorEastAsia" w:cs="Times New Roman"/>
          <w:color w:val="000000"/>
          <w:lang w:val="en-US" w:eastAsia="zh-CN"/>
        </w:rPr>
      </w:pPr>
      <w:r w:rsidRPr="00303844">
        <w:rPr>
          <w:rFonts w:eastAsia="Times New Roman" w:cs="Times New Roman"/>
          <w:color w:val="000000"/>
          <w:lang w:val="en-US" w:eastAsia="zh-CN"/>
        </w:rPr>
        <w:t xml:space="preserve">Laboratory Code: HMPL-012 </w:t>
      </w:r>
    </w:p>
    <w:p w14:paraId="0AAD8FE3" w14:textId="43671604"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Chemical Name:</w:t>
      </w:r>
    </w:p>
    <w:p w14:paraId="370AA7BB"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iCs/>
          <w:color w:val="000000" w:themeColor="text1"/>
          <w:lang w:val="en-US" w:eastAsia="zh-CN"/>
        </w:rPr>
        <w:t>N-(2-(</w:t>
      </w:r>
      <w:proofErr w:type="gramStart"/>
      <w:r w:rsidRPr="00303844">
        <w:rPr>
          <w:rFonts w:eastAsia="Times New Roman" w:cs="Times New Roman"/>
          <w:iCs/>
          <w:color w:val="000000" w:themeColor="text1"/>
          <w:lang w:val="en-US" w:eastAsia="zh-CN"/>
        </w:rPr>
        <w:t>dimethylamino)ethyl</w:t>
      </w:r>
      <w:proofErr w:type="gramEnd"/>
      <w:r w:rsidRPr="00303844">
        <w:rPr>
          <w:rFonts w:eastAsia="Times New Roman" w:cs="Times New Roman"/>
          <w:iCs/>
          <w:color w:val="000000" w:themeColor="text1"/>
          <w:lang w:val="en-US" w:eastAsia="zh-CN"/>
        </w:rPr>
        <w:t>)-1-(3-(4-(2-methyl-1H-indol-5-</w:t>
      </w:r>
      <w:proofErr w:type="gramStart"/>
      <w:r w:rsidRPr="00303844">
        <w:rPr>
          <w:rFonts w:eastAsia="Times New Roman" w:cs="Times New Roman"/>
          <w:iCs/>
          <w:color w:val="000000" w:themeColor="text1"/>
          <w:lang w:val="en-US" w:eastAsia="zh-CN"/>
        </w:rPr>
        <w:t>yloxy)pyrimidin</w:t>
      </w:r>
      <w:proofErr w:type="gramEnd"/>
      <w:r w:rsidRPr="00303844">
        <w:rPr>
          <w:rFonts w:eastAsia="Times New Roman" w:cs="Times New Roman"/>
          <w:iCs/>
          <w:color w:val="000000" w:themeColor="text1"/>
          <w:lang w:val="en-US" w:eastAsia="zh-CN"/>
        </w:rPr>
        <w:t xml:space="preserve">-2-ylami </w:t>
      </w:r>
      <w:proofErr w:type="gramStart"/>
      <w:r w:rsidRPr="00303844">
        <w:rPr>
          <w:rFonts w:eastAsia="Times New Roman" w:cs="Times New Roman"/>
          <w:iCs/>
          <w:color w:val="000000" w:themeColor="text1"/>
          <w:lang w:val="en-US" w:eastAsia="zh-CN"/>
        </w:rPr>
        <w:t>no)phenyl</w:t>
      </w:r>
      <w:proofErr w:type="gramEnd"/>
      <w:r w:rsidRPr="00303844">
        <w:rPr>
          <w:rFonts w:eastAsia="Times New Roman" w:cs="Times New Roman"/>
          <w:iCs/>
          <w:color w:val="000000" w:themeColor="text1"/>
          <w:lang w:val="en-US" w:eastAsia="zh-CN"/>
        </w:rPr>
        <w:t>)</w:t>
      </w:r>
      <w:proofErr w:type="spellStart"/>
      <w:r w:rsidRPr="00303844">
        <w:rPr>
          <w:rFonts w:eastAsia="Times New Roman" w:cs="Times New Roman"/>
          <w:iCs/>
          <w:color w:val="000000" w:themeColor="text1"/>
          <w:lang w:val="en-US" w:eastAsia="zh-CN"/>
        </w:rPr>
        <w:t>methanesulfonamide</w:t>
      </w:r>
      <w:proofErr w:type="spellEnd"/>
    </w:p>
    <w:p w14:paraId="2ED1895A"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Molecular Formula: C</w:t>
      </w:r>
      <w:r w:rsidRPr="00222B77">
        <w:rPr>
          <w:rFonts w:eastAsia="Times New Roman" w:cs="Times New Roman"/>
          <w:color w:val="000000"/>
          <w:vertAlign w:val="subscript"/>
          <w:lang w:val="en-US" w:eastAsia="zh-CN"/>
        </w:rPr>
        <w:t>24</w:t>
      </w:r>
      <w:r w:rsidRPr="00303844">
        <w:rPr>
          <w:rFonts w:eastAsia="Times New Roman" w:cs="Times New Roman"/>
          <w:color w:val="000000"/>
          <w:lang w:val="en-US" w:eastAsia="zh-CN"/>
        </w:rPr>
        <w:t>H</w:t>
      </w:r>
      <w:r w:rsidRPr="00222B77">
        <w:rPr>
          <w:rFonts w:eastAsia="Times New Roman" w:cs="Times New Roman"/>
          <w:color w:val="000000"/>
          <w:vertAlign w:val="subscript"/>
          <w:lang w:val="en-US" w:eastAsia="zh-CN"/>
        </w:rPr>
        <w:t>28</w:t>
      </w:r>
      <w:r w:rsidRPr="00303844">
        <w:rPr>
          <w:rFonts w:eastAsia="Times New Roman" w:cs="Times New Roman"/>
          <w:color w:val="000000"/>
          <w:lang w:val="en-US" w:eastAsia="zh-CN"/>
        </w:rPr>
        <w:t>N</w:t>
      </w:r>
      <w:r w:rsidRPr="00222B77">
        <w:rPr>
          <w:rFonts w:eastAsia="Times New Roman" w:cs="Times New Roman"/>
          <w:color w:val="000000"/>
          <w:vertAlign w:val="subscript"/>
          <w:lang w:val="en-US" w:eastAsia="zh-CN"/>
        </w:rPr>
        <w:t>6</w:t>
      </w:r>
      <w:r w:rsidRPr="00303844">
        <w:rPr>
          <w:rFonts w:eastAsia="Times New Roman" w:cs="Times New Roman"/>
          <w:color w:val="000000"/>
          <w:lang w:val="en-US" w:eastAsia="zh-CN"/>
        </w:rPr>
        <w:t>O</w:t>
      </w:r>
      <w:r w:rsidRPr="00222B77">
        <w:rPr>
          <w:rFonts w:eastAsia="Times New Roman" w:cs="Times New Roman"/>
          <w:color w:val="000000"/>
          <w:vertAlign w:val="subscript"/>
          <w:lang w:val="en-US" w:eastAsia="zh-CN"/>
        </w:rPr>
        <w:t>3</w:t>
      </w:r>
      <w:r w:rsidRPr="00303844">
        <w:rPr>
          <w:rFonts w:eastAsia="Times New Roman" w:cs="Times New Roman"/>
          <w:color w:val="000000"/>
          <w:lang w:val="en-US" w:eastAsia="zh-CN"/>
        </w:rPr>
        <w:t>S</w:t>
      </w:r>
    </w:p>
    <w:p w14:paraId="378F020F"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Molecular Weight: 480.59</w:t>
      </w:r>
    </w:p>
    <w:p w14:paraId="044ED46B"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This product is in capsule form, and the strength is 50 mg, containing white or off-white powder; odorless.</w:t>
      </w:r>
      <w:r w:rsidRPr="00303844">
        <w:rPr>
          <w:rFonts w:eastAsia="Times New Roman" w:cs="Times New Roman"/>
          <w:lang w:val="en-US" w:eastAsia="zh-CN"/>
        </w:rPr>
        <w:t xml:space="preserve"> </w:t>
      </w:r>
      <w:r w:rsidRPr="00303844">
        <w:rPr>
          <w:rFonts w:eastAsia="Times New Roman" w:cs="Times New Roman"/>
          <w:color w:val="000000"/>
          <w:lang w:val="en-US" w:eastAsia="zh-CN"/>
        </w:rPr>
        <w:t>The active ingredient of this product is insoluble in water, slightly soluble in methanol and ethanol.</w:t>
      </w:r>
      <w:r w:rsidRPr="00303844">
        <w:rPr>
          <w:rFonts w:eastAsia="Times New Roman" w:cs="Times New Roman"/>
          <w:lang w:val="en-US" w:eastAsia="zh-CN"/>
        </w:rPr>
        <w:t xml:space="preserve"> </w:t>
      </w:r>
    </w:p>
    <w:p w14:paraId="5F37AD9D"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333333"/>
          <w:lang w:val="en-US" w:eastAsia="zh-CN"/>
        </w:rPr>
        <w:t xml:space="preserve">The melting point of the active ingredient is 162-170 °C. </w:t>
      </w:r>
    </w:p>
    <w:p w14:paraId="760C4855" w14:textId="77777777" w:rsidR="00DE4AFD" w:rsidRPr="00303844" w:rsidRDefault="004A4F56" w:rsidP="000C622D">
      <w:pPr>
        <w:pStyle w:val="21"/>
        <w:spacing w:before="0" w:after="0" w:line="360" w:lineRule="auto"/>
        <w:rPr>
          <w:rFonts w:eastAsia="宋体" w:cs="Times New Roman"/>
        </w:rPr>
      </w:pPr>
      <w:bookmarkStart w:id="21" w:name="_Toc184889600"/>
      <w:r w:rsidRPr="00303844">
        <w:rPr>
          <w:rFonts w:eastAsia="Times New Roman" w:cs="Times New Roman"/>
          <w:color w:val="333333"/>
        </w:rPr>
        <w:t>Preclinical Study Summary</w:t>
      </w:r>
      <w:bookmarkEnd w:id="21"/>
    </w:p>
    <w:p w14:paraId="503FDF16" w14:textId="77777777" w:rsidR="00DE4AFD" w:rsidRPr="00303844" w:rsidRDefault="004A4F56" w:rsidP="000C622D">
      <w:pPr>
        <w:pStyle w:val="30"/>
        <w:spacing w:before="0" w:after="0" w:line="360" w:lineRule="auto"/>
        <w:rPr>
          <w:rFonts w:cs="Times New Roman"/>
        </w:rPr>
      </w:pPr>
      <w:bookmarkStart w:id="22" w:name="_Toc184889601"/>
      <w:r w:rsidRPr="00303844">
        <w:rPr>
          <w:rFonts w:eastAsia="Times New Roman" w:cs="Times New Roman"/>
          <w:color w:val="333333"/>
        </w:rPr>
        <w:t>Preclinical Pharmacodynamic Studies</w:t>
      </w:r>
      <w:bookmarkEnd w:id="22"/>
    </w:p>
    <w:p w14:paraId="3D5E32B9"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 xml:space="preserve">The study results on the inhibitory activity of </w:t>
      </w:r>
      <w:proofErr w:type="spellStart"/>
      <w:r w:rsidRPr="00303844">
        <w:rPr>
          <w:rFonts w:eastAsia="Times New Roman" w:cs="Times New Roman"/>
          <w:color w:val="000000"/>
          <w:lang w:val="en-US" w:eastAsia="zh-CN"/>
        </w:rPr>
        <w:t>surufatinib</w:t>
      </w:r>
      <w:proofErr w:type="spellEnd"/>
      <w:r w:rsidRPr="00303844">
        <w:rPr>
          <w:rFonts w:eastAsia="Times New Roman" w:cs="Times New Roman"/>
          <w:color w:val="000000"/>
          <w:lang w:val="en-US" w:eastAsia="zh-CN"/>
        </w:rPr>
        <w:t xml:space="preserve"> against 67 kinases showed that </w:t>
      </w:r>
      <w:proofErr w:type="spellStart"/>
      <w:r w:rsidRPr="00303844">
        <w:rPr>
          <w:rFonts w:eastAsia="Times New Roman" w:cs="Times New Roman"/>
          <w:color w:val="000000"/>
          <w:lang w:val="en-US" w:eastAsia="zh-CN"/>
        </w:rPr>
        <w:t>surufatinib</w:t>
      </w:r>
      <w:proofErr w:type="spellEnd"/>
      <w:r w:rsidRPr="00303844">
        <w:rPr>
          <w:rFonts w:eastAsia="Times New Roman" w:cs="Times New Roman"/>
          <w:color w:val="000000"/>
          <w:lang w:val="en-US" w:eastAsia="zh-CN"/>
        </w:rPr>
        <w:t xml:space="preserve"> had strong inhibitory effects on tumor angiogenesis kinases VEGFR1, VEGFR2, VEGFR3, FGFR1, and CSF1R, with half-maximal inhibitory concentrations of 2, 24, 1, 15, and 4 </w:t>
      </w:r>
      <w:proofErr w:type="spellStart"/>
      <w:r w:rsidRPr="00303844">
        <w:rPr>
          <w:rFonts w:eastAsia="Times New Roman" w:cs="Times New Roman"/>
          <w:color w:val="000000"/>
          <w:lang w:val="en-US" w:eastAsia="zh-CN"/>
        </w:rPr>
        <w:t>nM</w:t>
      </w:r>
      <w:proofErr w:type="spellEnd"/>
      <w:r w:rsidRPr="00303844">
        <w:rPr>
          <w:rFonts w:eastAsia="Times New Roman" w:cs="Times New Roman"/>
          <w:color w:val="000000"/>
          <w:lang w:val="en-US" w:eastAsia="zh-CN"/>
        </w:rPr>
        <w:t xml:space="preserve">, respectively. The inhibition against the other kinases was relatively weak, with most half-maximal inhibitory concentrations greater than 100 </w:t>
      </w:r>
      <w:proofErr w:type="spellStart"/>
      <w:r w:rsidRPr="00303844">
        <w:rPr>
          <w:rFonts w:eastAsia="Times New Roman" w:cs="Times New Roman"/>
          <w:color w:val="000000"/>
          <w:lang w:val="en-US" w:eastAsia="zh-CN"/>
        </w:rPr>
        <w:t>nM</w:t>
      </w:r>
      <w:proofErr w:type="spellEnd"/>
      <w:r w:rsidRPr="00303844">
        <w:rPr>
          <w:rFonts w:eastAsia="Times New Roman" w:cs="Times New Roman"/>
          <w:color w:val="000000"/>
          <w:lang w:val="en-US" w:eastAsia="zh-CN"/>
        </w:rPr>
        <w:t>, demonstrating good selectivity.</w:t>
      </w:r>
      <w:r w:rsidRPr="00303844">
        <w:rPr>
          <w:rFonts w:eastAsia="Times New Roman" w:cs="Times New Roman"/>
          <w:lang w:val="en-US" w:eastAsia="zh-CN"/>
        </w:rPr>
        <w:t xml:space="preserve"> </w:t>
      </w:r>
    </w:p>
    <w:p w14:paraId="61CCB3FA"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 xml:space="preserve">At the cellular level, </w:t>
      </w:r>
      <w:proofErr w:type="spellStart"/>
      <w:r w:rsidRPr="00303844">
        <w:rPr>
          <w:rFonts w:eastAsia="Times New Roman" w:cs="Times New Roman"/>
          <w:color w:val="000000"/>
          <w:lang w:val="en-US" w:eastAsia="zh-CN"/>
        </w:rPr>
        <w:t>surufatinib</w:t>
      </w:r>
      <w:proofErr w:type="spellEnd"/>
      <w:r w:rsidRPr="00303844">
        <w:rPr>
          <w:rFonts w:eastAsia="Times New Roman" w:cs="Times New Roman"/>
          <w:color w:val="000000"/>
          <w:lang w:val="en-US" w:eastAsia="zh-CN"/>
        </w:rPr>
        <w:t xml:space="preserve"> significantly inhibited the phosphorylation of VEGFR2 after VEGF stimulation and the proliferation of VEGF-dependent HUVEC cells, with half-maximal inhibitory concentrations of 3 </w:t>
      </w:r>
      <w:proofErr w:type="spellStart"/>
      <w:r w:rsidRPr="00303844">
        <w:rPr>
          <w:rFonts w:eastAsia="Times New Roman" w:cs="Times New Roman"/>
          <w:color w:val="000000"/>
          <w:lang w:val="en-US" w:eastAsia="zh-CN"/>
        </w:rPr>
        <w:t>nM</w:t>
      </w:r>
      <w:proofErr w:type="spellEnd"/>
      <w:r w:rsidRPr="00303844">
        <w:rPr>
          <w:rFonts w:eastAsia="Times New Roman" w:cs="Times New Roman"/>
          <w:color w:val="000000"/>
          <w:lang w:val="en-US" w:eastAsia="zh-CN"/>
        </w:rPr>
        <w:t xml:space="preserve"> and 16 </w:t>
      </w:r>
      <w:proofErr w:type="spellStart"/>
      <w:r w:rsidRPr="00303844">
        <w:rPr>
          <w:rFonts w:eastAsia="Times New Roman" w:cs="Times New Roman"/>
          <w:color w:val="000000"/>
          <w:lang w:val="en-US" w:eastAsia="zh-CN"/>
        </w:rPr>
        <w:t>nM</w:t>
      </w:r>
      <w:proofErr w:type="spellEnd"/>
      <w:r w:rsidRPr="00303844">
        <w:rPr>
          <w:rFonts w:eastAsia="Times New Roman" w:cs="Times New Roman"/>
          <w:color w:val="000000"/>
          <w:lang w:val="en-US" w:eastAsia="zh-CN"/>
        </w:rPr>
        <w:t xml:space="preserve">, respectively; whereas its direct cytotoxicity </w:t>
      </w:r>
      <w:r w:rsidRPr="00303844">
        <w:rPr>
          <w:rFonts w:eastAsia="Times New Roman" w:cs="Times New Roman"/>
          <w:color w:val="000000"/>
          <w:lang w:val="en-US" w:eastAsia="zh-CN"/>
        </w:rPr>
        <w:lastRenderedPageBreak/>
        <w:t xml:space="preserve">toward HUVEC cells and other tested human tumor cells was relatively weak, with half-maximal inhibitory concentrations all greater than 5000 </w:t>
      </w:r>
      <w:proofErr w:type="spellStart"/>
      <w:r w:rsidRPr="00303844">
        <w:rPr>
          <w:rFonts w:eastAsia="Times New Roman" w:cs="Times New Roman"/>
          <w:color w:val="000000"/>
          <w:lang w:val="en-US" w:eastAsia="zh-CN"/>
        </w:rPr>
        <w:t>nM.</w:t>
      </w:r>
      <w:proofErr w:type="spellEnd"/>
      <w:r w:rsidRPr="00303844">
        <w:rPr>
          <w:rFonts w:eastAsia="Times New Roman" w:cs="Times New Roman"/>
          <w:lang w:val="en-US" w:eastAsia="zh-CN"/>
        </w:rPr>
        <w:t xml:space="preserve"> </w:t>
      </w:r>
      <w:r w:rsidRPr="00303844">
        <w:rPr>
          <w:rFonts w:eastAsia="Times New Roman" w:cs="Times New Roman"/>
          <w:color w:val="000000"/>
          <w:lang w:val="en-US" w:eastAsia="zh-CN"/>
        </w:rPr>
        <w:t xml:space="preserve">At the ex vivo organ tissue level, </w:t>
      </w:r>
      <w:proofErr w:type="spellStart"/>
      <w:r w:rsidRPr="00303844">
        <w:rPr>
          <w:rFonts w:eastAsia="Times New Roman" w:cs="Times New Roman"/>
          <w:color w:val="000000"/>
          <w:lang w:val="en-US" w:eastAsia="zh-CN"/>
        </w:rPr>
        <w:t>surufatinib</w:t>
      </w:r>
      <w:proofErr w:type="spellEnd"/>
      <w:r w:rsidRPr="00303844">
        <w:rPr>
          <w:rFonts w:eastAsia="Times New Roman" w:cs="Times New Roman"/>
          <w:color w:val="000000"/>
          <w:lang w:val="en-US" w:eastAsia="zh-CN"/>
        </w:rPr>
        <w:t xml:space="preserve"> also inhibited the formation of </w:t>
      </w:r>
      <w:proofErr w:type="spellStart"/>
      <w:r w:rsidRPr="00303844">
        <w:rPr>
          <w:rFonts w:eastAsia="Times New Roman" w:cs="Times New Roman"/>
          <w:color w:val="000000"/>
          <w:lang w:val="en-US" w:eastAsia="zh-CN"/>
        </w:rPr>
        <w:t>microvessels</w:t>
      </w:r>
      <w:proofErr w:type="spellEnd"/>
      <w:r w:rsidRPr="00303844">
        <w:rPr>
          <w:rFonts w:eastAsia="Times New Roman" w:cs="Times New Roman"/>
          <w:color w:val="000000"/>
          <w:lang w:val="en-US" w:eastAsia="zh-CN"/>
        </w:rPr>
        <w:t xml:space="preserve"> in rat aortic ring assays, with an IC50 of 192 </w:t>
      </w:r>
      <w:proofErr w:type="spellStart"/>
      <w:r w:rsidRPr="00303844">
        <w:rPr>
          <w:rFonts w:eastAsia="Times New Roman" w:cs="Times New Roman"/>
          <w:color w:val="000000"/>
          <w:lang w:val="en-US" w:eastAsia="zh-CN"/>
        </w:rPr>
        <w:t>nM.</w:t>
      </w:r>
      <w:proofErr w:type="spellEnd"/>
      <w:r w:rsidRPr="00303844">
        <w:rPr>
          <w:rFonts w:eastAsia="Times New Roman" w:cs="Times New Roman"/>
          <w:lang w:val="en-US" w:eastAsia="zh-CN"/>
        </w:rPr>
        <w:t xml:space="preserve"> </w:t>
      </w:r>
    </w:p>
    <w:p w14:paraId="052176AF"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 xml:space="preserve">In vivo studies have shown that </w:t>
      </w:r>
      <w:proofErr w:type="spellStart"/>
      <w:r w:rsidRPr="00303844">
        <w:rPr>
          <w:rFonts w:eastAsia="Times New Roman" w:cs="Times New Roman"/>
          <w:color w:val="000000"/>
          <w:lang w:val="en-US" w:eastAsia="zh-CN"/>
        </w:rPr>
        <w:t>surufatinib</w:t>
      </w:r>
      <w:proofErr w:type="spellEnd"/>
      <w:r w:rsidRPr="00303844">
        <w:rPr>
          <w:rFonts w:eastAsia="Times New Roman" w:cs="Times New Roman"/>
          <w:color w:val="000000"/>
          <w:lang w:val="en-US" w:eastAsia="zh-CN"/>
        </w:rPr>
        <w:t xml:space="preserve"> can inhibit VEGFR2 phosphorylation in the vasculature of pulmonary tissue stimulated by VEGF with dose dependence. Plasma concentrations greater than 181 ng/mL can completely inhibit VEGFR2 phosphorylation, and the inhibitory effect of 20 mg/kg can last for 4 hours. Therefore, a twice-daily dosing regimen was adopted in the pharmacodynamic studies of tumor inhibition in nude mice.</w:t>
      </w:r>
      <w:r w:rsidRPr="00303844">
        <w:rPr>
          <w:rFonts w:eastAsia="Times New Roman" w:cs="Times New Roman"/>
          <w:lang w:val="en-US" w:eastAsia="zh-CN"/>
        </w:rPr>
        <w:t xml:space="preserve"> </w:t>
      </w:r>
    </w:p>
    <w:p w14:paraId="6FD2CA86" w14:textId="6C8ACCF4"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 xml:space="preserve">In subcutaneous tumor transplant models in nude mice of human gastric cancer BGC-823, colon cancer HT-29, non-small cell lung cancer H460 and renal cancer Caki-1, </w:t>
      </w:r>
      <w:proofErr w:type="spellStart"/>
      <w:r w:rsidRPr="00303844">
        <w:rPr>
          <w:rFonts w:eastAsia="Times New Roman" w:cs="Times New Roman"/>
          <w:color w:val="000000"/>
          <w:lang w:val="en-US" w:eastAsia="zh-CN"/>
        </w:rPr>
        <w:t>surufatinib</w:t>
      </w:r>
      <w:proofErr w:type="spellEnd"/>
      <w:r w:rsidRPr="00303844">
        <w:rPr>
          <w:rFonts w:eastAsia="Times New Roman" w:cs="Times New Roman"/>
          <w:color w:val="000000"/>
          <w:lang w:val="en-US" w:eastAsia="zh-CN"/>
        </w:rPr>
        <w:t xml:space="preserve"> can inhibit tumor growth with dose dependence, with a minimum effective dose of 20 mg/kg administered twice daily.</w:t>
      </w:r>
      <w:r w:rsidRPr="00303844">
        <w:rPr>
          <w:rFonts w:eastAsia="Times New Roman" w:cs="Times New Roman"/>
          <w:lang w:val="en-US" w:eastAsia="zh-CN"/>
        </w:rPr>
        <w:t xml:space="preserve"> </w:t>
      </w:r>
      <w:r w:rsidRPr="00303844">
        <w:rPr>
          <w:rFonts w:eastAsia="Times New Roman" w:cs="Times New Roman"/>
          <w:color w:val="000000"/>
          <w:lang w:val="en-US" w:eastAsia="zh-CN"/>
        </w:rPr>
        <w:t xml:space="preserve">Pharmacokinetic and pharmacodynamic correlation studies also indicated that the tumor inhibitory effect of </w:t>
      </w:r>
      <w:proofErr w:type="spellStart"/>
      <w:r w:rsidRPr="00303844">
        <w:rPr>
          <w:rFonts w:eastAsia="Times New Roman" w:cs="Times New Roman"/>
          <w:color w:val="000000"/>
          <w:lang w:val="en-US" w:eastAsia="zh-CN"/>
        </w:rPr>
        <w:t>surufatinib</w:t>
      </w:r>
      <w:proofErr w:type="spellEnd"/>
      <w:r w:rsidRPr="00303844">
        <w:rPr>
          <w:rFonts w:eastAsia="Times New Roman" w:cs="Times New Roman"/>
          <w:color w:val="000000"/>
          <w:lang w:val="en-US" w:eastAsia="zh-CN"/>
        </w:rPr>
        <w:t xml:space="preserve"> increased with increased drug exposure.</w:t>
      </w:r>
      <w:r w:rsidRPr="00303844">
        <w:rPr>
          <w:rFonts w:eastAsia="Times New Roman" w:cs="Times New Roman"/>
          <w:lang w:val="en-US" w:eastAsia="zh-CN"/>
        </w:rPr>
        <w:t xml:space="preserve"> </w:t>
      </w:r>
      <w:r w:rsidRPr="00303844">
        <w:rPr>
          <w:rFonts w:eastAsia="Times New Roman" w:cs="Times New Roman"/>
          <w:color w:val="000000"/>
          <w:lang w:val="en-US" w:eastAsia="zh-CN"/>
        </w:rPr>
        <w:t>In the most sensitive tumor strain, gastric cancer BGC-823, at high doses, most animals exhibited a decrease in tumor volume (</w:t>
      </w:r>
      <w:r w:rsidR="00C6522E" w:rsidRPr="00303844">
        <w:rPr>
          <w:rFonts w:eastAsia="Times New Roman" w:cs="Times New Roman"/>
          <w:color w:val="000000"/>
          <w:lang w:val="en-US" w:eastAsia="zh-CN"/>
        </w:rPr>
        <w:t>a</w:t>
      </w:r>
      <w:r w:rsidRPr="00303844">
        <w:rPr>
          <w:rFonts w:eastAsia="Times New Roman" w:cs="Times New Roman"/>
          <w:color w:val="000000"/>
          <w:lang w:val="en-US" w:eastAsia="zh-CN"/>
        </w:rPr>
        <w:t xml:space="preserve"> mean volume reduction of 20% compared to the initial measurement).</w:t>
      </w:r>
      <w:r w:rsidRPr="00303844">
        <w:rPr>
          <w:rFonts w:eastAsia="Times New Roman" w:cs="Times New Roman"/>
          <w:lang w:val="en-US" w:eastAsia="zh-CN"/>
        </w:rPr>
        <w:t xml:space="preserve"> </w:t>
      </w:r>
      <w:r w:rsidRPr="00303844">
        <w:rPr>
          <w:rFonts w:eastAsia="Times New Roman" w:cs="Times New Roman"/>
          <w:color w:val="000000"/>
          <w:lang w:val="en-US" w:eastAsia="zh-CN"/>
        </w:rPr>
        <w:t xml:space="preserve">In the inhibited tumor tissues, </w:t>
      </w:r>
      <w:proofErr w:type="spellStart"/>
      <w:r w:rsidRPr="00303844">
        <w:rPr>
          <w:rFonts w:eastAsia="Times New Roman" w:cs="Times New Roman"/>
          <w:color w:val="000000"/>
          <w:lang w:val="en-US" w:eastAsia="zh-CN"/>
        </w:rPr>
        <w:t>surufatinib</w:t>
      </w:r>
      <w:proofErr w:type="spellEnd"/>
      <w:r w:rsidRPr="00303844">
        <w:rPr>
          <w:rFonts w:eastAsia="Times New Roman" w:cs="Times New Roman"/>
          <w:color w:val="000000"/>
          <w:lang w:val="en-US" w:eastAsia="zh-CN"/>
        </w:rPr>
        <w:t xml:space="preserve"> reduced the area of CD31-positive cells, which were vascular endothelium-specific surface markers, with dose dependence, suggesting that angiogenesis in tumor tissues was inhibited.</w:t>
      </w:r>
      <w:r w:rsidRPr="00303844">
        <w:rPr>
          <w:rFonts w:eastAsia="Times New Roman" w:cs="Times New Roman"/>
          <w:lang w:val="en-US" w:eastAsia="zh-CN"/>
        </w:rPr>
        <w:t xml:space="preserve"> </w:t>
      </w:r>
    </w:p>
    <w:p w14:paraId="04B0644E"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 xml:space="preserve">These studies suggested that </w:t>
      </w:r>
      <w:proofErr w:type="spellStart"/>
      <w:r w:rsidRPr="00303844">
        <w:rPr>
          <w:rFonts w:eastAsia="Times New Roman" w:cs="Times New Roman"/>
          <w:color w:val="000000"/>
          <w:lang w:val="en-US" w:eastAsia="zh-CN"/>
        </w:rPr>
        <w:t>surufatinib</w:t>
      </w:r>
      <w:proofErr w:type="spellEnd"/>
      <w:r w:rsidRPr="00303844">
        <w:rPr>
          <w:rFonts w:eastAsia="Times New Roman" w:cs="Times New Roman"/>
          <w:color w:val="000000"/>
          <w:lang w:val="en-US" w:eastAsia="zh-CN"/>
        </w:rPr>
        <w:t xml:space="preserve"> was promising for clinical use in the treatment of various solid tumors.</w:t>
      </w:r>
      <w:r w:rsidRPr="00303844">
        <w:rPr>
          <w:rFonts w:eastAsia="Times New Roman" w:cs="Times New Roman"/>
          <w:lang w:val="en-US" w:eastAsia="zh-CN"/>
        </w:rPr>
        <w:t xml:space="preserve"> </w:t>
      </w:r>
    </w:p>
    <w:p w14:paraId="7E04ADEB" w14:textId="77777777" w:rsidR="00DE4AFD" w:rsidRPr="00303844" w:rsidRDefault="004A4F56" w:rsidP="000C622D">
      <w:pPr>
        <w:pStyle w:val="30"/>
        <w:spacing w:before="0" w:after="0" w:line="360" w:lineRule="auto"/>
        <w:rPr>
          <w:rFonts w:cs="Times New Roman"/>
        </w:rPr>
      </w:pPr>
      <w:bookmarkStart w:id="23" w:name="_Toc184889602"/>
      <w:r w:rsidRPr="00303844">
        <w:rPr>
          <w:rFonts w:eastAsia="Times New Roman" w:cs="Times New Roman"/>
        </w:rPr>
        <w:t>Preclinical Toxicology Studies</w:t>
      </w:r>
      <w:bookmarkEnd w:id="23"/>
    </w:p>
    <w:p w14:paraId="1491094F" w14:textId="77777777" w:rsidR="00DE4AFD" w:rsidRPr="00303844" w:rsidRDefault="004A4F56" w:rsidP="000C622D">
      <w:pPr>
        <w:pStyle w:val="HR"/>
        <w:spacing w:after="0"/>
        <w:ind w:firstLineChars="0" w:firstLine="0"/>
        <w:jc w:val="both"/>
        <w:rPr>
          <w:rFonts w:cs="Times New Roman"/>
          <w:iCs/>
          <w:color w:val="000000" w:themeColor="text1"/>
          <w:lang w:eastAsia="zh-CN"/>
        </w:rPr>
      </w:pPr>
      <w:r w:rsidRPr="00303844">
        <w:rPr>
          <w:rFonts w:eastAsia="Times New Roman" w:cs="Times New Roman"/>
          <w:iCs/>
          <w:color w:val="000000" w:themeColor="text1"/>
          <w:lang w:eastAsia="zh-CN"/>
        </w:rPr>
        <w:t>1.3.2.1</w:t>
      </w:r>
      <w:r w:rsidRPr="00303844">
        <w:rPr>
          <w:rFonts w:cs="Times New Roman"/>
          <w:iCs/>
          <w:color w:val="000000" w:themeColor="text1"/>
          <w:lang w:eastAsia="zh-CN"/>
        </w:rPr>
        <w:tab/>
      </w:r>
      <w:r w:rsidRPr="00303844">
        <w:rPr>
          <w:rFonts w:eastAsia="Times New Roman" w:cs="Times New Roman"/>
          <w:color w:val="000000"/>
          <w:lang w:eastAsia="zh-CN"/>
        </w:rPr>
        <w:t>Safety Pharmacology</w:t>
      </w:r>
    </w:p>
    <w:p w14:paraId="1B1ED5C5"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 xml:space="preserve">In </w:t>
      </w:r>
      <w:proofErr w:type="spellStart"/>
      <w:r w:rsidRPr="00303844">
        <w:rPr>
          <w:rFonts w:eastAsia="Times New Roman" w:cs="Times New Roman"/>
          <w:color w:val="000000"/>
          <w:lang w:val="en-US" w:eastAsia="zh-CN"/>
        </w:rPr>
        <w:t>hERG</w:t>
      </w:r>
      <w:proofErr w:type="spellEnd"/>
      <w:r w:rsidRPr="00303844">
        <w:rPr>
          <w:rFonts w:eastAsia="Times New Roman" w:cs="Times New Roman"/>
          <w:color w:val="000000"/>
          <w:lang w:val="en-US" w:eastAsia="zh-CN"/>
        </w:rPr>
        <w:t xml:space="preserve"> assays, five points were tested at concentrations ranging from 0.003 to 30 </w:t>
      </w:r>
      <w:r w:rsidRPr="00303844">
        <w:rPr>
          <w:rFonts w:eastAsia="Times New Roman" w:cs="Times New Roman"/>
          <w:color w:val="000000"/>
          <w:lang w:eastAsia="zh-CN"/>
        </w:rPr>
        <w:t>μ</w:t>
      </w:r>
      <w:r w:rsidRPr="00303844">
        <w:rPr>
          <w:rFonts w:eastAsia="Times New Roman" w:cs="Times New Roman"/>
          <w:color w:val="000000"/>
          <w:lang w:val="en-US" w:eastAsia="zh-CN"/>
        </w:rPr>
        <w:t>M, with 2-3 cells per point. The results showed that the IC</w:t>
      </w:r>
      <w:r w:rsidRPr="00303844">
        <w:rPr>
          <w:rFonts w:eastAsia="Times New Roman" w:cs="Times New Roman"/>
          <w:color w:val="000000"/>
          <w:vertAlign w:val="subscript"/>
          <w:lang w:val="en-US" w:eastAsia="zh-CN"/>
        </w:rPr>
        <w:t>50</w:t>
      </w:r>
      <w:r w:rsidRPr="00303844">
        <w:rPr>
          <w:rFonts w:eastAsia="Times New Roman" w:cs="Times New Roman"/>
          <w:color w:val="000000"/>
          <w:lang w:val="en-US" w:eastAsia="zh-CN"/>
        </w:rPr>
        <w:t xml:space="preserve"> of </w:t>
      </w:r>
      <w:proofErr w:type="spellStart"/>
      <w:r w:rsidRPr="00303844">
        <w:rPr>
          <w:rFonts w:eastAsia="Times New Roman" w:cs="Times New Roman"/>
          <w:color w:val="000000"/>
          <w:lang w:val="en-US" w:eastAsia="zh-CN"/>
        </w:rPr>
        <w:t>surufatinib</w:t>
      </w:r>
      <w:proofErr w:type="spellEnd"/>
      <w:r w:rsidRPr="00303844">
        <w:rPr>
          <w:rFonts w:eastAsia="Times New Roman" w:cs="Times New Roman"/>
          <w:color w:val="000000"/>
          <w:lang w:val="en-US" w:eastAsia="zh-CN"/>
        </w:rPr>
        <w:t xml:space="preserve"> for inhibition of the </w:t>
      </w:r>
      <w:proofErr w:type="spellStart"/>
      <w:r w:rsidRPr="00303844">
        <w:rPr>
          <w:rFonts w:eastAsia="Times New Roman" w:cs="Times New Roman"/>
          <w:color w:val="000000"/>
          <w:lang w:val="en-US" w:eastAsia="zh-CN"/>
        </w:rPr>
        <w:t>hERG</w:t>
      </w:r>
      <w:proofErr w:type="spellEnd"/>
      <w:r w:rsidRPr="00303844">
        <w:rPr>
          <w:rFonts w:eastAsia="Times New Roman" w:cs="Times New Roman"/>
          <w:color w:val="000000"/>
          <w:lang w:val="en-US" w:eastAsia="zh-CN"/>
        </w:rPr>
        <w:t xml:space="preserve"> channel was approximately 4.9-6.8 </w:t>
      </w:r>
      <w:r w:rsidRPr="00303844">
        <w:rPr>
          <w:rFonts w:eastAsia="Times New Roman" w:cs="Times New Roman"/>
          <w:color w:val="000000"/>
          <w:lang w:eastAsia="zh-CN"/>
        </w:rPr>
        <w:t>μ</w:t>
      </w:r>
      <w:r w:rsidRPr="00303844">
        <w:rPr>
          <w:rFonts w:eastAsia="Times New Roman" w:cs="Times New Roman"/>
          <w:color w:val="000000"/>
          <w:lang w:val="en-US" w:eastAsia="zh-CN"/>
        </w:rPr>
        <w:t xml:space="preserve">M, indicating no significant inhibitory effect on the </w:t>
      </w:r>
      <w:proofErr w:type="spellStart"/>
      <w:r w:rsidRPr="00303844">
        <w:rPr>
          <w:rFonts w:eastAsia="Times New Roman" w:cs="Times New Roman"/>
          <w:color w:val="000000"/>
          <w:lang w:val="en-US" w:eastAsia="zh-CN"/>
        </w:rPr>
        <w:t>hERG</w:t>
      </w:r>
      <w:proofErr w:type="spellEnd"/>
      <w:r w:rsidRPr="00303844">
        <w:rPr>
          <w:rFonts w:eastAsia="Times New Roman" w:cs="Times New Roman"/>
          <w:color w:val="000000"/>
          <w:lang w:val="en-US" w:eastAsia="zh-CN"/>
        </w:rPr>
        <w:t xml:space="preserve"> channel.</w:t>
      </w:r>
      <w:r w:rsidRPr="00303844">
        <w:rPr>
          <w:rFonts w:eastAsia="Times New Roman" w:cs="Times New Roman"/>
          <w:lang w:val="en-US" w:eastAsia="zh-CN"/>
        </w:rPr>
        <w:t xml:space="preserve"> </w:t>
      </w:r>
    </w:p>
    <w:p w14:paraId="08FBB7A4"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lastRenderedPageBreak/>
        <w:t xml:space="preserve">Safety pharmacology studies found that </w:t>
      </w:r>
      <w:proofErr w:type="spellStart"/>
      <w:r w:rsidRPr="00303844">
        <w:rPr>
          <w:rFonts w:eastAsia="Times New Roman" w:cs="Times New Roman"/>
          <w:color w:val="000000"/>
          <w:lang w:val="en-US" w:eastAsia="zh-CN"/>
        </w:rPr>
        <w:t>surufatinib</w:t>
      </w:r>
      <w:proofErr w:type="spellEnd"/>
      <w:r w:rsidRPr="00303844">
        <w:rPr>
          <w:rFonts w:eastAsia="Times New Roman" w:cs="Times New Roman"/>
          <w:color w:val="000000"/>
          <w:lang w:val="en-US" w:eastAsia="zh-CN"/>
        </w:rPr>
        <w:t xml:space="preserve"> had no significant effects on the respiratory and cardiovascular systems of anesthetized Beagle dogs; it also had no impact on motor coordination and behavioral activities in ICR mice.</w:t>
      </w:r>
      <w:r w:rsidRPr="00303844">
        <w:rPr>
          <w:rFonts w:eastAsia="Times New Roman" w:cs="Times New Roman"/>
          <w:lang w:val="en-US" w:eastAsia="zh-CN"/>
        </w:rPr>
        <w:t xml:space="preserve"> </w:t>
      </w:r>
    </w:p>
    <w:p w14:paraId="3BC0D696" w14:textId="77777777" w:rsidR="00DE4AFD" w:rsidRPr="00303844" w:rsidRDefault="004A4F56" w:rsidP="000C622D">
      <w:pPr>
        <w:pStyle w:val="HR"/>
        <w:spacing w:after="0"/>
        <w:ind w:firstLineChars="0" w:firstLine="0"/>
        <w:jc w:val="both"/>
        <w:rPr>
          <w:rFonts w:cs="Times New Roman"/>
          <w:iCs/>
          <w:color w:val="000000" w:themeColor="text1"/>
          <w:lang w:val="en-US" w:eastAsia="zh-CN"/>
        </w:rPr>
      </w:pPr>
      <w:r w:rsidRPr="00303844">
        <w:rPr>
          <w:rFonts w:eastAsia="Times New Roman" w:cs="Times New Roman"/>
          <w:iCs/>
          <w:color w:val="000000" w:themeColor="text1"/>
          <w:lang w:val="en-US" w:eastAsia="zh-CN"/>
        </w:rPr>
        <w:t>1.3.2.2</w:t>
      </w:r>
      <w:r w:rsidRPr="00303844">
        <w:rPr>
          <w:rFonts w:cs="Times New Roman"/>
          <w:iCs/>
          <w:color w:val="000000" w:themeColor="text1"/>
          <w:lang w:val="en-US" w:eastAsia="zh-CN"/>
        </w:rPr>
        <w:tab/>
      </w:r>
      <w:r w:rsidRPr="00303844">
        <w:rPr>
          <w:rFonts w:eastAsia="Times New Roman" w:cs="Times New Roman"/>
          <w:color w:val="000000"/>
          <w:lang w:val="en-US" w:eastAsia="zh-CN"/>
        </w:rPr>
        <w:t>Acute Toxicity Study</w:t>
      </w:r>
    </w:p>
    <w:p w14:paraId="6FF50152"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An acute toxicity study in rats was conducted according to the "Fixed Dose Method"; 20 SD rats were randomly divided into 2 groups of 10 rats each, with equal numbers of males and females.</w:t>
      </w:r>
      <w:r w:rsidRPr="00303844">
        <w:rPr>
          <w:rFonts w:eastAsia="Times New Roman" w:cs="Times New Roman"/>
          <w:lang w:val="en-US" w:eastAsia="zh-CN"/>
        </w:rPr>
        <w:t xml:space="preserve"> </w:t>
      </w:r>
      <w:proofErr w:type="spellStart"/>
      <w:r w:rsidRPr="00303844">
        <w:rPr>
          <w:rFonts w:eastAsia="Times New Roman" w:cs="Times New Roman"/>
          <w:color w:val="000000"/>
          <w:lang w:val="en-US" w:eastAsia="zh-CN"/>
        </w:rPr>
        <w:t>Surufatinib</w:t>
      </w:r>
      <w:proofErr w:type="spellEnd"/>
      <w:r w:rsidRPr="00303844">
        <w:rPr>
          <w:rFonts w:eastAsia="Times New Roman" w:cs="Times New Roman"/>
          <w:color w:val="000000"/>
          <w:lang w:val="en-US" w:eastAsia="zh-CN"/>
        </w:rPr>
        <w:t xml:space="preserve"> was administered orally once at doses of 0 (0.5% CMC) and 2000 mg/kg.</w:t>
      </w:r>
      <w:r w:rsidRPr="00303844">
        <w:rPr>
          <w:rFonts w:eastAsia="Times New Roman" w:cs="Times New Roman"/>
          <w:lang w:val="en-US" w:eastAsia="zh-CN"/>
        </w:rPr>
        <w:t xml:space="preserve"> </w:t>
      </w:r>
      <w:r w:rsidRPr="00303844">
        <w:rPr>
          <w:rFonts w:eastAsia="Times New Roman" w:cs="Times New Roman"/>
          <w:color w:val="000000"/>
          <w:lang w:val="en-US" w:eastAsia="zh-CN"/>
        </w:rPr>
        <w:t xml:space="preserve">The main toxic symptoms were </w:t>
      </w:r>
      <w:proofErr w:type="spellStart"/>
      <w:r w:rsidRPr="00303844">
        <w:rPr>
          <w:rFonts w:eastAsia="Times New Roman" w:cs="Times New Roman"/>
          <w:color w:val="000000"/>
          <w:lang w:val="en-US" w:eastAsia="zh-CN"/>
        </w:rPr>
        <w:t>diarrhoea</w:t>
      </w:r>
      <w:proofErr w:type="spellEnd"/>
      <w:r w:rsidRPr="00303844">
        <w:rPr>
          <w:rFonts w:eastAsia="Times New Roman" w:cs="Times New Roman"/>
          <w:color w:val="000000"/>
          <w:lang w:val="en-US" w:eastAsia="zh-CN"/>
        </w:rPr>
        <w:t xml:space="preserve"> and slow weight gain in male rats; no deaths occurred, and no abnormalities were observed upon gross necropsy. The maximum tolerated dose (MTD) was 2000 mg/kg.</w:t>
      </w:r>
      <w:r w:rsidRPr="00303844">
        <w:rPr>
          <w:rFonts w:eastAsia="Times New Roman" w:cs="Times New Roman"/>
          <w:lang w:val="en-US" w:eastAsia="zh-CN"/>
        </w:rPr>
        <w:t xml:space="preserve"> </w:t>
      </w:r>
    </w:p>
    <w:p w14:paraId="254095E9"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 xml:space="preserve">An acute toxicity study was conducted in 2 Beagle dogs (1 male and 1 female), with a single oral administration of </w:t>
      </w:r>
      <w:proofErr w:type="spellStart"/>
      <w:r w:rsidRPr="00303844">
        <w:rPr>
          <w:rFonts w:eastAsia="Times New Roman" w:cs="Times New Roman"/>
          <w:color w:val="000000"/>
          <w:lang w:val="en-US" w:eastAsia="zh-CN"/>
        </w:rPr>
        <w:t>surufatinib</w:t>
      </w:r>
      <w:proofErr w:type="spellEnd"/>
      <w:r w:rsidRPr="00303844">
        <w:rPr>
          <w:rFonts w:eastAsia="Times New Roman" w:cs="Times New Roman"/>
          <w:color w:val="000000"/>
          <w:lang w:val="en-US" w:eastAsia="zh-CN"/>
        </w:rPr>
        <w:t xml:space="preserve"> </w:t>
      </w:r>
    </w:p>
    <w:p w14:paraId="39C3CD82"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at a dose of 2000 mg/kg.</w:t>
      </w:r>
      <w:r w:rsidRPr="00303844">
        <w:rPr>
          <w:rFonts w:eastAsia="Times New Roman" w:cs="Times New Roman"/>
          <w:lang w:val="en-US" w:eastAsia="zh-CN"/>
        </w:rPr>
        <w:t xml:space="preserve"> </w:t>
      </w:r>
      <w:r w:rsidRPr="00303844">
        <w:rPr>
          <w:rFonts w:eastAsia="Times New Roman" w:cs="Times New Roman"/>
          <w:color w:val="000000"/>
          <w:lang w:val="en-US" w:eastAsia="zh-CN"/>
        </w:rPr>
        <w:t>Animals were closely observed for 6 hours post-dosing, followed by continuous observation for 14 days.</w:t>
      </w:r>
      <w:r w:rsidRPr="00303844">
        <w:rPr>
          <w:rFonts w:eastAsia="Times New Roman" w:cs="Times New Roman"/>
          <w:lang w:val="en-US" w:eastAsia="zh-CN"/>
        </w:rPr>
        <w:t xml:space="preserve"> </w:t>
      </w:r>
      <w:r w:rsidRPr="00303844">
        <w:rPr>
          <w:rFonts w:eastAsia="Times New Roman" w:cs="Times New Roman"/>
          <w:color w:val="000000"/>
          <w:lang w:val="en-US" w:eastAsia="zh-CN"/>
        </w:rPr>
        <w:t xml:space="preserve">The main toxic reactions were </w:t>
      </w:r>
      <w:proofErr w:type="spellStart"/>
      <w:r w:rsidRPr="00303844">
        <w:rPr>
          <w:rFonts w:eastAsia="Times New Roman" w:cs="Times New Roman"/>
          <w:color w:val="000000"/>
          <w:lang w:val="en-US" w:eastAsia="zh-CN"/>
        </w:rPr>
        <w:t>diarrhoea</w:t>
      </w:r>
      <w:proofErr w:type="spellEnd"/>
      <w:r w:rsidRPr="00303844">
        <w:rPr>
          <w:rFonts w:eastAsia="Times New Roman" w:cs="Times New Roman"/>
          <w:color w:val="000000"/>
          <w:lang w:val="en-US" w:eastAsia="zh-CN"/>
        </w:rPr>
        <w:t>, vomiting, and reduced food intake; no deaths occurred, and no abnormalities were observed upon gross necropsy. The MTD was 2000 mg/kg.</w:t>
      </w:r>
      <w:r w:rsidRPr="00303844">
        <w:rPr>
          <w:rFonts w:eastAsia="Times New Roman" w:cs="Times New Roman"/>
          <w:lang w:val="en-US" w:eastAsia="zh-CN"/>
        </w:rPr>
        <w:t xml:space="preserve"> </w:t>
      </w:r>
    </w:p>
    <w:p w14:paraId="27AFC11B" w14:textId="77777777" w:rsidR="00DE4AFD" w:rsidRPr="00303844" w:rsidRDefault="004A4F56" w:rsidP="000C622D">
      <w:pPr>
        <w:pStyle w:val="HR"/>
        <w:spacing w:after="0"/>
        <w:ind w:firstLineChars="0" w:firstLine="0"/>
        <w:jc w:val="both"/>
        <w:rPr>
          <w:rFonts w:cs="Times New Roman"/>
          <w:iCs/>
          <w:color w:val="000000" w:themeColor="text1"/>
          <w:lang w:val="en-US" w:eastAsia="zh-CN"/>
        </w:rPr>
      </w:pPr>
      <w:r w:rsidRPr="00303844">
        <w:rPr>
          <w:rFonts w:eastAsia="Times New Roman" w:cs="Times New Roman"/>
          <w:iCs/>
          <w:color w:val="000000" w:themeColor="text1"/>
          <w:lang w:val="en-US" w:eastAsia="zh-CN"/>
        </w:rPr>
        <w:t>1.3.2.3</w:t>
      </w:r>
      <w:r w:rsidRPr="00303844">
        <w:rPr>
          <w:rFonts w:cs="Times New Roman"/>
          <w:iCs/>
          <w:color w:val="000000" w:themeColor="text1"/>
          <w:lang w:val="en-US" w:eastAsia="zh-CN"/>
        </w:rPr>
        <w:tab/>
      </w:r>
      <w:r w:rsidRPr="00303844">
        <w:rPr>
          <w:rFonts w:eastAsia="Times New Roman" w:cs="Times New Roman"/>
          <w:color w:val="000000"/>
          <w:lang w:val="en-US" w:eastAsia="zh-CN"/>
        </w:rPr>
        <w:t xml:space="preserve">A Two-Week Chronic Toxicity Study of </w:t>
      </w:r>
      <w:proofErr w:type="spellStart"/>
      <w:r w:rsidRPr="00303844">
        <w:rPr>
          <w:rFonts w:eastAsia="Times New Roman" w:cs="Times New Roman"/>
          <w:color w:val="000000"/>
          <w:lang w:val="en-US" w:eastAsia="zh-CN"/>
        </w:rPr>
        <w:t>Surufatinib</w:t>
      </w:r>
      <w:proofErr w:type="spellEnd"/>
      <w:r w:rsidRPr="00303844">
        <w:rPr>
          <w:rFonts w:eastAsia="Times New Roman" w:cs="Times New Roman"/>
          <w:color w:val="000000"/>
          <w:lang w:val="en-US" w:eastAsia="zh-CN"/>
        </w:rPr>
        <w:t xml:space="preserve"> in Rats with a Four-Week Recovery Period</w:t>
      </w:r>
    </w:p>
    <w:p w14:paraId="1C8FEA39"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 xml:space="preserve">Four dose groups of 0, 20, 60 and 120 mg/kg were set up in the chronic toxicity study in rats, with 20 animals in each main test group and 6 animals (half males and half females) in the satellite TK test group; 5/10 animals of each sex in each group were necropsied at the end of the dosing period (except 5/9 females in the 60 mg/kg group, 2/5 females and 3/3 males in the 120 mg/kg group), and the remaining animals in each group were necropsied at the end of the recovery period. The main toxicities were: the test article at doses above 60 mg/kg caused hunched posture, muzzle contamination, slowed or even decreased weight gain, decreased activity and food intake, </w:t>
      </w:r>
      <w:proofErr w:type="spellStart"/>
      <w:r w:rsidRPr="00303844">
        <w:rPr>
          <w:rFonts w:eastAsia="Times New Roman" w:cs="Times New Roman"/>
          <w:color w:val="000000"/>
          <w:lang w:val="en-US" w:eastAsia="zh-CN"/>
        </w:rPr>
        <w:t>diarrhoea</w:t>
      </w:r>
      <w:proofErr w:type="spellEnd"/>
      <w:r w:rsidRPr="00303844">
        <w:rPr>
          <w:rFonts w:eastAsia="Times New Roman" w:cs="Times New Roman"/>
          <w:color w:val="000000"/>
          <w:lang w:val="en-US" w:eastAsia="zh-CN"/>
        </w:rPr>
        <w:t xml:space="preserve">, liver and kidney injury, bile duct dilatation, thymus atrophy, gastrointestinal hemorrhage, and slight decreases in platelets, which resulted in animal death. The test article at dose 120 mg/kg caused decreased weight and anemia in females; slow body </w:t>
      </w:r>
      <w:r w:rsidRPr="00303844">
        <w:rPr>
          <w:rFonts w:eastAsia="Times New Roman" w:cs="Times New Roman"/>
          <w:color w:val="000000"/>
          <w:lang w:val="en-US" w:eastAsia="zh-CN"/>
        </w:rPr>
        <w:lastRenderedPageBreak/>
        <w:t xml:space="preserve">weight gain, liver and kidney injury, thymus atrophy and intestinal hemorrhage were still observed after 2 weeks of treatment withdrawal, and broken teeth was observed in males. The main target organs of toxicity were liver, kidney, thymus, and gastrointestinal tract. Under the conditions of this study, the no-observed-adverse-effect level (NOAEL) was 20 mg/kg, which is the equivalent pharmacodynamic dose in rats. </w:t>
      </w:r>
    </w:p>
    <w:p w14:paraId="58195623" w14:textId="77777777" w:rsidR="00DE4AFD" w:rsidRPr="00303844" w:rsidRDefault="004A4F56" w:rsidP="000C622D">
      <w:pPr>
        <w:pStyle w:val="HR"/>
        <w:spacing w:after="0"/>
        <w:ind w:firstLineChars="0" w:firstLine="0"/>
        <w:jc w:val="both"/>
        <w:rPr>
          <w:rFonts w:cs="Times New Roman"/>
          <w:iCs/>
          <w:color w:val="000000" w:themeColor="text1"/>
          <w:lang w:val="en-US" w:eastAsia="zh-CN"/>
        </w:rPr>
      </w:pPr>
      <w:r w:rsidRPr="00303844">
        <w:rPr>
          <w:rFonts w:eastAsia="Times New Roman" w:cs="Times New Roman"/>
          <w:iCs/>
          <w:color w:val="000000" w:themeColor="text1"/>
          <w:lang w:val="en-US" w:eastAsia="zh-CN"/>
        </w:rPr>
        <w:t>1.3.2.4</w:t>
      </w:r>
      <w:r w:rsidRPr="00303844">
        <w:rPr>
          <w:rFonts w:cs="Times New Roman"/>
          <w:iCs/>
          <w:color w:val="000000" w:themeColor="text1"/>
          <w:lang w:val="en-US" w:eastAsia="zh-CN"/>
        </w:rPr>
        <w:tab/>
      </w:r>
      <w:r w:rsidRPr="00303844">
        <w:rPr>
          <w:rFonts w:eastAsia="Times New Roman" w:cs="Times New Roman"/>
          <w:color w:val="000000"/>
          <w:lang w:val="en-US" w:eastAsia="zh-CN"/>
        </w:rPr>
        <w:t xml:space="preserve">A Two-Week Chronic Toxicity Study of Oral </w:t>
      </w:r>
      <w:proofErr w:type="spellStart"/>
      <w:r w:rsidRPr="00303844">
        <w:rPr>
          <w:rFonts w:eastAsia="Times New Roman" w:cs="Times New Roman"/>
          <w:color w:val="000000"/>
          <w:lang w:val="en-US" w:eastAsia="zh-CN"/>
        </w:rPr>
        <w:t>Surufatinib</w:t>
      </w:r>
      <w:proofErr w:type="spellEnd"/>
      <w:r w:rsidRPr="00303844">
        <w:rPr>
          <w:rFonts w:eastAsia="Times New Roman" w:cs="Times New Roman"/>
          <w:color w:val="000000"/>
          <w:lang w:val="en-US" w:eastAsia="zh-CN"/>
        </w:rPr>
        <w:t xml:space="preserve"> in Beagle Dogs with a Four-Week Recovery Period</w:t>
      </w:r>
    </w:p>
    <w:p w14:paraId="5F0A56DA" w14:textId="78EFF8DF"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 xml:space="preserve">In the chronic toxicity study in Beagle dogs, five dose groups of 0, 6, 12, 24 (decreased to 18 on Day 15), and 36 mg/kg (1, 2, 4, and 6 times the equivalent pharmacodynamic dose) were set up with 6 animals per group, half males and half females; 4/6 and 2/6 animals (1/3 and 2/3 animals in the 24 mg/kg group; surviving animals in the 36 mg/kg group were necropsied early to Day 12 due to poor general condition) were sacrificed at 4 weeks of dosing and after the end of the recovery period. Animals were observed twice daily and weighed weekly during the dosing phase; toxicokinetic studies were performed on Days 1 and 28 in the dosing group (Days 1 and 11 in the 36 mg/kg group).The main toxicities were: test article at doses above 24 (18 on Day 15) mg/kg resulted in decreased weight, gastrointestinal reactions such as decreased food intake, </w:t>
      </w:r>
      <w:proofErr w:type="spellStart"/>
      <w:r w:rsidRPr="00303844">
        <w:rPr>
          <w:rFonts w:eastAsia="Times New Roman" w:cs="Times New Roman"/>
          <w:color w:val="000000"/>
          <w:lang w:val="en-US" w:eastAsia="zh-CN"/>
        </w:rPr>
        <w:t>diarrhoea</w:t>
      </w:r>
      <w:proofErr w:type="spellEnd"/>
      <w:r w:rsidRPr="00303844">
        <w:rPr>
          <w:rFonts w:eastAsia="Times New Roman" w:cs="Times New Roman"/>
          <w:color w:val="000000"/>
          <w:lang w:val="en-US" w:eastAsia="zh-CN"/>
        </w:rPr>
        <w:t>, hematochezia and vomiting, and liver and kidney injury, which resulted in animal death; these reactions were recovered in animals in the 24 (18) mg/kg group after a 2-week recovery period.</w:t>
      </w:r>
      <w:r w:rsidR="00C6522E">
        <w:rPr>
          <w:rFonts w:eastAsiaTheme="minorEastAsia" w:cs="Times New Roman" w:hint="eastAsia"/>
          <w:color w:val="000000"/>
          <w:lang w:val="en-US" w:eastAsia="zh-CN"/>
        </w:rPr>
        <w:t xml:space="preserve"> </w:t>
      </w:r>
      <w:r w:rsidRPr="00303844">
        <w:rPr>
          <w:rFonts w:eastAsia="Times New Roman" w:cs="Times New Roman"/>
          <w:color w:val="000000"/>
          <w:lang w:val="en-US" w:eastAsia="zh-CN"/>
        </w:rPr>
        <w:t>The main target organs of toxicity were the gastrointestinal tract, liver, kidney, and thymus.</w:t>
      </w:r>
      <w:r w:rsidR="00C6522E">
        <w:rPr>
          <w:rFonts w:eastAsiaTheme="minorEastAsia" w:cs="Times New Roman" w:hint="eastAsia"/>
          <w:color w:val="000000"/>
          <w:lang w:val="en-US" w:eastAsia="zh-CN"/>
        </w:rPr>
        <w:t xml:space="preserve"> </w:t>
      </w:r>
      <w:r w:rsidRPr="00303844">
        <w:rPr>
          <w:rFonts w:eastAsia="Times New Roman" w:cs="Times New Roman"/>
          <w:color w:val="000000"/>
          <w:lang w:val="en-US" w:eastAsia="zh-CN"/>
        </w:rPr>
        <w:t>Although only some animals in the 12 mg/kg group showed positive reactions for protein urine and no abnormalities were observed in pathology and blood chemistry, the possibility of renal injury was not excluded.</w:t>
      </w:r>
      <w:r w:rsidR="00C6522E">
        <w:rPr>
          <w:rFonts w:eastAsiaTheme="minorEastAsia" w:cs="Times New Roman" w:hint="eastAsia"/>
          <w:color w:val="000000"/>
          <w:lang w:val="en-US" w:eastAsia="zh-CN"/>
        </w:rPr>
        <w:t xml:space="preserve"> </w:t>
      </w:r>
      <w:r w:rsidRPr="00303844">
        <w:rPr>
          <w:rFonts w:eastAsia="Times New Roman" w:cs="Times New Roman"/>
          <w:color w:val="000000"/>
          <w:lang w:val="en-US" w:eastAsia="zh-CN"/>
        </w:rPr>
        <w:t>The test article did not accumulate in animals after repeated dosing. Under the conditions of this study, the NOAEL was 6 mg/kg, which was the equivalent pharmacodynamic dose in dogs.</w:t>
      </w:r>
    </w:p>
    <w:p w14:paraId="2AB2D6BE" w14:textId="77777777" w:rsidR="00DE4AFD" w:rsidRPr="00303844" w:rsidRDefault="004A4F56" w:rsidP="000C622D">
      <w:pPr>
        <w:pStyle w:val="21"/>
        <w:spacing w:before="0" w:after="0" w:line="360" w:lineRule="auto"/>
        <w:rPr>
          <w:rFonts w:eastAsia="宋体" w:cs="Times New Roman"/>
        </w:rPr>
      </w:pPr>
      <w:bookmarkStart w:id="24" w:name="_Toc184889603"/>
      <w:r w:rsidRPr="00303844">
        <w:rPr>
          <w:rFonts w:eastAsia="Times New Roman" w:cs="Times New Roman"/>
          <w:color w:val="333333"/>
        </w:rPr>
        <w:t>Study Rationale</w:t>
      </w:r>
      <w:bookmarkEnd w:id="24"/>
    </w:p>
    <w:p w14:paraId="29E4FFEE" w14:textId="503AB5F7" w:rsidR="00DE4AFD" w:rsidRPr="00303844" w:rsidRDefault="004A4F56" w:rsidP="00E04753">
      <w:pPr>
        <w:pStyle w:val="HR"/>
        <w:spacing w:after="0"/>
        <w:ind w:firstLineChars="0" w:firstLine="0"/>
        <w:jc w:val="both"/>
        <w:rPr>
          <w:rFonts w:cs="Times New Roman"/>
          <w:iCs/>
          <w:color w:val="000000" w:themeColor="text1"/>
          <w:lang w:val="en-US" w:eastAsia="zh-CN"/>
        </w:rPr>
      </w:pPr>
      <w:proofErr w:type="spellStart"/>
      <w:r w:rsidRPr="00303844">
        <w:rPr>
          <w:rFonts w:eastAsia="Times New Roman" w:cs="Times New Roman"/>
          <w:color w:val="000000"/>
          <w:lang w:val="en-US" w:eastAsia="zh-CN"/>
        </w:rPr>
        <w:t>Surufatinib</w:t>
      </w:r>
      <w:proofErr w:type="spellEnd"/>
      <w:r w:rsidRPr="00303844">
        <w:rPr>
          <w:rFonts w:eastAsia="Times New Roman" w:cs="Times New Roman"/>
          <w:color w:val="000000"/>
          <w:lang w:val="en-US" w:eastAsia="zh-CN"/>
        </w:rPr>
        <w:t xml:space="preserve"> is a novel pyrimidine small-molecule targeted anti-tumor drug independently developed by Hutchison </w:t>
      </w:r>
      <w:proofErr w:type="spellStart"/>
      <w:r w:rsidRPr="00303844">
        <w:rPr>
          <w:rFonts w:eastAsia="Times New Roman" w:cs="Times New Roman"/>
          <w:color w:val="000000"/>
          <w:lang w:val="en-US" w:eastAsia="zh-CN"/>
        </w:rPr>
        <w:t>MediPharma</w:t>
      </w:r>
      <w:proofErr w:type="spellEnd"/>
      <w:r w:rsidRPr="00303844">
        <w:rPr>
          <w:rFonts w:eastAsia="Times New Roman" w:cs="Times New Roman"/>
          <w:color w:val="000000"/>
          <w:lang w:val="en-US" w:eastAsia="zh-CN"/>
        </w:rPr>
        <w:t xml:space="preserve">. It can effectively inhibit the activities of VEGFR (1, 2, 3), FGFR1, and CSF1R, thereby inhibiting functions such as vascular endothelial cell </w:t>
      </w:r>
      <w:r w:rsidRPr="00303844">
        <w:rPr>
          <w:rFonts w:eastAsia="Times New Roman" w:cs="Times New Roman"/>
          <w:color w:val="000000"/>
          <w:lang w:val="en-US" w:eastAsia="zh-CN"/>
        </w:rPr>
        <w:lastRenderedPageBreak/>
        <w:t xml:space="preserve">proliferation and lumen formation, ultimately inhibiting tumor growth by suppressing the formation of tumor neovascularization. </w:t>
      </w:r>
      <w:r w:rsidRPr="00303844">
        <w:rPr>
          <w:rFonts w:eastAsia="Times New Roman" w:cs="Times New Roman"/>
          <w:lang w:val="en-US" w:eastAsia="zh-CN"/>
        </w:rPr>
        <w:t xml:space="preserve">Study has found that endocrine gland cells and </w:t>
      </w:r>
      <w:proofErr w:type="spellStart"/>
      <w:r w:rsidRPr="00303844">
        <w:rPr>
          <w:rFonts w:eastAsia="Times New Roman" w:cs="Times New Roman"/>
          <w:lang w:val="en-US" w:eastAsia="zh-CN"/>
        </w:rPr>
        <w:t>peptidergic</w:t>
      </w:r>
      <w:proofErr w:type="spellEnd"/>
      <w:r w:rsidRPr="00303844">
        <w:rPr>
          <w:rFonts w:eastAsia="Times New Roman" w:cs="Times New Roman"/>
          <w:lang w:val="en-US" w:eastAsia="zh-CN"/>
        </w:rPr>
        <w:t xml:space="preserve"> neurons from which neuroendocrine tumors originate can synthesize and secrete a large number of pro-angiogenic molecules, which are secreted into the blood through abundant vasculature. Correspondingly, highly vascularized neuroendocrine tumors also secrete large amounts of pro-angiogenic factors such as VEGF-A, VEGF-C, and FGF2, especially in pancreatic neuroendocrine tumors. In a Phase I dose escalation clinical study, among 18 evaluable neuroendocrine </w:t>
      </w:r>
      <w:r w:rsidRPr="00303844">
        <w:rPr>
          <w:rFonts w:eastAsia="Times New Roman" w:cs="Times New Roman"/>
          <w:color w:val="000000"/>
          <w:lang w:val="en-US" w:eastAsia="zh-CN"/>
        </w:rPr>
        <w:t>tumor</w:t>
      </w:r>
      <w:r w:rsidRPr="00303844">
        <w:rPr>
          <w:rFonts w:eastAsia="Times New Roman" w:cs="Times New Roman"/>
          <w:lang w:val="en-US" w:eastAsia="zh-CN"/>
        </w:rPr>
        <w:t xml:space="preserve"> patients treated with </w:t>
      </w:r>
      <w:proofErr w:type="spellStart"/>
      <w:r w:rsidRPr="00303844">
        <w:rPr>
          <w:rFonts w:eastAsia="Times New Roman" w:cs="Times New Roman"/>
          <w:lang w:val="en-US" w:eastAsia="zh-CN"/>
        </w:rPr>
        <w:t>surufatinib</w:t>
      </w:r>
      <w:proofErr w:type="spellEnd"/>
      <w:r w:rsidRPr="00303844">
        <w:rPr>
          <w:rFonts w:eastAsia="Times New Roman" w:cs="Times New Roman"/>
          <w:lang w:val="en-US" w:eastAsia="zh-CN"/>
        </w:rPr>
        <w:t>, 8 patients achieved PR (44.4%), including 3 out of 7 evaluable PNET (pancreatic neuroendocrine tum</w:t>
      </w:r>
      <w:r w:rsidR="00917A59">
        <w:rPr>
          <w:rFonts w:eastAsiaTheme="minorEastAsia" w:cs="Times New Roman" w:hint="eastAsia"/>
          <w:lang w:val="en-US" w:eastAsia="zh-CN"/>
        </w:rPr>
        <w:t>o</w:t>
      </w:r>
      <w:r w:rsidRPr="00303844">
        <w:rPr>
          <w:rFonts w:eastAsia="Times New Roman" w:cs="Times New Roman"/>
          <w:lang w:val="en-US" w:eastAsia="zh-CN"/>
        </w:rPr>
        <w:t>r) patients achieving PR (42.9%</w:t>
      </w:r>
      <w:proofErr w:type="gramStart"/>
      <w:r w:rsidRPr="00303844">
        <w:rPr>
          <w:rFonts w:eastAsia="Times New Roman" w:cs="Times New Roman"/>
          <w:lang w:val="en-US" w:eastAsia="zh-CN"/>
        </w:rPr>
        <w:t>).Additionally</w:t>
      </w:r>
      <w:proofErr w:type="gramEnd"/>
      <w:r w:rsidRPr="00303844">
        <w:rPr>
          <w:rFonts w:eastAsia="Times New Roman" w:cs="Times New Roman"/>
          <w:lang w:val="en-US" w:eastAsia="zh-CN"/>
        </w:rPr>
        <w:t xml:space="preserve">, the Phase </w:t>
      </w:r>
      <w:proofErr w:type="spellStart"/>
      <w:r w:rsidRPr="00303844">
        <w:rPr>
          <w:rFonts w:eastAsia="Times New Roman" w:cs="Times New Roman"/>
          <w:lang w:val="en-US" w:eastAsia="zh-CN"/>
        </w:rPr>
        <w:t>Ib</w:t>
      </w:r>
      <w:proofErr w:type="spellEnd"/>
      <w:r w:rsidRPr="00303844">
        <w:rPr>
          <w:rFonts w:eastAsia="Times New Roman" w:cs="Times New Roman"/>
          <w:lang w:val="en-US" w:eastAsia="zh-CN"/>
        </w:rPr>
        <w:t xml:space="preserve">/II extension study conducted in neuroendocrine </w:t>
      </w:r>
      <w:r w:rsidRPr="00303844">
        <w:rPr>
          <w:rFonts w:eastAsia="Times New Roman" w:cs="Times New Roman"/>
          <w:color w:val="000000"/>
          <w:lang w:val="en-US" w:eastAsia="zh-CN"/>
        </w:rPr>
        <w:t>tumor</w:t>
      </w:r>
      <w:r w:rsidRPr="00303844">
        <w:rPr>
          <w:rFonts w:eastAsia="Times New Roman" w:cs="Times New Roman"/>
          <w:lang w:val="en-US" w:eastAsia="zh-CN"/>
        </w:rPr>
        <w:t xml:space="preserve"> patients showed a similar efficacy trend, demonstrating the preliminary efficacy of </w:t>
      </w:r>
      <w:proofErr w:type="spellStart"/>
      <w:r w:rsidRPr="00303844">
        <w:rPr>
          <w:rFonts w:eastAsia="Times New Roman" w:cs="Times New Roman"/>
          <w:lang w:val="en-US" w:eastAsia="zh-CN"/>
        </w:rPr>
        <w:t>surufatinib</w:t>
      </w:r>
      <w:proofErr w:type="spellEnd"/>
      <w:r w:rsidRPr="00303844">
        <w:rPr>
          <w:rFonts w:eastAsia="Times New Roman" w:cs="Times New Roman"/>
          <w:lang w:val="en-US" w:eastAsia="zh-CN"/>
        </w:rPr>
        <w:t xml:space="preserve"> in advanced NETs.</w:t>
      </w:r>
      <w:r w:rsidR="00C6522E">
        <w:rPr>
          <w:rFonts w:eastAsiaTheme="minorEastAsia" w:cs="Times New Roman" w:hint="eastAsia"/>
          <w:lang w:val="en-US" w:eastAsia="zh-CN"/>
        </w:rPr>
        <w:t xml:space="preserve"> </w:t>
      </w:r>
      <w:r w:rsidRPr="00303844">
        <w:rPr>
          <w:rFonts w:eastAsia="Times New Roman" w:cs="Times New Roman"/>
          <w:lang w:val="en-US" w:eastAsia="zh-CN"/>
        </w:rPr>
        <w:t xml:space="preserve">In terms of safety, data from Phase </w:t>
      </w:r>
      <w:proofErr w:type="spellStart"/>
      <w:r w:rsidRPr="00303844">
        <w:rPr>
          <w:rFonts w:eastAsia="Times New Roman" w:cs="Times New Roman"/>
          <w:lang w:val="en-US" w:eastAsia="zh-CN"/>
        </w:rPr>
        <w:t>Ia</w:t>
      </w:r>
      <w:proofErr w:type="spellEnd"/>
      <w:r w:rsidRPr="00303844">
        <w:rPr>
          <w:rFonts w:eastAsia="Times New Roman" w:cs="Times New Roman"/>
          <w:lang w:val="en-US" w:eastAsia="zh-CN"/>
        </w:rPr>
        <w:t xml:space="preserve"> clinical trials indicated that the adverse reactions of </w:t>
      </w:r>
      <w:proofErr w:type="spellStart"/>
      <w:r w:rsidRPr="00303844">
        <w:rPr>
          <w:rFonts w:eastAsia="Times New Roman" w:cs="Times New Roman"/>
          <w:lang w:val="en-US" w:eastAsia="zh-CN"/>
        </w:rPr>
        <w:t>surufatinib</w:t>
      </w:r>
      <w:proofErr w:type="spellEnd"/>
      <w:r w:rsidRPr="00303844">
        <w:rPr>
          <w:rFonts w:eastAsia="Times New Roman" w:cs="Times New Roman"/>
          <w:lang w:val="en-US" w:eastAsia="zh-CN"/>
        </w:rPr>
        <w:t xml:space="preserve"> were similar to those of similar VEGFR-targeted therapies, with no new safety information discovered.</w:t>
      </w:r>
      <w:r w:rsidR="00C6522E">
        <w:rPr>
          <w:rFonts w:eastAsiaTheme="minorEastAsia" w:cs="Times New Roman" w:hint="eastAsia"/>
          <w:lang w:val="en-US" w:eastAsia="zh-CN"/>
        </w:rPr>
        <w:t xml:space="preserve"> </w:t>
      </w:r>
      <w:r w:rsidRPr="00303844">
        <w:rPr>
          <w:rFonts w:eastAsia="Times New Roman" w:cs="Times New Roman"/>
          <w:lang w:val="en-US" w:eastAsia="zh-CN"/>
        </w:rPr>
        <w:t xml:space="preserve">These adverse reactions were mostly mild to moderate, with a low incidence of therapy interrupted or dose reduction, and could be alleviated or recovered through symptomatic treatment. The most common adverse reactions in the study included </w:t>
      </w:r>
      <w:proofErr w:type="spellStart"/>
      <w:r w:rsidRPr="00303844">
        <w:rPr>
          <w:rFonts w:eastAsia="Times New Roman" w:cs="Times New Roman"/>
          <w:lang w:val="en-US" w:eastAsia="zh-CN"/>
        </w:rPr>
        <w:t>diarrhoea</w:t>
      </w:r>
      <w:proofErr w:type="spellEnd"/>
      <w:r w:rsidRPr="00303844">
        <w:rPr>
          <w:rFonts w:eastAsia="Times New Roman" w:cs="Times New Roman"/>
          <w:lang w:val="en-US" w:eastAsia="zh-CN"/>
        </w:rPr>
        <w:t xml:space="preserve">, hypertension, proteinuria, abdominal discomfort, AST increased, blood albumin decreased, fatigue, etc. Their incidence and severity were similar to or slightly lower than those of similar VEGFR-targeted drugs; adverse reactions frequently occurring with similar targeted drugs, such as hand-foot syndrome, were uncommon during </w:t>
      </w:r>
      <w:proofErr w:type="spellStart"/>
      <w:r w:rsidRPr="00303844">
        <w:rPr>
          <w:rFonts w:eastAsia="Times New Roman" w:cs="Times New Roman"/>
          <w:lang w:val="en-US" w:eastAsia="zh-CN"/>
        </w:rPr>
        <w:t>surufatinib</w:t>
      </w:r>
      <w:proofErr w:type="spellEnd"/>
      <w:r w:rsidRPr="00303844">
        <w:rPr>
          <w:rFonts w:eastAsia="Times New Roman" w:cs="Times New Roman"/>
          <w:lang w:val="en-US" w:eastAsia="zh-CN"/>
        </w:rPr>
        <w:t xml:space="preserve"> treatment, and serious adverse reactions commonly seen with VEGFR-targeted drugs, such as thrombosis and embolism, were not observed.</w:t>
      </w:r>
      <w:r w:rsidR="00C6522E">
        <w:rPr>
          <w:rFonts w:eastAsiaTheme="minorEastAsia" w:cs="Times New Roman" w:hint="eastAsia"/>
          <w:lang w:val="en-US" w:eastAsia="zh-CN"/>
        </w:rPr>
        <w:t xml:space="preserve"> </w:t>
      </w:r>
      <w:r w:rsidRPr="00303844">
        <w:rPr>
          <w:rFonts w:eastAsia="Times New Roman" w:cs="Times New Roman"/>
          <w:lang w:val="en-US" w:eastAsia="zh-CN"/>
        </w:rPr>
        <w:t xml:space="preserve">Safety data from six clinical studies involving a total of 407 patients with advanced </w:t>
      </w:r>
      <w:r w:rsidRPr="00303844">
        <w:rPr>
          <w:rFonts w:eastAsia="Times New Roman" w:cs="Times New Roman"/>
          <w:color w:val="000000"/>
          <w:lang w:val="en-US" w:eastAsia="zh-CN"/>
        </w:rPr>
        <w:t>tumor</w:t>
      </w:r>
      <w:r w:rsidRPr="00303844">
        <w:rPr>
          <w:rFonts w:eastAsia="Times New Roman" w:cs="Times New Roman"/>
          <w:lang w:val="en-US" w:eastAsia="zh-CN"/>
        </w:rPr>
        <w:t xml:space="preserve">s showed that Grade 3 and above adverse reactions with an incidence ≥2% included: hypertension (29.5%), proteinuria (15.2%), blood bilirubin increased (8.6%), </w:t>
      </w:r>
      <w:proofErr w:type="spellStart"/>
      <w:r w:rsidRPr="00303844">
        <w:rPr>
          <w:rFonts w:eastAsia="Times New Roman" w:cs="Times New Roman"/>
          <w:lang w:val="en-US" w:eastAsia="zh-CN"/>
        </w:rPr>
        <w:t>anaemia</w:t>
      </w:r>
      <w:proofErr w:type="spellEnd"/>
      <w:r w:rsidRPr="00303844">
        <w:rPr>
          <w:rFonts w:eastAsia="Times New Roman" w:cs="Times New Roman"/>
          <w:lang w:val="en-US" w:eastAsia="zh-CN"/>
        </w:rPr>
        <w:t xml:space="preserve"> (6.9%), blood uric acid increased (5.4%), blood triglycerides increased (4.7%), aspartate aminotransferase increased (4.2%), hemorrhage (excluding laboratory test abnormal) (3.4%), </w:t>
      </w:r>
      <w:proofErr w:type="spellStart"/>
      <w:r w:rsidRPr="00303844">
        <w:rPr>
          <w:rFonts w:eastAsia="Times New Roman" w:cs="Times New Roman"/>
          <w:lang w:val="en-US" w:eastAsia="zh-CN"/>
        </w:rPr>
        <w:t>diarrhoea</w:t>
      </w:r>
      <w:proofErr w:type="spellEnd"/>
      <w:r w:rsidRPr="00303844">
        <w:rPr>
          <w:rFonts w:eastAsia="Times New Roman" w:cs="Times New Roman"/>
          <w:lang w:val="en-US" w:eastAsia="zh-CN"/>
        </w:rPr>
        <w:t xml:space="preserve"> (3.2%), blood potassium decreased (3.2%), alanine aminotransferase increased (2.7%), white blood cell count </w:t>
      </w:r>
      <w:r w:rsidRPr="00303844">
        <w:rPr>
          <w:rFonts w:eastAsia="Times New Roman" w:cs="Times New Roman"/>
          <w:lang w:val="en-US" w:eastAsia="zh-CN"/>
        </w:rPr>
        <w:lastRenderedPageBreak/>
        <w:t xml:space="preserve">decreased (2.5%), blood sodium decreased (2.2%), and blood phosphorus decreased (2.0%). </w:t>
      </w:r>
      <w:proofErr w:type="spellStart"/>
      <w:r w:rsidRPr="00303844">
        <w:rPr>
          <w:rFonts w:eastAsia="Times New Roman" w:cs="Times New Roman"/>
          <w:lang w:val="en-US" w:eastAsia="zh-CN"/>
        </w:rPr>
        <w:t>Surufatinib</w:t>
      </w:r>
      <w:proofErr w:type="spellEnd"/>
      <w:r w:rsidRPr="00303844">
        <w:rPr>
          <w:rFonts w:eastAsia="Times New Roman" w:cs="Times New Roman"/>
          <w:lang w:val="en-US" w:eastAsia="zh-CN"/>
        </w:rPr>
        <w:t xml:space="preserve"> has now been approved by the National Medical Products Administration (NMPA) of China for the treatment of non-pancreatic neuroendocrine tumors. This approval is based on the renowned SANET-ep study, a randomized, double-blind, placebo-controlled Phase III clinical trial led by Professor Jianming Xu of the Fifth Medical Center of Chinese PLA General Hospital, involving 24 hospitals in China and enrolling a total of 198 patients with unresectable or metastatic, well-differentiated non-pancreatic neuroendocrine </w:t>
      </w:r>
      <w:r w:rsidRPr="00303844">
        <w:rPr>
          <w:rFonts w:eastAsia="Times New Roman" w:cs="Times New Roman"/>
          <w:color w:val="000000"/>
          <w:lang w:val="en-US" w:eastAsia="zh-CN"/>
        </w:rPr>
        <w:t>tumor</w:t>
      </w:r>
      <w:r w:rsidRPr="00303844">
        <w:rPr>
          <w:rFonts w:eastAsia="Times New Roman" w:cs="Times New Roman"/>
          <w:lang w:val="en-US" w:eastAsia="zh-CN"/>
        </w:rPr>
        <w:t xml:space="preserve"> (NET) with good physical condition (ECOG PS score 0 or 1), who had progressed after up to two prior systemic treatment regimens. Patients were assigned in a 2:1 ratio, with 129 cases in the </w:t>
      </w:r>
      <w:proofErr w:type="spellStart"/>
      <w:r w:rsidRPr="00303844">
        <w:rPr>
          <w:rFonts w:eastAsia="Times New Roman" w:cs="Times New Roman"/>
          <w:lang w:val="en-US" w:eastAsia="zh-CN"/>
        </w:rPr>
        <w:t>surufatinib</w:t>
      </w:r>
      <w:proofErr w:type="spellEnd"/>
      <w:r w:rsidRPr="00303844">
        <w:rPr>
          <w:rFonts w:eastAsia="Times New Roman" w:cs="Times New Roman"/>
          <w:lang w:val="en-US" w:eastAsia="zh-CN"/>
        </w:rPr>
        <w:t xml:space="preserve"> group and 69 cases in the placebo group. The primary endpoint was progression-free survival (PFS) assessed by investigators. At the ESMO conference in September 2019, Professor Jianming Xu orally reported the initial results of the study: the objective response rate (ORR) in the </w:t>
      </w:r>
      <w:proofErr w:type="spellStart"/>
      <w:r w:rsidRPr="00303844">
        <w:rPr>
          <w:rFonts w:eastAsia="Times New Roman" w:cs="Times New Roman"/>
          <w:lang w:val="en-US" w:eastAsia="zh-CN"/>
        </w:rPr>
        <w:t>surufatinib</w:t>
      </w:r>
      <w:proofErr w:type="spellEnd"/>
      <w:r w:rsidRPr="00303844">
        <w:rPr>
          <w:rFonts w:eastAsia="Times New Roman" w:cs="Times New Roman"/>
          <w:lang w:val="en-US" w:eastAsia="zh-CN"/>
        </w:rPr>
        <w:t xml:space="preserve"> group reached 10.3%, </w:t>
      </w:r>
      <w:r w:rsidRPr="00303844">
        <w:rPr>
          <w:rFonts w:eastAsia="Times New Roman" w:cs="Times New Roman"/>
          <w:color w:val="000000"/>
          <w:lang w:val="en-US" w:eastAsia="zh-CN"/>
        </w:rPr>
        <w:t>tumor</w:t>
      </w:r>
      <w:r w:rsidRPr="00303844">
        <w:rPr>
          <w:rFonts w:eastAsia="Times New Roman" w:cs="Times New Roman"/>
          <w:lang w:val="en-US" w:eastAsia="zh-CN"/>
        </w:rPr>
        <w:t xml:space="preserve"> </w:t>
      </w:r>
      <w:r w:rsidRPr="00303844">
        <w:rPr>
          <w:rFonts w:eastAsia="Times New Roman" w:cs="Times New Roman"/>
          <w:color w:val="333333"/>
          <w:lang w:val="en-US" w:eastAsia="zh-CN"/>
        </w:rPr>
        <w:t>regression</w:t>
      </w:r>
      <w:r w:rsidRPr="00303844">
        <w:rPr>
          <w:rFonts w:eastAsia="Times New Roman" w:cs="Times New Roman"/>
          <w:lang w:val="en-US" w:eastAsia="zh-CN"/>
        </w:rPr>
        <w:t xml:space="preserve"> rate was 61.2%, and disease control rate (DCR) was 86.5%. In September 2020, the full text of the SANET-ep study was published online in "Lancet Oncology". The median follow-up times for the </w:t>
      </w:r>
      <w:proofErr w:type="spellStart"/>
      <w:r w:rsidRPr="00303844">
        <w:rPr>
          <w:rFonts w:eastAsia="Times New Roman" w:cs="Times New Roman"/>
          <w:lang w:val="en-US" w:eastAsia="zh-CN"/>
        </w:rPr>
        <w:t>surufatinib</w:t>
      </w:r>
      <w:proofErr w:type="spellEnd"/>
      <w:r w:rsidRPr="00303844">
        <w:rPr>
          <w:rFonts w:eastAsia="Times New Roman" w:cs="Times New Roman"/>
          <w:lang w:val="en-US" w:eastAsia="zh-CN"/>
        </w:rPr>
        <w:t xml:space="preserve"> and placebo groups were 13.8 months and 16.6 months, respectively, with investigator-assessed median PFS of 9.2 months and 3.8 months, respectively; </w:t>
      </w:r>
      <w:proofErr w:type="spellStart"/>
      <w:r w:rsidRPr="00303844">
        <w:rPr>
          <w:rFonts w:eastAsia="Times New Roman" w:cs="Times New Roman"/>
          <w:lang w:val="en-US" w:eastAsia="zh-CN"/>
        </w:rPr>
        <w:t>surufatinib</w:t>
      </w:r>
      <w:proofErr w:type="spellEnd"/>
      <w:r w:rsidRPr="00303844">
        <w:rPr>
          <w:rFonts w:eastAsia="Times New Roman" w:cs="Times New Roman"/>
          <w:lang w:val="en-US" w:eastAsia="zh-CN"/>
        </w:rPr>
        <w:t xml:space="preserve"> significantly reduced the risk of disease progression or death by 67%. This interim analysis met the pre-specified criteria for early discontinuation of the study, and thus the study was </w:t>
      </w:r>
      <w:r w:rsidR="00C6522E" w:rsidRPr="00303844">
        <w:rPr>
          <w:rFonts w:eastAsia="Times New Roman" w:cs="Times New Roman"/>
          <w:lang w:val="en-US" w:eastAsia="zh-CN"/>
        </w:rPr>
        <w:t>discontinued</w:t>
      </w:r>
      <w:r w:rsidRPr="00303844">
        <w:rPr>
          <w:rFonts w:eastAsia="Times New Roman" w:cs="Times New Roman"/>
          <w:lang w:val="en-US" w:eastAsia="zh-CN"/>
        </w:rPr>
        <w:t xml:space="preserve"> early with approval from the Independent Data Monitoring Committee. At the 2020 ASCO annual meeting, Professor Ming Lu from Beijing Cancer Hospital presented the results of a Phase I clinical study of </w:t>
      </w:r>
      <w:proofErr w:type="spellStart"/>
      <w:r w:rsidRPr="00303844">
        <w:rPr>
          <w:rFonts w:eastAsia="Times New Roman" w:cs="Times New Roman"/>
          <w:lang w:val="en-US" w:eastAsia="zh-CN"/>
        </w:rPr>
        <w:t>surufatinib</w:t>
      </w:r>
      <w:proofErr w:type="spellEnd"/>
      <w:r w:rsidRPr="00303844">
        <w:rPr>
          <w:rFonts w:eastAsia="Times New Roman" w:cs="Times New Roman"/>
          <w:lang w:val="en-US" w:eastAsia="zh-CN"/>
        </w:rPr>
        <w:t xml:space="preserve"> combined with </w:t>
      </w:r>
      <w:proofErr w:type="spellStart"/>
      <w:r w:rsidRPr="00303844">
        <w:rPr>
          <w:rFonts w:eastAsia="Times New Roman" w:cs="Times New Roman"/>
          <w:lang w:val="en-US" w:eastAsia="zh-CN"/>
        </w:rPr>
        <w:t>toripalimab</w:t>
      </w:r>
      <w:proofErr w:type="spellEnd"/>
      <w:r w:rsidRPr="00303844">
        <w:rPr>
          <w:rFonts w:eastAsia="Times New Roman" w:cs="Times New Roman"/>
          <w:lang w:val="en-US" w:eastAsia="zh-CN"/>
        </w:rPr>
        <w:t xml:space="preserve"> in the treatment of advanced solid tumors. The study enrolled a total of 30 patients with unresectable metastatic solid tumors who had experienced treatment failure of standard therapy or had no standard treatment regimen, among whom 1 achieved complete response (CR) and 9 achieved partial response (PR). In the </w:t>
      </w:r>
      <w:proofErr w:type="spellStart"/>
      <w:r w:rsidRPr="00303844">
        <w:rPr>
          <w:rFonts w:eastAsia="Times New Roman" w:cs="Times New Roman"/>
          <w:lang w:val="en-US" w:eastAsia="zh-CN"/>
        </w:rPr>
        <w:t>surufatinib</w:t>
      </w:r>
      <w:proofErr w:type="spellEnd"/>
      <w:r w:rsidRPr="00303844">
        <w:rPr>
          <w:rFonts w:eastAsia="Times New Roman" w:cs="Times New Roman"/>
          <w:lang w:val="en-US" w:eastAsia="zh-CN"/>
        </w:rPr>
        <w:t xml:space="preserve"> 250 mg group, the ORR reached 63.6% and the DCR reached 100%. These results preliminarily indicated that </w:t>
      </w:r>
      <w:proofErr w:type="spellStart"/>
      <w:r w:rsidRPr="00303844">
        <w:rPr>
          <w:rFonts w:eastAsia="Times New Roman" w:cs="Times New Roman"/>
          <w:lang w:val="en-US" w:eastAsia="zh-CN"/>
        </w:rPr>
        <w:t>surufatinib</w:t>
      </w:r>
      <w:proofErr w:type="spellEnd"/>
      <w:r w:rsidRPr="00303844">
        <w:rPr>
          <w:rFonts w:eastAsia="Times New Roman" w:cs="Times New Roman"/>
          <w:lang w:val="en-US" w:eastAsia="zh-CN"/>
        </w:rPr>
        <w:t xml:space="preserve"> combined with </w:t>
      </w:r>
      <w:r w:rsidR="0083321D" w:rsidRPr="00303844">
        <w:rPr>
          <w:rFonts w:eastAsia="Times New Roman" w:cs="Times New Roman"/>
          <w:lang w:val="en-US" w:eastAsia="zh-CN"/>
        </w:rPr>
        <w:t>ICI</w:t>
      </w:r>
      <w:r w:rsidRPr="00303844">
        <w:rPr>
          <w:rFonts w:eastAsia="Times New Roman" w:cs="Times New Roman"/>
          <w:lang w:val="en-US" w:eastAsia="zh-CN"/>
        </w:rPr>
        <w:t>s has good anti-</w:t>
      </w:r>
      <w:r w:rsidRPr="00303844">
        <w:rPr>
          <w:rFonts w:eastAsia="Times New Roman" w:cs="Times New Roman"/>
          <w:color w:val="000000"/>
          <w:lang w:val="en-US" w:eastAsia="zh-CN"/>
        </w:rPr>
        <w:t>tumor</w:t>
      </w:r>
      <w:r w:rsidRPr="00303844">
        <w:rPr>
          <w:rFonts w:eastAsia="Times New Roman" w:cs="Times New Roman"/>
          <w:lang w:val="en-US" w:eastAsia="zh-CN"/>
        </w:rPr>
        <w:t xml:space="preserve"> activity in solid tumors and has good </w:t>
      </w:r>
      <w:proofErr w:type="gramStart"/>
      <w:r w:rsidRPr="00303844">
        <w:rPr>
          <w:rFonts w:eastAsia="Times New Roman" w:cs="Times New Roman"/>
          <w:lang w:val="en-US" w:eastAsia="zh-CN"/>
        </w:rPr>
        <w:t>tolerability[</w:t>
      </w:r>
      <w:proofErr w:type="gramEnd"/>
      <w:r w:rsidRPr="00303844">
        <w:rPr>
          <w:rFonts w:eastAsia="Times New Roman" w:cs="Times New Roman"/>
          <w:lang w:val="en-US" w:eastAsia="zh-CN"/>
        </w:rPr>
        <w:t xml:space="preserve">18]. </w:t>
      </w:r>
    </w:p>
    <w:p w14:paraId="513B1D2F" w14:textId="77777777" w:rsidR="00DE4AFD" w:rsidRPr="00303844" w:rsidRDefault="004A4F56" w:rsidP="00E04753">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lastRenderedPageBreak/>
        <w:t>VEGF family members are overexpressed in pancreatic ductal adenocarcinoma (PDAC) and play an important role in the malignant progression of PDAC. VEGFR1 and VEGFR2 have been found to be overexpressed in PDAC and promote tumor progression.</w:t>
      </w:r>
      <w:r w:rsidRPr="00303844">
        <w:rPr>
          <w:rFonts w:eastAsia="Times New Roman" w:cs="Times New Roman"/>
          <w:lang w:val="en-US" w:eastAsia="zh-CN"/>
        </w:rPr>
        <w:t xml:space="preserve"> </w:t>
      </w:r>
      <w:r w:rsidRPr="00303844">
        <w:rPr>
          <w:rFonts w:eastAsia="Times New Roman" w:cs="Times New Roman"/>
          <w:color w:val="000000"/>
          <w:lang w:val="en-US" w:eastAsia="zh-CN"/>
        </w:rPr>
        <w:t>VEGFR1 has also been found to induce epithelial-mesenchymal transition (EMT), a process whereby polarized epithelial cells acquire mesenchymal and invasive phenotypes.</w:t>
      </w:r>
      <w:r w:rsidRPr="00303844">
        <w:rPr>
          <w:rFonts w:eastAsia="Times New Roman" w:cs="Times New Roman"/>
          <w:lang w:val="en-US" w:eastAsia="zh-CN"/>
        </w:rPr>
        <w:t xml:space="preserve"> </w:t>
      </w:r>
      <w:r w:rsidRPr="00303844">
        <w:rPr>
          <w:rFonts w:eastAsia="Times New Roman" w:cs="Times New Roman"/>
          <w:color w:val="000000"/>
          <w:lang w:val="en-US" w:eastAsia="zh-CN"/>
        </w:rPr>
        <w:t xml:space="preserve">VEGFR2 can enhance the local invasiveness of PDAC cells. The above suggests that VEGF-targeted therapy may block the proliferation, survival, and motility of PDAC </w:t>
      </w:r>
      <w:proofErr w:type="gramStart"/>
      <w:r w:rsidRPr="00303844">
        <w:rPr>
          <w:rFonts w:eastAsia="Times New Roman" w:cs="Times New Roman"/>
          <w:color w:val="000000"/>
          <w:lang w:val="en-US" w:eastAsia="zh-CN"/>
        </w:rPr>
        <w:t>cells</w:t>
      </w:r>
      <w:r w:rsidRPr="00303844">
        <w:rPr>
          <w:rFonts w:eastAsia="Times New Roman" w:cs="Times New Roman"/>
          <w:color w:val="000000"/>
          <w:vertAlign w:val="superscript"/>
          <w:lang w:val="en-US" w:eastAsia="zh-CN"/>
        </w:rPr>
        <w:t>[</w:t>
      </w:r>
      <w:proofErr w:type="gramEnd"/>
      <w:r w:rsidRPr="00303844">
        <w:rPr>
          <w:rFonts w:eastAsia="Times New Roman" w:cs="Times New Roman"/>
          <w:color w:val="000000"/>
          <w:vertAlign w:val="superscript"/>
          <w:lang w:val="en-US" w:eastAsia="zh-CN"/>
        </w:rPr>
        <w:t>19, 20]</w:t>
      </w:r>
      <w:r w:rsidRPr="00303844">
        <w:rPr>
          <w:rFonts w:eastAsia="Times New Roman" w:cs="Times New Roman"/>
          <w:color w:val="000000"/>
          <w:lang w:val="en-US" w:eastAsia="zh-CN"/>
        </w:rPr>
        <w:t>.</w:t>
      </w:r>
      <w:r w:rsidRPr="00303844">
        <w:rPr>
          <w:rFonts w:eastAsia="Times New Roman" w:cs="Times New Roman"/>
          <w:lang w:val="en-US" w:eastAsia="zh-CN"/>
        </w:rPr>
        <w:t xml:space="preserve"> </w:t>
      </w:r>
      <w:r w:rsidRPr="00303844">
        <w:rPr>
          <w:rFonts w:eastAsia="Times New Roman" w:cs="Times New Roman"/>
          <w:color w:val="000000"/>
          <w:lang w:val="en-US" w:eastAsia="zh-CN"/>
        </w:rPr>
        <w:t xml:space="preserve">Therefore, this study aims to explore the efficacy and safety of </w:t>
      </w:r>
      <w:proofErr w:type="spellStart"/>
      <w:r w:rsidRPr="00303844">
        <w:rPr>
          <w:rFonts w:eastAsia="Times New Roman" w:cs="Times New Roman"/>
          <w:color w:val="000000"/>
          <w:lang w:val="en-US" w:eastAsia="zh-CN"/>
        </w:rPr>
        <w:t>surufatinib</w:t>
      </w:r>
      <w:proofErr w:type="spellEnd"/>
      <w:r w:rsidRPr="00303844">
        <w:rPr>
          <w:rFonts w:eastAsia="Times New Roman" w:cs="Times New Roman"/>
          <w:color w:val="000000"/>
          <w:lang w:val="en-US" w:eastAsia="zh-CN"/>
        </w:rPr>
        <w:t xml:space="preserve"> combined with </w:t>
      </w:r>
      <w:proofErr w:type="spellStart"/>
      <w:r w:rsidRPr="00303844">
        <w:rPr>
          <w:rFonts w:eastAsia="Times New Roman" w:cs="Times New Roman"/>
          <w:color w:val="000000"/>
          <w:lang w:val="en-US" w:eastAsia="zh-CN"/>
        </w:rPr>
        <w:t>camrelizumab</w:t>
      </w:r>
      <w:proofErr w:type="spellEnd"/>
      <w:r w:rsidRPr="00303844">
        <w:rPr>
          <w:rFonts w:eastAsia="Times New Roman" w:cs="Times New Roman"/>
          <w:color w:val="000000"/>
          <w:lang w:val="en-US" w:eastAsia="zh-CN"/>
        </w:rPr>
        <w:t xml:space="preserve"> and AS first-line chemotherapy regimen compared with the GN regimen in unresectable locally advanced or pancreatic carcinoma metastatic, providing clinical evidence for first-line treatment of pancreatic carcinoma with anti-angiogenesis combined with immunotherapy and chemotherapy.</w:t>
      </w:r>
      <w:r w:rsidRPr="00303844">
        <w:rPr>
          <w:rFonts w:eastAsia="Times New Roman" w:cs="Times New Roman"/>
          <w:lang w:val="en-US" w:eastAsia="zh-CN"/>
        </w:rPr>
        <w:t xml:space="preserve"> </w:t>
      </w:r>
    </w:p>
    <w:p w14:paraId="63DB781A" w14:textId="77777777" w:rsidR="00DE4AFD" w:rsidRPr="00303844" w:rsidRDefault="004A4F56" w:rsidP="000C622D">
      <w:pPr>
        <w:pStyle w:val="10"/>
        <w:spacing w:before="0" w:after="0" w:line="360" w:lineRule="auto"/>
        <w:jc w:val="both"/>
        <w:rPr>
          <w:rFonts w:cs="Times New Roman"/>
        </w:rPr>
      </w:pPr>
      <w:bookmarkStart w:id="25" w:name="_Ref464504853"/>
      <w:bookmarkStart w:id="26" w:name="_Toc456353436"/>
      <w:bookmarkStart w:id="27" w:name="_Toc184889604"/>
      <w:bookmarkEnd w:id="25"/>
      <w:bookmarkEnd w:id="26"/>
      <w:r w:rsidRPr="00303844">
        <w:rPr>
          <w:rFonts w:eastAsia="Times New Roman" w:cs="Times New Roman"/>
        </w:rPr>
        <w:t>Study Endpoints</w:t>
      </w:r>
      <w:bookmarkEnd w:id="27"/>
    </w:p>
    <w:p w14:paraId="759B6A17" w14:textId="77777777" w:rsidR="00DE4AFD" w:rsidRPr="00303844" w:rsidRDefault="004A4F56" w:rsidP="000C622D">
      <w:pPr>
        <w:pStyle w:val="21"/>
        <w:spacing w:before="0" w:after="0" w:line="360" w:lineRule="auto"/>
        <w:rPr>
          <w:rFonts w:eastAsia="宋体" w:cs="Times New Roman"/>
        </w:rPr>
      </w:pPr>
      <w:bookmarkStart w:id="28" w:name="_Toc469320950"/>
      <w:bookmarkStart w:id="29" w:name="_Toc184889605"/>
      <w:bookmarkEnd w:id="28"/>
      <w:r w:rsidRPr="00303844">
        <w:rPr>
          <w:rFonts w:eastAsia="Times New Roman" w:cs="Times New Roman"/>
        </w:rPr>
        <w:t>Primary Study Endpoints</w:t>
      </w:r>
      <w:bookmarkEnd w:id="29"/>
    </w:p>
    <w:p w14:paraId="6641DCBB" w14:textId="77777777" w:rsidR="00DE4AFD" w:rsidRPr="00303844" w:rsidRDefault="004A4F56" w:rsidP="000C622D">
      <w:pPr>
        <w:pStyle w:val="HR"/>
        <w:numPr>
          <w:ilvl w:val="0"/>
          <w:numId w:val="16"/>
        </w:numPr>
        <w:spacing w:after="0"/>
        <w:ind w:firstLineChars="0"/>
        <w:jc w:val="both"/>
        <w:rPr>
          <w:rFonts w:cs="Times New Roman"/>
          <w:lang w:val="en-US" w:eastAsia="zh-CN"/>
        </w:rPr>
      </w:pPr>
      <w:r w:rsidRPr="00303844">
        <w:rPr>
          <w:rFonts w:eastAsia="Times New Roman" w:cs="Times New Roman"/>
          <w:lang w:val="en-US" w:eastAsia="zh-CN"/>
        </w:rPr>
        <w:t xml:space="preserve">The primary endpoints of the Phase </w:t>
      </w:r>
      <w:proofErr w:type="spellStart"/>
      <w:r w:rsidRPr="00303844">
        <w:rPr>
          <w:rFonts w:eastAsia="Times New Roman" w:cs="Times New Roman"/>
          <w:lang w:val="en-US" w:eastAsia="zh-CN"/>
        </w:rPr>
        <w:t>Ib</w:t>
      </w:r>
      <w:proofErr w:type="spellEnd"/>
      <w:r w:rsidRPr="00303844">
        <w:rPr>
          <w:rFonts w:eastAsia="Times New Roman" w:cs="Times New Roman"/>
          <w:lang w:val="en-US" w:eastAsia="zh-CN"/>
        </w:rPr>
        <w:t xml:space="preserve"> study are the DLTs and RP2D of </w:t>
      </w:r>
      <w:proofErr w:type="spellStart"/>
      <w:r w:rsidRPr="00303844">
        <w:rPr>
          <w:rFonts w:eastAsia="Times New Roman" w:cs="Times New Roman"/>
          <w:lang w:val="en-US" w:eastAsia="zh-CN"/>
        </w:rPr>
        <w:t>surufatinib</w:t>
      </w:r>
      <w:proofErr w:type="spellEnd"/>
      <w:r w:rsidRPr="00303844">
        <w:rPr>
          <w:rFonts w:eastAsia="Times New Roman" w:cs="Times New Roman"/>
          <w:lang w:val="en-US" w:eastAsia="zh-CN"/>
        </w:rPr>
        <w:t xml:space="preserve"> combined with </w:t>
      </w:r>
      <w:proofErr w:type="spellStart"/>
      <w:r w:rsidRPr="00303844">
        <w:rPr>
          <w:rFonts w:eastAsia="Times New Roman" w:cs="Times New Roman"/>
          <w:lang w:val="en-US" w:eastAsia="zh-CN"/>
        </w:rPr>
        <w:t>camrelizumab</w:t>
      </w:r>
      <w:proofErr w:type="spellEnd"/>
      <w:r w:rsidRPr="00303844">
        <w:rPr>
          <w:rFonts w:eastAsia="Times New Roman" w:cs="Times New Roman"/>
          <w:lang w:val="en-US" w:eastAsia="zh-CN"/>
        </w:rPr>
        <w:t xml:space="preserve"> and the AS regimen as first-line treatment for advanced pancreatic carcinoma metastatic; </w:t>
      </w:r>
    </w:p>
    <w:p w14:paraId="2A565BD4" w14:textId="0BE367F1" w:rsidR="00DE4AFD" w:rsidRPr="00303844" w:rsidRDefault="004A4F56" w:rsidP="000C622D">
      <w:pPr>
        <w:pStyle w:val="HR"/>
        <w:spacing w:after="0"/>
        <w:ind w:left="900" w:firstLineChars="0" w:firstLine="0"/>
        <w:jc w:val="both"/>
        <w:rPr>
          <w:rFonts w:cs="Times New Roman"/>
          <w:lang w:val="en-US" w:eastAsia="zh-CN"/>
        </w:rPr>
      </w:pPr>
      <w:r w:rsidRPr="00303844">
        <w:rPr>
          <w:rFonts w:eastAsia="Times New Roman" w:cs="Times New Roman"/>
          <w:lang w:val="en-US" w:eastAsia="zh-CN"/>
        </w:rPr>
        <w:t xml:space="preserve">In this trial, DLTs are defined as any of the following </w:t>
      </w:r>
      <w:r w:rsidR="007F48EE">
        <w:rPr>
          <w:rFonts w:eastAsiaTheme="minorEastAsia" w:cs="Times New Roman" w:hint="eastAsia"/>
          <w:lang w:val="en-US" w:eastAsia="zh-CN"/>
        </w:rPr>
        <w:t>AE</w:t>
      </w:r>
      <w:r w:rsidRPr="00303844">
        <w:rPr>
          <w:rFonts w:eastAsia="Times New Roman" w:cs="Times New Roman"/>
          <w:lang w:val="en-US" w:eastAsia="zh-CN"/>
        </w:rPr>
        <w:t>s (NCI CTCAE 5.0) related to the product occurring during the study:</w:t>
      </w:r>
    </w:p>
    <w:p w14:paraId="4E0DA84F" w14:textId="77777777" w:rsidR="00DE4AFD" w:rsidRPr="00303844" w:rsidRDefault="004A4F56" w:rsidP="00960A5B">
      <w:pPr>
        <w:pStyle w:val="HR"/>
        <w:spacing w:after="0"/>
        <w:ind w:leftChars="650" w:left="1845" w:hangingChars="200" w:hanging="480"/>
        <w:jc w:val="both"/>
        <w:rPr>
          <w:rFonts w:cs="Times New Roman"/>
          <w:lang w:val="en-US" w:eastAsia="zh-CN"/>
        </w:rPr>
      </w:pPr>
      <w:r w:rsidRPr="00303844">
        <w:rPr>
          <w:rFonts w:eastAsia="Times New Roman" w:cs="Times New Roman"/>
          <w:lang w:val="en-US" w:eastAsia="zh-CN"/>
        </w:rPr>
        <w:t>1. Non-hematologic toxicities:</w:t>
      </w:r>
    </w:p>
    <w:p w14:paraId="7CFEC5CC" w14:textId="77777777" w:rsidR="00DE4AFD" w:rsidRPr="00303844" w:rsidRDefault="004A4F56" w:rsidP="00960A5B">
      <w:pPr>
        <w:pStyle w:val="HR"/>
        <w:spacing w:after="0"/>
        <w:ind w:leftChars="650" w:left="1845" w:hangingChars="200" w:hanging="480"/>
        <w:jc w:val="both"/>
        <w:rPr>
          <w:rFonts w:cs="Times New Roman"/>
          <w:lang w:val="en-US" w:eastAsia="zh-CN"/>
        </w:rPr>
      </w:pPr>
      <w:r w:rsidRPr="00303844">
        <w:rPr>
          <w:rFonts w:eastAsia="Times New Roman" w:cs="Times New Roman"/>
          <w:lang w:val="en-US" w:eastAsia="zh-CN"/>
        </w:rPr>
        <w:t>1)</w:t>
      </w:r>
      <w:r w:rsidRPr="00303844">
        <w:rPr>
          <w:rFonts w:cs="Times New Roman"/>
          <w:lang w:val="en-US"/>
        </w:rPr>
        <w:tab/>
      </w:r>
      <w:r w:rsidRPr="00303844">
        <w:rPr>
          <w:rFonts w:eastAsia="Times New Roman" w:cs="Times New Roman"/>
          <w:lang w:val="en-US" w:eastAsia="zh-CN"/>
        </w:rPr>
        <w:t xml:space="preserve">Non-hematologic toxicities of Grade ≥3, </w:t>
      </w:r>
      <w:r w:rsidRPr="00303844">
        <w:rPr>
          <w:rFonts w:eastAsia="Times New Roman" w:cs="Times New Roman"/>
          <w:color w:val="333333"/>
          <w:lang w:val="en-US" w:eastAsia="zh-CN"/>
        </w:rPr>
        <w:t xml:space="preserve">with the following exceptions: nausea, vomiting, </w:t>
      </w:r>
      <w:proofErr w:type="spellStart"/>
      <w:r w:rsidRPr="00303844">
        <w:rPr>
          <w:rFonts w:eastAsia="Times New Roman" w:cs="Times New Roman"/>
          <w:color w:val="333333"/>
          <w:lang w:val="en-US" w:eastAsia="zh-CN"/>
        </w:rPr>
        <w:t>diarrhoea</w:t>
      </w:r>
      <w:proofErr w:type="spellEnd"/>
      <w:r w:rsidRPr="00303844">
        <w:rPr>
          <w:rFonts w:eastAsia="Times New Roman" w:cs="Times New Roman"/>
          <w:color w:val="333333"/>
          <w:lang w:val="en-US" w:eastAsia="zh-CN"/>
        </w:rPr>
        <w:t>, constipation, electrolyte level decreased within one week after supportive care; Grade 3 fatigue ≤ 7 days of treatment; Grade 3 hypertension that can be controlled by drugs within 1 week; alopecia, fever, and increased alkaline phosphatase due to tumor or infection;</w:t>
      </w:r>
      <w:r w:rsidRPr="00303844">
        <w:rPr>
          <w:rFonts w:eastAsia="Times New Roman" w:cs="Times New Roman"/>
          <w:lang w:val="en-US" w:eastAsia="zh-CN"/>
        </w:rPr>
        <w:t xml:space="preserve"> </w:t>
      </w:r>
    </w:p>
    <w:p w14:paraId="54F720EA" w14:textId="2E173177" w:rsidR="00DE4AFD" w:rsidRPr="00303844" w:rsidRDefault="004A4F56" w:rsidP="00960A5B">
      <w:pPr>
        <w:pStyle w:val="HR"/>
        <w:spacing w:after="0"/>
        <w:ind w:leftChars="650" w:left="1845" w:hangingChars="200" w:hanging="480"/>
        <w:jc w:val="both"/>
        <w:rPr>
          <w:rFonts w:cs="Times New Roman"/>
          <w:lang w:val="en-US" w:eastAsia="zh-CN"/>
        </w:rPr>
      </w:pPr>
      <w:r w:rsidRPr="00303844">
        <w:rPr>
          <w:rFonts w:eastAsia="Times New Roman" w:cs="Times New Roman"/>
          <w:lang w:val="en-US" w:eastAsia="zh-CN"/>
        </w:rPr>
        <w:t>2)</w:t>
      </w:r>
      <w:r w:rsidRPr="00303844">
        <w:rPr>
          <w:rFonts w:cs="Times New Roman"/>
          <w:lang w:val="en-US"/>
        </w:rPr>
        <w:tab/>
      </w:r>
      <w:r w:rsidRPr="00303844">
        <w:rPr>
          <w:rFonts w:eastAsia="Times New Roman" w:cs="Times New Roman"/>
          <w:color w:val="333333"/>
          <w:lang w:val="en-US" w:eastAsia="zh-CN"/>
        </w:rPr>
        <w:t xml:space="preserve">Decrease in ventricular ejection fraction </w:t>
      </w:r>
      <w:r w:rsidRPr="00303844">
        <w:rPr>
          <w:rFonts w:eastAsia="Times New Roman" w:cs="Times New Roman"/>
          <w:lang w:val="en-US" w:eastAsia="zh-CN"/>
        </w:rPr>
        <w:t xml:space="preserve">of Grade ≥ 3; </w:t>
      </w:r>
    </w:p>
    <w:p w14:paraId="27B689F3" w14:textId="77777777" w:rsidR="00DE4AFD" w:rsidRPr="00303844" w:rsidRDefault="004A4F56" w:rsidP="00960A5B">
      <w:pPr>
        <w:pStyle w:val="HR"/>
        <w:spacing w:after="0"/>
        <w:ind w:leftChars="650" w:left="1845" w:hangingChars="200" w:hanging="480"/>
        <w:jc w:val="both"/>
        <w:rPr>
          <w:rFonts w:cs="Times New Roman"/>
          <w:lang w:val="en-US" w:eastAsia="zh-CN"/>
        </w:rPr>
      </w:pPr>
      <w:r w:rsidRPr="00303844">
        <w:rPr>
          <w:rFonts w:eastAsia="Times New Roman" w:cs="Times New Roman"/>
          <w:lang w:val="en-US" w:eastAsia="zh-CN"/>
        </w:rPr>
        <w:t>2. Hematologic toxicities:</w:t>
      </w:r>
    </w:p>
    <w:p w14:paraId="0DA1761A" w14:textId="4AD15C73" w:rsidR="00DE4AFD" w:rsidRPr="00303844" w:rsidRDefault="004A4F56" w:rsidP="00960A5B">
      <w:pPr>
        <w:pStyle w:val="HR"/>
        <w:spacing w:after="0"/>
        <w:ind w:leftChars="650" w:left="1845" w:hangingChars="200" w:hanging="480"/>
        <w:jc w:val="both"/>
        <w:rPr>
          <w:rFonts w:cs="Times New Roman"/>
          <w:lang w:val="en-US" w:eastAsia="zh-CN"/>
        </w:rPr>
      </w:pPr>
      <w:r w:rsidRPr="00303844">
        <w:rPr>
          <w:rFonts w:eastAsia="Times New Roman" w:cs="Times New Roman"/>
          <w:lang w:val="en-US" w:eastAsia="zh-CN"/>
        </w:rPr>
        <w:lastRenderedPageBreak/>
        <w:t>1)</w:t>
      </w:r>
      <w:r w:rsidRPr="00303844">
        <w:rPr>
          <w:rFonts w:cs="Times New Roman"/>
          <w:lang w:val="en-US" w:eastAsia="zh-CN"/>
        </w:rPr>
        <w:tab/>
      </w:r>
      <w:r w:rsidRPr="00303844">
        <w:rPr>
          <w:rFonts w:eastAsia="Times New Roman" w:cs="Times New Roman"/>
          <w:lang w:val="en-US" w:eastAsia="zh-CN"/>
        </w:rPr>
        <w:t xml:space="preserve">Regarding possible </w:t>
      </w:r>
      <w:r w:rsidR="007F48EE">
        <w:rPr>
          <w:rFonts w:eastAsiaTheme="minorEastAsia" w:cs="Times New Roman" w:hint="eastAsia"/>
          <w:lang w:val="en-US" w:eastAsia="zh-CN"/>
        </w:rPr>
        <w:t>AE</w:t>
      </w:r>
      <w:r w:rsidRPr="00303844">
        <w:rPr>
          <w:rFonts w:eastAsia="Times New Roman" w:cs="Times New Roman"/>
          <w:lang w:val="en-US" w:eastAsia="zh-CN"/>
        </w:rPr>
        <w:t>s, even with symptomatic treatment, the following still occurs: G</w:t>
      </w:r>
      <w:r w:rsidRPr="00303844">
        <w:rPr>
          <w:rFonts w:eastAsia="Times New Roman" w:cs="Times New Roman"/>
          <w:color w:val="333333"/>
          <w:lang w:val="en-US" w:eastAsia="zh-CN"/>
        </w:rPr>
        <w:t xml:space="preserve">rade 4 neutropenia, thrombocytopenia, and hemoglobin decreased confirmed by at least 2 tests in 2 days; Grade 3 thrombocytopenia with </w:t>
      </w:r>
      <w:r w:rsidRPr="00303844">
        <w:rPr>
          <w:rFonts w:eastAsia="Times New Roman" w:cs="Times New Roman"/>
          <w:color w:val="000000"/>
          <w:lang w:val="en-US" w:eastAsia="zh-CN"/>
        </w:rPr>
        <w:t>hemorrhage</w:t>
      </w:r>
      <w:r w:rsidRPr="00303844">
        <w:rPr>
          <w:rFonts w:eastAsia="Times New Roman" w:cs="Times New Roman"/>
          <w:color w:val="333333"/>
          <w:lang w:val="en-US" w:eastAsia="zh-CN"/>
        </w:rPr>
        <w:t xml:space="preserve"> tendency confirmed by at least 2 tests within 2 days;</w:t>
      </w:r>
      <w:r w:rsidRPr="00303844">
        <w:rPr>
          <w:rFonts w:eastAsia="Times New Roman" w:cs="Times New Roman"/>
          <w:lang w:val="en-US" w:eastAsia="zh-CN"/>
        </w:rPr>
        <w:t xml:space="preserve"> </w:t>
      </w:r>
    </w:p>
    <w:p w14:paraId="0F696133" w14:textId="5CD486C9" w:rsidR="00DE4AFD" w:rsidRPr="00303844" w:rsidRDefault="004A4F56" w:rsidP="00960A5B">
      <w:pPr>
        <w:pStyle w:val="HR"/>
        <w:spacing w:after="0"/>
        <w:ind w:leftChars="650" w:left="1845" w:hangingChars="200" w:hanging="480"/>
        <w:jc w:val="both"/>
        <w:rPr>
          <w:rFonts w:cs="Times New Roman"/>
          <w:lang w:val="en-US" w:eastAsia="zh-CN"/>
        </w:rPr>
      </w:pPr>
      <w:r w:rsidRPr="00303844">
        <w:rPr>
          <w:rFonts w:eastAsia="Times New Roman" w:cs="Times New Roman"/>
          <w:lang w:val="en-US" w:eastAsia="zh-CN"/>
        </w:rPr>
        <w:t>2)</w:t>
      </w:r>
      <w:r w:rsidRPr="00303844">
        <w:rPr>
          <w:rFonts w:cs="Times New Roman"/>
          <w:lang w:val="en-US" w:eastAsia="zh-CN"/>
        </w:rPr>
        <w:tab/>
      </w:r>
      <w:r w:rsidRPr="00303844">
        <w:rPr>
          <w:rFonts w:eastAsia="Times New Roman" w:cs="Times New Roman"/>
          <w:lang w:val="en-US" w:eastAsia="zh-CN"/>
        </w:rPr>
        <w:t xml:space="preserve">Regarding possible </w:t>
      </w:r>
      <w:r w:rsidR="007F48EE">
        <w:rPr>
          <w:rFonts w:eastAsiaTheme="minorEastAsia" w:cs="Times New Roman" w:hint="eastAsia"/>
          <w:lang w:val="en-US" w:eastAsia="zh-CN"/>
        </w:rPr>
        <w:t>AE</w:t>
      </w:r>
      <w:r w:rsidRPr="00303844">
        <w:rPr>
          <w:rFonts w:eastAsia="Times New Roman" w:cs="Times New Roman"/>
          <w:lang w:val="en-US" w:eastAsia="zh-CN"/>
        </w:rPr>
        <w:t>s, even with symptomatic treatment, the following still occurs: G</w:t>
      </w:r>
      <w:r w:rsidRPr="00303844">
        <w:rPr>
          <w:rFonts w:eastAsia="Times New Roman" w:cs="Times New Roman"/>
          <w:color w:val="333333"/>
          <w:lang w:val="en-US" w:eastAsia="zh-CN"/>
        </w:rPr>
        <w:t>rade 3 neutropenia with fever (neutrophil count &lt; 1.0 × 10</w:t>
      </w:r>
      <w:r w:rsidRPr="00303844">
        <w:rPr>
          <w:rFonts w:eastAsia="Times New Roman" w:cs="Times New Roman"/>
          <w:color w:val="333333"/>
          <w:vertAlign w:val="superscript"/>
          <w:lang w:val="en-US" w:eastAsia="zh-CN"/>
        </w:rPr>
        <w:t>9</w:t>
      </w:r>
      <w:r w:rsidRPr="00303844">
        <w:rPr>
          <w:rFonts w:eastAsia="Times New Roman" w:cs="Times New Roman"/>
          <w:color w:val="333333"/>
          <w:lang w:val="en-US" w:eastAsia="zh-CN"/>
        </w:rPr>
        <w:t>/L; body temperature ≥ 38.5 °C) confirmed at least twice in 2 days.</w:t>
      </w:r>
      <w:r w:rsidRPr="00303844">
        <w:rPr>
          <w:rFonts w:eastAsia="Times New Roman" w:cs="Times New Roman"/>
          <w:lang w:val="en-US" w:eastAsia="zh-CN"/>
        </w:rPr>
        <w:t xml:space="preserve"> </w:t>
      </w:r>
    </w:p>
    <w:p w14:paraId="07BDCCD3" w14:textId="77777777" w:rsidR="00DE4AFD" w:rsidRPr="00303844" w:rsidRDefault="004A4F56" w:rsidP="000C622D">
      <w:pPr>
        <w:pStyle w:val="HR"/>
        <w:numPr>
          <w:ilvl w:val="0"/>
          <w:numId w:val="16"/>
        </w:numPr>
        <w:spacing w:after="0"/>
        <w:ind w:firstLineChars="0"/>
        <w:jc w:val="both"/>
        <w:rPr>
          <w:rFonts w:cs="Times New Roman"/>
          <w:lang w:val="en-US" w:eastAsia="zh-CN"/>
        </w:rPr>
      </w:pPr>
      <w:r w:rsidRPr="00303844">
        <w:rPr>
          <w:rFonts w:eastAsia="Times New Roman" w:cs="Times New Roman"/>
          <w:lang w:val="en-US" w:eastAsia="zh-CN"/>
        </w:rPr>
        <w:t xml:space="preserve">The primary endpoint of the Phase II study is to evaluate the objective response rate (ORR) of first-line treatment with </w:t>
      </w:r>
      <w:proofErr w:type="spellStart"/>
      <w:r w:rsidRPr="00303844">
        <w:rPr>
          <w:rFonts w:eastAsia="Times New Roman" w:cs="Times New Roman"/>
          <w:lang w:val="en-US" w:eastAsia="zh-CN"/>
        </w:rPr>
        <w:t>s</w:t>
      </w:r>
      <w:r w:rsidRPr="00303844">
        <w:rPr>
          <w:rFonts w:eastAsia="Times New Roman" w:cs="Times New Roman"/>
          <w:color w:val="000000"/>
          <w:lang w:val="en-US" w:eastAsia="zh-CN"/>
        </w:rPr>
        <w:t>urufatinib</w:t>
      </w:r>
      <w:proofErr w:type="spellEnd"/>
      <w:r w:rsidRPr="00303844">
        <w:rPr>
          <w:rFonts w:eastAsia="Times New Roman" w:cs="Times New Roman"/>
          <w:lang w:val="en-US" w:eastAsia="zh-CN"/>
        </w:rPr>
        <w:t xml:space="preserve"> combined with </w:t>
      </w:r>
      <w:proofErr w:type="spellStart"/>
      <w:r w:rsidRPr="00303844">
        <w:rPr>
          <w:rFonts w:eastAsia="Times New Roman" w:cs="Times New Roman"/>
          <w:lang w:val="en-US" w:eastAsia="zh-CN"/>
        </w:rPr>
        <w:t>camrelizumab</w:t>
      </w:r>
      <w:proofErr w:type="spellEnd"/>
      <w:r w:rsidRPr="00303844">
        <w:rPr>
          <w:rFonts w:eastAsia="Times New Roman" w:cs="Times New Roman"/>
          <w:lang w:val="en-US" w:eastAsia="zh-CN"/>
        </w:rPr>
        <w:t xml:space="preserve"> and the AS regimen in advanced pancreatic carcinoma metastatic. </w:t>
      </w:r>
    </w:p>
    <w:p w14:paraId="17677ACB" w14:textId="77777777" w:rsidR="00DE4AFD" w:rsidRPr="00303844" w:rsidRDefault="004A4F56" w:rsidP="000C622D">
      <w:pPr>
        <w:pStyle w:val="21"/>
        <w:spacing w:before="0" w:after="0" w:line="360" w:lineRule="auto"/>
        <w:rPr>
          <w:rFonts w:eastAsia="宋体" w:cs="Times New Roman"/>
        </w:rPr>
      </w:pPr>
      <w:bookmarkStart w:id="30" w:name="_Toc469320952"/>
      <w:bookmarkStart w:id="31" w:name="_Toc184889606"/>
      <w:bookmarkEnd w:id="30"/>
      <w:r w:rsidRPr="00303844">
        <w:rPr>
          <w:rFonts w:eastAsia="Times New Roman" w:cs="Times New Roman"/>
        </w:rPr>
        <w:t>Secondary Study Endpoints</w:t>
      </w:r>
      <w:bookmarkEnd w:id="31"/>
    </w:p>
    <w:p w14:paraId="77DE83CD" w14:textId="77777777" w:rsidR="00DE4AFD" w:rsidRPr="00303844" w:rsidRDefault="004A4F56" w:rsidP="000C622D">
      <w:pPr>
        <w:pStyle w:val="HR"/>
        <w:numPr>
          <w:ilvl w:val="0"/>
          <w:numId w:val="16"/>
        </w:numPr>
        <w:spacing w:after="0"/>
        <w:ind w:firstLineChars="0"/>
        <w:jc w:val="both"/>
        <w:rPr>
          <w:rFonts w:cs="Times New Roman"/>
          <w:lang w:val="en-US" w:eastAsia="zh-CN"/>
        </w:rPr>
      </w:pPr>
      <w:r w:rsidRPr="00303844">
        <w:rPr>
          <w:rFonts w:eastAsia="Times New Roman" w:cs="Times New Roman"/>
          <w:lang w:val="en-US" w:eastAsia="zh-CN"/>
        </w:rPr>
        <w:t xml:space="preserve">To evaluate the progression-free survival (PFS), disease control rate (DCR), overall survival (OS), and safety of first-line treatment with </w:t>
      </w:r>
      <w:proofErr w:type="spellStart"/>
      <w:r w:rsidRPr="00303844">
        <w:rPr>
          <w:rFonts w:eastAsia="Times New Roman" w:cs="Times New Roman"/>
          <w:lang w:val="en-US" w:eastAsia="zh-CN"/>
        </w:rPr>
        <w:t>s</w:t>
      </w:r>
      <w:r w:rsidRPr="00303844">
        <w:rPr>
          <w:rFonts w:eastAsia="Times New Roman" w:cs="Times New Roman"/>
          <w:color w:val="000000"/>
          <w:lang w:val="en-US" w:eastAsia="zh-CN"/>
        </w:rPr>
        <w:t>urufatinib</w:t>
      </w:r>
      <w:proofErr w:type="spellEnd"/>
      <w:r w:rsidRPr="00303844">
        <w:rPr>
          <w:rFonts w:eastAsia="Times New Roman" w:cs="Times New Roman"/>
          <w:lang w:val="en-US" w:eastAsia="zh-CN"/>
        </w:rPr>
        <w:t xml:space="preserve"> combined with </w:t>
      </w:r>
      <w:proofErr w:type="spellStart"/>
      <w:r w:rsidRPr="00303844">
        <w:rPr>
          <w:rFonts w:eastAsia="Times New Roman" w:cs="Times New Roman"/>
          <w:lang w:val="en-US" w:eastAsia="zh-CN"/>
        </w:rPr>
        <w:t>camrelizumab</w:t>
      </w:r>
      <w:proofErr w:type="spellEnd"/>
      <w:r w:rsidRPr="00303844">
        <w:rPr>
          <w:rFonts w:eastAsia="Times New Roman" w:cs="Times New Roman"/>
          <w:lang w:val="en-US" w:eastAsia="zh-CN"/>
        </w:rPr>
        <w:t xml:space="preserve"> and the AS regimen in advanced pancreatic carcinoma metastatic. </w:t>
      </w:r>
    </w:p>
    <w:p w14:paraId="2E73494F" w14:textId="77777777" w:rsidR="00DE4AFD" w:rsidRPr="00303844" w:rsidRDefault="004A4F56" w:rsidP="000C622D">
      <w:pPr>
        <w:pStyle w:val="10"/>
        <w:spacing w:before="0" w:after="0" w:line="360" w:lineRule="auto"/>
        <w:jc w:val="both"/>
        <w:rPr>
          <w:rFonts w:cs="Times New Roman"/>
        </w:rPr>
      </w:pPr>
      <w:bookmarkStart w:id="32" w:name="_Toc184889607"/>
      <w:r w:rsidRPr="00303844">
        <w:rPr>
          <w:rFonts w:eastAsia="Times New Roman" w:cs="Times New Roman"/>
        </w:rPr>
        <w:t>Study Design</w:t>
      </w:r>
      <w:bookmarkEnd w:id="32"/>
    </w:p>
    <w:p w14:paraId="17D01CAA" w14:textId="77777777" w:rsidR="00DE4AFD" w:rsidRPr="00303844" w:rsidRDefault="004A4F56" w:rsidP="000C622D">
      <w:pPr>
        <w:pStyle w:val="21"/>
        <w:spacing w:before="0" w:after="0" w:line="360" w:lineRule="auto"/>
        <w:rPr>
          <w:rFonts w:eastAsia="宋体" w:cs="Times New Roman"/>
        </w:rPr>
      </w:pPr>
      <w:bookmarkStart w:id="33" w:name="_Toc184889608"/>
      <w:r w:rsidRPr="00303844">
        <w:rPr>
          <w:rFonts w:eastAsia="Times New Roman" w:cs="Times New Roman"/>
        </w:rPr>
        <w:t>Overall Design</w:t>
      </w:r>
      <w:bookmarkEnd w:id="33"/>
    </w:p>
    <w:p w14:paraId="25E86BBE" w14:textId="77777777" w:rsidR="00DE4AFD" w:rsidRPr="00303844" w:rsidRDefault="004A4F56" w:rsidP="0069237C">
      <w:pPr>
        <w:pStyle w:val="HR"/>
        <w:spacing w:after="0"/>
        <w:ind w:firstLineChars="0" w:firstLine="0"/>
        <w:jc w:val="both"/>
        <w:rPr>
          <w:rFonts w:cs="Times New Roman"/>
          <w:lang w:val="en-US" w:eastAsia="zh-CN"/>
        </w:rPr>
      </w:pPr>
      <w:r w:rsidRPr="00303844">
        <w:rPr>
          <w:rFonts w:eastAsia="Times New Roman" w:cs="Times New Roman"/>
          <w:lang w:val="en-US" w:eastAsia="zh-CN"/>
        </w:rPr>
        <w:t>This study is a prospective</w:t>
      </w:r>
      <w:r w:rsidRPr="00303844">
        <w:rPr>
          <w:rFonts w:eastAsia="Times New Roman" w:cs="Times New Roman"/>
          <w:color w:val="000000"/>
          <w:lang w:val="en-US" w:eastAsia="zh-CN"/>
        </w:rPr>
        <w:t xml:space="preserve">, single-center, randomized controlled Phase </w:t>
      </w:r>
      <w:proofErr w:type="spellStart"/>
      <w:r w:rsidRPr="00303844">
        <w:rPr>
          <w:rFonts w:eastAsia="Times New Roman" w:cs="Times New Roman"/>
          <w:color w:val="000000"/>
          <w:lang w:val="en-US" w:eastAsia="zh-CN"/>
        </w:rPr>
        <w:t>Ib</w:t>
      </w:r>
      <w:proofErr w:type="spellEnd"/>
      <w:r w:rsidRPr="00303844">
        <w:rPr>
          <w:rFonts w:eastAsia="Times New Roman" w:cs="Times New Roman"/>
          <w:color w:val="000000"/>
          <w:lang w:val="en-US" w:eastAsia="zh-CN"/>
        </w:rPr>
        <w:t>/II study,</w:t>
      </w:r>
      <w:r w:rsidRPr="00303844">
        <w:rPr>
          <w:rFonts w:eastAsia="Times New Roman" w:cs="Times New Roman"/>
          <w:lang w:val="en-US" w:eastAsia="zh-CN"/>
        </w:rPr>
        <w:t xml:space="preserve"> enrolling patients with unresectable locally advanced or pancreatic carcinoma metastatic who have not received prior systemic therapy. In the </w:t>
      </w:r>
      <w:r w:rsidRPr="00303844">
        <w:rPr>
          <w:rFonts w:eastAsia="Times New Roman" w:cs="Times New Roman"/>
          <w:color w:val="000000"/>
          <w:lang w:val="en-US" w:eastAsia="zh-CN"/>
        </w:rPr>
        <w:t xml:space="preserve">Phase </w:t>
      </w:r>
      <w:proofErr w:type="spellStart"/>
      <w:r w:rsidRPr="00303844">
        <w:rPr>
          <w:rFonts w:eastAsia="Times New Roman" w:cs="Times New Roman"/>
          <w:color w:val="000000"/>
          <w:lang w:val="en-US" w:eastAsia="zh-CN"/>
        </w:rPr>
        <w:t>Ib</w:t>
      </w:r>
      <w:proofErr w:type="spellEnd"/>
      <w:r w:rsidRPr="00303844">
        <w:rPr>
          <w:rFonts w:eastAsia="Times New Roman" w:cs="Times New Roman"/>
          <w:lang w:val="en-US" w:eastAsia="zh-CN"/>
        </w:rPr>
        <w:t xml:space="preserve"> stage, 9-15 subjects will be recruited using a 3+3 dose escalation scheme to explore the DLTs and RP2D of </w:t>
      </w:r>
      <w:proofErr w:type="spellStart"/>
      <w:r w:rsidRPr="00303844">
        <w:rPr>
          <w:rFonts w:eastAsia="Times New Roman" w:cs="Times New Roman"/>
          <w:lang w:val="en-US" w:eastAsia="zh-CN"/>
        </w:rPr>
        <w:t>s</w:t>
      </w:r>
      <w:r w:rsidRPr="00303844">
        <w:rPr>
          <w:rFonts w:eastAsia="Times New Roman" w:cs="Times New Roman"/>
          <w:color w:val="000000"/>
          <w:lang w:val="en-US" w:eastAsia="zh-CN"/>
        </w:rPr>
        <w:t>urufatinib</w:t>
      </w:r>
      <w:proofErr w:type="spellEnd"/>
      <w:r w:rsidRPr="00303844">
        <w:rPr>
          <w:rFonts w:eastAsia="Times New Roman" w:cs="Times New Roman"/>
          <w:lang w:val="en-US" w:eastAsia="zh-CN"/>
        </w:rPr>
        <w:t xml:space="preserve"> combined with </w:t>
      </w:r>
      <w:proofErr w:type="spellStart"/>
      <w:r w:rsidRPr="00303844">
        <w:rPr>
          <w:rFonts w:eastAsia="Times New Roman" w:cs="Times New Roman"/>
          <w:lang w:val="en-US" w:eastAsia="zh-CN"/>
        </w:rPr>
        <w:t>camrelizumab</w:t>
      </w:r>
      <w:proofErr w:type="spellEnd"/>
      <w:r w:rsidRPr="00303844">
        <w:rPr>
          <w:rFonts w:eastAsia="Times New Roman" w:cs="Times New Roman"/>
          <w:lang w:val="en-US" w:eastAsia="zh-CN"/>
        </w:rPr>
        <w:t xml:space="preserve"> and the AS regimen. In the Phase II dose expansion stage, 90 subjects will be recruited and randomly assigned in a 1:1 ratio into the test group (45 cases) or the control group (45 cases), receiving </w:t>
      </w:r>
      <w:proofErr w:type="spellStart"/>
      <w:r w:rsidRPr="00303844">
        <w:rPr>
          <w:rFonts w:eastAsia="Times New Roman" w:cs="Times New Roman"/>
          <w:lang w:val="en-US" w:eastAsia="zh-CN"/>
        </w:rPr>
        <w:t>s</w:t>
      </w:r>
      <w:r w:rsidRPr="00303844">
        <w:rPr>
          <w:rFonts w:eastAsia="Times New Roman" w:cs="Times New Roman"/>
          <w:color w:val="000000"/>
          <w:lang w:val="en-US" w:eastAsia="zh-CN"/>
        </w:rPr>
        <w:t>urufatinib</w:t>
      </w:r>
      <w:proofErr w:type="spellEnd"/>
      <w:r w:rsidRPr="00303844">
        <w:rPr>
          <w:rFonts w:eastAsia="Times New Roman" w:cs="Times New Roman"/>
          <w:lang w:val="en-US" w:eastAsia="zh-CN"/>
        </w:rPr>
        <w:t xml:space="preserve"> combined with </w:t>
      </w:r>
      <w:proofErr w:type="spellStart"/>
      <w:r w:rsidRPr="00303844">
        <w:rPr>
          <w:rFonts w:eastAsia="Times New Roman" w:cs="Times New Roman"/>
          <w:lang w:val="en-US" w:eastAsia="zh-CN"/>
        </w:rPr>
        <w:t>camrelizumab</w:t>
      </w:r>
      <w:proofErr w:type="spellEnd"/>
      <w:r w:rsidRPr="00303844">
        <w:rPr>
          <w:rFonts w:eastAsia="Times New Roman" w:cs="Times New Roman"/>
          <w:lang w:val="en-US" w:eastAsia="zh-CN"/>
        </w:rPr>
        <w:t xml:space="preserve"> and the AS regimen or standard first-line GN chemotherapy, until intolerable toxicity, disease progression, or death, to evaluate efficacy and safety. </w:t>
      </w:r>
    </w:p>
    <w:p w14:paraId="607A2486" w14:textId="77777777" w:rsidR="00DE4AFD" w:rsidRPr="00303844" w:rsidRDefault="004A4F56" w:rsidP="0069237C">
      <w:pPr>
        <w:pStyle w:val="HR"/>
        <w:spacing w:after="0"/>
        <w:ind w:firstLineChars="0" w:firstLine="0"/>
        <w:jc w:val="both"/>
        <w:rPr>
          <w:rFonts w:cs="Times New Roman"/>
          <w:lang w:val="en-US" w:eastAsia="zh-CN"/>
        </w:rPr>
      </w:pPr>
      <w:r w:rsidRPr="00303844">
        <w:rPr>
          <w:rFonts w:eastAsia="Times New Roman" w:cs="Times New Roman"/>
          <w:lang w:val="en-US"/>
        </w:rPr>
        <w:t xml:space="preserve">This study is divided into three phases: screening phase, treatment phase, and follow-up phase. Every 6 weeks (±2 days), imaging methods will be used to assess the </w:t>
      </w:r>
      <w:r w:rsidRPr="00303844">
        <w:rPr>
          <w:rFonts w:eastAsia="Times New Roman" w:cs="Times New Roman"/>
          <w:color w:val="333333"/>
          <w:lang w:val="en-US"/>
        </w:rPr>
        <w:t>tumor</w:t>
      </w:r>
      <w:r w:rsidRPr="00303844">
        <w:rPr>
          <w:rFonts w:eastAsia="Times New Roman" w:cs="Times New Roman"/>
          <w:lang w:val="en-US"/>
        </w:rPr>
        <w:t xml:space="preserve"> status until disease progression (RECIST 1.1), death (during the patient’s treatment), or intolerable toxicity occurs, </w:t>
      </w:r>
      <w:r w:rsidRPr="00303844">
        <w:rPr>
          <w:rFonts w:eastAsia="Times New Roman" w:cs="Times New Roman"/>
          <w:lang w:val="en-US"/>
        </w:rPr>
        <w:lastRenderedPageBreak/>
        <w:t xml:space="preserve">and record the </w:t>
      </w:r>
      <w:r w:rsidRPr="00303844">
        <w:rPr>
          <w:rFonts w:eastAsia="Times New Roman" w:cs="Times New Roman"/>
          <w:color w:val="333333"/>
          <w:lang w:val="en-US"/>
        </w:rPr>
        <w:t>tumor</w:t>
      </w:r>
      <w:r w:rsidRPr="00303844">
        <w:rPr>
          <w:rFonts w:eastAsia="Times New Roman" w:cs="Times New Roman"/>
          <w:lang w:val="en-US"/>
        </w:rPr>
        <w:t xml:space="preserve"> treatment and survival status after disease progression. </w:t>
      </w:r>
      <w:r w:rsidRPr="00303844">
        <w:rPr>
          <w:rFonts w:eastAsia="Times New Roman" w:cs="Times New Roman"/>
          <w:color w:val="333333"/>
          <w:lang w:val="en-US" w:eastAsia="zh-CN"/>
        </w:rPr>
        <w:t>Safety observations included: AEs, changes in laboratory values, vital signs, and changes in electrocardiograms, etc.</w:t>
      </w:r>
      <w:r w:rsidRPr="00303844">
        <w:rPr>
          <w:rFonts w:eastAsia="Times New Roman" w:cs="Times New Roman"/>
          <w:lang w:val="en-US" w:eastAsia="zh-CN"/>
        </w:rPr>
        <w:t xml:space="preserve"> </w:t>
      </w:r>
    </w:p>
    <w:p w14:paraId="48D813FA" w14:textId="77777777" w:rsidR="00DE4AFD" w:rsidRPr="00303844" w:rsidRDefault="004A4F56" w:rsidP="0069237C">
      <w:pPr>
        <w:pStyle w:val="HR"/>
        <w:spacing w:after="0"/>
        <w:ind w:firstLineChars="0" w:firstLine="0"/>
        <w:jc w:val="both"/>
        <w:rPr>
          <w:rFonts w:cs="Times New Roman"/>
          <w:lang w:val="en-US" w:eastAsia="zh-CN"/>
        </w:rPr>
      </w:pPr>
      <w:r w:rsidRPr="00303844">
        <w:rPr>
          <w:rFonts w:eastAsia="Times New Roman" w:cs="Times New Roman"/>
          <w:lang w:val="en-US" w:eastAsia="zh-CN"/>
        </w:rPr>
        <w:t xml:space="preserve">Table 2 </w:t>
      </w:r>
      <w:r w:rsidRPr="00303844">
        <w:rPr>
          <w:rFonts w:eastAsia="Times New Roman" w:cs="Times New Roman"/>
          <w:color w:val="333333"/>
          <w:lang w:val="en-US" w:eastAsia="zh-CN"/>
        </w:rPr>
        <w:t>Definition of Time for the 3 Periods During the Study</w:t>
      </w:r>
    </w:p>
    <w:tbl>
      <w:tblPr>
        <w:tblStyle w:val="af6"/>
        <w:tblW w:w="5000" w:type="pct"/>
        <w:tblCellMar>
          <w:left w:w="57" w:type="dxa"/>
          <w:right w:w="57" w:type="dxa"/>
        </w:tblCellMar>
        <w:tblLook w:val="04A0" w:firstRow="1" w:lastRow="0" w:firstColumn="1" w:lastColumn="0" w:noHBand="0" w:noVBand="1"/>
      </w:tblPr>
      <w:tblGrid>
        <w:gridCol w:w="3007"/>
        <w:gridCol w:w="3004"/>
        <w:gridCol w:w="3005"/>
      </w:tblGrid>
      <w:tr w:rsidR="00DE4AFD" w:rsidRPr="00227F09" w14:paraId="1535E542" w14:textId="77777777" w:rsidTr="003F7776">
        <w:tc>
          <w:tcPr>
            <w:tcW w:w="3020" w:type="dxa"/>
          </w:tcPr>
          <w:p w14:paraId="24833BDB" w14:textId="77777777" w:rsidR="00DE4AFD" w:rsidRPr="00227F09" w:rsidRDefault="004A4F56" w:rsidP="003F7776">
            <w:pPr>
              <w:pStyle w:val="HR"/>
              <w:spacing w:after="0" w:line="240" w:lineRule="auto"/>
              <w:ind w:firstLineChars="0" w:firstLine="0"/>
              <w:jc w:val="both"/>
              <w:rPr>
                <w:rFonts w:cs="Times New Roman"/>
                <w:sz w:val="21"/>
                <w:szCs w:val="21"/>
                <w:lang w:eastAsia="zh-CN"/>
              </w:rPr>
            </w:pPr>
            <w:r w:rsidRPr="00227F09">
              <w:rPr>
                <w:rFonts w:eastAsia="Times New Roman" w:cs="Times New Roman"/>
                <w:sz w:val="21"/>
                <w:szCs w:val="21"/>
                <w:lang w:eastAsia="zh-CN"/>
              </w:rPr>
              <w:t>Screening</w:t>
            </w:r>
          </w:p>
        </w:tc>
        <w:tc>
          <w:tcPr>
            <w:tcW w:w="3020" w:type="dxa"/>
          </w:tcPr>
          <w:p w14:paraId="599C18D3" w14:textId="77777777" w:rsidR="00DE4AFD" w:rsidRPr="00227F09" w:rsidRDefault="004A4F56" w:rsidP="003F7776">
            <w:pPr>
              <w:pStyle w:val="HR"/>
              <w:spacing w:after="0" w:line="240" w:lineRule="auto"/>
              <w:ind w:firstLineChars="0" w:firstLine="0"/>
              <w:jc w:val="both"/>
              <w:rPr>
                <w:rFonts w:cs="Times New Roman"/>
                <w:sz w:val="21"/>
                <w:szCs w:val="21"/>
                <w:lang w:eastAsia="zh-CN"/>
              </w:rPr>
            </w:pPr>
            <w:r w:rsidRPr="00227F09">
              <w:rPr>
                <w:rFonts w:eastAsia="Times New Roman" w:cs="Times New Roman"/>
                <w:color w:val="333333"/>
                <w:sz w:val="21"/>
                <w:szCs w:val="21"/>
                <w:lang w:eastAsia="zh-CN"/>
              </w:rPr>
              <w:t>Treatment Period</w:t>
            </w:r>
          </w:p>
        </w:tc>
        <w:tc>
          <w:tcPr>
            <w:tcW w:w="3021" w:type="dxa"/>
          </w:tcPr>
          <w:p w14:paraId="54712F71" w14:textId="77777777" w:rsidR="00DE4AFD" w:rsidRPr="00227F09" w:rsidRDefault="004A4F56" w:rsidP="003F7776">
            <w:pPr>
              <w:pStyle w:val="HR"/>
              <w:spacing w:after="0" w:line="240" w:lineRule="auto"/>
              <w:ind w:firstLineChars="0" w:firstLine="0"/>
              <w:jc w:val="both"/>
              <w:rPr>
                <w:rFonts w:cs="Times New Roman"/>
                <w:sz w:val="21"/>
                <w:szCs w:val="21"/>
                <w:lang w:eastAsia="zh-CN"/>
              </w:rPr>
            </w:pPr>
            <w:r w:rsidRPr="00227F09">
              <w:rPr>
                <w:rFonts w:eastAsia="Times New Roman" w:cs="Times New Roman"/>
                <w:sz w:val="21"/>
                <w:szCs w:val="21"/>
                <w:lang w:eastAsia="zh-CN"/>
              </w:rPr>
              <w:t xml:space="preserve">Follow-up </w:t>
            </w:r>
            <w:r w:rsidRPr="00227F09">
              <w:rPr>
                <w:rFonts w:eastAsia="Times New Roman" w:cs="Times New Roman"/>
                <w:color w:val="333333"/>
                <w:sz w:val="21"/>
                <w:szCs w:val="21"/>
                <w:lang w:eastAsia="zh-CN"/>
              </w:rPr>
              <w:t>Period</w:t>
            </w:r>
          </w:p>
        </w:tc>
      </w:tr>
      <w:tr w:rsidR="00DE4AFD" w:rsidRPr="00227F09" w14:paraId="409AA263" w14:textId="77777777" w:rsidTr="003F7776">
        <w:tc>
          <w:tcPr>
            <w:tcW w:w="3020" w:type="dxa"/>
          </w:tcPr>
          <w:p w14:paraId="4FA8DB55" w14:textId="77777777" w:rsidR="00DE4AFD" w:rsidRPr="00227F09" w:rsidRDefault="004A4F56" w:rsidP="003F7776">
            <w:pPr>
              <w:pStyle w:val="HR"/>
              <w:spacing w:after="0" w:line="240" w:lineRule="auto"/>
              <w:ind w:firstLineChars="0" w:firstLine="0"/>
              <w:jc w:val="both"/>
              <w:rPr>
                <w:rFonts w:cs="Times New Roman"/>
                <w:sz w:val="21"/>
                <w:szCs w:val="21"/>
                <w:lang w:val="en-US" w:eastAsia="zh-CN"/>
              </w:rPr>
            </w:pPr>
            <w:r w:rsidRPr="00227F09">
              <w:rPr>
                <w:rFonts w:eastAsia="Times New Roman" w:cs="Times New Roman"/>
                <w:sz w:val="21"/>
                <w:szCs w:val="21"/>
                <w:lang w:val="en-US" w:eastAsia="zh-CN"/>
              </w:rPr>
              <w:t>Day -21 to Day -1</w:t>
            </w:r>
          </w:p>
          <w:p w14:paraId="1BF33B3A" w14:textId="77777777" w:rsidR="00DE4AFD" w:rsidRPr="00227F09" w:rsidRDefault="004A4F56" w:rsidP="003F7776">
            <w:pPr>
              <w:pStyle w:val="HR"/>
              <w:spacing w:after="0" w:line="240" w:lineRule="auto"/>
              <w:ind w:firstLineChars="0" w:firstLine="0"/>
              <w:jc w:val="both"/>
              <w:rPr>
                <w:rFonts w:cs="Times New Roman"/>
                <w:sz w:val="21"/>
                <w:szCs w:val="21"/>
                <w:lang w:val="en-US" w:eastAsia="zh-CN"/>
              </w:rPr>
            </w:pPr>
            <w:r w:rsidRPr="00227F09">
              <w:rPr>
                <w:rFonts w:eastAsia="Times New Roman" w:cs="Times New Roman"/>
                <w:sz w:val="21"/>
                <w:szCs w:val="21"/>
                <w:lang w:val="en-US" w:eastAsia="zh-CN"/>
              </w:rPr>
              <w:t>(Before the first dose of investigational product on Day 1)</w:t>
            </w:r>
          </w:p>
        </w:tc>
        <w:tc>
          <w:tcPr>
            <w:tcW w:w="3020" w:type="dxa"/>
          </w:tcPr>
          <w:p w14:paraId="5D33D066" w14:textId="77777777" w:rsidR="00DE4AFD" w:rsidRPr="00227F09" w:rsidRDefault="004A4F56" w:rsidP="003F7776">
            <w:pPr>
              <w:pStyle w:val="HR"/>
              <w:spacing w:after="0" w:line="240" w:lineRule="auto"/>
              <w:ind w:firstLineChars="0" w:firstLine="0"/>
              <w:jc w:val="both"/>
              <w:rPr>
                <w:rFonts w:cs="Times New Roman"/>
                <w:sz w:val="21"/>
                <w:szCs w:val="21"/>
                <w:lang w:val="en-US" w:eastAsia="zh-CN"/>
              </w:rPr>
            </w:pPr>
            <w:r w:rsidRPr="00227F09">
              <w:rPr>
                <w:rFonts w:eastAsia="Times New Roman" w:cs="Times New Roman"/>
                <w:sz w:val="21"/>
                <w:szCs w:val="21"/>
                <w:lang w:val="en-US" w:eastAsia="zh-CN"/>
              </w:rPr>
              <w:t xml:space="preserve">From Cycle 1 Day 1 to the end of treatment (EOT, including </w:t>
            </w:r>
            <w:r w:rsidRPr="00227F09">
              <w:rPr>
                <w:rFonts w:eastAsia="Times New Roman" w:cs="Times New Roman"/>
                <w:color w:val="333333"/>
                <w:sz w:val="21"/>
                <w:szCs w:val="21"/>
                <w:lang w:val="en-US" w:eastAsia="zh-CN"/>
              </w:rPr>
              <w:t>one week off)</w:t>
            </w:r>
          </w:p>
        </w:tc>
        <w:tc>
          <w:tcPr>
            <w:tcW w:w="3021" w:type="dxa"/>
          </w:tcPr>
          <w:p w14:paraId="27CEB8F7" w14:textId="77777777" w:rsidR="00DE4AFD" w:rsidRPr="00227F09" w:rsidRDefault="004A4F56" w:rsidP="003F7776">
            <w:pPr>
              <w:pStyle w:val="HR"/>
              <w:spacing w:after="0" w:line="240" w:lineRule="auto"/>
              <w:ind w:firstLineChars="0" w:firstLine="0"/>
              <w:jc w:val="both"/>
              <w:rPr>
                <w:rFonts w:cs="Times New Roman"/>
                <w:sz w:val="21"/>
                <w:szCs w:val="21"/>
                <w:lang w:val="en-US" w:eastAsia="zh-CN"/>
              </w:rPr>
            </w:pPr>
            <w:r w:rsidRPr="00227F09">
              <w:rPr>
                <w:rFonts w:eastAsia="Times New Roman" w:cs="Times New Roman"/>
                <w:color w:val="333333"/>
                <w:sz w:val="21"/>
                <w:szCs w:val="21"/>
                <w:lang w:val="en-US" w:eastAsia="zh-CN"/>
              </w:rPr>
              <w:t xml:space="preserve">End of treatment to end of </w:t>
            </w:r>
            <w:r w:rsidRPr="00227F09">
              <w:rPr>
                <w:rFonts w:eastAsia="Times New Roman" w:cs="Times New Roman"/>
                <w:sz w:val="21"/>
                <w:szCs w:val="21"/>
                <w:lang w:val="en-US" w:eastAsia="zh-CN"/>
              </w:rPr>
              <w:t>study</w:t>
            </w:r>
          </w:p>
        </w:tc>
      </w:tr>
    </w:tbl>
    <w:p w14:paraId="075494D2" w14:textId="77777777" w:rsidR="00DE4AFD" w:rsidRPr="00303844" w:rsidRDefault="00DE4AFD" w:rsidP="000C622D">
      <w:pPr>
        <w:pStyle w:val="HR"/>
        <w:spacing w:after="0"/>
        <w:ind w:firstLineChars="0" w:firstLine="0"/>
        <w:jc w:val="both"/>
        <w:rPr>
          <w:rFonts w:cs="Times New Roman"/>
          <w:lang w:val="en-US" w:eastAsia="zh-CN"/>
        </w:rPr>
      </w:pPr>
    </w:p>
    <w:p w14:paraId="52DE027F" w14:textId="77777777" w:rsidR="00DE4AFD" w:rsidRPr="00303844" w:rsidRDefault="004A4F56" w:rsidP="000C622D">
      <w:pPr>
        <w:pStyle w:val="10"/>
        <w:spacing w:before="0" w:after="0" w:line="360" w:lineRule="auto"/>
        <w:jc w:val="both"/>
        <w:rPr>
          <w:rFonts w:cs="Times New Roman"/>
        </w:rPr>
      </w:pPr>
      <w:bookmarkStart w:id="34" w:name="_Toc184889609"/>
      <w:r w:rsidRPr="00303844">
        <w:rPr>
          <w:rFonts w:eastAsia="Times New Roman" w:cs="Times New Roman"/>
          <w:color w:val="333333"/>
        </w:rPr>
        <w:t>Subject Selection and Withdrawal</w:t>
      </w:r>
      <w:bookmarkEnd w:id="34"/>
    </w:p>
    <w:p w14:paraId="2A12A38C" w14:textId="77777777" w:rsidR="00DE4AFD" w:rsidRPr="00303844" w:rsidRDefault="004A4F56" w:rsidP="0069237C">
      <w:pPr>
        <w:pStyle w:val="HR"/>
        <w:spacing w:after="0"/>
        <w:ind w:firstLineChars="0" w:firstLine="0"/>
        <w:jc w:val="both"/>
        <w:rPr>
          <w:rFonts w:cs="Times New Roman"/>
          <w:i/>
          <w:color w:val="008000"/>
          <w:lang w:val="en-US" w:eastAsia="zh-CN"/>
        </w:rPr>
      </w:pPr>
      <w:r w:rsidRPr="00303844">
        <w:rPr>
          <w:rFonts w:eastAsia="Times New Roman" w:cs="Times New Roman"/>
          <w:color w:val="333333"/>
          <w:lang w:val="en-US" w:eastAsia="zh-CN"/>
        </w:rPr>
        <w:t>Inclusion of eligible subjects is a key step to achieve the intended objectives of this clinical study.</w:t>
      </w:r>
      <w:r w:rsidRPr="00303844">
        <w:rPr>
          <w:rFonts w:eastAsia="Times New Roman" w:cs="Times New Roman"/>
          <w:lang w:val="en-US" w:eastAsia="zh-CN"/>
        </w:rPr>
        <w:t xml:space="preserve"> </w:t>
      </w:r>
      <w:r w:rsidRPr="00303844">
        <w:rPr>
          <w:rFonts w:eastAsia="Times New Roman" w:cs="Times New Roman"/>
          <w:color w:val="333333"/>
          <w:lang w:val="en-US" w:eastAsia="zh-CN"/>
        </w:rPr>
        <w:t>Subjects must meet the following criteria to be allowed to participate in this study.</w:t>
      </w:r>
      <w:r w:rsidRPr="00303844">
        <w:rPr>
          <w:rFonts w:eastAsia="Times New Roman" w:cs="Times New Roman"/>
          <w:lang w:val="en-US" w:eastAsia="zh-CN"/>
        </w:rPr>
        <w:t xml:space="preserve"> </w:t>
      </w:r>
      <w:r w:rsidRPr="00303844">
        <w:rPr>
          <w:rFonts w:eastAsia="Times New Roman" w:cs="Times New Roman"/>
          <w:color w:val="333333"/>
          <w:lang w:val="en-US" w:eastAsia="zh-CN"/>
        </w:rPr>
        <w:t>All medical or non-medical conditions of each subject will be considered for his/her eligibility.</w:t>
      </w:r>
      <w:r w:rsidRPr="00303844">
        <w:rPr>
          <w:rFonts w:eastAsia="Times New Roman" w:cs="Times New Roman"/>
          <w:lang w:val="en-US" w:eastAsia="zh-CN"/>
        </w:rPr>
        <w:t xml:space="preserve"> </w:t>
      </w:r>
    </w:p>
    <w:p w14:paraId="2818EA6F" w14:textId="77777777" w:rsidR="00DE4AFD" w:rsidRPr="00303844" w:rsidRDefault="004A4F56" w:rsidP="0069237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Before a subject is included in the study, the investigator should review, confirm, and document the suitability of the subject to participate in the study.</w:t>
      </w:r>
      <w:r w:rsidRPr="00303844">
        <w:rPr>
          <w:rFonts w:eastAsia="Times New Roman" w:cs="Times New Roman"/>
          <w:lang w:val="en-US" w:eastAsia="zh-CN"/>
        </w:rPr>
        <w:t xml:space="preserve"> </w:t>
      </w:r>
    </w:p>
    <w:p w14:paraId="5EE65D1E" w14:textId="77777777" w:rsidR="00DE4AFD" w:rsidRPr="00303844" w:rsidRDefault="004A4F56" w:rsidP="000C622D">
      <w:pPr>
        <w:pStyle w:val="21"/>
        <w:spacing w:before="0" w:after="0" w:line="360" w:lineRule="auto"/>
        <w:rPr>
          <w:rFonts w:eastAsia="宋体" w:cs="Times New Roman"/>
        </w:rPr>
      </w:pPr>
      <w:bookmarkStart w:id="35" w:name="_Toc184889610"/>
      <w:r w:rsidRPr="00303844">
        <w:rPr>
          <w:rFonts w:eastAsia="Times New Roman" w:cs="Times New Roman"/>
        </w:rPr>
        <w:t>Inclusion Criteria</w:t>
      </w:r>
      <w:bookmarkEnd w:id="35"/>
    </w:p>
    <w:p w14:paraId="468F3BF6" w14:textId="77777777" w:rsidR="00DE4AFD" w:rsidRPr="00303844" w:rsidRDefault="004A4F56" w:rsidP="0069237C">
      <w:pPr>
        <w:pStyle w:val="Paragraph"/>
        <w:spacing w:after="0" w:line="360" w:lineRule="auto"/>
        <w:contextualSpacing/>
        <w:jc w:val="both"/>
      </w:pPr>
      <w:r w:rsidRPr="00303844">
        <w:rPr>
          <w:rFonts w:eastAsia="Times New Roman"/>
        </w:rPr>
        <w:t>Patients must meet all the following criteria to be enrolled in this study:</w:t>
      </w:r>
    </w:p>
    <w:p w14:paraId="7FFC3410" w14:textId="77777777" w:rsidR="00DE4AFD" w:rsidRPr="00303844" w:rsidRDefault="004A4F56" w:rsidP="00A00B16">
      <w:pPr>
        <w:pStyle w:val="afd"/>
        <w:widowControl/>
        <w:numPr>
          <w:ilvl w:val="0"/>
          <w:numId w:val="17"/>
        </w:numPr>
        <w:tabs>
          <w:tab w:val="left" w:pos="166"/>
        </w:tabs>
        <w:spacing w:line="360" w:lineRule="auto"/>
        <w:ind w:firstLineChars="0"/>
        <w:contextualSpacing/>
        <w:rPr>
          <w:sz w:val="24"/>
        </w:rPr>
      </w:pPr>
      <w:r w:rsidRPr="00A00B16">
        <w:rPr>
          <w:rFonts w:eastAsia="Times New Roman"/>
          <w:sz w:val="24"/>
          <w:szCs w:val="21"/>
        </w:rPr>
        <w:t xml:space="preserve">Have fully understood this study and voluntarily signed the informed consent form; </w:t>
      </w:r>
    </w:p>
    <w:p w14:paraId="09665901" w14:textId="4C0619AC" w:rsidR="00DE4AFD" w:rsidRPr="00303844" w:rsidRDefault="004A4F56" w:rsidP="00A00B16">
      <w:pPr>
        <w:pStyle w:val="afd"/>
        <w:widowControl/>
        <w:numPr>
          <w:ilvl w:val="0"/>
          <w:numId w:val="17"/>
        </w:numPr>
        <w:tabs>
          <w:tab w:val="left" w:pos="166"/>
        </w:tabs>
        <w:spacing w:line="360" w:lineRule="auto"/>
        <w:ind w:firstLineChars="0"/>
        <w:contextualSpacing/>
        <w:rPr>
          <w:sz w:val="24"/>
        </w:rPr>
      </w:pPr>
      <w:r w:rsidRPr="00A00B16">
        <w:rPr>
          <w:rFonts w:eastAsia="Times New Roman"/>
          <w:sz w:val="24"/>
          <w:szCs w:val="21"/>
        </w:rPr>
        <w:t xml:space="preserve">Patients with histologically or cytologically confirmed unresectable, locally advanced, or metastatic pancreatic ductal adenocarcinoma; </w:t>
      </w:r>
    </w:p>
    <w:p w14:paraId="36713356" w14:textId="77777777" w:rsidR="00DE4AFD" w:rsidRPr="00303844" w:rsidRDefault="004A4F56" w:rsidP="00A00B16">
      <w:pPr>
        <w:pStyle w:val="afd"/>
        <w:widowControl/>
        <w:numPr>
          <w:ilvl w:val="0"/>
          <w:numId w:val="17"/>
        </w:numPr>
        <w:tabs>
          <w:tab w:val="left" w:pos="166"/>
        </w:tabs>
        <w:spacing w:line="360" w:lineRule="auto"/>
        <w:ind w:firstLineChars="0"/>
        <w:contextualSpacing/>
        <w:rPr>
          <w:sz w:val="24"/>
        </w:rPr>
      </w:pPr>
      <w:r w:rsidRPr="00A00B16">
        <w:rPr>
          <w:rFonts w:eastAsia="Times New Roman"/>
          <w:sz w:val="24"/>
          <w:szCs w:val="21"/>
        </w:rPr>
        <w:t xml:space="preserve">Age 18-75 years old (inclusive); </w:t>
      </w:r>
    </w:p>
    <w:p w14:paraId="2FCB3805" w14:textId="212F9292" w:rsidR="00DE4AFD" w:rsidRPr="00303844" w:rsidRDefault="00AD175B" w:rsidP="000C622D">
      <w:pPr>
        <w:pStyle w:val="afd"/>
        <w:widowControl/>
        <w:numPr>
          <w:ilvl w:val="0"/>
          <w:numId w:val="17"/>
        </w:numPr>
        <w:tabs>
          <w:tab w:val="left" w:pos="166"/>
        </w:tabs>
        <w:spacing w:line="360" w:lineRule="auto"/>
        <w:ind w:firstLineChars="0"/>
        <w:contextualSpacing/>
        <w:rPr>
          <w:sz w:val="24"/>
        </w:rPr>
      </w:pPr>
      <w:r w:rsidRPr="00303844">
        <w:rPr>
          <w:rFonts w:eastAsia="Times New Roman"/>
          <w:sz w:val="24"/>
        </w:rPr>
        <w:t xml:space="preserve">No prior systemic therapy for advanced pancreatic carcinoma; </w:t>
      </w:r>
    </w:p>
    <w:p w14:paraId="2230E020" w14:textId="6043B325" w:rsidR="00DE4AFD" w:rsidRPr="00303844" w:rsidRDefault="004A4F56" w:rsidP="000C622D">
      <w:pPr>
        <w:pStyle w:val="afd"/>
        <w:widowControl/>
        <w:numPr>
          <w:ilvl w:val="0"/>
          <w:numId w:val="17"/>
        </w:numPr>
        <w:tabs>
          <w:tab w:val="left" w:pos="166"/>
        </w:tabs>
        <w:spacing w:line="360" w:lineRule="auto"/>
        <w:ind w:firstLineChars="0"/>
        <w:contextualSpacing/>
        <w:rPr>
          <w:sz w:val="24"/>
        </w:rPr>
      </w:pPr>
      <w:r w:rsidRPr="00303844">
        <w:rPr>
          <w:rFonts w:eastAsia="Times New Roman"/>
          <w:sz w:val="24"/>
        </w:rPr>
        <w:t>ECOG PS 0-1</w:t>
      </w:r>
      <w:r w:rsidR="00027BAF">
        <w:rPr>
          <w:rFonts w:cs="宋体" w:hint="eastAsia"/>
          <w:sz w:val="24"/>
        </w:rPr>
        <w:t>;</w:t>
      </w:r>
    </w:p>
    <w:p w14:paraId="4812E9F7" w14:textId="77777777" w:rsidR="00DE4AFD" w:rsidRPr="00303844" w:rsidRDefault="004A4F56" w:rsidP="000C622D">
      <w:pPr>
        <w:pStyle w:val="afd"/>
        <w:widowControl/>
        <w:numPr>
          <w:ilvl w:val="0"/>
          <w:numId w:val="17"/>
        </w:numPr>
        <w:tabs>
          <w:tab w:val="left" w:pos="166"/>
        </w:tabs>
        <w:spacing w:line="360" w:lineRule="auto"/>
        <w:ind w:firstLineChars="0"/>
        <w:contextualSpacing/>
        <w:rPr>
          <w:sz w:val="24"/>
        </w:rPr>
      </w:pPr>
      <w:r w:rsidRPr="00303844">
        <w:rPr>
          <w:rFonts w:eastAsia="Times New Roman"/>
          <w:sz w:val="24"/>
        </w:rPr>
        <w:t xml:space="preserve">Must have at least one measurable lesion, with the longest diameter of at least 10 mm as measured by spiral CT scan, or at least 20 mm as measured by conventional CT scan (according to Response Evaluation Criteria in Solid Tumors, </w:t>
      </w:r>
      <w:r w:rsidRPr="00303844">
        <w:rPr>
          <w:rFonts w:eastAsia="Times New Roman"/>
          <w:color w:val="333333"/>
          <w:sz w:val="24"/>
        </w:rPr>
        <w:t xml:space="preserve">i.e. RECIST v1.1); </w:t>
      </w:r>
    </w:p>
    <w:p w14:paraId="18A6875E" w14:textId="77777777" w:rsidR="00DE4AFD" w:rsidRPr="00303844" w:rsidRDefault="004A4F56" w:rsidP="00A00B16">
      <w:pPr>
        <w:pStyle w:val="afd"/>
        <w:widowControl/>
        <w:numPr>
          <w:ilvl w:val="0"/>
          <w:numId w:val="17"/>
        </w:numPr>
        <w:tabs>
          <w:tab w:val="left" w:pos="166"/>
        </w:tabs>
        <w:spacing w:line="360" w:lineRule="auto"/>
        <w:ind w:firstLineChars="0"/>
        <w:contextualSpacing/>
        <w:rPr>
          <w:sz w:val="24"/>
        </w:rPr>
      </w:pPr>
      <w:r w:rsidRPr="00A00B16">
        <w:rPr>
          <w:rFonts w:eastAsia="Times New Roman"/>
          <w:sz w:val="24"/>
          <w:szCs w:val="21"/>
        </w:rPr>
        <w:t xml:space="preserve">Expected survival ≥ 3 months; </w:t>
      </w:r>
    </w:p>
    <w:p w14:paraId="47A3E46F" w14:textId="77777777" w:rsidR="00DE4AFD" w:rsidRPr="00303844" w:rsidRDefault="004A4F56" w:rsidP="00A00B16">
      <w:pPr>
        <w:pStyle w:val="afd"/>
        <w:widowControl/>
        <w:numPr>
          <w:ilvl w:val="0"/>
          <w:numId w:val="17"/>
        </w:numPr>
        <w:tabs>
          <w:tab w:val="left" w:pos="166"/>
        </w:tabs>
        <w:spacing w:line="360" w:lineRule="auto"/>
        <w:ind w:firstLineChars="0"/>
        <w:contextualSpacing/>
        <w:rPr>
          <w:sz w:val="24"/>
        </w:rPr>
      </w:pPr>
      <w:r w:rsidRPr="00A00B16">
        <w:rPr>
          <w:rFonts w:eastAsia="Times New Roman"/>
          <w:sz w:val="24"/>
          <w:szCs w:val="21"/>
        </w:rPr>
        <w:t>The functions of vital organs meet the following requirements (the use of any blood components and cell growth factors within *14 days before enrollment is not allowed):</w:t>
      </w:r>
    </w:p>
    <w:p w14:paraId="757F5482" w14:textId="77777777" w:rsidR="00DE4AFD" w:rsidRPr="00303844" w:rsidRDefault="004A4F56" w:rsidP="000C622D">
      <w:pPr>
        <w:pStyle w:val="afd"/>
        <w:widowControl/>
        <w:tabs>
          <w:tab w:val="left" w:pos="166"/>
        </w:tabs>
        <w:spacing w:line="360" w:lineRule="auto"/>
        <w:ind w:left="720" w:firstLineChars="0" w:firstLine="0"/>
        <w:contextualSpacing/>
        <w:rPr>
          <w:sz w:val="24"/>
        </w:rPr>
      </w:pPr>
      <w:r w:rsidRPr="00303844">
        <w:rPr>
          <w:rFonts w:eastAsia="Times New Roman"/>
          <w:sz w:val="24"/>
        </w:rPr>
        <w:lastRenderedPageBreak/>
        <w:t>Absolute neutrophil count ≥1.5×10</w:t>
      </w:r>
      <w:r w:rsidRPr="00303844">
        <w:rPr>
          <w:rFonts w:eastAsia="Times New Roman"/>
          <w:sz w:val="24"/>
          <w:vertAlign w:val="superscript"/>
        </w:rPr>
        <w:t>9</w:t>
      </w:r>
      <w:r w:rsidRPr="00303844">
        <w:rPr>
          <w:rFonts w:eastAsia="Times New Roman"/>
          <w:sz w:val="24"/>
        </w:rPr>
        <w:t>/L</w:t>
      </w:r>
      <w:r w:rsidRPr="00303844">
        <w:rPr>
          <w:rFonts w:eastAsia="Times New Roman"/>
          <w:sz w:val="24"/>
          <w:vertAlign w:val="superscript"/>
        </w:rPr>
        <w:t>;</w:t>
      </w:r>
      <w:r w:rsidRPr="00303844">
        <w:rPr>
          <w:rFonts w:eastAsia="Times New Roman"/>
          <w:sz w:val="24"/>
        </w:rPr>
        <w:t xml:space="preserve"> </w:t>
      </w:r>
    </w:p>
    <w:p w14:paraId="30D9E56E" w14:textId="77777777" w:rsidR="00DE4AFD" w:rsidRPr="00303844" w:rsidRDefault="004A4F56" w:rsidP="000C622D">
      <w:pPr>
        <w:pStyle w:val="afd"/>
        <w:widowControl/>
        <w:tabs>
          <w:tab w:val="left" w:pos="166"/>
        </w:tabs>
        <w:spacing w:line="360" w:lineRule="auto"/>
        <w:ind w:left="720" w:firstLineChars="0" w:firstLine="0"/>
        <w:contextualSpacing/>
        <w:rPr>
          <w:sz w:val="24"/>
        </w:rPr>
      </w:pPr>
      <w:r w:rsidRPr="00303844">
        <w:rPr>
          <w:rFonts w:eastAsia="Times New Roman"/>
          <w:sz w:val="24"/>
        </w:rPr>
        <w:t>Platelets ≥100×10</w:t>
      </w:r>
      <w:r w:rsidRPr="00303844">
        <w:rPr>
          <w:rFonts w:eastAsia="Times New Roman"/>
          <w:sz w:val="24"/>
          <w:vertAlign w:val="superscript"/>
        </w:rPr>
        <w:t>9</w:t>
      </w:r>
      <w:r w:rsidRPr="00303844">
        <w:rPr>
          <w:rFonts w:eastAsia="Times New Roman"/>
          <w:sz w:val="24"/>
        </w:rPr>
        <w:t>/L</w:t>
      </w:r>
      <w:r w:rsidRPr="00303844">
        <w:rPr>
          <w:rFonts w:eastAsia="Times New Roman"/>
          <w:sz w:val="24"/>
          <w:vertAlign w:val="superscript"/>
        </w:rPr>
        <w:t>;</w:t>
      </w:r>
      <w:r w:rsidRPr="00303844">
        <w:rPr>
          <w:rFonts w:eastAsia="Times New Roman"/>
          <w:sz w:val="24"/>
        </w:rPr>
        <w:t xml:space="preserve"> </w:t>
      </w:r>
    </w:p>
    <w:p w14:paraId="32437D83" w14:textId="77777777" w:rsidR="00DE4AFD" w:rsidRPr="00303844" w:rsidRDefault="004A4F56" w:rsidP="000C622D">
      <w:pPr>
        <w:pStyle w:val="afd"/>
        <w:widowControl/>
        <w:tabs>
          <w:tab w:val="left" w:pos="166"/>
        </w:tabs>
        <w:spacing w:line="360" w:lineRule="auto"/>
        <w:ind w:left="720" w:firstLineChars="0" w:firstLine="0"/>
        <w:contextualSpacing/>
        <w:rPr>
          <w:sz w:val="24"/>
        </w:rPr>
      </w:pPr>
      <w:proofErr w:type="spellStart"/>
      <w:r w:rsidRPr="00303844">
        <w:rPr>
          <w:rFonts w:eastAsia="Times New Roman"/>
          <w:sz w:val="24"/>
        </w:rPr>
        <w:t>Haemoglobin</w:t>
      </w:r>
      <w:proofErr w:type="spellEnd"/>
      <w:r w:rsidRPr="00303844">
        <w:rPr>
          <w:rFonts w:eastAsia="Times New Roman"/>
          <w:sz w:val="24"/>
        </w:rPr>
        <w:t xml:space="preserve"> ≥90 g/L; </w:t>
      </w:r>
    </w:p>
    <w:p w14:paraId="6232C82E" w14:textId="77777777" w:rsidR="00DE4AFD" w:rsidRPr="00303844" w:rsidRDefault="004A4F56" w:rsidP="000C622D">
      <w:pPr>
        <w:pStyle w:val="afd"/>
        <w:widowControl/>
        <w:tabs>
          <w:tab w:val="left" w:pos="166"/>
        </w:tabs>
        <w:spacing w:line="360" w:lineRule="auto"/>
        <w:ind w:left="720" w:firstLineChars="0" w:firstLine="0"/>
        <w:contextualSpacing/>
        <w:rPr>
          <w:sz w:val="24"/>
        </w:rPr>
      </w:pPr>
      <w:r w:rsidRPr="00303844">
        <w:rPr>
          <w:rFonts w:eastAsia="Times New Roman"/>
          <w:sz w:val="24"/>
        </w:rPr>
        <w:t xml:space="preserve">Total bilirubin &lt; 1.5 × ULN; </w:t>
      </w:r>
    </w:p>
    <w:p w14:paraId="51367263" w14:textId="77777777" w:rsidR="00DE4AFD" w:rsidRPr="00303844" w:rsidRDefault="004A4F56" w:rsidP="000C622D">
      <w:pPr>
        <w:pStyle w:val="afd"/>
        <w:widowControl/>
        <w:tabs>
          <w:tab w:val="left" w:pos="166"/>
        </w:tabs>
        <w:spacing w:line="360" w:lineRule="auto"/>
        <w:ind w:left="720" w:firstLineChars="0" w:firstLine="0"/>
        <w:contextualSpacing/>
        <w:rPr>
          <w:sz w:val="24"/>
        </w:rPr>
      </w:pPr>
      <w:r w:rsidRPr="00303844">
        <w:rPr>
          <w:rFonts w:eastAsia="Times New Roman"/>
          <w:sz w:val="24"/>
        </w:rPr>
        <w:t xml:space="preserve">ALT and/or AST &lt; 1.5 × ULN </w:t>
      </w:r>
      <w:proofErr w:type="gramStart"/>
      <w:r w:rsidRPr="00303844">
        <w:rPr>
          <w:rFonts w:eastAsia="Times New Roman"/>
          <w:sz w:val="24"/>
        </w:rPr>
        <w:t>( &lt;</w:t>
      </w:r>
      <w:proofErr w:type="gramEnd"/>
      <w:r w:rsidRPr="00303844">
        <w:rPr>
          <w:rFonts w:eastAsia="Times New Roman"/>
          <w:sz w:val="24"/>
        </w:rPr>
        <w:t xml:space="preserve"> 3 × ULN for patients with metastases to liver); </w:t>
      </w:r>
    </w:p>
    <w:p w14:paraId="30CF2C76" w14:textId="77777777" w:rsidR="00DE4AFD" w:rsidRPr="00303844" w:rsidRDefault="004A4F56" w:rsidP="000C622D">
      <w:pPr>
        <w:pStyle w:val="afd"/>
        <w:widowControl/>
        <w:tabs>
          <w:tab w:val="left" w:pos="166"/>
        </w:tabs>
        <w:spacing w:line="360" w:lineRule="auto"/>
        <w:ind w:left="720" w:firstLineChars="0" w:firstLine="0"/>
        <w:contextualSpacing/>
        <w:rPr>
          <w:sz w:val="24"/>
        </w:rPr>
      </w:pPr>
      <w:r w:rsidRPr="00303844">
        <w:rPr>
          <w:rFonts w:eastAsia="Times New Roman"/>
          <w:sz w:val="24"/>
        </w:rPr>
        <w:t xml:space="preserve">Serum creatinine &lt; 1.5 × ULN; </w:t>
      </w:r>
    </w:p>
    <w:p w14:paraId="16E9854F" w14:textId="77777777" w:rsidR="00DE4AFD" w:rsidRPr="00303844" w:rsidRDefault="004A4F56" w:rsidP="000C622D">
      <w:pPr>
        <w:pStyle w:val="afd"/>
        <w:widowControl/>
        <w:tabs>
          <w:tab w:val="left" w:pos="166"/>
        </w:tabs>
        <w:spacing w:line="360" w:lineRule="auto"/>
        <w:ind w:left="720" w:firstLineChars="0" w:firstLine="0"/>
        <w:contextualSpacing/>
        <w:rPr>
          <w:sz w:val="24"/>
        </w:rPr>
      </w:pPr>
      <w:r w:rsidRPr="00303844">
        <w:rPr>
          <w:rFonts w:eastAsia="Times New Roman"/>
          <w:sz w:val="24"/>
        </w:rPr>
        <w:t xml:space="preserve">Endogenous creatinine clearance ≥50 mL/min; </w:t>
      </w:r>
    </w:p>
    <w:p w14:paraId="17ABE465" w14:textId="77777777" w:rsidR="00DE4AFD" w:rsidRPr="00303844" w:rsidRDefault="004A4F56" w:rsidP="00A00B16">
      <w:pPr>
        <w:pStyle w:val="afd"/>
        <w:widowControl/>
        <w:numPr>
          <w:ilvl w:val="0"/>
          <w:numId w:val="17"/>
        </w:numPr>
        <w:tabs>
          <w:tab w:val="left" w:pos="166"/>
        </w:tabs>
        <w:spacing w:line="360" w:lineRule="auto"/>
        <w:ind w:firstLineChars="0"/>
        <w:contextualSpacing/>
        <w:rPr>
          <w:sz w:val="24"/>
        </w:rPr>
      </w:pPr>
      <w:r w:rsidRPr="00A00B16">
        <w:rPr>
          <w:rFonts w:eastAsia="Times New Roman"/>
          <w:sz w:val="24"/>
          <w:szCs w:val="21"/>
        </w:rPr>
        <w:t xml:space="preserve">Women of childbearing potential must use effective contraceptive measures; </w:t>
      </w:r>
    </w:p>
    <w:p w14:paraId="3865AF1D" w14:textId="77777777" w:rsidR="00DE4AFD" w:rsidRPr="00303844" w:rsidRDefault="004A4F56" w:rsidP="00A00B16">
      <w:pPr>
        <w:pStyle w:val="12"/>
        <w:numPr>
          <w:ilvl w:val="0"/>
          <w:numId w:val="17"/>
        </w:numPr>
        <w:adjustRightInd w:val="0"/>
        <w:snapToGrid w:val="0"/>
        <w:spacing w:line="360" w:lineRule="auto"/>
        <w:ind w:firstLineChars="0"/>
        <w:rPr>
          <w:sz w:val="24"/>
        </w:rPr>
      </w:pPr>
      <w:r w:rsidRPr="00A00B16">
        <w:rPr>
          <w:rFonts w:eastAsia="Times New Roman"/>
          <w:sz w:val="24"/>
          <w:szCs w:val="21"/>
        </w:rPr>
        <w:t xml:space="preserve">Good compliance and cooperative with follow-up. </w:t>
      </w:r>
    </w:p>
    <w:p w14:paraId="2FFBBCC2" w14:textId="77777777" w:rsidR="00DE4AFD" w:rsidRPr="00303844" w:rsidRDefault="004A4F56" w:rsidP="000C622D">
      <w:pPr>
        <w:pStyle w:val="21"/>
        <w:spacing w:before="0" w:after="0" w:line="360" w:lineRule="auto"/>
        <w:rPr>
          <w:rFonts w:eastAsia="宋体" w:cs="Times New Roman"/>
        </w:rPr>
      </w:pPr>
      <w:bookmarkStart w:id="36" w:name="_Toc184889611"/>
      <w:r w:rsidRPr="00303844">
        <w:rPr>
          <w:rFonts w:eastAsia="Times New Roman" w:cs="Times New Roman"/>
        </w:rPr>
        <w:t>Exclusion Criteria</w:t>
      </w:r>
      <w:bookmarkEnd w:id="36"/>
    </w:p>
    <w:p w14:paraId="6785346B" w14:textId="77777777" w:rsidR="00DE4AFD" w:rsidRPr="00303844" w:rsidRDefault="004A4F56" w:rsidP="0069237C">
      <w:pPr>
        <w:pStyle w:val="Paragraph"/>
        <w:spacing w:after="0" w:line="360" w:lineRule="auto"/>
        <w:jc w:val="both"/>
        <w:rPr>
          <w:iCs/>
        </w:rPr>
      </w:pPr>
      <w:r w:rsidRPr="00303844">
        <w:rPr>
          <w:rFonts w:eastAsia="Times New Roman"/>
        </w:rPr>
        <w:t>Patients who meet any of the following criteria will not be enrolled in this study:</w:t>
      </w:r>
    </w:p>
    <w:p w14:paraId="7C38D3D2" w14:textId="77777777"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t xml:space="preserve">Unable to comply with the study protocol or study procedures; </w:t>
      </w:r>
    </w:p>
    <w:p w14:paraId="2B230F29" w14:textId="203C8263" w:rsidR="00DE4AFD" w:rsidRPr="00303844" w:rsidRDefault="004A4F56" w:rsidP="000C622D">
      <w:pPr>
        <w:pStyle w:val="12"/>
        <w:numPr>
          <w:ilvl w:val="0"/>
          <w:numId w:val="18"/>
        </w:numPr>
        <w:adjustRightInd w:val="0"/>
        <w:snapToGrid w:val="0"/>
        <w:spacing w:line="360" w:lineRule="auto"/>
        <w:ind w:firstLineChars="0"/>
        <w:rPr>
          <w:iCs/>
          <w:sz w:val="24"/>
        </w:rPr>
      </w:pPr>
      <w:r w:rsidRPr="00303844">
        <w:rPr>
          <w:rFonts w:eastAsia="Times New Roman"/>
          <w:sz w:val="24"/>
        </w:rPr>
        <w:t xml:space="preserve">Previously received treatment with VEGFR inhibitors, or previously used </w:t>
      </w:r>
      <w:r w:rsidR="0083321D" w:rsidRPr="0083321D">
        <w:rPr>
          <w:rFonts w:eastAsia="Times New Roman"/>
          <w:sz w:val="24"/>
        </w:rPr>
        <w:t>ICI</w:t>
      </w:r>
      <w:r w:rsidRPr="00303844">
        <w:rPr>
          <w:rFonts w:eastAsia="Times New Roman"/>
          <w:sz w:val="24"/>
        </w:rPr>
        <w:t xml:space="preserve"> treatment; </w:t>
      </w:r>
    </w:p>
    <w:p w14:paraId="2FB70083" w14:textId="77777777"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t xml:space="preserve">Participating in or having participated in other drug clinical trials within 4 weeks prior to enrollment; </w:t>
      </w:r>
    </w:p>
    <w:p w14:paraId="1A9B66C0" w14:textId="0612BF28"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t xml:space="preserve">Have received transfusion therapy, blood products, and hematopoietic factors, such as albumin and G-CSF, within 14 days prior to enrollment; </w:t>
      </w:r>
    </w:p>
    <w:p w14:paraId="56C1A053" w14:textId="77777777" w:rsidR="00DE4AFD" w:rsidRPr="00303844" w:rsidRDefault="004A4F56" w:rsidP="000C622D">
      <w:pPr>
        <w:pStyle w:val="12"/>
        <w:numPr>
          <w:ilvl w:val="0"/>
          <w:numId w:val="18"/>
        </w:numPr>
        <w:adjustRightInd w:val="0"/>
        <w:snapToGrid w:val="0"/>
        <w:spacing w:line="360" w:lineRule="auto"/>
        <w:ind w:firstLineChars="0"/>
        <w:rPr>
          <w:iCs/>
          <w:sz w:val="24"/>
        </w:rPr>
      </w:pPr>
      <w:r w:rsidRPr="00303844">
        <w:rPr>
          <w:rFonts w:eastAsia="Times New Roman"/>
          <w:sz w:val="24"/>
        </w:rPr>
        <w:t xml:space="preserve">Brachytherapy (radioactive seed implantation) within 60 days prior to enrollment; </w:t>
      </w:r>
    </w:p>
    <w:p w14:paraId="5D30826B" w14:textId="77777777"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t>Have received other systemic anti-</w:t>
      </w:r>
      <w:r w:rsidRPr="00A00B16">
        <w:rPr>
          <w:rFonts w:eastAsia="Times New Roman"/>
          <w:color w:val="333333"/>
          <w:sz w:val="24"/>
          <w:szCs w:val="21"/>
        </w:rPr>
        <w:t>tumor</w:t>
      </w:r>
      <w:r w:rsidRPr="00A00B16">
        <w:rPr>
          <w:rFonts w:eastAsia="Times New Roman"/>
          <w:sz w:val="24"/>
          <w:szCs w:val="21"/>
        </w:rPr>
        <w:t xml:space="preserve"> treatments within 4 weeks prior to enrollment, including chemotherapy, signal transduction inhibitors, hormone therapy, and immunotherapy; </w:t>
      </w:r>
    </w:p>
    <w:p w14:paraId="29081CC9" w14:textId="77777777"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t xml:space="preserve">Have received any surgery or invasive treatment or procedure within 4 weeks prior to enrollment (excluding intravenous catheterization, paracentesis drainage, etc.); </w:t>
      </w:r>
    </w:p>
    <w:p w14:paraId="374523A9" w14:textId="4BE29855" w:rsidR="00182690" w:rsidRPr="00A00B16" w:rsidRDefault="004A4F56" w:rsidP="00A00B16">
      <w:pPr>
        <w:pStyle w:val="12"/>
        <w:numPr>
          <w:ilvl w:val="0"/>
          <w:numId w:val="18"/>
        </w:numPr>
        <w:adjustRightInd w:val="0"/>
        <w:snapToGrid w:val="0"/>
        <w:spacing w:line="360" w:lineRule="auto"/>
        <w:ind w:firstLineChars="0"/>
        <w:rPr>
          <w:rFonts w:eastAsia="Times New Roman"/>
          <w:sz w:val="24"/>
          <w:szCs w:val="21"/>
        </w:rPr>
      </w:pPr>
      <w:r w:rsidRPr="00A00B16">
        <w:rPr>
          <w:rFonts w:eastAsia="Times New Roman"/>
          <w:sz w:val="24"/>
          <w:szCs w:val="21"/>
        </w:rPr>
        <w:t xml:space="preserve">Undergone major surgery within 60 days prior to enrollment or the surgical incision has not completely healed; </w:t>
      </w:r>
    </w:p>
    <w:p w14:paraId="4EFAC739" w14:textId="77777777" w:rsidR="00182690" w:rsidRDefault="00182690" w:rsidP="00DC03A8">
      <w:pPr>
        <w:widowControl/>
        <w:rPr>
          <w:rFonts w:ascii="Times New Roman" w:eastAsia="Times New Roman" w:hAnsi="Times New Roman" w:cs="Times New Roman"/>
        </w:rPr>
      </w:pPr>
      <w:r>
        <w:rPr>
          <w:rFonts w:eastAsia="Times New Roman"/>
        </w:rPr>
        <w:br w:type="page"/>
      </w:r>
    </w:p>
    <w:p w14:paraId="7275DFA9" w14:textId="77777777"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lastRenderedPageBreak/>
        <w:t>Have received local anti-</w:t>
      </w:r>
      <w:r w:rsidRPr="00A00B16">
        <w:rPr>
          <w:rFonts w:eastAsia="Times New Roman"/>
          <w:color w:val="333333"/>
          <w:sz w:val="24"/>
          <w:szCs w:val="21"/>
        </w:rPr>
        <w:t>tumor</w:t>
      </w:r>
      <w:r w:rsidRPr="00A00B16">
        <w:rPr>
          <w:rFonts w:eastAsia="Times New Roman"/>
          <w:sz w:val="24"/>
          <w:szCs w:val="21"/>
        </w:rPr>
        <w:t xml:space="preserve"> treatments within 4 weeks prior to enrollment, such as hepatic arterial interventional embolism, cryoablation or radiofrequency ablation of metastases to liver; </w:t>
      </w:r>
    </w:p>
    <w:p w14:paraId="2F124B5C" w14:textId="77777777"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t xml:space="preserve">The patient currently has hypertension uncontrolled by medication, defined as: blood pressure systolic ≥140 mmHg and/or blood pressure diastolic ≥90 mmHg; </w:t>
      </w:r>
    </w:p>
    <w:p w14:paraId="6BE1D0BA" w14:textId="77777777"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t xml:space="preserve">Protein urine ≥2+, or 24-hour protein urine amount ≥1.0 g on urinalysis; </w:t>
      </w:r>
    </w:p>
    <w:p w14:paraId="51115446" w14:textId="77777777"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t xml:space="preserve">Uncontrollable malignant ascites (defined as ascites that cannot be controlled by diuretics or paracentesis as judged by the investigator); </w:t>
      </w:r>
    </w:p>
    <w:p w14:paraId="20DAE011" w14:textId="77777777"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t xml:space="preserve">Clinically significant electrolyte abnormalities as judged by the investigator; </w:t>
      </w:r>
    </w:p>
    <w:p w14:paraId="07D2AF77" w14:textId="77777777"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color w:val="333333"/>
          <w:sz w:val="24"/>
          <w:szCs w:val="21"/>
        </w:rPr>
        <w:t>Liver metastases accounted for half or more of the total liver volume as determined by the investigator;</w:t>
      </w:r>
      <w:r w:rsidRPr="00A00B16">
        <w:rPr>
          <w:rFonts w:eastAsia="Times New Roman"/>
          <w:sz w:val="24"/>
          <w:szCs w:val="21"/>
        </w:rPr>
        <w:t xml:space="preserve"> </w:t>
      </w:r>
    </w:p>
    <w:p w14:paraId="38A2200E" w14:textId="5191DB55" w:rsidR="00DE4AFD" w:rsidRPr="00303844" w:rsidRDefault="004A4F56" w:rsidP="000C622D">
      <w:pPr>
        <w:pStyle w:val="12"/>
        <w:numPr>
          <w:ilvl w:val="0"/>
          <w:numId w:val="18"/>
        </w:numPr>
        <w:adjustRightInd w:val="0"/>
        <w:snapToGrid w:val="0"/>
        <w:spacing w:line="360" w:lineRule="auto"/>
        <w:ind w:firstLineChars="0"/>
        <w:rPr>
          <w:iCs/>
          <w:sz w:val="24"/>
        </w:rPr>
      </w:pPr>
      <w:r w:rsidRPr="00303844">
        <w:rPr>
          <w:rFonts w:eastAsia="Times New Roman"/>
          <w:sz w:val="24"/>
        </w:rPr>
        <w:t xml:space="preserve">Clinically significant cardiovascular disorders, including but not limited to acute myocardial infarction within 6 months prior to enrollment, severe/unstable angina pectoris, or coronary artery bypass surgery; cardiac failure congestive with NYHA classification &gt; Class II; ventricular arrhythmia requiring drug therapy; LVEF (left ventricular ejection fraction) &lt;50%; </w:t>
      </w:r>
    </w:p>
    <w:p w14:paraId="3EB478ED" w14:textId="77777777"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t xml:space="preserve">Hemorrhage events of ≥ Grade 3 occurring within 4 weeks prior to enrollment; </w:t>
      </w:r>
    </w:p>
    <w:p w14:paraId="2C8FECA6" w14:textId="77777777"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t xml:space="preserve">Patients who, within 3 months prior to enrollment, have clear evidence or history of </w:t>
      </w:r>
      <w:proofErr w:type="spellStart"/>
      <w:r w:rsidRPr="00A00B16">
        <w:rPr>
          <w:rFonts w:eastAsia="Times New Roman"/>
          <w:sz w:val="24"/>
          <w:szCs w:val="21"/>
        </w:rPr>
        <w:t>haemorrhagic</w:t>
      </w:r>
      <w:proofErr w:type="spellEnd"/>
      <w:r w:rsidRPr="00A00B16">
        <w:rPr>
          <w:rFonts w:eastAsia="Times New Roman"/>
          <w:sz w:val="24"/>
          <w:szCs w:val="21"/>
        </w:rPr>
        <w:t xml:space="preserve"> </w:t>
      </w:r>
      <w:r w:rsidRPr="00A00B16">
        <w:rPr>
          <w:rFonts w:eastAsia="Times New Roman"/>
          <w:color w:val="333333"/>
          <w:sz w:val="24"/>
          <w:szCs w:val="21"/>
        </w:rPr>
        <w:t>tendency</w:t>
      </w:r>
      <w:r w:rsidRPr="00A00B16">
        <w:rPr>
          <w:rFonts w:eastAsia="Times New Roman"/>
          <w:sz w:val="24"/>
          <w:szCs w:val="21"/>
        </w:rPr>
        <w:t xml:space="preserve"> (</w:t>
      </w:r>
      <w:r w:rsidRPr="00A00B16">
        <w:rPr>
          <w:rFonts w:eastAsia="Times New Roman"/>
          <w:color w:val="000000"/>
          <w:sz w:val="24"/>
          <w:szCs w:val="21"/>
        </w:rPr>
        <w:t>hemorrhage</w:t>
      </w:r>
      <w:r w:rsidRPr="00A00B16">
        <w:rPr>
          <w:rFonts w:eastAsia="Times New Roman"/>
          <w:sz w:val="24"/>
          <w:szCs w:val="21"/>
        </w:rPr>
        <w:t xml:space="preserve"> &gt;30 mL within 3 months, occurrence of </w:t>
      </w:r>
      <w:proofErr w:type="spellStart"/>
      <w:r w:rsidRPr="00A00B16">
        <w:rPr>
          <w:rFonts w:eastAsia="Times New Roman"/>
          <w:sz w:val="24"/>
          <w:szCs w:val="21"/>
        </w:rPr>
        <w:t>haematemesis</w:t>
      </w:r>
      <w:proofErr w:type="spellEnd"/>
      <w:r w:rsidRPr="00A00B16">
        <w:rPr>
          <w:rFonts w:eastAsia="Times New Roman"/>
          <w:sz w:val="24"/>
          <w:szCs w:val="21"/>
        </w:rPr>
        <w:t xml:space="preserve">, melena, </w:t>
      </w:r>
      <w:proofErr w:type="spellStart"/>
      <w:r w:rsidRPr="00A00B16">
        <w:rPr>
          <w:rFonts w:eastAsia="Times New Roman"/>
          <w:sz w:val="24"/>
          <w:szCs w:val="21"/>
        </w:rPr>
        <w:t>haematochezia</w:t>
      </w:r>
      <w:proofErr w:type="spellEnd"/>
      <w:r w:rsidRPr="00A00B16">
        <w:rPr>
          <w:rFonts w:eastAsia="Times New Roman"/>
          <w:sz w:val="24"/>
          <w:szCs w:val="21"/>
        </w:rPr>
        <w:t xml:space="preserve">), </w:t>
      </w:r>
      <w:proofErr w:type="spellStart"/>
      <w:r w:rsidRPr="00A00B16">
        <w:rPr>
          <w:rFonts w:eastAsia="Times New Roman"/>
          <w:sz w:val="24"/>
          <w:szCs w:val="21"/>
        </w:rPr>
        <w:t>haemoptysis</w:t>
      </w:r>
      <w:proofErr w:type="spellEnd"/>
      <w:r w:rsidRPr="00A00B16">
        <w:rPr>
          <w:rFonts w:eastAsia="Times New Roman"/>
          <w:sz w:val="24"/>
          <w:szCs w:val="21"/>
        </w:rPr>
        <w:t xml:space="preserve"> (fresh blood &gt;5 mL within 4 weeks), or have experienced thromboembolic events within 12 months (including stroke events and/or transient </w:t>
      </w:r>
      <w:proofErr w:type="spellStart"/>
      <w:r w:rsidRPr="00A00B16">
        <w:rPr>
          <w:rFonts w:eastAsia="Times New Roman"/>
          <w:sz w:val="24"/>
          <w:szCs w:val="21"/>
        </w:rPr>
        <w:t>ischaemic</w:t>
      </w:r>
      <w:proofErr w:type="spellEnd"/>
      <w:r w:rsidRPr="00A00B16">
        <w:rPr>
          <w:rFonts w:eastAsia="Times New Roman"/>
          <w:sz w:val="24"/>
          <w:szCs w:val="21"/>
        </w:rPr>
        <w:t xml:space="preserve"> attack); </w:t>
      </w:r>
    </w:p>
    <w:p w14:paraId="287659E6" w14:textId="1F7C6C11"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t xml:space="preserve">INR &gt; 1.5 or APTT &gt; 1.5×ULN, or the patient is currently taking anticoagulants; </w:t>
      </w:r>
    </w:p>
    <w:p w14:paraId="5F638BDE" w14:textId="77777777"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t xml:space="preserve">Currently, the patient has poorly controlled diabetes mellitus (after standard treatment, fasting glucose concentration ≥ CTCAE Grade 2); </w:t>
      </w:r>
    </w:p>
    <w:p w14:paraId="08F9B026" w14:textId="77777777"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t xml:space="preserve">The patient currently has any disease or condition that affects drug absorption, or the patient is unable to take </w:t>
      </w:r>
      <w:proofErr w:type="spellStart"/>
      <w:r w:rsidRPr="00A00B16">
        <w:rPr>
          <w:rFonts w:eastAsia="Times New Roman"/>
          <w:sz w:val="24"/>
          <w:szCs w:val="21"/>
        </w:rPr>
        <w:t>surufatinib</w:t>
      </w:r>
      <w:proofErr w:type="spellEnd"/>
      <w:r w:rsidRPr="00A00B16">
        <w:rPr>
          <w:rFonts w:eastAsia="Times New Roman"/>
          <w:sz w:val="24"/>
          <w:szCs w:val="21"/>
        </w:rPr>
        <w:t xml:space="preserve"> orally; </w:t>
      </w:r>
    </w:p>
    <w:p w14:paraId="6DE755E1" w14:textId="6ECC3D41"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t>Active or uncontrolled severe infection (≥</w:t>
      </w:r>
      <w:r w:rsidR="00336D6F">
        <w:rPr>
          <w:rFonts w:eastAsiaTheme="minorEastAsia" w:hint="eastAsia"/>
          <w:sz w:val="24"/>
          <w:szCs w:val="21"/>
        </w:rPr>
        <w:t xml:space="preserve"> </w:t>
      </w:r>
      <w:r w:rsidRPr="00A00B16">
        <w:rPr>
          <w:rFonts w:eastAsia="Times New Roman"/>
          <w:sz w:val="24"/>
          <w:szCs w:val="21"/>
        </w:rPr>
        <w:t xml:space="preserve">CTCAE Grade 2 infection); </w:t>
      </w:r>
    </w:p>
    <w:p w14:paraId="5ED67BCB" w14:textId="5F1F9D2E"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t xml:space="preserve">Known HIV infection; </w:t>
      </w:r>
    </w:p>
    <w:p w14:paraId="6557F9AE" w14:textId="7F4B428A" w:rsidR="00DE4AFD" w:rsidRPr="00303844" w:rsidRDefault="004A4F56" w:rsidP="000C622D">
      <w:pPr>
        <w:pStyle w:val="12"/>
        <w:numPr>
          <w:ilvl w:val="0"/>
          <w:numId w:val="18"/>
        </w:numPr>
        <w:adjustRightInd w:val="0"/>
        <w:snapToGrid w:val="0"/>
        <w:spacing w:line="360" w:lineRule="auto"/>
        <w:ind w:firstLineChars="0"/>
        <w:rPr>
          <w:iCs/>
          <w:sz w:val="24"/>
        </w:rPr>
      </w:pPr>
      <w:r w:rsidRPr="00303844">
        <w:rPr>
          <w:rFonts w:eastAsia="Times New Roman"/>
          <w:sz w:val="24"/>
        </w:rPr>
        <w:t>Known history of clinically significant liver disease, including hepatitis viral [subjects known to be carriers of HBV must be excluded if they have active HBV infection, i.e., HBV DNA positive (&gt;1×10</w:t>
      </w:r>
      <w:r w:rsidRPr="00303844">
        <w:rPr>
          <w:rFonts w:eastAsia="Times New Roman"/>
          <w:sz w:val="24"/>
          <w:vertAlign w:val="superscript"/>
        </w:rPr>
        <w:t>4</w:t>
      </w:r>
      <w:r w:rsidRPr="00303844">
        <w:rPr>
          <w:rFonts w:eastAsia="Times New Roman"/>
          <w:sz w:val="24"/>
        </w:rPr>
        <w:t xml:space="preserve"> copies/mL or &gt;2000 IU/mL); known HCV infection with </w:t>
      </w:r>
      <w:r w:rsidRPr="00303844">
        <w:rPr>
          <w:rFonts w:eastAsia="Times New Roman"/>
          <w:sz w:val="24"/>
        </w:rPr>
        <w:lastRenderedPageBreak/>
        <w:t>HCV RNA positive (&gt;1×10</w:t>
      </w:r>
      <w:r w:rsidRPr="00303844">
        <w:rPr>
          <w:rFonts w:eastAsia="Times New Roman"/>
          <w:sz w:val="24"/>
          <w:vertAlign w:val="superscript"/>
        </w:rPr>
        <w:t>3</w:t>
      </w:r>
      <w:r w:rsidRPr="00303844">
        <w:rPr>
          <w:rFonts w:eastAsia="Times New Roman"/>
          <w:sz w:val="24"/>
        </w:rPr>
        <w:t xml:space="preserve"> copies/mL)], or other hepatitis, hepatic cirrhosis; </w:t>
      </w:r>
    </w:p>
    <w:p w14:paraId="7B12675E" w14:textId="368D5678"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t xml:space="preserve">The patient currently has CNS metastasis or a history of brain metastasis; </w:t>
      </w:r>
    </w:p>
    <w:p w14:paraId="0C147537" w14:textId="77777777"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t xml:space="preserve">Patients who currently have gastrointestinal diseases such as active gastric and duodenal ulcer, colitis ulcerative, or active hemorrhage in unresected </w:t>
      </w:r>
      <w:r w:rsidRPr="00A00B16">
        <w:rPr>
          <w:rFonts w:eastAsia="Times New Roman"/>
          <w:color w:val="333333"/>
          <w:sz w:val="24"/>
          <w:szCs w:val="21"/>
        </w:rPr>
        <w:t>tumor</w:t>
      </w:r>
      <w:r w:rsidRPr="00A00B16">
        <w:rPr>
          <w:rFonts w:eastAsia="Times New Roman"/>
          <w:sz w:val="24"/>
          <w:szCs w:val="21"/>
        </w:rPr>
        <w:t xml:space="preserve">, or other conditions that may cause gastrointestinal hemorrhage or perforation as determined by the investigator; </w:t>
      </w:r>
    </w:p>
    <w:p w14:paraId="07E18066" w14:textId="77777777"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t xml:space="preserve">Unresolved toxicities higher than CTCAE Grade 1 caused by any prior anti-cancer treatments, excluding alopecia and ≤ Grade 2 neurotoxicity caused by oxaliplatin; </w:t>
      </w:r>
    </w:p>
    <w:p w14:paraId="71076C1E" w14:textId="77777777"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t xml:space="preserve">Patients with a known or suspected allergy to the investigational product or drugs of the same class; </w:t>
      </w:r>
    </w:p>
    <w:p w14:paraId="44CBBB67" w14:textId="77777777"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t xml:space="preserve">Pregnant (positive pregnancy test before medication) or breastfeeding women; </w:t>
      </w:r>
    </w:p>
    <w:p w14:paraId="56E125AC" w14:textId="77777777"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color w:val="333333"/>
          <w:sz w:val="24"/>
          <w:szCs w:val="21"/>
        </w:rPr>
        <w:t>Drug abuse, medical, psychological, or social conditions may affect patient enrollment and</w:t>
      </w:r>
      <w:r w:rsidRPr="00A00B16">
        <w:rPr>
          <w:rFonts w:eastAsia="Times New Roman"/>
          <w:sz w:val="24"/>
          <w:szCs w:val="21"/>
        </w:rPr>
        <w:t xml:space="preserve"> the evaluation of experimental results; </w:t>
      </w:r>
    </w:p>
    <w:p w14:paraId="166F2DB9" w14:textId="77777777" w:rsidR="00DE4AFD" w:rsidRPr="00303844" w:rsidRDefault="004A4F56" w:rsidP="00A00B16">
      <w:pPr>
        <w:pStyle w:val="12"/>
        <w:numPr>
          <w:ilvl w:val="0"/>
          <w:numId w:val="18"/>
        </w:numPr>
        <w:adjustRightInd w:val="0"/>
        <w:snapToGrid w:val="0"/>
        <w:spacing w:line="360" w:lineRule="auto"/>
        <w:ind w:firstLineChars="0"/>
        <w:rPr>
          <w:iCs/>
          <w:sz w:val="24"/>
        </w:rPr>
      </w:pPr>
      <w:r w:rsidRPr="00A00B16">
        <w:rPr>
          <w:rFonts w:eastAsia="Times New Roman"/>
          <w:sz w:val="24"/>
          <w:szCs w:val="21"/>
        </w:rPr>
        <w:t xml:space="preserve">Having other untreated or concomitant </w:t>
      </w:r>
      <w:r w:rsidRPr="00A00B16">
        <w:rPr>
          <w:rFonts w:eastAsia="Times New Roman"/>
          <w:color w:val="333333"/>
          <w:sz w:val="24"/>
          <w:szCs w:val="21"/>
        </w:rPr>
        <w:t>tumor</w:t>
      </w:r>
      <w:r w:rsidRPr="00A00B16">
        <w:rPr>
          <w:rFonts w:eastAsia="Times New Roman"/>
          <w:sz w:val="24"/>
          <w:szCs w:val="21"/>
        </w:rPr>
        <w:t xml:space="preserve">s, except cervical carcinoma in situ, treated basal cell carcinoma, or superficial bladder </w:t>
      </w:r>
      <w:r w:rsidRPr="00A00B16">
        <w:rPr>
          <w:rFonts w:eastAsia="Times New Roman"/>
          <w:color w:val="333333"/>
          <w:sz w:val="24"/>
          <w:szCs w:val="21"/>
        </w:rPr>
        <w:t>tumor</w:t>
      </w:r>
      <w:r w:rsidRPr="00A00B16">
        <w:rPr>
          <w:rFonts w:eastAsia="Times New Roman"/>
          <w:sz w:val="24"/>
          <w:szCs w:val="21"/>
        </w:rPr>
        <w:t xml:space="preserve">s. Patients can be enrolled if the </w:t>
      </w:r>
      <w:r w:rsidRPr="00A00B16">
        <w:rPr>
          <w:rFonts w:eastAsia="Times New Roman"/>
          <w:color w:val="333333"/>
          <w:sz w:val="24"/>
          <w:szCs w:val="21"/>
        </w:rPr>
        <w:t>tumor</w:t>
      </w:r>
      <w:r w:rsidRPr="00A00B16">
        <w:rPr>
          <w:rFonts w:eastAsia="Times New Roman"/>
          <w:sz w:val="24"/>
          <w:szCs w:val="21"/>
        </w:rPr>
        <w:t xml:space="preserve"> has been radically resected and there is no evidence of disease for more than 3 years. Treatment for all other </w:t>
      </w:r>
      <w:r w:rsidRPr="00A00B16">
        <w:rPr>
          <w:rFonts w:eastAsia="Times New Roman"/>
          <w:color w:val="333333"/>
          <w:sz w:val="24"/>
          <w:szCs w:val="21"/>
        </w:rPr>
        <w:t>tumor</w:t>
      </w:r>
      <w:r w:rsidRPr="00A00B16">
        <w:rPr>
          <w:rFonts w:eastAsia="Times New Roman"/>
          <w:sz w:val="24"/>
          <w:szCs w:val="21"/>
        </w:rPr>
        <w:t xml:space="preserve">s must have been completed at least 3 years prior to enrollment; </w:t>
      </w:r>
    </w:p>
    <w:p w14:paraId="4239DDCF" w14:textId="77777777" w:rsidR="00DE4AFD" w:rsidRPr="00303844" w:rsidRDefault="004A4F56" w:rsidP="00253A8A">
      <w:pPr>
        <w:pStyle w:val="12"/>
        <w:numPr>
          <w:ilvl w:val="0"/>
          <w:numId w:val="18"/>
        </w:numPr>
        <w:adjustRightInd w:val="0"/>
        <w:snapToGrid w:val="0"/>
        <w:ind w:firstLineChars="0"/>
        <w:rPr>
          <w:i/>
          <w:color w:val="008000"/>
        </w:rPr>
      </w:pPr>
      <w:r w:rsidRPr="00222B77">
        <w:rPr>
          <w:rFonts w:eastAsia="Times New Roman"/>
          <w:color w:val="333333"/>
          <w:sz w:val="24"/>
        </w:rPr>
        <w:t>Patients considered by the investigator to be inappropriate for enrollment in this study.</w:t>
      </w:r>
      <w:r w:rsidRPr="00222B77">
        <w:rPr>
          <w:rFonts w:eastAsia="Times New Roman"/>
          <w:sz w:val="24"/>
        </w:rPr>
        <w:t xml:space="preserve"> </w:t>
      </w:r>
    </w:p>
    <w:p w14:paraId="40FF329A" w14:textId="7C4D1E82" w:rsidR="00DE4AFD" w:rsidRPr="00303844" w:rsidRDefault="004A4F56" w:rsidP="000C622D">
      <w:pPr>
        <w:pStyle w:val="21"/>
        <w:spacing w:before="0" w:after="0" w:line="360" w:lineRule="auto"/>
        <w:rPr>
          <w:rFonts w:eastAsia="宋体" w:cs="Times New Roman"/>
        </w:rPr>
      </w:pPr>
      <w:bookmarkStart w:id="37" w:name="_Toc469064454"/>
      <w:bookmarkStart w:id="38" w:name="_Toc184889612"/>
      <w:bookmarkEnd w:id="37"/>
      <w:r w:rsidRPr="00303844">
        <w:rPr>
          <w:rFonts w:eastAsia="Times New Roman" w:cs="Times New Roman"/>
          <w:color w:val="333333"/>
          <w:kern w:val="0"/>
        </w:rPr>
        <w:t xml:space="preserve">Subject </w:t>
      </w:r>
      <w:r w:rsidR="007F48EE">
        <w:rPr>
          <w:rFonts w:eastAsiaTheme="minorEastAsia" w:cs="Times New Roman" w:hint="eastAsia"/>
          <w:color w:val="333333"/>
          <w:kern w:val="0"/>
        </w:rPr>
        <w:t>C</w:t>
      </w:r>
      <w:r w:rsidR="007F48EE" w:rsidRPr="00303844">
        <w:rPr>
          <w:rFonts w:eastAsia="Times New Roman" w:cs="Times New Roman"/>
          <w:color w:val="333333"/>
          <w:kern w:val="0"/>
        </w:rPr>
        <w:t xml:space="preserve">ompletes </w:t>
      </w:r>
      <w:r w:rsidR="007F48EE">
        <w:rPr>
          <w:rFonts w:eastAsiaTheme="minorEastAsia" w:cs="Times New Roman" w:hint="eastAsia"/>
          <w:color w:val="333333"/>
          <w:kern w:val="0"/>
        </w:rPr>
        <w:t>S</w:t>
      </w:r>
      <w:r w:rsidR="007F48EE" w:rsidRPr="00303844">
        <w:rPr>
          <w:rFonts w:eastAsia="Times New Roman" w:cs="Times New Roman"/>
          <w:color w:val="333333"/>
          <w:kern w:val="0"/>
        </w:rPr>
        <w:t xml:space="preserve">tudy </w:t>
      </w:r>
      <w:r w:rsidR="007F48EE">
        <w:rPr>
          <w:rFonts w:eastAsiaTheme="minorEastAsia" w:cs="Times New Roman" w:hint="eastAsia"/>
          <w:color w:val="333333"/>
          <w:kern w:val="0"/>
        </w:rPr>
        <w:t>T</w:t>
      </w:r>
      <w:r w:rsidR="007F48EE" w:rsidRPr="00303844">
        <w:rPr>
          <w:rFonts w:eastAsia="Times New Roman" w:cs="Times New Roman"/>
          <w:color w:val="333333"/>
          <w:kern w:val="0"/>
        </w:rPr>
        <w:t>reatment</w:t>
      </w:r>
      <w:r w:rsidRPr="00303844">
        <w:rPr>
          <w:rFonts w:eastAsia="Times New Roman" w:cs="Times New Roman"/>
          <w:color w:val="333333"/>
          <w:kern w:val="0"/>
        </w:rPr>
        <w:t xml:space="preserve">, </w:t>
      </w:r>
      <w:r w:rsidR="007F48EE">
        <w:rPr>
          <w:rFonts w:eastAsiaTheme="minorEastAsia" w:cs="Times New Roman" w:hint="eastAsia"/>
          <w:color w:val="333333"/>
          <w:kern w:val="0"/>
        </w:rPr>
        <w:t>W</w:t>
      </w:r>
      <w:r w:rsidR="007F48EE" w:rsidRPr="00303844">
        <w:rPr>
          <w:rFonts w:eastAsia="Times New Roman" w:cs="Times New Roman"/>
          <w:color w:val="333333"/>
          <w:kern w:val="0"/>
        </w:rPr>
        <w:t xml:space="preserve">ithdraws </w:t>
      </w:r>
      <w:r w:rsidRPr="00303844">
        <w:rPr>
          <w:rFonts w:eastAsia="Times New Roman" w:cs="Times New Roman"/>
          <w:color w:val="333333"/>
          <w:kern w:val="0"/>
        </w:rPr>
        <w:t xml:space="preserve">from </w:t>
      </w:r>
      <w:r w:rsidR="007F48EE">
        <w:rPr>
          <w:rFonts w:eastAsiaTheme="minorEastAsia" w:cs="Times New Roman" w:hint="eastAsia"/>
          <w:color w:val="333333"/>
          <w:kern w:val="0"/>
        </w:rPr>
        <w:t>S</w:t>
      </w:r>
      <w:r w:rsidR="007F48EE" w:rsidRPr="00303844">
        <w:rPr>
          <w:rFonts w:eastAsia="Times New Roman" w:cs="Times New Roman"/>
          <w:color w:val="333333"/>
          <w:kern w:val="0"/>
        </w:rPr>
        <w:t>tudy</w:t>
      </w:r>
      <w:r w:rsidRPr="00303844">
        <w:rPr>
          <w:rFonts w:eastAsia="Times New Roman" w:cs="Times New Roman"/>
          <w:color w:val="333333"/>
          <w:kern w:val="0"/>
        </w:rPr>
        <w:t xml:space="preserve">, or </w:t>
      </w:r>
      <w:r w:rsidR="007F48EE">
        <w:rPr>
          <w:rFonts w:eastAsiaTheme="minorEastAsia" w:cs="Times New Roman" w:hint="eastAsia"/>
          <w:color w:val="333333"/>
          <w:kern w:val="0"/>
        </w:rPr>
        <w:t>D</w:t>
      </w:r>
      <w:r w:rsidR="007F48EE" w:rsidRPr="00303844">
        <w:rPr>
          <w:rFonts w:eastAsia="Times New Roman" w:cs="Times New Roman"/>
          <w:color w:val="333333"/>
          <w:kern w:val="0"/>
        </w:rPr>
        <w:t xml:space="preserve">iscontinues </w:t>
      </w:r>
      <w:r w:rsidR="007F48EE">
        <w:rPr>
          <w:rFonts w:eastAsiaTheme="minorEastAsia" w:cs="Times New Roman" w:hint="eastAsia"/>
          <w:color w:val="333333"/>
          <w:kern w:val="0"/>
        </w:rPr>
        <w:t>S</w:t>
      </w:r>
      <w:r w:rsidR="007F48EE" w:rsidRPr="00303844">
        <w:rPr>
          <w:rFonts w:eastAsia="Times New Roman" w:cs="Times New Roman"/>
          <w:color w:val="333333"/>
          <w:kern w:val="0"/>
        </w:rPr>
        <w:t xml:space="preserve">tudy </w:t>
      </w:r>
      <w:bookmarkEnd w:id="38"/>
      <w:r w:rsidR="007F48EE">
        <w:rPr>
          <w:rFonts w:eastAsiaTheme="minorEastAsia" w:cs="Times New Roman" w:hint="eastAsia"/>
          <w:color w:val="333333"/>
          <w:kern w:val="0"/>
        </w:rPr>
        <w:t>T</w:t>
      </w:r>
      <w:r w:rsidR="007F48EE" w:rsidRPr="00303844">
        <w:rPr>
          <w:rFonts w:eastAsia="Times New Roman" w:cs="Times New Roman"/>
          <w:color w:val="333333"/>
          <w:kern w:val="0"/>
        </w:rPr>
        <w:t>reatment</w:t>
      </w:r>
    </w:p>
    <w:p w14:paraId="19452713" w14:textId="77777777" w:rsidR="00DE4AFD" w:rsidRPr="00303844" w:rsidRDefault="004A4F56" w:rsidP="000C622D">
      <w:pPr>
        <w:pStyle w:val="30"/>
        <w:spacing w:before="0" w:after="0" w:line="360" w:lineRule="auto"/>
        <w:rPr>
          <w:rFonts w:cs="Times New Roman"/>
        </w:rPr>
      </w:pPr>
      <w:bookmarkStart w:id="39" w:name="_Toc184889613"/>
      <w:r w:rsidRPr="00303844">
        <w:rPr>
          <w:rFonts w:eastAsia="Times New Roman" w:cs="Times New Roman"/>
          <w:color w:val="333333"/>
        </w:rPr>
        <w:t>Criteria for Completion of Study Treatment:</w:t>
      </w:r>
      <w:bookmarkEnd w:id="39"/>
    </w:p>
    <w:p w14:paraId="0CF8B150" w14:textId="77777777" w:rsidR="00DE4AFD" w:rsidRPr="00AF1F77" w:rsidRDefault="004A4F56" w:rsidP="00A00B16">
      <w:pPr>
        <w:pStyle w:val="HR"/>
        <w:numPr>
          <w:ilvl w:val="0"/>
          <w:numId w:val="19"/>
        </w:numPr>
        <w:spacing w:after="0"/>
        <w:ind w:firstLineChars="0"/>
        <w:jc w:val="both"/>
        <w:rPr>
          <w:rFonts w:cs="Times New Roman"/>
          <w:lang w:val="en-US" w:eastAsia="zh-CN"/>
        </w:rPr>
      </w:pPr>
      <w:r w:rsidRPr="00A00B16">
        <w:rPr>
          <w:rFonts w:eastAsia="Times New Roman" w:cs="Times New Roman"/>
          <w:szCs w:val="21"/>
          <w:lang w:val="en-US" w:eastAsia="zh-CN"/>
        </w:rPr>
        <w:t xml:space="preserve">Disease progression (including clinical progression); </w:t>
      </w:r>
    </w:p>
    <w:p w14:paraId="3BB70063" w14:textId="77777777" w:rsidR="00DE4AFD" w:rsidRPr="00303844" w:rsidRDefault="004A4F56" w:rsidP="00A00B16">
      <w:pPr>
        <w:pStyle w:val="HR"/>
        <w:numPr>
          <w:ilvl w:val="0"/>
          <w:numId w:val="19"/>
        </w:numPr>
        <w:spacing w:after="0"/>
        <w:ind w:firstLineChars="0"/>
        <w:jc w:val="both"/>
        <w:rPr>
          <w:rFonts w:cs="Times New Roman"/>
          <w:lang w:eastAsia="zh-CN"/>
        </w:rPr>
      </w:pPr>
      <w:r w:rsidRPr="00A00B16">
        <w:rPr>
          <w:rFonts w:eastAsia="Times New Roman" w:cs="Times New Roman"/>
          <w:szCs w:val="21"/>
          <w:lang w:val="en-US"/>
        </w:rPr>
        <w:t xml:space="preserve">Subject death; </w:t>
      </w:r>
    </w:p>
    <w:p w14:paraId="7696A3E3" w14:textId="77777777" w:rsidR="00DE4AFD" w:rsidRPr="00303844" w:rsidRDefault="004A4F56" w:rsidP="00A00B16">
      <w:pPr>
        <w:pStyle w:val="HR"/>
        <w:numPr>
          <w:ilvl w:val="0"/>
          <w:numId w:val="19"/>
        </w:numPr>
        <w:spacing w:after="0"/>
        <w:ind w:firstLineChars="0"/>
        <w:jc w:val="both"/>
        <w:rPr>
          <w:rFonts w:cs="Times New Roman"/>
          <w:lang w:val="en-US"/>
        </w:rPr>
      </w:pPr>
      <w:r w:rsidRPr="00A00B16">
        <w:rPr>
          <w:rFonts w:eastAsia="Times New Roman" w:cs="Times New Roman"/>
          <w:szCs w:val="21"/>
          <w:lang w:val="en-US"/>
        </w:rPr>
        <w:t xml:space="preserve">The entire study is completed. </w:t>
      </w:r>
    </w:p>
    <w:p w14:paraId="0C1A3813" w14:textId="77777777" w:rsidR="00DE4AFD" w:rsidRPr="00303844" w:rsidRDefault="004A4F56" w:rsidP="000C622D">
      <w:pPr>
        <w:pStyle w:val="30"/>
        <w:spacing w:before="0" w:after="0" w:line="360" w:lineRule="auto"/>
        <w:rPr>
          <w:rFonts w:cs="Times New Roman"/>
        </w:rPr>
      </w:pPr>
      <w:bookmarkStart w:id="40" w:name="_Toc184889614"/>
      <w:r w:rsidRPr="00303844">
        <w:rPr>
          <w:rFonts w:eastAsia="Times New Roman" w:cs="Times New Roman"/>
        </w:rPr>
        <w:t>Withdrawal from the Study</w:t>
      </w:r>
      <w:bookmarkEnd w:id="40"/>
    </w:p>
    <w:p w14:paraId="64E5E713" w14:textId="77777777" w:rsidR="00DE4AFD" w:rsidRPr="00AF1F77" w:rsidRDefault="004A4F56" w:rsidP="0069237C">
      <w:pPr>
        <w:pStyle w:val="HR"/>
        <w:spacing w:after="0"/>
        <w:ind w:firstLineChars="0" w:firstLine="0"/>
        <w:jc w:val="both"/>
        <w:rPr>
          <w:rFonts w:cs="Times New Roman"/>
          <w:i/>
          <w:color w:val="008000"/>
          <w:lang w:val="en-US" w:eastAsia="zh-CN"/>
        </w:rPr>
      </w:pPr>
      <w:r w:rsidRPr="00AF1F77">
        <w:rPr>
          <w:rFonts w:eastAsia="Times New Roman" w:cs="Times New Roman"/>
          <w:color w:val="333333"/>
          <w:lang w:val="en-US" w:eastAsia="zh-CN"/>
        </w:rPr>
        <w:t xml:space="preserve">Subjects may voluntarily withdraw from the study at any time, or they may be withdrawn from the study by the investigator or sponsor due to safety concerns, behavioral reasons, or inability to follow the study visit schedule or procedures as required by the protocol at the study site. </w:t>
      </w:r>
    </w:p>
    <w:p w14:paraId="62DEAA41" w14:textId="77777777" w:rsidR="00DE4AFD" w:rsidRPr="00303844" w:rsidRDefault="004A4F56" w:rsidP="0069237C">
      <w:pPr>
        <w:pStyle w:val="HR"/>
        <w:spacing w:after="0"/>
        <w:ind w:firstLineChars="0" w:firstLine="0"/>
        <w:jc w:val="both"/>
        <w:rPr>
          <w:rFonts w:cs="Times New Roman"/>
          <w:lang w:val="en-US" w:eastAsia="zh-CN"/>
        </w:rPr>
      </w:pPr>
      <w:r w:rsidRPr="00AF1F77">
        <w:rPr>
          <w:rFonts w:eastAsia="Times New Roman" w:cs="Times New Roman"/>
          <w:color w:val="333333"/>
          <w:lang w:val="en-US" w:eastAsia="zh-CN"/>
        </w:rPr>
        <w:t>Reasons for withdrawal from the study include:</w:t>
      </w:r>
    </w:p>
    <w:p w14:paraId="13365E1A" w14:textId="77777777" w:rsidR="00DE4AFD" w:rsidRPr="00AF1F77" w:rsidRDefault="004A4F56" w:rsidP="000C622D">
      <w:pPr>
        <w:pStyle w:val="HR"/>
        <w:numPr>
          <w:ilvl w:val="0"/>
          <w:numId w:val="19"/>
        </w:numPr>
        <w:spacing w:after="0"/>
        <w:ind w:firstLineChars="0"/>
        <w:jc w:val="both"/>
        <w:rPr>
          <w:rFonts w:cs="Times New Roman"/>
          <w:lang w:val="en-US" w:eastAsia="zh-CN"/>
        </w:rPr>
      </w:pPr>
      <w:r w:rsidRPr="00AF1F77">
        <w:rPr>
          <w:rFonts w:eastAsia="Times New Roman" w:cs="Times New Roman"/>
          <w:color w:val="333333"/>
          <w:lang w:val="en-US" w:eastAsia="zh-CN"/>
        </w:rPr>
        <w:lastRenderedPageBreak/>
        <w:t>The subject withdraws informed consent of participating in the study, and rejects further follow-up;</w:t>
      </w:r>
      <w:r w:rsidRPr="00AF1F77">
        <w:rPr>
          <w:rFonts w:eastAsia="Times New Roman" w:cs="Times New Roman"/>
          <w:lang w:val="en-US" w:eastAsia="zh-CN"/>
        </w:rPr>
        <w:t xml:space="preserve"> </w:t>
      </w:r>
    </w:p>
    <w:p w14:paraId="27C4C0CC" w14:textId="77777777" w:rsidR="00DE4AFD" w:rsidRPr="00AF1F77" w:rsidRDefault="004A4F56" w:rsidP="000C622D">
      <w:pPr>
        <w:pStyle w:val="HR"/>
        <w:numPr>
          <w:ilvl w:val="0"/>
          <w:numId w:val="19"/>
        </w:numPr>
        <w:spacing w:after="0"/>
        <w:ind w:firstLineChars="0"/>
        <w:jc w:val="both"/>
        <w:rPr>
          <w:rFonts w:cs="Times New Roman"/>
          <w:lang w:val="en-US" w:eastAsia="zh-CN"/>
        </w:rPr>
      </w:pPr>
      <w:r w:rsidRPr="00AF1F77">
        <w:rPr>
          <w:rFonts w:eastAsia="Times New Roman" w:cs="Times New Roman"/>
          <w:color w:val="333333"/>
          <w:lang w:val="en-US" w:eastAsia="zh-CN"/>
        </w:rPr>
        <w:t xml:space="preserve">It is not in the subject’s best interest to continue the treatment per the investigator due to occurrence of any clinical AEs, laboratory test abnormalities or co-morbidities; </w:t>
      </w:r>
    </w:p>
    <w:p w14:paraId="4225122C" w14:textId="77777777" w:rsidR="00DE4AFD" w:rsidRPr="00AF1F77" w:rsidRDefault="004A4F56" w:rsidP="000C622D">
      <w:pPr>
        <w:pStyle w:val="HR"/>
        <w:numPr>
          <w:ilvl w:val="0"/>
          <w:numId w:val="19"/>
        </w:numPr>
        <w:spacing w:after="0"/>
        <w:ind w:firstLineChars="0"/>
        <w:jc w:val="both"/>
        <w:rPr>
          <w:rFonts w:cs="Times New Roman"/>
          <w:lang w:val="en-US" w:eastAsia="zh-CN"/>
        </w:rPr>
      </w:pPr>
      <w:r w:rsidRPr="00AF1F77">
        <w:rPr>
          <w:rFonts w:eastAsia="Times New Roman" w:cs="Times New Roman"/>
          <w:color w:val="333333"/>
          <w:lang w:val="en-US" w:eastAsia="zh-CN"/>
        </w:rPr>
        <w:t>Other conditions that are necessary for the subject to withdraw from the study in the opinion of the investigator, for instance, the subject losses the ability to express his/her will freely due to confinement or isolation;</w:t>
      </w:r>
      <w:r w:rsidRPr="00AF1F77">
        <w:rPr>
          <w:rFonts w:eastAsia="Times New Roman" w:cs="Times New Roman"/>
          <w:lang w:val="en-US" w:eastAsia="zh-CN"/>
        </w:rPr>
        <w:t xml:space="preserve"> </w:t>
      </w:r>
    </w:p>
    <w:p w14:paraId="23370770" w14:textId="77777777" w:rsidR="00DE4AFD" w:rsidRPr="00303844" w:rsidRDefault="004A4F56" w:rsidP="000C622D">
      <w:pPr>
        <w:pStyle w:val="HR"/>
        <w:numPr>
          <w:ilvl w:val="0"/>
          <w:numId w:val="19"/>
        </w:numPr>
        <w:spacing w:after="0"/>
        <w:ind w:firstLineChars="0"/>
        <w:jc w:val="both"/>
        <w:rPr>
          <w:rFonts w:cs="Times New Roman"/>
          <w:lang w:eastAsia="zh-CN"/>
        </w:rPr>
      </w:pPr>
      <w:r w:rsidRPr="00303844">
        <w:rPr>
          <w:rFonts w:eastAsia="Times New Roman" w:cs="Times New Roman"/>
          <w:lang w:eastAsia="zh-CN"/>
        </w:rPr>
        <w:t xml:space="preserve">Lost to follow-up; </w:t>
      </w:r>
    </w:p>
    <w:p w14:paraId="11252B48" w14:textId="77777777" w:rsidR="00DE4AFD" w:rsidRPr="00303844" w:rsidRDefault="004A4F56" w:rsidP="00A00B16">
      <w:pPr>
        <w:pStyle w:val="HR"/>
        <w:numPr>
          <w:ilvl w:val="0"/>
          <w:numId w:val="19"/>
        </w:numPr>
        <w:spacing w:after="0"/>
        <w:ind w:firstLineChars="0"/>
        <w:jc w:val="both"/>
        <w:rPr>
          <w:rFonts w:cs="Times New Roman"/>
          <w:lang w:eastAsia="zh-CN"/>
        </w:rPr>
      </w:pPr>
      <w:r w:rsidRPr="00A00B16">
        <w:rPr>
          <w:rFonts w:eastAsia="Times New Roman" w:cs="Times New Roman"/>
          <w:szCs w:val="21"/>
          <w:lang w:val="en-US"/>
        </w:rPr>
        <w:t xml:space="preserve">Subject death; </w:t>
      </w:r>
    </w:p>
    <w:p w14:paraId="59FA2998" w14:textId="77777777" w:rsidR="00DE4AFD" w:rsidRPr="00303844" w:rsidRDefault="004A4F56" w:rsidP="000C622D">
      <w:pPr>
        <w:pStyle w:val="HR"/>
        <w:numPr>
          <w:ilvl w:val="0"/>
          <w:numId w:val="19"/>
        </w:numPr>
        <w:spacing w:after="0"/>
        <w:ind w:firstLineChars="0"/>
        <w:jc w:val="both"/>
        <w:rPr>
          <w:rFonts w:cs="Times New Roman"/>
          <w:i/>
          <w:lang w:val="en-US" w:eastAsia="zh-CN"/>
        </w:rPr>
      </w:pPr>
      <w:r w:rsidRPr="00AF1F77">
        <w:rPr>
          <w:rFonts w:eastAsia="Times New Roman" w:cs="Times New Roman"/>
          <w:color w:val="333333"/>
          <w:kern w:val="0"/>
          <w:lang w:val="en-US" w:eastAsia="zh-CN"/>
        </w:rPr>
        <w:t xml:space="preserve">The sponsor discontinued the study. </w:t>
      </w:r>
    </w:p>
    <w:p w14:paraId="6D1A8E26" w14:textId="77777777" w:rsidR="00DE4AFD" w:rsidRPr="00303844" w:rsidRDefault="004A4F56" w:rsidP="000C622D">
      <w:pPr>
        <w:pStyle w:val="30"/>
        <w:spacing w:before="0" w:after="0" w:line="360" w:lineRule="auto"/>
        <w:rPr>
          <w:rFonts w:cs="Times New Roman"/>
        </w:rPr>
      </w:pPr>
      <w:bookmarkStart w:id="41" w:name="_Toc184889615"/>
      <w:r w:rsidRPr="00303844">
        <w:rPr>
          <w:rFonts w:eastAsia="Times New Roman" w:cs="Times New Roman"/>
          <w:color w:val="333333"/>
        </w:rPr>
        <w:t>Discontinuation Criteria</w:t>
      </w:r>
      <w:bookmarkEnd w:id="41"/>
    </w:p>
    <w:p w14:paraId="2ECC3128" w14:textId="77777777" w:rsidR="00DE4AFD" w:rsidRPr="00303844" w:rsidRDefault="004A4F56" w:rsidP="0069237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Discontinuation of study treatment did not mean withdrawal from the study.</w:t>
      </w:r>
      <w:r w:rsidRPr="00303844">
        <w:rPr>
          <w:rFonts w:eastAsia="Times New Roman" w:cs="Times New Roman"/>
          <w:lang w:val="en-US" w:eastAsia="zh-CN"/>
        </w:rPr>
        <w:t xml:space="preserve"> </w:t>
      </w:r>
      <w:r w:rsidRPr="00303844">
        <w:rPr>
          <w:rFonts w:eastAsia="Times New Roman" w:cs="Times New Roman"/>
          <w:color w:val="333333"/>
          <w:lang w:val="en-US" w:eastAsia="zh-CN"/>
        </w:rPr>
        <w:t>Subjects who discontinue the study treatment should continue to complete the remaining study visits as required by the protocol.</w:t>
      </w:r>
      <w:r w:rsidRPr="00303844">
        <w:rPr>
          <w:rFonts w:eastAsia="Times New Roman" w:cs="Times New Roman"/>
          <w:lang w:val="en-US" w:eastAsia="zh-CN"/>
        </w:rPr>
        <w:t xml:space="preserve"> </w:t>
      </w:r>
      <w:r w:rsidRPr="00303844">
        <w:rPr>
          <w:rFonts w:eastAsia="Times New Roman" w:cs="Times New Roman"/>
          <w:color w:val="333333"/>
          <w:lang w:val="en-US" w:eastAsia="zh-CN"/>
        </w:rPr>
        <w:t>A subject must discontinue the study treatment if any of the following criteria is met:</w:t>
      </w:r>
    </w:p>
    <w:p w14:paraId="6A868DFE" w14:textId="77777777" w:rsidR="00DE4AFD" w:rsidRPr="00AF1F77" w:rsidRDefault="004A4F56" w:rsidP="000C622D">
      <w:pPr>
        <w:pStyle w:val="HR"/>
        <w:numPr>
          <w:ilvl w:val="0"/>
          <w:numId w:val="20"/>
        </w:numPr>
        <w:spacing w:after="0"/>
        <w:ind w:firstLineChars="0"/>
        <w:jc w:val="both"/>
        <w:rPr>
          <w:rFonts w:cs="Times New Roman"/>
          <w:lang w:val="en-US" w:eastAsia="zh-CN"/>
        </w:rPr>
      </w:pPr>
      <w:r w:rsidRPr="00AF1F77">
        <w:rPr>
          <w:rFonts w:eastAsia="Times New Roman" w:cs="Times New Roman"/>
          <w:color w:val="333333"/>
          <w:lang w:val="en-US" w:eastAsia="zh-CN"/>
        </w:rPr>
        <w:t xml:space="preserve">The subject requests </w:t>
      </w:r>
      <w:r w:rsidRPr="00AF1F77">
        <w:rPr>
          <w:rFonts w:eastAsia="Times New Roman" w:cs="Times New Roman"/>
          <w:lang w:val="en-US" w:eastAsia="zh-CN"/>
        </w:rPr>
        <w:t>investigational product</w:t>
      </w:r>
      <w:r w:rsidRPr="00AF1F77">
        <w:rPr>
          <w:rFonts w:eastAsia="Times New Roman" w:cs="Times New Roman"/>
          <w:color w:val="333333"/>
          <w:lang w:val="en-US" w:eastAsia="zh-CN"/>
        </w:rPr>
        <w:t xml:space="preserve"> discontinuation; </w:t>
      </w:r>
    </w:p>
    <w:p w14:paraId="47022788" w14:textId="77777777" w:rsidR="00DE4AFD" w:rsidRPr="00AF1F77" w:rsidRDefault="004A4F56" w:rsidP="000C622D">
      <w:pPr>
        <w:pStyle w:val="HR"/>
        <w:numPr>
          <w:ilvl w:val="0"/>
          <w:numId w:val="20"/>
        </w:numPr>
        <w:spacing w:after="0"/>
        <w:ind w:firstLineChars="0"/>
        <w:jc w:val="both"/>
        <w:rPr>
          <w:rFonts w:cs="Times New Roman"/>
          <w:lang w:val="en-US" w:eastAsia="zh-CN"/>
        </w:rPr>
      </w:pPr>
      <w:r w:rsidRPr="00AF1F77">
        <w:rPr>
          <w:rFonts w:eastAsia="Times New Roman" w:cs="Times New Roman"/>
          <w:color w:val="333333"/>
          <w:lang w:val="en-US" w:eastAsia="zh-CN"/>
        </w:rPr>
        <w:t>Medical imaging or clinical features indicate disease progression, unless the subject meets the criteria for continued treatment after progression (as judged by the investigator);</w:t>
      </w:r>
      <w:r w:rsidRPr="00AF1F77">
        <w:rPr>
          <w:rFonts w:eastAsia="Times New Roman" w:cs="Times New Roman"/>
          <w:lang w:val="en-US" w:eastAsia="zh-CN"/>
        </w:rPr>
        <w:t xml:space="preserve"> </w:t>
      </w:r>
    </w:p>
    <w:p w14:paraId="38B37994" w14:textId="77777777" w:rsidR="00DE4AFD" w:rsidRPr="00AF1F77" w:rsidRDefault="004A4F56" w:rsidP="000C622D">
      <w:pPr>
        <w:pStyle w:val="HR"/>
        <w:numPr>
          <w:ilvl w:val="0"/>
          <w:numId w:val="20"/>
        </w:numPr>
        <w:spacing w:after="0"/>
        <w:ind w:firstLineChars="0"/>
        <w:jc w:val="both"/>
        <w:rPr>
          <w:rFonts w:cs="Times New Roman"/>
          <w:lang w:val="en-US" w:eastAsia="zh-CN"/>
        </w:rPr>
      </w:pPr>
      <w:r w:rsidRPr="00AF1F77">
        <w:rPr>
          <w:rFonts w:eastAsia="Times New Roman" w:cs="Times New Roman"/>
          <w:color w:val="333333"/>
          <w:lang w:val="en-US" w:eastAsia="zh-CN"/>
        </w:rPr>
        <w:t>Subject becomes pregnant during the study;</w:t>
      </w:r>
      <w:r w:rsidRPr="00AF1F77">
        <w:rPr>
          <w:rFonts w:eastAsia="Times New Roman" w:cs="Times New Roman"/>
          <w:lang w:val="en-US" w:eastAsia="zh-CN"/>
        </w:rPr>
        <w:t xml:space="preserve"> </w:t>
      </w:r>
    </w:p>
    <w:p w14:paraId="584BEF31" w14:textId="77777777" w:rsidR="00DE4AFD" w:rsidRPr="00AF1F77" w:rsidRDefault="004A4F56" w:rsidP="000C622D">
      <w:pPr>
        <w:pStyle w:val="HR"/>
        <w:numPr>
          <w:ilvl w:val="0"/>
          <w:numId w:val="20"/>
        </w:numPr>
        <w:spacing w:after="0"/>
        <w:ind w:firstLineChars="0"/>
        <w:jc w:val="both"/>
        <w:rPr>
          <w:rFonts w:cs="Times New Roman"/>
          <w:lang w:val="en-US" w:eastAsia="zh-CN"/>
        </w:rPr>
      </w:pPr>
      <w:r w:rsidRPr="00AF1F77">
        <w:rPr>
          <w:rFonts w:eastAsia="Times New Roman" w:cs="Times New Roman"/>
          <w:color w:val="333333"/>
          <w:lang w:val="en-US" w:eastAsia="zh-CN"/>
        </w:rPr>
        <w:t>Any clinical AE, laboratory test abnormality, or other medical conditions occur, which may result in the subject no longer benefiting from continued treatment.</w:t>
      </w:r>
      <w:r w:rsidRPr="00AF1F77">
        <w:rPr>
          <w:rFonts w:eastAsia="Times New Roman" w:cs="Times New Roman"/>
          <w:lang w:val="en-US" w:eastAsia="zh-CN"/>
        </w:rPr>
        <w:t xml:space="preserve"> </w:t>
      </w:r>
    </w:p>
    <w:p w14:paraId="74240F20" w14:textId="77777777" w:rsidR="00DE4AFD" w:rsidRPr="00AF1F77" w:rsidRDefault="004A4F56" w:rsidP="000C622D">
      <w:pPr>
        <w:pStyle w:val="HR"/>
        <w:numPr>
          <w:ilvl w:val="0"/>
          <w:numId w:val="20"/>
        </w:numPr>
        <w:spacing w:after="0"/>
        <w:ind w:firstLineChars="0"/>
        <w:jc w:val="both"/>
        <w:rPr>
          <w:rFonts w:cs="Times New Roman"/>
          <w:lang w:val="en-US" w:eastAsia="zh-CN"/>
        </w:rPr>
      </w:pPr>
      <w:r w:rsidRPr="00AF1F77">
        <w:rPr>
          <w:rFonts w:eastAsia="Times New Roman" w:cs="Times New Roman"/>
          <w:color w:val="333333"/>
          <w:lang w:val="en-US" w:eastAsia="zh-CN"/>
        </w:rPr>
        <w:t>The patient is unable to continue to participate in the study due to overall deterioration of health status;</w:t>
      </w:r>
      <w:r w:rsidRPr="00AF1F77">
        <w:rPr>
          <w:rFonts w:eastAsia="Times New Roman" w:cs="Times New Roman"/>
          <w:lang w:val="en-US" w:eastAsia="zh-CN"/>
        </w:rPr>
        <w:t xml:space="preserve"> </w:t>
      </w:r>
    </w:p>
    <w:p w14:paraId="26654725" w14:textId="77777777" w:rsidR="00DE4AFD" w:rsidRPr="00303844" w:rsidRDefault="004A4F56" w:rsidP="000C622D">
      <w:pPr>
        <w:pStyle w:val="HR"/>
        <w:numPr>
          <w:ilvl w:val="0"/>
          <w:numId w:val="20"/>
        </w:numPr>
        <w:spacing w:after="0"/>
        <w:ind w:firstLineChars="0"/>
        <w:jc w:val="both"/>
        <w:rPr>
          <w:rStyle w:val="Instructions"/>
          <w:rFonts w:cs="Times New Roman"/>
          <w:b/>
          <w:bCs/>
          <w:i w:val="0"/>
          <w:iCs w:val="0"/>
          <w:szCs w:val="32"/>
          <w:lang w:val="en-US" w:eastAsia="zh-CN"/>
        </w:rPr>
      </w:pPr>
      <w:r w:rsidRPr="00303844">
        <w:rPr>
          <w:rFonts w:eastAsia="Times New Roman" w:cs="Times New Roman"/>
          <w:lang w:eastAsia="zh-CN"/>
        </w:rPr>
        <w:t xml:space="preserve">Lost to follow-up; </w:t>
      </w:r>
    </w:p>
    <w:p w14:paraId="16672E7C" w14:textId="77777777" w:rsidR="00DE4AFD" w:rsidRPr="00303844" w:rsidRDefault="004A4F56" w:rsidP="00A00B16">
      <w:pPr>
        <w:pStyle w:val="HR"/>
        <w:numPr>
          <w:ilvl w:val="0"/>
          <w:numId w:val="20"/>
        </w:numPr>
        <w:spacing w:after="0"/>
        <w:ind w:firstLineChars="0"/>
        <w:jc w:val="both"/>
        <w:rPr>
          <w:rFonts w:cs="Times New Roman"/>
          <w:lang w:eastAsia="zh-CN"/>
        </w:rPr>
      </w:pPr>
      <w:r w:rsidRPr="00A00B16">
        <w:rPr>
          <w:rFonts w:eastAsia="Times New Roman" w:cs="Times New Roman"/>
          <w:szCs w:val="21"/>
          <w:lang w:val="en-US"/>
        </w:rPr>
        <w:t xml:space="preserve">Subject death; </w:t>
      </w:r>
    </w:p>
    <w:p w14:paraId="0F6F0EEF" w14:textId="77777777" w:rsidR="00DE4AFD" w:rsidRPr="00AF1F77" w:rsidRDefault="004A4F56" w:rsidP="000C622D">
      <w:pPr>
        <w:pStyle w:val="HR"/>
        <w:numPr>
          <w:ilvl w:val="0"/>
          <w:numId w:val="20"/>
        </w:numPr>
        <w:spacing w:after="0"/>
        <w:ind w:firstLineChars="0"/>
        <w:jc w:val="both"/>
        <w:rPr>
          <w:rFonts w:cs="Times New Roman"/>
          <w:lang w:val="en-US" w:eastAsia="zh-CN"/>
        </w:rPr>
      </w:pPr>
      <w:r w:rsidRPr="00AF1F77">
        <w:rPr>
          <w:rFonts w:eastAsia="Times New Roman" w:cs="Times New Roman"/>
          <w:color w:val="333333"/>
          <w:kern w:val="0"/>
          <w:lang w:val="en-US" w:eastAsia="zh-CN"/>
        </w:rPr>
        <w:t>Other reasons that lead to treatment discontinuation in the investigator's opinion.</w:t>
      </w:r>
      <w:r w:rsidRPr="00AF1F77">
        <w:rPr>
          <w:rFonts w:eastAsia="Times New Roman" w:cs="Times New Roman"/>
          <w:kern w:val="0"/>
          <w:lang w:val="en-US" w:eastAsia="zh-CN"/>
        </w:rPr>
        <w:t xml:space="preserve"> </w:t>
      </w:r>
    </w:p>
    <w:p w14:paraId="329CB008" w14:textId="3E79F756" w:rsidR="00DE4AFD" w:rsidRPr="00303844" w:rsidRDefault="004A4F56" w:rsidP="000C622D">
      <w:pPr>
        <w:pStyle w:val="30"/>
        <w:spacing w:before="0" w:after="0" w:line="360" w:lineRule="auto"/>
        <w:rPr>
          <w:rFonts w:cs="Times New Roman"/>
          <w:kern w:val="0"/>
        </w:rPr>
      </w:pPr>
      <w:bookmarkStart w:id="42" w:name="_Toc469064457"/>
      <w:bookmarkStart w:id="43" w:name="_Toc184889616"/>
      <w:bookmarkStart w:id="44" w:name="_Ref462663923"/>
      <w:bookmarkEnd w:id="42"/>
      <w:r w:rsidRPr="00303844">
        <w:rPr>
          <w:rFonts w:eastAsia="Times New Roman" w:cs="Times New Roman"/>
          <w:color w:val="333333"/>
          <w:kern w:val="0"/>
        </w:rPr>
        <w:lastRenderedPageBreak/>
        <w:t xml:space="preserve">Procedures for </w:t>
      </w:r>
      <w:r w:rsidR="007F48EE">
        <w:rPr>
          <w:rFonts w:eastAsiaTheme="minorEastAsia" w:cs="Times New Roman" w:hint="eastAsia"/>
          <w:color w:val="333333"/>
          <w:kern w:val="0"/>
        </w:rPr>
        <w:t>W</w:t>
      </w:r>
      <w:r w:rsidR="007F48EE" w:rsidRPr="00303844">
        <w:rPr>
          <w:rFonts w:eastAsia="Times New Roman" w:cs="Times New Roman"/>
          <w:color w:val="333333"/>
          <w:kern w:val="0"/>
        </w:rPr>
        <w:t xml:space="preserve">ithdrawal </w:t>
      </w:r>
      <w:r w:rsidRPr="00303844">
        <w:rPr>
          <w:rFonts w:eastAsia="Times New Roman" w:cs="Times New Roman"/>
          <w:color w:val="333333"/>
          <w:kern w:val="0"/>
        </w:rPr>
        <w:t xml:space="preserve">from the </w:t>
      </w:r>
      <w:r w:rsidR="007F48EE">
        <w:rPr>
          <w:rFonts w:eastAsiaTheme="minorEastAsia" w:cs="Times New Roman" w:hint="eastAsia"/>
          <w:color w:val="333333"/>
          <w:kern w:val="0"/>
        </w:rPr>
        <w:t>S</w:t>
      </w:r>
      <w:r w:rsidR="007F48EE" w:rsidRPr="00303844">
        <w:rPr>
          <w:rFonts w:eastAsia="Times New Roman" w:cs="Times New Roman"/>
          <w:color w:val="333333"/>
          <w:kern w:val="0"/>
        </w:rPr>
        <w:t xml:space="preserve">tudy </w:t>
      </w:r>
      <w:r w:rsidRPr="00303844">
        <w:rPr>
          <w:rFonts w:eastAsia="Times New Roman" w:cs="Times New Roman"/>
          <w:color w:val="333333"/>
          <w:kern w:val="0"/>
        </w:rPr>
        <w:t xml:space="preserve">or </w:t>
      </w:r>
      <w:r w:rsidR="007F48EE">
        <w:rPr>
          <w:rFonts w:eastAsiaTheme="minorEastAsia" w:cs="Times New Roman" w:hint="eastAsia"/>
          <w:color w:val="333333"/>
          <w:kern w:val="0"/>
        </w:rPr>
        <w:t>D</w:t>
      </w:r>
      <w:r w:rsidR="007F48EE" w:rsidRPr="00303844">
        <w:rPr>
          <w:rFonts w:eastAsia="Times New Roman" w:cs="Times New Roman"/>
          <w:color w:val="333333"/>
          <w:kern w:val="0"/>
        </w:rPr>
        <w:t xml:space="preserve">iscontinuation </w:t>
      </w:r>
      <w:r w:rsidRPr="00303844">
        <w:rPr>
          <w:rFonts w:eastAsia="Times New Roman" w:cs="Times New Roman"/>
          <w:color w:val="333333"/>
          <w:kern w:val="0"/>
        </w:rPr>
        <w:t xml:space="preserve">of </w:t>
      </w:r>
      <w:r w:rsidR="007F48EE">
        <w:rPr>
          <w:rFonts w:eastAsiaTheme="minorEastAsia" w:cs="Times New Roman" w:hint="eastAsia"/>
          <w:color w:val="333333"/>
          <w:kern w:val="0"/>
        </w:rPr>
        <w:t>S</w:t>
      </w:r>
      <w:r w:rsidR="007F48EE" w:rsidRPr="00303844">
        <w:rPr>
          <w:rFonts w:eastAsia="Times New Roman" w:cs="Times New Roman"/>
          <w:color w:val="333333"/>
          <w:kern w:val="0"/>
        </w:rPr>
        <w:t xml:space="preserve">tudy </w:t>
      </w:r>
      <w:bookmarkEnd w:id="43"/>
      <w:r w:rsidR="007F48EE">
        <w:rPr>
          <w:rFonts w:eastAsiaTheme="minorEastAsia" w:cs="Times New Roman" w:hint="eastAsia"/>
          <w:color w:val="333333"/>
          <w:kern w:val="0"/>
        </w:rPr>
        <w:t>T</w:t>
      </w:r>
      <w:r w:rsidR="007F48EE" w:rsidRPr="00303844">
        <w:rPr>
          <w:rFonts w:eastAsia="Times New Roman" w:cs="Times New Roman"/>
          <w:color w:val="333333"/>
          <w:kern w:val="0"/>
        </w:rPr>
        <w:t>reatment</w:t>
      </w:r>
    </w:p>
    <w:p w14:paraId="4019E824" w14:textId="77777777" w:rsidR="00DE4AFD" w:rsidRPr="00303844" w:rsidRDefault="004A4F56" w:rsidP="0069237C">
      <w:pPr>
        <w:pStyle w:val="afc"/>
        <w:widowControl/>
        <w:topLinePunct w:val="0"/>
        <w:adjustRightInd/>
        <w:snapToGrid/>
        <w:ind w:firstLineChars="0" w:firstLine="0"/>
        <w:contextualSpacing/>
        <w:rPr>
          <w:i/>
          <w:color w:val="008000"/>
        </w:rPr>
      </w:pPr>
      <w:r w:rsidRPr="00303844">
        <w:rPr>
          <w:rFonts w:eastAsia="Times New Roman"/>
          <w:color w:val="333333"/>
        </w:rPr>
        <w:t xml:space="preserve">Every effort must be made to complete the efficacy and safety examinations specified in the protocol at the time of withdrawal from the study or discontinuation from study treatment, and to complete the safety follow-up visit with complete documentation of AEs and outcomes. The investigator may suggest or provide new or alternative treatments to the subject based on the actual situation of the subject. Subjects without disease progression should continue to be followed up for radiological evaluation until the subject starts a new anti-tumor treatment or disease progression. </w:t>
      </w:r>
    </w:p>
    <w:p w14:paraId="3CEB80A0" w14:textId="77777777" w:rsidR="00DE4AFD" w:rsidRPr="00AF1F77" w:rsidRDefault="004A4F56" w:rsidP="0069237C">
      <w:pPr>
        <w:pStyle w:val="HR"/>
        <w:spacing w:after="0"/>
        <w:ind w:firstLineChars="0" w:firstLine="0"/>
        <w:jc w:val="both"/>
        <w:rPr>
          <w:rFonts w:cs="Times New Roman"/>
          <w:kern w:val="0"/>
          <w:lang w:val="en-US" w:eastAsia="zh-CN"/>
        </w:rPr>
      </w:pPr>
      <w:r w:rsidRPr="00AF1F77">
        <w:rPr>
          <w:rFonts w:eastAsia="Times New Roman" w:cs="Times New Roman"/>
          <w:color w:val="333333"/>
          <w:kern w:val="0"/>
          <w:lang w:val="en-US" w:eastAsia="zh-CN"/>
        </w:rPr>
        <w:t>If a subject refuses to come to the study site for further visits,</w:t>
      </w:r>
      <w:r w:rsidRPr="00AF1F77">
        <w:rPr>
          <w:rFonts w:eastAsia="Times New Roman" w:cs="Times New Roman"/>
          <w:kern w:val="0"/>
          <w:lang w:val="en-US" w:eastAsia="zh-CN"/>
        </w:rPr>
        <w:t xml:space="preserve"> study-related information should still be continuously collected </w:t>
      </w:r>
      <w:r w:rsidRPr="00AF1F77">
        <w:rPr>
          <w:rFonts w:eastAsia="Times New Roman" w:cs="Times New Roman"/>
          <w:color w:val="333333"/>
          <w:kern w:val="0"/>
          <w:lang w:val="en-US" w:eastAsia="zh-CN"/>
        </w:rPr>
        <w:t>unless the subject withdraws consent for further disclosure of information or further contact.</w:t>
      </w:r>
      <w:r w:rsidRPr="00AF1F77">
        <w:rPr>
          <w:rFonts w:eastAsia="Times New Roman" w:cs="Times New Roman"/>
          <w:kern w:val="0"/>
          <w:lang w:val="en-US" w:eastAsia="zh-CN"/>
        </w:rPr>
        <w:t xml:space="preserve"> </w:t>
      </w:r>
      <w:r w:rsidRPr="00AF1F77">
        <w:rPr>
          <w:rFonts w:eastAsia="Times New Roman" w:cs="Times New Roman"/>
          <w:color w:val="333333"/>
          <w:kern w:val="0"/>
          <w:lang w:val="en-US" w:eastAsia="zh-CN"/>
        </w:rPr>
        <w:t>In this case, no further study evaluations should be conducted, nor should any more data be collected.</w:t>
      </w:r>
      <w:r w:rsidRPr="00AF1F77">
        <w:rPr>
          <w:rFonts w:eastAsia="Times New Roman" w:cs="Times New Roman"/>
          <w:kern w:val="0"/>
          <w:lang w:val="en-US" w:eastAsia="zh-CN"/>
        </w:rPr>
        <w:t xml:space="preserve"> </w:t>
      </w:r>
    </w:p>
    <w:p w14:paraId="31B241E8" w14:textId="77777777" w:rsidR="00DE4AFD" w:rsidRPr="00303844" w:rsidRDefault="004A4F56" w:rsidP="000C622D">
      <w:pPr>
        <w:pStyle w:val="21"/>
        <w:spacing w:before="0" w:after="0" w:line="360" w:lineRule="auto"/>
        <w:rPr>
          <w:rFonts w:eastAsia="宋体" w:cs="Times New Roman"/>
        </w:rPr>
      </w:pPr>
      <w:bookmarkStart w:id="45" w:name="_Toc184889617"/>
      <w:r w:rsidRPr="00303844">
        <w:rPr>
          <w:rFonts w:eastAsia="Times New Roman" w:cs="Times New Roman"/>
        </w:rPr>
        <w:t>Dropout Criteria</w:t>
      </w:r>
      <w:bookmarkEnd w:id="45"/>
    </w:p>
    <w:p w14:paraId="1E973B92" w14:textId="77777777" w:rsidR="00DE4AFD" w:rsidRPr="00AF1F77" w:rsidRDefault="004A4F56" w:rsidP="00A00B16">
      <w:pPr>
        <w:pStyle w:val="HR"/>
        <w:spacing w:after="0"/>
        <w:ind w:firstLineChars="0" w:firstLine="0"/>
        <w:jc w:val="both"/>
        <w:rPr>
          <w:rFonts w:cs="Times New Roman"/>
          <w:lang w:val="en-US" w:eastAsia="zh-CN"/>
        </w:rPr>
      </w:pPr>
      <w:r w:rsidRPr="00A00B16">
        <w:rPr>
          <w:rFonts w:eastAsia="Times New Roman" w:cs="Times New Roman"/>
          <w:szCs w:val="21"/>
          <w:lang w:val="en-US"/>
        </w:rPr>
        <w:t xml:space="preserve">All subjects who have signed the informed consent form and passed screening to enter the study have the right to withdraw from this study at any time. </w:t>
      </w:r>
    </w:p>
    <w:p w14:paraId="2AD52529" w14:textId="77777777" w:rsidR="00DE4AFD" w:rsidRPr="00AF1F77" w:rsidRDefault="004A4F56" w:rsidP="00A00B16">
      <w:pPr>
        <w:pStyle w:val="HR"/>
        <w:numPr>
          <w:ilvl w:val="0"/>
          <w:numId w:val="20"/>
        </w:numPr>
        <w:spacing w:after="0"/>
        <w:ind w:firstLineChars="0"/>
        <w:jc w:val="both"/>
        <w:rPr>
          <w:rFonts w:cs="Times New Roman"/>
          <w:lang w:val="en-US" w:eastAsia="zh-CN"/>
        </w:rPr>
      </w:pPr>
      <w:r w:rsidRPr="00A00B16">
        <w:rPr>
          <w:rFonts w:eastAsia="Times New Roman" w:cs="Times New Roman"/>
          <w:szCs w:val="21"/>
          <w:lang w:val="en-US"/>
        </w:rPr>
        <w:t xml:space="preserve">For subjects who have only signed the informed consent form and passed screening but have not been enrolled, they will not be considered as dropouts. </w:t>
      </w:r>
    </w:p>
    <w:p w14:paraId="4DFF568F" w14:textId="1CF4AC38" w:rsidR="00DE4AFD" w:rsidRPr="00303844" w:rsidRDefault="004A4F56" w:rsidP="00A00B16">
      <w:pPr>
        <w:pStyle w:val="HR"/>
        <w:numPr>
          <w:ilvl w:val="0"/>
          <w:numId w:val="20"/>
        </w:numPr>
        <w:spacing w:after="0"/>
        <w:ind w:firstLineChars="0"/>
        <w:jc w:val="both"/>
        <w:rPr>
          <w:rFonts w:cs="Times New Roman"/>
          <w:lang w:eastAsia="zh-CN"/>
        </w:rPr>
      </w:pPr>
      <w:r w:rsidRPr="00AF1F77">
        <w:rPr>
          <w:rFonts w:eastAsia="Times New Roman" w:cs="Times New Roman"/>
          <w:lang w:val="en-US" w:eastAsia="zh-CN"/>
        </w:rPr>
        <w:t xml:space="preserve">After enrollment, any subject who does not complete the first two cycles of the trial and therefore cannot be evaluated for efficacy will be considered as a dropout. </w:t>
      </w:r>
      <w:r w:rsidRPr="00A00B16">
        <w:rPr>
          <w:rFonts w:eastAsia="Times New Roman" w:cs="Times New Roman"/>
          <w:szCs w:val="21"/>
        </w:rPr>
        <w:t>Except for the following reasons:</w:t>
      </w:r>
    </w:p>
    <w:p w14:paraId="57A87C6C" w14:textId="77777777" w:rsidR="00DE4AFD" w:rsidRPr="00303844" w:rsidRDefault="004A4F56" w:rsidP="00A00B16">
      <w:pPr>
        <w:pStyle w:val="afd"/>
        <w:numPr>
          <w:ilvl w:val="1"/>
          <w:numId w:val="21"/>
        </w:numPr>
        <w:tabs>
          <w:tab w:val="left" w:pos="166"/>
        </w:tabs>
        <w:spacing w:line="360" w:lineRule="auto"/>
        <w:ind w:firstLineChars="0"/>
        <w:rPr>
          <w:sz w:val="24"/>
        </w:rPr>
      </w:pPr>
      <w:r w:rsidRPr="00A00B16">
        <w:rPr>
          <w:rFonts w:eastAsia="Times New Roman"/>
          <w:sz w:val="24"/>
          <w:szCs w:val="21"/>
        </w:rPr>
        <w:t xml:space="preserve">After enrollment, subjects who experience disease progression with clear medical evidence are not considered as dropouts; however, radiological evidence must be provided; </w:t>
      </w:r>
    </w:p>
    <w:p w14:paraId="75BA1838" w14:textId="77777777" w:rsidR="00DE4AFD" w:rsidRPr="00303844" w:rsidRDefault="004A4F56" w:rsidP="00A00B16">
      <w:pPr>
        <w:pStyle w:val="afd"/>
        <w:numPr>
          <w:ilvl w:val="1"/>
          <w:numId w:val="21"/>
        </w:numPr>
        <w:tabs>
          <w:tab w:val="left" w:pos="166"/>
        </w:tabs>
        <w:spacing w:line="360" w:lineRule="auto"/>
        <w:ind w:firstLineChars="0"/>
        <w:rPr>
          <w:sz w:val="24"/>
        </w:rPr>
      </w:pPr>
      <w:r w:rsidRPr="00A00B16">
        <w:rPr>
          <w:rFonts w:eastAsia="Times New Roman"/>
          <w:sz w:val="24"/>
          <w:szCs w:val="21"/>
        </w:rPr>
        <w:t xml:space="preserve">Subjects who discontinue participation due to pregnancy or intolerable toxicity should not be considered as dropouts. </w:t>
      </w:r>
    </w:p>
    <w:p w14:paraId="7F400624" w14:textId="77777777" w:rsidR="00DE4AFD" w:rsidRPr="00303844" w:rsidRDefault="004A4F56" w:rsidP="00A00B16">
      <w:pPr>
        <w:pStyle w:val="afd"/>
        <w:numPr>
          <w:ilvl w:val="1"/>
          <w:numId w:val="21"/>
        </w:numPr>
        <w:tabs>
          <w:tab w:val="left" w:pos="166"/>
        </w:tabs>
        <w:spacing w:line="360" w:lineRule="auto"/>
        <w:ind w:firstLineChars="0"/>
        <w:rPr>
          <w:sz w:val="24"/>
        </w:rPr>
      </w:pPr>
      <w:r w:rsidRPr="00A00B16">
        <w:rPr>
          <w:rFonts w:eastAsia="Times New Roman"/>
          <w:sz w:val="24"/>
          <w:szCs w:val="21"/>
        </w:rPr>
        <w:t xml:space="preserve">The investigator determines that treatment should be discontinued in the best benefit of the subject; </w:t>
      </w:r>
    </w:p>
    <w:p w14:paraId="56387F33" w14:textId="77777777" w:rsidR="00DE4AFD" w:rsidRPr="00303844" w:rsidRDefault="004A4F56" w:rsidP="00A00B16">
      <w:pPr>
        <w:pStyle w:val="afd"/>
        <w:numPr>
          <w:ilvl w:val="1"/>
          <w:numId w:val="21"/>
        </w:numPr>
        <w:tabs>
          <w:tab w:val="left" w:pos="166"/>
        </w:tabs>
        <w:spacing w:line="360" w:lineRule="auto"/>
        <w:ind w:firstLineChars="0"/>
        <w:rPr>
          <w:sz w:val="24"/>
        </w:rPr>
      </w:pPr>
      <w:r w:rsidRPr="00A00B16">
        <w:rPr>
          <w:rFonts w:eastAsia="Times New Roman"/>
          <w:sz w:val="24"/>
          <w:szCs w:val="21"/>
        </w:rPr>
        <w:lastRenderedPageBreak/>
        <w:t xml:space="preserve">Death after enrollment. </w:t>
      </w:r>
    </w:p>
    <w:p w14:paraId="5074A590" w14:textId="77777777" w:rsidR="00DE4AFD" w:rsidRPr="00AF1F77" w:rsidRDefault="004A4F56" w:rsidP="0069237C">
      <w:pPr>
        <w:pStyle w:val="HR"/>
        <w:spacing w:after="0"/>
        <w:ind w:firstLineChars="0" w:firstLine="0"/>
        <w:jc w:val="both"/>
        <w:rPr>
          <w:rFonts w:cs="Times New Roman"/>
          <w:lang w:val="en-US" w:eastAsia="zh-CN"/>
        </w:rPr>
      </w:pPr>
      <w:r w:rsidRPr="00AF1F77">
        <w:rPr>
          <w:rFonts w:eastAsia="Times New Roman" w:cs="Times New Roman"/>
          <w:lang w:val="en-US"/>
        </w:rPr>
        <w:t xml:space="preserve">For dropout subjects, the investigator must record the reason for dropout, complete the relevant </w:t>
      </w:r>
      <w:r w:rsidRPr="00AF1F77">
        <w:rPr>
          <w:rFonts w:eastAsia="Times New Roman" w:cs="Times New Roman"/>
          <w:color w:val="333333"/>
          <w:lang w:val="en-US"/>
        </w:rPr>
        <w:t>tumor</w:t>
      </w:r>
      <w:r w:rsidRPr="00AF1F77">
        <w:rPr>
          <w:rFonts w:eastAsia="Times New Roman" w:cs="Times New Roman"/>
          <w:lang w:val="en-US"/>
        </w:rPr>
        <w:t xml:space="preserve"> assessments as much as possible, and record the circumstances of the last visit. </w:t>
      </w:r>
    </w:p>
    <w:p w14:paraId="26005D94" w14:textId="68127143" w:rsidR="00DE4AFD" w:rsidRPr="00303844" w:rsidRDefault="004A4F56" w:rsidP="000C622D">
      <w:pPr>
        <w:pStyle w:val="21"/>
        <w:spacing w:before="0" w:after="0" w:line="360" w:lineRule="auto"/>
        <w:rPr>
          <w:rFonts w:eastAsia="宋体" w:cs="Times New Roman"/>
          <w:kern w:val="0"/>
          <w:szCs w:val="24"/>
        </w:rPr>
      </w:pPr>
      <w:bookmarkStart w:id="46" w:name="_Toc184889618"/>
      <w:r w:rsidRPr="00303844">
        <w:rPr>
          <w:rFonts w:eastAsia="Times New Roman" w:cs="Times New Roman"/>
          <w:color w:val="333333"/>
          <w:kern w:val="0"/>
          <w:szCs w:val="24"/>
        </w:rPr>
        <w:t xml:space="preserve">Restrictions during the </w:t>
      </w:r>
      <w:bookmarkEnd w:id="46"/>
      <w:r w:rsidR="007F48EE">
        <w:rPr>
          <w:rFonts w:eastAsiaTheme="minorEastAsia" w:cs="Times New Roman" w:hint="eastAsia"/>
          <w:color w:val="333333"/>
          <w:kern w:val="0"/>
          <w:szCs w:val="24"/>
        </w:rPr>
        <w:t>S</w:t>
      </w:r>
      <w:r w:rsidR="007F48EE" w:rsidRPr="00303844">
        <w:rPr>
          <w:rFonts w:eastAsia="Times New Roman" w:cs="Times New Roman"/>
          <w:color w:val="333333"/>
          <w:kern w:val="0"/>
          <w:szCs w:val="24"/>
        </w:rPr>
        <w:t>tudy</w:t>
      </w:r>
    </w:p>
    <w:p w14:paraId="7712CF8D" w14:textId="77777777" w:rsidR="00DE4AFD" w:rsidRPr="00303844" w:rsidRDefault="004A4F56" w:rsidP="0069237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Male or female patients of childbearing potential must use effective methods of contraception, such as double-barrier contraception, condoms, oral or injectable contraceptives, intrauterine devices, etc., during the trial (from signing the informed consent form) and within 90 days after the last dose.</w:t>
      </w:r>
      <w:r w:rsidRPr="00303844">
        <w:rPr>
          <w:rFonts w:eastAsia="Times New Roman" w:cs="Times New Roman"/>
          <w:lang w:val="en-US" w:eastAsia="zh-CN"/>
        </w:rPr>
        <w:t xml:space="preserve"> </w:t>
      </w:r>
      <w:r w:rsidRPr="00303844">
        <w:rPr>
          <w:rFonts w:eastAsia="Times New Roman" w:cs="Times New Roman"/>
          <w:color w:val="333333"/>
          <w:lang w:val="en-US" w:eastAsia="zh-CN"/>
        </w:rPr>
        <w:t xml:space="preserve">All female patients will be considered of childbearing potential unless the female patient has been naturally menopausal, has undergone artificial menopause, or sterilization (e.g., hysterectomy, bilateral adnexectomy, or radiation ovarian irradiation, etc.). </w:t>
      </w:r>
    </w:p>
    <w:p w14:paraId="27B15DCB" w14:textId="15887990" w:rsidR="00DE4AFD" w:rsidRPr="00303844" w:rsidRDefault="004A4F56" w:rsidP="000C622D">
      <w:pPr>
        <w:pStyle w:val="21"/>
        <w:spacing w:before="0" w:after="0" w:line="360" w:lineRule="auto"/>
        <w:rPr>
          <w:rFonts w:eastAsia="宋体" w:cs="Times New Roman"/>
        </w:rPr>
      </w:pPr>
      <w:bookmarkStart w:id="47" w:name="_Toc184889619"/>
      <w:bookmarkEnd w:id="44"/>
      <w:r w:rsidRPr="00303844">
        <w:rPr>
          <w:rFonts w:eastAsia="Times New Roman" w:cs="Times New Roman"/>
          <w:color w:val="333333"/>
        </w:rPr>
        <w:t xml:space="preserve">Early </w:t>
      </w:r>
      <w:r w:rsidR="007F48EE">
        <w:rPr>
          <w:rFonts w:eastAsiaTheme="minorEastAsia" w:cs="Times New Roman" w:hint="eastAsia"/>
          <w:color w:val="333333"/>
        </w:rPr>
        <w:t>D</w:t>
      </w:r>
      <w:r w:rsidR="007F48EE" w:rsidRPr="00303844">
        <w:rPr>
          <w:rFonts w:eastAsia="Times New Roman" w:cs="Times New Roman"/>
          <w:color w:val="333333"/>
        </w:rPr>
        <w:t xml:space="preserve">iscontinuation </w:t>
      </w:r>
      <w:r w:rsidRPr="00303844">
        <w:rPr>
          <w:rFonts w:eastAsia="Times New Roman" w:cs="Times New Roman"/>
          <w:color w:val="333333"/>
        </w:rPr>
        <w:t xml:space="preserve">or </w:t>
      </w:r>
      <w:r w:rsidR="007F48EE">
        <w:rPr>
          <w:rFonts w:eastAsiaTheme="minorEastAsia" w:cs="Times New Roman" w:hint="eastAsia"/>
          <w:color w:val="333333"/>
        </w:rPr>
        <w:t>S</w:t>
      </w:r>
      <w:r w:rsidR="007F48EE" w:rsidRPr="00303844">
        <w:rPr>
          <w:rFonts w:eastAsia="Times New Roman" w:cs="Times New Roman"/>
          <w:color w:val="333333"/>
        </w:rPr>
        <w:t xml:space="preserve">uspension </w:t>
      </w:r>
      <w:r w:rsidRPr="00303844">
        <w:rPr>
          <w:rFonts w:eastAsia="Times New Roman" w:cs="Times New Roman"/>
          <w:color w:val="333333"/>
        </w:rPr>
        <w:t xml:space="preserve">of the </w:t>
      </w:r>
      <w:bookmarkEnd w:id="47"/>
      <w:r w:rsidR="007F48EE">
        <w:rPr>
          <w:rFonts w:eastAsiaTheme="minorEastAsia" w:cs="Times New Roman" w:hint="eastAsia"/>
          <w:color w:val="333333"/>
        </w:rPr>
        <w:t>S</w:t>
      </w:r>
      <w:r w:rsidR="007F48EE" w:rsidRPr="00303844">
        <w:rPr>
          <w:rFonts w:eastAsia="Times New Roman" w:cs="Times New Roman"/>
          <w:color w:val="333333"/>
        </w:rPr>
        <w:t>tudy</w:t>
      </w:r>
    </w:p>
    <w:p w14:paraId="5A67FB1A" w14:textId="77777777" w:rsidR="00DE4AFD" w:rsidRPr="00303844" w:rsidRDefault="004A4F56" w:rsidP="0069237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The study may be discontinued or interrupted early if there are sufficient reasons.</w:t>
      </w:r>
      <w:r w:rsidRPr="00303844">
        <w:rPr>
          <w:rFonts w:eastAsia="Times New Roman" w:cs="Times New Roman"/>
          <w:lang w:val="en-US" w:eastAsia="zh-CN"/>
        </w:rPr>
        <w:t xml:space="preserve"> </w:t>
      </w:r>
      <w:r w:rsidRPr="00AF1F77">
        <w:rPr>
          <w:rFonts w:eastAsia="Times New Roman" w:cs="Times New Roman"/>
          <w:color w:val="333333"/>
          <w:lang w:val="en-US" w:eastAsia="zh-CN"/>
        </w:rPr>
        <w:t xml:space="preserve">This may be due to decision from regulatory agencies, changes in opinions of </w:t>
      </w:r>
      <w:r w:rsidRPr="00AF1F77">
        <w:rPr>
          <w:rFonts w:eastAsia="Times New Roman" w:cs="Times New Roman"/>
          <w:lang w:val="en-US" w:eastAsia="zh-CN"/>
        </w:rPr>
        <w:t>EC</w:t>
      </w:r>
      <w:r w:rsidRPr="00AF1F77">
        <w:rPr>
          <w:rFonts w:eastAsia="Times New Roman" w:cs="Times New Roman"/>
          <w:color w:val="333333"/>
          <w:lang w:val="en-US" w:eastAsia="zh-CN"/>
        </w:rPr>
        <w:t xml:space="preserve">, issues with the efficacy or safety of the </w:t>
      </w:r>
      <w:r w:rsidRPr="00AF1F77">
        <w:rPr>
          <w:rFonts w:eastAsia="Times New Roman" w:cs="Times New Roman"/>
          <w:lang w:val="en-US" w:eastAsia="zh-CN"/>
        </w:rPr>
        <w:t>investigational product</w:t>
      </w:r>
      <w:r w:rsidRPr="00AF1F77">
        <w:rPr>
          <w:rFonts w:eastAsia="Times New Roman" w:cs="Times New Roman"/>
          <w:color w:val="333333"/>
          <w:lang w:val="en-US" w:eastAsia="zh-CN"/>
        </w:rPr>
        <w:t>, or the decision of the</w:t>
      </w:r>
      <w:r w:rsidRPr="00AF1F77">
        <w:rPr>
          <w:rFonts w:eastAsia="Times New Roman" w:cs="Times New Roman"/>
          <w:lang w:val="en-US" w:eastAsia="zh-CN"/>
        </w:rPr>
        <w:t xml:space="preserve"> investigator. </w:t>
      </w:r>
      <w:r w:rsidRPr="00303844">
        <w:rPr>
          <w:rFonts w:eastAsia="Times New Roman" w:cs="Times New Roman"/>
          <w:color w:val="333333"/>
          <w:lang w:val="en-US" w:eastAsia="zh-CN"/>
        </w:rPr>
        <w:t>The party deciding to interrupt/discontinue the study will issue a written notice and record the reason for the discontinuation or suspension of the study to the investigator, the sponsor and the regulatory authority.</w:t>
      </w:r>
      <w:r w:rsidRPr="00303844">
        <w:rPr>
          <w:rFonts w:eastAsia="Times New Roman" w:cs="Times New Roman"/>
          <w:lang w:val="en-US" w:eastAsia="zh-CN"/>
        </w:rPr>
        <w:t xml:space="preserve"> </w:t>
      </w:r>
      <w:r w:rsidRPr="00303844">
        <w:rPr>
          <w:rFonts w:eastAsia="Times New Roman" w:cs="Times New Roman"/>
          <w:color w:val="333333"/>
          <w:lang w:val="en-US" w:eastAsia="zh-CN"/>
        </w:rPr>
        <w:t xml:space="preserve">The investigator must immediately notify the </w:t>
      </w:r>
      <w:r w:rsidRPr="00303844">
        <w:rPr>
          <w:rFonts w:eastAsia="Times New Roman" w:cs="Times New Roman"/>
          <w:lang w:val="en-US" w:eastAsia="zh-CN"/>
        </w:rPr>
        <w:t>EC</w:t>
      </w:r>
      <w:r w:rsidRPr="00303844">
        <w:rPr>
          <w:rFonts w:eastAsia="Times New Roman" w:cs="Times New Roman"/>
          <w:color w:val="333333"/>
          <w:lang w:val="en-US" w:eastAsia="zh-CN"/>
        </w:rPr>
        <w:t xml:space="preserve"> and the sponsor, and provide the relevant reasons.</w:t>
      </w:r>
      <w:r w:rsidRPr="00303844">
        <w:rPr>
          <w:rFonts w:eastAsia="Times New Roman" w:cs="Times New Roman"/>
          <w:lang w:val="en-US" w:eastAsia="zh-CN"/>
        </w:rPr>
        <w:t xml:space="preserve"> </w:t>
      </w:r>
      <w:r w:rsidRPr="00303844">
        <w:rPr>
          <w:rFonts w:eastAsia="Times New Roman" w:cs="Times New Roman"/>
          <w:color w:val="333333"/>
          <w:lang w:val="en-US" w:eastAsia="zh-CN"/>
        </w:rPr>
        <w:t>If a subject has been enrolled in an interventional clinical study that has been interrupted or discontinued, the institution and the investigator should formulate a protocol to properly safeguard the rights and interests of the enrolled subjects.</w:t>
      </w:r>
      <w:r w:rsidRPr="00303844">
        <w:rPr>
          <w:rFonts w:eastAsia="Times New Roman" w:cs="Times New Roman"/>
          <w:lang w:val="en-US" w:eastAsia="zh-CN"/>
        </w:rPr>
        <w:t xml:space="preserve"> </w:t>
      </w:r>
    </w:p>
    <w:p w14:paraId="621903C9" w14:textId="77777777" w:rsidR="00DE4AFD" w:rsidRPr="00303844" w:rsidRDefault="004A4F56" w:rsidP="0069237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Reasons for early discontinuation or suspension of the study may include:</w:t>
      </w:r>
    </w:p>
    <w:p w14:paraId="74B33312" w14:textId="77777777" w:rsidR="00DE4AFD" w:rsidRPr="00303844" w:rsidRDefault="004A4F56" w:rsidP="000C622D">
      <w:pPr>
        <w:pStyle w:val="HR"/>
        <w:numPr>
          <w:ilvl w:val="0"/>
          <w:numId w:val="22"/>
        </w:numPr>
        <w:spacing w:after="0"/>
        <w:ind w:firstLineChars="0"/>
        <w:jc w:val="both"/>
        <w:rPr>
          <w:rFonts w:cs="Times New Roman"/>
          <w:lang w:val="en-US" w:eastAsia="zh-CN"/>
        </w:rPr>
      </w:pPr>
      <w:r w:rsidRPr="00303844">
        <w:rPr>
          <w:rFonts w:eastAsia="Times New Roman" w:cs="Times New Roman"/>
          <w:color w:val="333333"/>
          <w:lang w:val="en-US" w:eastAsia="zh-CN"/>
        </w:rPr>
        <w:t xml:space="preserve">Identified unexpected, significant, or unacceptable risks to the subjects. </w:t>
      </w:r>
    </w:p>
    <w:p w14:paraId="19BB3FD0" w14:textId="77777777" w:rsidR="00DE4AFD" w:rsidRPr="00303844" w:rsidRDefault="004A4F56" w:rsidP="000C622D">
      <w:pPr>
        <w:pStyle w:val="HR"/>
        <w:numPr>
          <w:ilvl w:val="0"/>
          <w:numId w:val="22"/>
        </w:numPr>
        <w:spacing w:after="0"/>
        <w:ind w:firstLineChars="0"/>
        <w:jc w:val="both"/>
        <w:rPr>
          <w:rFonts w:cs="Times New Roman"/>
          <w:lang w:val="en-US" w:eastAsia="zh-CN"/>
        </w:rPr>
      </w:pPr>
      <w:r w:rsidRPr="00303844">
        <w:rPr>
          <w:rFonts w:eastAsia="Times New Roman" w:cs="Times New Roman"/>
          <w:color w:val="333333"/>
          <w:lang w:val="en-US" w:eastAsia="zh-CN"/>
        </w:rPr>
        <w:t xml:space="preserve">Existing efficacy results, which support early discontinuation of the study. </w:t>
      </w:r>
    </w:p>
    <w:p w14:paraId="3F8BD538" w14:textId="77777777" w:rsidR="00DE4AFD" w:rsidRPr="00303844" w:rsidRDefault="004A4F56" w:rsidP="000C622D">
      <w:pPr>
        <w:pStyle w:val="HR"/>
        <w:numPr>
          <w:ilvl w:val="0"/>
          <w:numId w:val="22"/>
        </w:numPr>
        <w:spacing w:after="0"/>
        <w:ind w:firstLineChars="0"/>
        <w:jc w:val="both"/>
        <w:rPr>
          <w:rFonts w:cs="Times New Roman"/>
          <w:lang w:val="en-US" w:eastAsia="zh-CN"/>
        </w:rPr>
      </w:pPr>
      <w:r w:rsidRPr="00303844">
        <w:rPr>
          <w:rFonts w:eastAsia="Times New Roman" w:cs="Times New Roman"/>
          <w:lang w:val="en-US" w:eastAsia="zh-CN"/>
        </w:rPr>
        <w:t xml:space="preserve">Low compliance with protocol requirements. </w:t>
      </w:r>
    </w:p>
    <w:p w14:paraId="727FAA32" w14:textId="77777777" w:rsidR="00DE4AFD" w:rsidRPr="00AF1F77" w:rsidRDefault="004A4F56" w:rsidP="0069237C">
      <w:pPr>
        <w:pStyle w:val="HR"/>
        <w:spacing w:after="0"/>
        <w:ind w:firstLineChars="0" w:firstLine="0"/>
        <w:jc w:val="both"/>
        <w:rPr>
          <w:rFonts w:cs="Times New Roman"/>
          <w:lang w:val="en-US" w:eastAsia="zh-CN"/>
        </w:rPr>
      </w:pPr>
      <w:r w:rsidRPr="00AF1F77">
        <w:rPr>
          <w:rFonts w:eastAsia="Times New Roman" w:cs="Times New Roman"/>
          <w:color w:val="333333"/>
          <w:lang w:val="en-US" w:eastAsia="zh-CN"/>
        </w:rPr>
        <w:t xml:space="preserve">If the abovementioned drug safety, protocol compliance issues causing study suspension are resolved, the study can be continued with the consent from the sponsor, </w:t>
      </w:r>
      <w:r w:rsidRPr="00AF1F77">
        <w:rPr>
          <w:rFonts w:eastAsia="Times New Roman" w:cs="Times New Roman"/>
          <w:lang w:val="en-US" w:eastAsia="zh-CN"/>
        </w:rPr>
        <w:t>EC</w:t>
      </w:r>
      <w:r w:rsidRPr="00AF1F77">
        <w:rPr>
          <w:rFonts w:eastAsia="Times New Roman" w:cs="Times New Roman"/>
          <w:color w:val="333333"/>
          <w:lang w:val="en-US" w:eastAsia="zh-CN"/>
        </w:rPr>
        <w:t xml:space="preserve"> or </w:t>
      </w:r>
      <w:r w:rsidRPr="00AF1F77">
        <w:rPr>
          <w:rFonts w:eastAsia="Times New Roman" w:cs="Times New Roman"/>
          <w:lang w:val="en-US" w:eastAsia="zh-CN"/>
        </w:rPr>
        <w:t xml:space="preserve">regulatory authorities. </w:t>
      </w:r>
    </w:p>
    <w:p w14:paraId="26B12CBD" w14:textId="77777777" w:rsidR="00DE4AFD" w:rsidRPr="00303844" w:rsidRDefault="004A4F56" w:rsidP="000C622D">
      <w:pPr>
        <w:pStyle w:val="10"/>
        <w:spacing w:before="0" w:after="0" w:line="360" w:lineRule="auto"/>
        <w:jc w:val="both"/>
        <w:rPr>
          <w:rFonts w:cs="Times New Roman"/>
        </w:rPr>
      </w:pPr>
      <w:bookmarkStart w:id="48" w:name="_Toc184889620"/>
      <w:r w:rsidRPr="00303844">
        <w:rPr>
          <w:rFonts w:eastAsia="Times New Roman" w:cs="Times New Roman"/>
          <w:color w:val="333333"/>
        </w:rPr>
        <w:lastRenderedPageBreak/>
        <w:t>Treatment Regimen</w:t>
      </w:r>
      <w:bookmarkEnd w:id="48"/>
    </w:p>
    <w:p w14:paraId="760E09C7" w14:textId="77777777" w:rsidR="00DE4AFD" w:rsidRPr="00303844" w:rsidRDefault="004A4F56" w:rsidP="000C622D">
      <w:pPr>
        <w:pStyle w:val="21"/>
        <w:spacing w:before="0" w:after="0" w:line="360" w:lineRule="auto"/>
        <w:rPr>
          <w:rFonts w:eastAsia="宋体" w:cs="Times New Roman"/>
        </w:rPr>
      </w:pPr>
      <w:bookmarkStart w:id="49" w:name="_Toc184889621"/>
      <w:r w:rsidRPr="00303844">
        <w:rPr>
          <w:rFonts w:eastAsia="Times New Roman" w:cs="Times New Roman"/>
        </w:rPr>
        <w:t>Name and Source of Investigational Product</w:t>
      </w:r>
      <w:bookmarkEnd w:id="49"/>
    </w:p>
    <w:p w14:paraId="1399FD33" w14:textId="77777777" w:rsidR="00DE4AFD" w:rsidRPr="00303844" w:rsidRDefault="004A4F56" w:rsidP="000C622D">
      <w:pPr>
        <w:pStyle w:val="30"/>
        <w:spacing w:before="0" w:after="0" w:line="360" w:lineRule="auto"/>
        <w:ind w:left="851" w:hanging="851"/>
        <w:rPr>
          <w:rFonts w:cs="Times New Roman"/>
        </w:rPr>
      </w:pPr>
      <w:bookmarkStart w:id="50" w:name="_Toc184889622"/>
      <w:bookmarkStart w:id="51" w:name="_Hlk61198750"/>
      <w:bookmarkStart w:id="52" w:name="_Hlk61199161"/>
      <w:r w:rsidRPr="00303844">
        <w:rPr>
          <w:rFonts w:eastAsia="Times New Roman" w:cs="Times New Roman"/>
        </w:rPr>
        <w:t>Drug Source</w:t>
      </w:r>
      <w:bookmarkEnd w:id="50"/>
    </w:p>
    <w:bookmarkEnd w:id="51"/>
    <w:p w14:paraId="15934234" w14:textId="6B7CF47E" w:rsidR="00DE4AFD" w:rsidRPr="00AF1F77" w:rsidRDefault="004A4F56" w:rsidP="0069237C">
      <w:pPr>
        <w:pStyle w:val="HR"/>
        <w:spacing w:after="0"/>
        <w:ind w:firstLineChars="0" w:firstLine="0"/>
        <w:jc w:val="both"/>
        <w:rPr>
          <w:rFonts w:cs="Times New Roman"/>
          <w:i/>
          <w:color w:val="008000"/>
          <w:lang w:val="en-US" w:eastAsia="zh-CN"/>
        </w:rPr>
      </w:pPr>
      <w:proofErr w:type="spellStart"/>
      <w:r w:rsidRPr="00303844">
        <w:rPr>
          <w:rFonts w:eastAsia="Times New Roman" w:cs="Times New Roman"/>
          <w:lang w:val="en-US" w:eastAsia="zh-CN"/>
        </w:rPr>
        <w:t>Surufatinib</w:t>
      </w:r>
      <w:proofErr w:type="spellEnd"/>
      <w:r w:rsidRPr="00303844">
        <w:rPr>
          <w:rFonts w:eastAsia="Times New Roman" w:cs="Times New Roman"/>
          <w:lang w:val="en-US" w:eastAsia="zh-CN"/>
        </w:rPr>
        <w:t xml:space="preserve"> is provided by Hutchison Whampoa Pharmaceuticals (Shanghai) Co., Ltd. </w:t>
      </w:r>
      <w:proofErr w:type="spellStart"/>
      <w:r w:rsidRPr="00AF1F77">
        <w:rPr>
          <w:rFonts w:eastAsia="Times New Roman" w:cs="Times New Roman"/>
          <w:lang w:val="en-US" w:eastAsia="zh-CN"/>
        </w:rPr>
        <w:t>Camrelizumab</w:t>
      </w:r>
      <w:proofErr w:type="spellEnd"/>
      <w:r w:rsidRPr="00AF1F77">
        <w:rPr>
          <w:rFonts w:eastAsia="Times New Roman" w:cs="Times New Roman"/>
          <w:lang w:val="en-US" w:eastAsia="zh-CN"/>
        </w:rPr>
        <w:t xml:space="preserve"> is provided by the drug manufacturer (Suzhou Suncadia Biopharmaceuticals Co., Ltd.). Gemcitabine, nab-paclitaxel, and S-1 are locally sourced commercial drugs. </w:t>
      </w:r>
    </w:p>
    <w:p w14:paraId="4D5F92F7" w14:textId="77777777" w:rsidR="00DE4AFD" w:rsidRPr="00303844" w:rsidRDefault="004A4F56" w:rsidP="000C622D">
      <w:pPr>
        <w:pStyle w:val="30"/>
        <w:spacing w:before="0" w:after="0" w:line="360" w:lineRule="auto"/>
        <w:ind w:left="851" w:hanging="851"/>
        <w:rPr>
          <w:rFonts w:cs="Times New Roman"/>
        </w:rPr>
      </w:pPr>
      <w:bookmarkStart w:id="53" w:name="_Hlk61198850"/>
      <w:bookmarkStart w:id="54" w:name="_Toc184889623"/>
      <w:bookmarkEnd w:id="52"/>
      <w:bookmarkEnd w:id="53"/>
      <w:r w:rsidRPr="00303844">
        <w:rPr>
          <w:rFonts w:eastAsia="Times New Roman" w:cs="Times New Roman"/>
          <w:color w:val="333333"/>
        </w:rPr>
        <w:t>Drug Dosage Form, Strength and Storage Conditions</w:t>
      </w:r>
      <w:bookmarkEnd w:id="54"/>
    </w:p>
    <w:p w14:paraId="61BA6195" w14:textId="51D91FDE" w:rsidR="00AE0455" w:rsidRPr="00303844" w:rsidRDefault="008F7433" w:rsidP="0069237C">
      <w:pPr>
        <w:pStyle w:val="HR"/>
        <w:spacing w:after="0"/>
        <w:ind w:firstLineChars="0" w:firstLine="0"/>
        <w:jc w:val="both"/>
        <w:rPr>
          <w:rFonts w:cs="Times New Roman"/>
          <w:lang w:val="en-US" w:eastAsia="zh-CN"/>
        </w:rPr>
      </w:pPr>
      <w:proofErr w:type="spellStart"/>
      <w:r w:rsidRPr="00303844">
        <w:rPr>
          <w:rFonts w:eastAsia="Times New Roman" w:cs="Times New Roman"/>
          <w:lang w:val="en-US" w:eastAsia="zh-CN"/>
        </w:rPr>
        <w:t>Camrelizumab</w:t>
      </w:r>
      <w:proofErr w:type="spellEnd"/>
      <w:r w:rsidRPr="00303844">
        <w:rPr>
          <w:rFonts w:eastAsia="Times New Roman" w:cs="Times New Roman"/>
          <w:lang w:val="en-US" w:eastAsia="zh-CN"/>
        </w:rPr>
        <w:t xml:space="preserve"> for injection is manufactured and packaged by Suzhou Suncadia Biopharmaceuticals Co., Ltd. </w:t>
      </w:r>
      <w:proofErr w:type="spellStart"/>
      <w:r w:rsidRPr="00303844">
        <w:rPr>
          <w:rFonts w:eastAsia="Times New Roman" w:cs="Times New Roman"/>
          <w:lang w:val="en-US" w:eastAsia="zh-CN"/>
        </w:rPr>
        <w:t>Camrelizumab</w:t>
      </w:r>
      <w:proofErr w:type="spellEnd"/>
      <w:r w:rsidRPr="00303844">
        <w:rPr>
          <w:rFonts w:eastAsia="Times New Roman" w:cs="Times New Roman"/>
          <w:lang w:val="en-US" w:eastAsia="zh-CN"/>
        </w:rPr>
        <w:t xml:space="preserve"> for injection is stored and transported at 2-8°C, protected from light. The drug preparation is carried out according to the instructions. </w:t>
      </w:r>
    </w:p>
    <w:p w14:paraId="6695F1E8" w14:textId="09A43705" w:rsidR="00DE4AFD" w:rsidRPr="00303844" w:rsidRDefault="004A4F56" w:rsidP="0069237C">
      <w:pPr>
        <w:pStyle w:val="HR"/>
        <w:spacing w:after="0"/>
        <w:ind w:firstLineChars="0" w:firstLine="0"/>
        <w:jc w:val="both"/>
        <w:rPr>
          <w:rFonts w:cs="Times New Roman"/>
          <w:lang w:val="en-US" w:eastAsia="zh-CN"/>
        </w:rPr>
      </w:pPr>
      <w:proofErr w:type="spellStart"/>
      <w:r w:rsidRPr="00303844">
        <w:rPr>
          <w:rFonts w:eastAsia="Times New Roman" w:cs="Times New Roman"/>
          <w:lang w:val="en-US" w:eastAsia="zh-CN"/>
        </w:rPr>
        <w:t>Surufatinib</w:t>
      </w:r>
      <w:proofErr w:type="spellEnd"/>
      <w:r w:rsidRPr="00303844">
        <w:rPr>
          <w:rFonts w:eastAsia="Times New Roman" w:cs="Times New Roman"/>
          <w:lang w:val="en-US" w:eastAsia="zh-CN"/>
        </w:rPr>
        <w:t xml:space="preserve"> is packaged by qualified manufacturing facilities entrusted by Hutchison Whampoa Pharmaceuticals (Shanghai) Co., Ltd, with technical guidance and quality control from Hutchison Whampoa Pharmaceuticals (Shanghai) Co., Ltd. </w:t>
      </w:r>
    </w:p>
    <w:p w14:paraId="216E4BDE" w14:textId="77777777" w:rsidR="00DE4AFD" w:rsidRPr="00303844" w:rsidRDefault="004A4F56" w:rsidP="000C622D">
      <w:pPr>
        <w:pStyle w:val="HR"/>
        <w:spacing w:after="0"/>
        <w:ind w:firstLine="482"/>
        <w:jc w:val="center"/>
        <w:rPr>
          <w:rFonts w:cs="Times New Roman"/>
          <w:b/>
          <w:bCs/>
          <w:lang w:val="en-US" w:eastAsia="zh-CN"/>
        </w:rPr>
      </w:pPr>
      <w:r w:rsidRPr="00303844">
        <w:rPr>
          <w:rFonts w:eastAsia="Times New Roman" w:cs="Times New Roman"/>
          <w:b/>
          <w:bCs/>
          <w:color w:val="333333"/>
          <w:lang w:val="en-US" w:eastAsia="zh-CN"/>
        </w:rPr>
        <w:t>Table 3 Drug Dosage Form and Strength</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232"/>
        <w:gridCol w:w="1299"/>
        <w:gridCol w:w="1773"/>
        <w:gridCol w:w="4712"/>
      </w:tblGrid>
      <w:tr w:rsidR="00DE4AFD" w:rsidRPr="00227F09" w14:paraId="7CA9BAB0" w14:textId="77777777" w:rsidTr="003F7776">
        <w:trPr>
          <w:trHeight w:val="467"/>
        </w:trPr>
        <w:tc>
          <w:tcPr>
            <w:tcW w:w="984" w:type="dxa"/>
          </w:tcPr>
          <w:p w14:paraId="1F613D6C" w14:textId="77777777" w:rsidR="00DE4AFD" w:rsidRPr="00227F09" w:rsidRDefault="004A4F56" w:rsidP="00411941">
            <w:pPr>
              <w:jc w:val="center"/>
              <w:rPr>
                <w:rFonts w:ascii="Times New Roman" w:eastAsia="宋体" w:hAnsi="Times New Roman" w:cs="Times New Roman"/>
                <w:b/>
                <w:kern w:val="0"/>
                <w:lang w:bidi="en-US"/>
              </w:rPr>
            </w:pPr>
            <w:r w:rsidRPr="00227F09">
              <w:rPr>
                <w:rFonts w:ascii="Times New Roman" w:eastAsia="Times New Roman" w:hAnsi="Times New Roman" w:cs="Times New Roman"/>
                <w:b/>
                <w:bCs/>
                <w:kern w:val="0"/>
                <w:lang w:bidi="en-US"/>
              </w:rPr>
              <w:t>Dosage Form</w:t>
            </w:r>
          </w:p>
        </w:tc>
        <w:tc>
          <w:tcPr>
            <w:tcW w:w="1037" w:type="dxa"/>
          </w:tcPr>
          <w:p w14:paraId="707E0D6E" w14:textId="77777777" w:rsidR="00DE4AFD" w:rsidRPr="00227F09" w:rsidRDefault="004A4F56" w:rsidP="00411941">
            <w:pPr>
              <w:jc w:val="center"/>
              <w:rPr>
                <w:rFonts w:ascii="Times New Roman" w:eastAsia="宋体" w:hAnsi="Times New Roman" w:cs="Times New Roman"/>
                <w:b/>
                <w:kern w:val="0"/>
                <w:lang w:bidi="en-US"/>
              </w:rPr>
            </w:pPr>
            <w:r w:rsidRPr="00227F09">
              <w:rPr>
                <w:rFonts w:ascii="Times New Roman" w:eastAsia="Times New Roman" w:hAnsi="Times New Roman" w:cs="Times New Roman"/>
                <w:b/>
                <w:bCs/>
                <w:color w:val="333333"/>
                <w:kern w:val="0"/>
                <w:lang w:bidi="en-US"/>
              </w:rPr>
              <w:t>Strength</w:t>
            </w:r>
          </w:p>
        </w:tc>
        <w:tc>
          <w:tcPr>
            <w:tcW w:w="1416" w:type="dxa"/>
          </w:tcPr>
          <w:p w14:paraId="2ED633D1" w14:textId="77777777" w:rsidR="00DE4AFD" w:rsidRPr="00227F09" w:rsidRDefault="004A4F56" w:rsidP="00411941">
            <w:pPr>
              <w:jc w:val="center"/>
              <w:rPr>
                <w:rFonts w:ascii="Times New Roman" w:eastAsia="宋体" w:hAnsi="Times New Roman" w:cs="Times New Roman"/>
                <w:b/>
                <w:kern w:val="0"/>
                <w:lang w:bidi="en-US"/>
              </w:rPr>
            </w:pPr>
            <w:r w:rsidRPr="00227F09">
              <w:rPr>
                <w:rFonts w:ascii="Times New Roman" w:eastAsia="Times New Roman" w:hAnsi="Times New Roman" w:cs="Times New Roman"/>
                <w:b/>
                <w:bCs/>
                <w:kern w:val="0"/>
                <w:lang w:bidi="en-US"/>
              </w:rPr>
              <w:t>Method of Administration</w:t>
            </w:r>
          </w:p>
        </w:tc>
        <w:tc>
          <w:tcPr>
            <w:tcW w:w="3762" w:type="dxa"/>
          </w:tcPr>
          <w:p w14:paraId="6A8EA055" w14:textId="77777777" w:rsidR="00DE4AFD" w:rsidRPr="00227F09" w:rsidRDefault="004A4F56" w:rsidP="00411941">
            <w:pPr>
              <w:jc w:val="center"/>
              <w:rPr>
                <w:rFonts w:ascii="Times New Roman" w:eastAsia="宋体" w:hAnsi="Times New Roman" w:cs="Times New Roman"/>
                <w:b/>
                <w:kern w:val="0"/>
                <w:lang w:bidi="en-US"/>
              </w:rPr>
            </w:pPr>
            <w:r w:rsidRPr="00227F09">
              <w:rPr>
                <w:rFonts w:ascii="Times New Roman" w:eastAsia="Times New Roman" w:hAnsi="Times New Roman" w:cs="Times New Roman"/>
                <w:b/>
                <w:bCs/>
                <w:kern w:val="0"/>
                <w:lang w:bidi="en-US"/>
              </w:rPr>
              <w:t>Manufacturer</w:t>
            </w:r>
          </w:p>
        </w:tc>
      </w:tr>
      <w:tr w:rsidR="00DE4AFD" w:rsidRPr="00227F09" w14:paraId="52316797" w14:textId="77777777" w:rsidTr="003F7776">
        <w:trPr>
          <w:trHeight w:val="467"/>
        </w:trPr>
        <w:tc>
          <w:tcPr>
            <w:tcW w:w="984" w:type="dxa"/>
          </w:tcPr>
          <w:p w14:paraId="166BDBAA" w14:textId="77777777" w:rsidR="00DE4AFD" w:rsidRPr="00227F09" w:rsidRDefault="004A4F56" w:rsidP="00411941">
            <w:pPr>
              <w:jc w:val="center"/>
              <w:rPr>
                <w:rFonts w:ascii="Times New Roman" w:eastAsia="宋体" w:hAnsi="Times New Roman" w:cs="Times New Roman"/>
                <w:kern w:val="0"/>
                <w:lang w:bidi="en-US"/>
              </w:rPr>
            </w:pPr>
            <w:r w:rsidRPr="00227F09">
              <w:rPr>
                <w:rFonts w:ascii="Times New Roman" w:eastAsia="Times New Roman" w:hAnsi="Times New Roman" w:cs="Times New Roman"/>
                <w:kern w:val="0"/>
                <w:lang w:bidi="en-US"/>
              </w:rPr>
              <w:t>Capsule</w:t>
            </w:r>
          </w:p>
        </w:tc>
        <w:tc>
          <w:tcPr>
            <w:tcW w:w="1037" w:type="dxa"/>
          </w:tcPr>
          <w:p w14:paraId="42D6C79F" w14:textId="37915A0B" w:rsidR="00DE4AFD" w:rsidRPr="00227F09" w:rsidRDefault="004A4F56" w:rsidP="00411941">
            <w:pPr>
              <w:jc w:val="center"/>
              <w:rPr>
                <w:rFonts w:ascii="Times New Roman" w:eastAsia="宋体" w:hAnsi="Times New Roman" w:cs="Times New Roman"/>
                <w:kern w:val="0"/>
                <w:lang w:bidi="en-US"/>
              </w:rPr>
            </w:pPr>
            <w:r w:rsidRPr="00227F09">
              <w:rPr>
                <w:rFonts w:ascii="Times New Roman" w:eastAsia="Times New Roman" w:hAnsi="Times New Roman" w:cs="Times New Roman"/>
                <w:kern w:val="0"/>
                <w:lang w:bidi="en-US"/>
              </w:rPr>
              <w:t>50</w:t>
            </w:r>
            <w:r w:rsidR="00336D6F">
              <w:rPr>
                <w:rFonts w:ascii="Times New Roman" w:hAnsi="Times New Roman" w:cs="Times New Roman" w:hint="eastAsia"/>
                <w:kern w:val="0"/>
                <w:lang w:eastAsia="zh-CN" w:bidi="en-US"/>
              </w:rPr>
              <w:t xml:space="preserve"> </w:t>
            </w:r>
            <w:r w:rsidRPr="00227F09">
              <w:rPr>
                <w:rFonts w:ascii="Times New Roman" w:eastAsia="Times New Roman" w:hAnsi="Times New Roman" w:cs="Times New Roman"/>
                <w:kern w:val="0"/>
                <w:lang w:bidi="en-US"/>
              </w:rPr>
              <w:t>mg</w:t>
            </w:r>
          </w:p>
        </w:tc>
        <w:tc>
          <w:tcPr>
            <w:tcW w:w="1416" w:type="dxa"/>
          </w:tcPr>
          <w:p w14:paraId="44B507D0" w14:textId="77777777" w:rsidR="00DE4AFD" w:rsidRPr="00227F09" w:rsidRDefault="004A4F56" w:rsidP="00411941">
            <w:pPr>
              <w:jc w:val="center"/>
              <w:rPr>
                <w:rFonts w:ascii="Times New Roman" w:eastAsia="宋体" w:hAnsi="Times New Roman" w:cs="Times New Roman"/>
                <w:kern w:val="0"/>
                <w:lang w:bidi="en-US"/>
              </w:rPr>
            </w:pPr>
            <w:r w:rsidRPr="00227F09">
              <w:rPr>
                <w:rFonts w:ascii="Times New Roman" w:eastAsia="Times New Roman" w:hAnsi="Times New Roman" w:cs="Times New Roman"/>
                <w:kern w:val="0"/>
                <w:lang w:bidi="en-US"/>
              </w:rPr>
              <w:t>Oral</w:t>
            </w:r>
          </w:p>
        </w:tc>
        <w:tc>
          <w:tcPr>
            <w:tcW w:w="3762" w:type="dxa"/>
          </w:tcPr>
          <w:p w14:paraId="6FF9835D" w14:textId="77777777" w:rsidR="00DE4AFD" w:rsidRPr="00227F09" w:rsidRDefault="004A4F56" w:rsidP="00411941">
            <w:pPr>
              <w:jc w:val="center"/>
              <w:rPr>
                <w:rFonts w:ascii="Times New Roman" w:eastAsia="宋体" w:hAnsi="Times New Roman" w:cs="Times New Roman"/>
                <w:kern w:val="0"/>
                <w:lang w:eastAsia="zh-CN" w:bidi="en-US"/>
              </w:rPr>
            </w:pPr>
            <w:r w:rsidRPr="00227F09">
              <w:rPr>
                <w:rFonts w:ascii="Times New Roman" w:eastAsia="Times New Roman" w:hAnsi="Times New Roman" w:cs="Times New Roman"/>
                <w:kern w:val="0"/>
                <w:lang w:eastAsia="zh-CN" w:bidi="en-US"/>
              </w:rPr>
              <w:t>Hutchison Whampoa Pharmaceuticals (Shanghai) Co., Ltd.</w:t>
            </w:r>
          </w:p>
        </w:tc>
      </w:tr>
    </w:tbl>
    <w:p w14:paraId="4C5FFFC5" w14:textId="77777777" w:rsidR="00DE4AFD" w:rsidRPr="00303844" w:rsidRDefault="00DE4AFD" w:rsidP="000C622D">
      <w:pPr>
        <w:pStyle w:val="HR"/>
        <w:spacing w:after="0"/>
        <w:ind w:firstLineChars="0" w:firstLine="0"/>
        <w:jc w:val="both"/>
        <w:rPr>
          <w:rFonts w:cs="Times New Roman"/>
          <w:b/>
          <w:bCs/>
          <w:lang w:val="en-US" w:eastAsia="zh-CN"/>
        </w:rPr>
      </w:pPr>
    </w:p>
    <w:p w14:paraId="19E40255" w14:textId="1EE50945" w:rsidR="00DE4AFD" w:rsidRPr="00303844" w:rsidRDefault="00C6522E" w:rsidP="0069237C">
      <w:pPr>
        <w:pStyle w:val="HR"/>
        <w:spacing w:after="0"/>
        <w:ind w:firstLineChars="0" w:firstLine="0"/>
        <w:jc w:val="both"/>
        <w:rPr>
          <w:rFonts w:cs="Times New Roman"/>
          <w:lang w:val="en-US" w:eastAsia="zh-CN"/>
        </w:rPr>
      </w:pPr>
      <w:proofErr w:type="spellStart"/>
      <w:r w:rsidRPr="00303844">
        <w:rPr>
          <w:rFonts w:eastAsia="Times New Roman" w:cs="Times New Roman"/>
          <w:lang w:val="en-US" w:eastAsia="zh-CN"/>
        </w:rPr>
        <w:t>Surufatinib</w:t>
      </w:r>
      <w:proofErr w:type="spellEnd"/>
      <w:r w:rsidR="004A4F56" w:rsidRPr="00303844">
        <w:rPr>
          <w:rFonts w:eastAsia="Times New Roman" w:cs="Times New Roman"/>
          <w:color w:val="333333"/>
          <w:lang w:val="en-US" w:eastAsia="zh-CN"/>
        </w:rPr>
        <w:t xml:space="preserve"> should be stored in a safe and cool place as specified; stored at room temperature (10-30 °C), tightly closed and protected from light. </w:t>
      </w:r>
      <w:r w:rsidR="004A4F56" w:rsidRPr="00303844">
        <w:rPr>
          <w:rFonts w:eastAsia="Times New Roman" w:cs="Times New Roman"/>
          <w:lang w:val="en-US" w:eastAsia="zh-CN"/>
        </w:rPr>
        <w:t xml:space="preserve">The storage temperature needs to be recorded and kept in relevant documents. </w:t>
      </w:r>
      <w:r w:rsidR="004A4F56" w:rsidRPr="00303844">
        <w:rPr>
          <w:rFonts w:eastAsia="Times New Roman" w:cs="Times New Roman"/>
          <w:color w:val="333333"/>
          <w:lang w:val="en-US" w:eastAsia="zh-CN"/>
        </w:rPr>
        <w:t xml:space="preserve">The strength, packaging and storage conditions of other </w:t>
      </w:r>
      <w:r w:rsidR="004A4F56" w:rsidRPr="00303844">
        <w:rPr>
          <w:rFonts w:eastAsia="Times New Roman" w:cs="Times New Roman"/>
          <w:lang w:val="en-US" w:eastAsia="zh-CN"/>
        </w:rPr>
        <w:t>investigational product</w:t>
      </w:r>
      <w:r w:rsidR="004A4F56" w:rsidRPr="00303844">
        <w:rPr>
          <w:rFonts w:eastAsia="Times New Roman" w:cs="Times New Roman"/>
          <w:color w:val="333333"/>
          <w:lang w:val="en-US" w:eastAsia="zh-CN"/>
        </w:rPr>
        <w:t>s will be subject to the specific product instructions.</w:t>
      </w:r>
      <w:r w:rsidR="004A4F56" w:rsidRPr="00303844">
        <w:rPr>
          <w:rFonts w:eastAsia="Times New Roman" w:cs="Times New Roman"/>
          <w:lang w:val="en-US" w:eastAsia="zh-CN"/>
        </w:rPr>
        <w:t xml:space="preserve"> </w:t>
      </w:r>
    </w:p>
    <w:p w14:paraId="5B3A4195" w14:textId="77777777" w:rsidR="00DE4AFD" w:rsidRPr="00303844" w:rsidRDefault="004A4F56" w:rsidP="000C622D">
      <w:pPr>
        <w:pStyle w:val="30"/>
        <w:spacing w:before="0" w:after="0" w:line="360" w:lineRule="auto"/>
        <w:ind w:left="851" w:hanging="851"/>
        <w:rPr>
          <w:rFonts w:cs="Times New Roman"/>
        </w:rPr>
      </w:pPr>
      <w:bookmarkStart w:id="55" w:name="_Toc184889624"/>
      <w:r w:rsidRPr="00303844">
        <w:rPr>
          <w:rFonts w:eastAsia="Times New Roman" w:cs="Times New Roman"/>
        </w:rPr>
        <w:t>Investigational Product Randomization/Supply Scheme</w:t>
      </w:r>
      <w:bookmarkEnd w:id="55"/>
    </w:p>
    <w:p w14:paraId="64F2CEA3" w14:textId="77777777" w:rsidR="00DE4AFD" w:rsidRPr="00303844" w:rsidRDefault="004A4F56" w:rsidP="0069237C">
      <w:pPr>
        <w:pStyle w:val="HR"/>
        <w:spacing w:after="0"/>
        <w:ind w:firstLineChars="0" w:firstLine="0"/>
        <w:jc w:val="both"/>
        <w:rPr>
          <w:rFonts w:cs="Times New Roman"/>
          <w:lang w:val="en-US" w:eastAsia="zh-CN"/>
        </w:rPr>
      </w:pPr>
      <w:r w:rsidRPr="00303844">
        <w:rPr>
          <w:rFonts w:eastAsia="Times New Roman" w:cs="Times New Roman"/>
          <w:lang w:val="en-US" w:eastAsia="zh-CN"/>
        </w:rPr>
        <w:t xml:space="preserve">After the investigator confirms that the subject meets all inclusion criteria and does not meet any exclusion criteria, they will enter IWRS. Eligible subjects will be randomized in a 1:1 ratio to the test group or control group for treatment. Each subject's randomization number will be provided to the investigator through IWRS. </w:t>
      </w:r>
    </w:p>
    <w:p w14:paraId="51EE376E" w14:textId="77777777" w:rsidR="00DE4AFD" w:rsidRPr="00303844" w:rsidRDefault="004A4F56" w:rsidP="0069237C">
      <w:pPr>
        <w:pStyle w:val="HR"/>
        <w:spacing w:after="0"/>
        <w:ind w:firstLineChars="0" w:firstLine="0"/>
        <w:jc w:val="both"/>
        <w:rPr>
          <w:rFonts w:cs="Times New Roman"/>
          <w:lang w:val="en-US" w:eastAsia="zh-CN"/>
        </w:rPr>
      </w:pPr>
      <w:r w:rsidRPr="00303844">
        <w:rPr>
          <w:rFonts w:eastAsia="Times New Roman" w:cs="Times New Roman"/>
          <w:lang w:val="en-US" w:eastAsia="zh-CN"/>
        </w:rPr>
        <w:t xml:space="preserve">After randomization, subjects must start the study treatment within 3 days. </w:t>
      </w:r>
    </w:p>
    <w:p w14:paraId="3AD1463C" w14:textId="77777777" w:rsidR="00DE4AFD" w:rsidRPr="00303844" w:rsidRDefault="004A4F56" w:rsidP="000C622D">
      <w:pPr>
        <w:pStyle w:val="30"/>
        <w:spacing w:before="0" w:after="0" w:line="360" w:lineRule="auto"/>
        <w:ind w:left="851" w:hanging="851"/>
        <w:rPr>
          <w:rFonts w:cs="Times New Roman"/>
          <w:kern w:val="0"/>
          <w:szCs w:val="24"/>
        </w:rPr>
      </w:pPr>
      <w:bookmarkStart w:id="56" w:name="_Toc184889625"/>
      <w:r w:rsidRPr="00303844">
        <w:rPr>
          <w:rFonts w:eastAsia="Times New Roman" w:cs="Times New Roman"/>
          <w:kern w:val="0"/>
          <w:szCs w:val="24"/>
        </w:rPr>
        <w:lastRenderedPageBreak/>
        <w:t>Drug Management</w:t>
      </w:r>
      <w:bookmarkEnd w:id="56"/>
    </w:p>
    <w:p w14:paraId="09804C62" w14:textId="77777777" w:rsidR="00DE4AFD" w:rsidRPr="00303844" w:rsidRDefault="004A4F56" w:rsidP="0069237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 xml:space="preserve">The registration and documentation of </w:t>
      </w:r>
      <w:r w:rsidRPr="00303844">
        <w:rPr>
          <w:rFonts w:eastAsia="Times New Roman" w:cs="Times New Roman"/>
          <w:lang w:val="en-US" w:eastAsia="zh-CN"/>
        </w:rPr>
        <w:t>investigational product</w:t>
      </w:r>
      <w:r w:rsidRPr="00303844">
        <w:rPr>
          <w:rFonts w:eastAsia="Times New Roman" w:cs="Times New Roman"/>
          <w:color w:val="333333"/>
          <w:lang w:val="en-US" w:eastAsia="zh-CN"/>
        </w:rPr>
        <w:t>s must be managed by a designated individual.</w:t>
      </w:r>
      <w:r w:rsidRPr="00303844">
        <w:rPr>
          <w:rFonts w:eastAsia="Times New Roman" w:cs="Times New Roman"/>
          <w:lang w:val="en-US" w:eastAsia="zh-CN"/>
        </w:rPr>
        <w:t xml:space="preserve"> </w:t>
      </w:r>
      <w:r w:rsidRPr="00303844">
        <w:rPr>
          <w:rFonts w:eastAsia="Times New Roman" w:cs="Times New Roman"/>
          <w:color w:val="333333"/>
          <w:lang w:val="en-US" w:eastAsia="zh-CN"/>
        </w:rPr>
        <w:t xml:space="preserve">The study site should ensure that there is a designee responsible for receiving the </w:t>
      </w:r>
      <w:r w:rsidRPr="00303844">
        <w:rPr>
          <w:rFonts w:eastAsia="Times New Roman" w:cs="Times New Roman"/>
          <w:lang w:val="en-US" w:eastAsia="zh-CN"/>
        </w:rPr>
        <w:t>investigational product</w:t>
      </w:r>
      <w:r w:rsidRPr="00303844">
        <w:rPr>
          <w:rFonts w:eastAsia="Times New Roman" w:cs="Times New Roman"/>
          <w:color w:val="333333"/>
          <w:lang w:val="en-US" w:eastAsia="zh-CN"/>
        </w:rPr>
        <w:t xml:space="preserve">s, that the drug distribution has accurate records, and that the </w:t>
      </w:r>
      <w:r w:rsidRPr="00303844">
        <w:rPr>
          <w:rFonts w:eastAsia="Times New Roman" w:cs="Times New Roman"/>
          <w:lang w:val="en-US" w:eastAsia="zh-CN"/>
        </w:rPr>
        <w:t>investigational product</w:t>
      </w:r>
      <w:r w:rsidRPr="00303844">
        <w:rPr>
          <w:rFonts w:eastAsia="Times New Roman" w:cs="Times New Roman"/>
          <w:color w:val="333333"/>
          <w:lang w:val="en-US" w:eastAsia="zh-CN"/>
        </w:rPr>
        <w:t>s are properly used and stored.</w:t>
      </w:r>
      <w:r w:rsidRPr="00303844">
        <w:rPr>
          <w:rFonts w:eastAsia="Times New Roman" w:cs="Times New Roman"/>
          <w:lang w:val="en-US" w:eastAsia="zh-CN"/>
        </w:rPr>
        <w:t xml:space="preserve"> </w:t>
      </w:r>
      <w:r w:rsidRPr="00303844">
        <w:rPr>
          <w:rFonts w:eastAsia="Times New Roman" w:cs="Times New Roman"/>
          <w:color w:val="333333"/>
          <w:lang w:val="en-US" w:eastAsia="zh-CN"/>
        </w:rPr>
        <w:t xml:space="preserve">The unused </w:t>
      </w:r>
      <w:r w:rsidRPr="00303844">
        <w:rPr>
          <w:rFonts w:eastAsia="Times New Roman" w:cs="Times New Roman"/>
          <w:lang w:val="en-US" w:eastAsia="zh-CN"/>
        </w:rPr>
        <w:t>investigational product</w:t>
      </w:r>
      <w:r w:rsidRPr="00303844">
        <w:rPr>
          <w:rFonts w:eastAsia="Times New Roman" w:cs="Times New Roman"/>
          <w:color w:val="333333"/>
          <w:lang w:val="en-US" w:eastAsia="zh-CN"/>
        </w:rPr>
        <w:t xml:space="preserve">s should be preserved according to the requirements of drug storage, and check whether the storage meet the requirements at regular intervals by designated personnel. After the study is completed, the remaining </w:t>
      </w:r>
      <w:r w:rsidRPr="00303844">
        <w:rPr>
          <w:rFonts w:eastAsia="Times New Roman" w:cs="Times New Roman"/>
          <w:lang w:val="en-US" w:eastAsia="zh-CN"/>
        </w:rPr>
        <w:t>investigational product</w:t>
      </w:r>
      <w:r w:rsidRPr="00303844">
        <w:rPr>
          <w:rFonts w:eastAsia="Times New Roman" w:cs="Times New Roman"/>
          <w:color w:val="333333"/>
          <w:lang w:val="en-US" w:eastAsia="zh-CN"/>
        </w:rPr>
        <w:t xml:space="preserve">s should be recovered, registered and recorded, and disposed of with a GCP compliant method. </w:t>
      </w:r>
    </w:p>
    <w:p w14:paraId="19FF0440" w14:textId="77777777" w:rsidR="00DE4AFD" w:rsidRPr="00303844" w:rsidRDefault="004A4F56" w:rsidP="000C622D">
      <w:pPr>
        <w:pStyle w:val="21"/>
        <w:spacing w:before="0" w:after="0" w:line="360" w:lineRule="auto"/>
        <w:rPr>
          <w:rFonts w:eastAsia="宋体" w:cs="Times New Roman"/>
        </w:rPr>
      </w:pPr>
      <w:bookmarkStart w:id="57" w:name="_Ref1322588"/>
      <w:bookmarkStart w:id="58" w:name="_Toc184889626"/>
      <w:bookmarkEnd w:id="57"/>
      <w:r w:rsidRPr="00303844">
        <w:rPr>
          <w:rFonts w:eastAsia="Times New Roman" w:cs="Times New Roman"/>
        </w:rPr>
        <w:t>Method of Administration</w:t>
      </w:r>
      <w:bookmarkEnd w:id="58"/>
    </w:p>
    <w:p w14:paraId="6752CB03" w14:textId="77777777" w:rsidR="00DE4AFD" w:rsidRPr="00303844" w:rsidRDefault="004A4F56" w:rsidP="000C622D">
      <w:pPr>
        <w:pStyle w:val="30"/>
        <w:spacing w:before="0" w:after="0" w:line="360" w:lineRule="auto"/>
        <w:rPr>
          <w:rFonts w:cs="Times New Roman"/>
        </w:rPr>
      </w:pPr>
      <w:bookmarkStart w:id="59" w:name="_Toc184889627"/>
      <w:r w:rsidRPr="00303844">
        <w:rPr>
          <w:rFonts w:eastAsia="Times New Roman" w:cs="Times New Roman"/>
          <w:color w:val="333333"/>
        </w:rPr>
        <w:t>Dosing Regimen and Dosing Period</w:t>
      </w:r>
      <w:bookmarkEnd w:id="59"/>
    </w:p>
    <w:p w14:paraId="6E432208" w14:textId="65B659E6" w:rsidR="00DE4AFD" w:rsidRPr="00303844" w:rsidRDefault="004A4F56" w:rsidP="0069237C">
      <w:pPr>
        <w:widowControl/>
        <w:spacing w:line="360" w:lineRule="auto"/>
        <w:contextualSpacing/>
        <w:rPr>
          <w:rFonts w:ascii="Times New Roman" w:eastAsia="宋体" w:hAnsi="Times New Roman" w:cs="Times New Roman"/>
          <w:sz w:val="24"/>
          <w:szCs w:val="24"/>
        </w:rPr>
      </w:pPr>
      <w:r w:rsidRPr="00303844">
        <w:rPr>
          <w:rFonts w:ascii="Times New Roman" w:eastAsia="Times New Roman" w:hAnsi="Times New Roman" w:cs="Times New Roman"/>
          <w:sz w:val="24"/>
          <w:szCs w:val="24"/>
        </w:rPr>
        <w:t xml:space="preserve">Test Group: </w:t>
      </w:r>
      <w:proofErr w:type="spellStart"/>
      <w:r w:rsidRPr="00303844">
        <w:rPr>
          <w:rFonts w:ascii="Times New Roman" w:eastAsia="Times New Roman" w:hAnsi="Times New Roman" w:cs="Times New Roman"/>
          <w:sz w:val="24"/>
          <w:szCs w:val="24"/>
        </w:rPr>
        <w:t>surufatinib</w:t>
      </w:r>
      <w:proofErr w:type="spellEnd"/>
      <w:r w:rsidRPr="00303844">
        <w:rPr>
          <w:rFonts w:ascii="Times New Roman" w:eastAsia="Times New Roman" w:hAnsi="Times New Roman" w:cs="Times New Roman"/>
          <w:sz w:val="24"/>
          <w:szCs w:val="24"/>
        </w:rPr>
        <w:t xml:space="preserve"> (200 mg/250 mg/300 mg orally, once daily continuous administration, with treatment cycles every 3 weeks) combined with </w:t>
      </w:r>
      <w:proofErr w:type="spellStart"/>
      <w:r w:rsidRPr="00303844">
        <w:rPr>
          <w:rFonts w:ascii="Times New Roman" w:eastAsia="Times New Roman" w:hAnsi="Times New Roman" w:cs="Times New Roman"/>
          <w:sz w:val="24"/>
          <w:szCs w:val="24"/>
        </w:rPr>
        <w:t>camrelizumab</w:t>
      </w:r>
      <w:proofErr w:type="spellEnd"/>
      <w:r w:rsidRPr="00303844">
        <w:rPr>
          <w:rFonts w:ascii="Times New Roman" w:eastAsia="Times New Roman" w:hAnsi="Times New Roman" w:cs="Times New Roman"/>
          <w:sz w:val="24"/>
          <w:szCs w:val="24"/>
        </w:rPr>
        <w:t xml:space="preserve"> (200 mg, intravenous infusion, q3w) and the AS three-week regimen (nab-paclitaxel: 12</w:t>
      </w:r>
      <w:r w:rsidR="002A5B60">
        <w:rPr>
          <w:rFonts w:ascii="Times New Roman" w:hAnsi="Times New Roman" w:cs="Times New Roman" w:hint="eastAsia"/>
          <w:sz w:val="24"/>
          <w:szCs w:val="24"/>
        </w:rPr>
        <w:t>5</w:t>
      </w:r>
      <w:r w:rsidRPr="00303844">
        <w:rPr>
          <w:rFonts w:ascii="Times New Roman" w:eastAsia="Times New Roman" w:hAnsi="Times New Roman" w:cs="Times New Roman"/>
          <w:sz w:val="24"/>
          <w:szCs w:val="24"/>
        </w:rPr>
        <w:t xml:space="preserve"> mg/m</w:t>
      </w:r>
      <w:r w:rsidRPr="00303844">
        <w:rPr>
          <w:rFonts w:ascii="Times New Roman" w:eastAsia="Times New Roman" w:hAnsi="Times New Roman" w:cs="Times New Roman"/>
          <w:sz w:val="24"/>
          <w:szCs w:val="24"/>
          <w:vertAlign w:val="superscript"/>
        </w:rPr>
        <w:t>2</w:t>
      </w:r>
      <w:r w:rsidRPr="00303844">
        <w:rPr>
          <w:rFonts w:ascii="Times New Roman" w:eastAsia="Times New Roman" w:hAnsi="Times New Roman" w:cs="Times New Roman"/>
          <w:sz w:val="24"/>
          <w:szCs w:val="24"/>
        </w:rPr>
        <w:t xml:space="preserve">, I.V., on days 1 and 8; S-1: 40 mg BID orally, days 1-14, q3w), until intolerable toxicity or disease progression, death, or meeting other protocol-specified criteria for discontinuation of study treatment. </w:t>
      </w:r>
    </w:p>
    <w:p w14:paraId="207D74FC" w14:textId="77777777" w:rsidR="00DE4AFD" w:rsidRPr="00303844" w:rsidRDefault="004A4F56" w:rsidP="0069237C">
      <w:pPr>
        <w:widowControl/>
        <w:spacing w:line="360" w:lineRule="auto"/>
        <w:contextualSpacing/>
        <w:rPr>
          <w:rFonts w:ascii="Times New Roman" w:eastAsia="宋体" w:hAnsi="Times New Roman" w:cs="Times New Roman"/>
          <w:sz w:val="24"/>
          <w:szCs w:val="24"/>
        </w:rPr>
      </w:pPr>
      <w:r w:rsidRPr="00303844">
        <w:rPr>
          <w:rFonts w:ascii="Times New Roman" w:eastAsia="Times New Roman" w:hAnsi="Times New Roman" w:cs="Times New Roman"/>
          <w:sz w:val="24"/>
          <w:szCs w:val="24"/>
        </w:rPr>
        <w:t xml:space="preserve">Control group: </w:t>
      </w:r>
      <w:proofErr w:type="spellStart"/>
      <w:r w:rsidRPr="00303844">
        <w:rPr>
          <w:rFonts w:ascii="Times New Roman" w:eastAsia="Times New Roman" w:hAnsi="Times New Roman" w:cs="Times New Roman"/>
          <w:sz w:val="24"/>
          <w:szCs w:val="24"/>
        </w:rPr>
        <w:t>GnP</w:t>
      </w:r>
      <w:proofErr w:type="spellEnd"/>
      <w:r w:rsidRPr="00303844">
        <w:rPr>
          <w:rFonts w:ascii="Times New Roman" w:eastAsia="Times New Roman" w:hAnsi="Times New Roman" w:cs="Times New Roman"/>
          <w:sz w:val="24"/>
          <w:szCs w:val="24"/>
        </w:rPr>
        <w:t xml:space="preserve"> 3-week regimen (nab-paclitaxel: 125 mg/m</w:t>
      </w:r>
      <w:r w:rsidRPr="00303844">
        <w:rPr>
          <w:rFonts w:ascii="Times New Roman" w:eastAsia="Times New Roman" w:hAnsi="Times New Roman" w:cs="Times New Roman"/>
          <w:sz w:val="24"/>
          <w:szCs w:val="24"/>
          <w:vertAlign w:val="superscript"/>
        </w:rPr>
        <w:t>2</w:t>
      </w:r>
      <w:r w:rsidRPr="00303844">
        <w:rPr>
          <w:rFonts w:ascii="Times New Roman" w:eastAsia="Times New Roman" w:hAnsi="Times New Roman" w:cs="Times New Roman"/>
          <w:sz w:val="24"/>
          <w:szCs w:val="24"/>
        </w:rPr>
        <w:t>, IV, d1, d8, q3w; gemcitabine: 1000 mg/m</w:t>
      </w:r>
      <w:r w:rsidRPr="00303844">
        <w:rPr>
          <w:rFonts w:ascii="Times New Roman" w:eastAsia="Times New Roman" w:hAnsi="Times New Roman" w:cs="Times New Roman"/>
          <w:sz w:val="24"/>
          <w:szCs w:val="24"/>
          <w:vertAlign w:val="superscript"/>
        </w:rPr>
        <w:t>2</w:t>
      </w:r>
      <w:r w:rsidRPr="00303844">
        <w:rPr>
          <w:rFonts w:ascii="Times New Roman" w:eastAsia="Times New Roman" w:hAnsi="Times New Roman" w:cs="Times New Roman"/>
          <w:sz w:val="24"/>
          <w:szCs w:val="24"/>
        </w:rPr>
        <w:t xml:space="preserve">, IV infusion over 30 minutes, d1, d8, q3w), until intolerable toxicity or disease progression, death, or reaching other criteria specified in the protocol for discontinuation of study treatment. </w:t>
      </w:r>
    </w:p>
    <w:p w14:paraId="07FDA691" w14:textId="632E29D8" w:rsidR="00DE4AFD" w:rsidRPr="00303844" w:rsidRDefault="004A4F56" w:rsidP="0069237C">
      <w:pPr>
        <w:widowControl/>
        <w:spacing w:line="360" w:lineRule="auto"/>
        <w:contextualSpacing/>
        <w:rPr>
          <w:rFonts w:ascii="Times New Roman" w:eastAsia="宋体" w:hAnsi="Times New Roman" w:cs="Times New Roman"/>
          <w:sz w:val="24"/>
          <w:szCs w:val="24"/>
        </w:rPr>
      </w:pPr>
      <w:r w:rsidRPr="00303844">
        <w:rPr>
          <w:rFonts w:ascii="Times New Roman" w:eastAsia="Times New Roman" w:hAnsi="Times New Roman" w:cs="Times New Roman"/>
          <w:color w:val="333333"/>
          <w:sz w:val="24"/>
          <w:szCs w:val="24"/>
        </w:rPr>
        <w:t>The above medications may be adjusted based on the adverse reactions of the subjects according to the protocol.</w:t>
      </w:r>
      <w:r w:rsidRPr="00303844">
        <w:rPr>
          <w:rFonts w:ascii="Times New Roman" w:eastAsia="Times New Roman" w:hAnsi="Times New Roman" w:cs="Times New Roman"/>
          <w:sz w:val="24"/>
          <w:szCs w:val="24"/>
        </w:rPr>
        <w:t xml:space="preserve"> </w:t>
      </w:r>
      <w:r w:rsidRPr="00303844">
        <w:rPr>
          <w:rFonts w:ascii="Times New Roman" w:eastAsia="Times New Roman" w:hAnsi="Times New Roman" w:cs="Times New Roman"/>
          <w:color w:val="333333"/>
          <w:sz w:val="24"/>
          <w:szCs w:val="24"/>
        </w:rPr>
        <w:t xml:space="preserve">Subjects will continue the treatment until disease progression, intolerable toxicity, withdrawal of informed consent, or discontinuation at the discretion of the investigator. The cycle date will be determined from the date of the first dose of the subject. In case of any dose interruption, omission, or underdose of the </w:t>
      </w:r>
      <w:r w:rsidRPr="00303844">
        <w:rPr>
          <w:rFonts w:ascii="Times New Roman" w:eastAsia="Times New Roman" w:hAnsi="Times New Roman" w:cs="Times New Roman"/>
          <w:sz w:val="24"/>
          <w:szCs w:val="24"/>
        </w:rPr>
        <w:t>investigational product</w:t>
      </w:r>
      <w:r w:rsidRPr="00303844">
        <w:rPr>
          <w:rFonts w:ascii="Times New Roman" w:eastAsia="Times New Roman" w:hAnsi="Times New Roman" w:cs="Times New Roman"/>
          <w:color w:val="333333"/>
          <w:sz w:val="24"/>
          <w:szCs w:val="24"/>
        </w:rPr>
        <w:t xml:space="preserve"> during the study, the treatment will continue according to the cycle specified in the protocol without supplementation or modification of cycle.</w:t>
      </w:r>
      <w:r w:rsidR="00C6522E">
        <w:rPr>
          <w:rFonts w:ascii="Times New Roman" w:hAnsi="Times New Roman" w:cs="Times New Roman" w:hint="eastAsia"/>
          <w:color w:val="333333"/>
          <w:sz w:val="24"/>
          <w:szCs w:val="24"/>
        </w:rPr>
        <w:t xml:space="preserve"> </w:t>
      </w:r>
      <w:r w:rsidRPr="00303844">
        <w:rPr>
          <w:rFonts w:ascii="Times New Roman" w:eastAsia="Times New Roman" w:hAnsi="Times New Roman" w:cs="Times New Roman"/>
          <w:color w:val="333333"/>
          <w:sz w:val="24"/>
          <w:szCs w:val="24"/>
        </w:rPr>
        <w:t xml:space="preserve">However, it should be recorded in detail in the original data: if there is a drug omission, the time and the reason for the missed dose should be </w:t>
      </w:r>
      <w:r w:rsidRPr="00303844">
        <w:rPr>
          <w:rFonts w:ascii="Times New Roman" w:eastAsia="Times New Roman" w:hAnsi="Times New Roman" w:cs="Times New Roman"/>
          <w:color w:val="333333"/>
          <w:sz w:val="24"/>
          <w:szCs w:val="24"/>
        </w:rPr>
        <w:lastRenderedPageBreak/>
        <w:t>recorded in detail; if the drug is underdosed due to various reasons such as adverse drug reactions, it should be recorded in the subject's diary</w:t>
      </w:r>
      <w:r w:rsidRPr="00303844">
        <w:rPr>
          <w:rFonts w:ascii="Times New Roman" w:eastAsia="Times New Roman" w:hAnsi="Times New Roman" w:cs="Times New Roman"/>
          <w:sz w:val="24"/>
          <w:szCs w:val="24"/>
        </w:rPr>
        <w:t xml:space="preserve">, original medical records, and eCRF. </w:t>
      </w:r>
    </w:p>
    <w:p w14:paraId="28EBB2F0" w14:textId="77777777" w:rsidR="00DE4AFD" w:rsidRPr="00303844" w:rsidRDefault="004A4F56" w:rsidP="000C622D">
      <w:pPr>
        <w:pStyle w:val="30"/>
        <w:spacing w:before="0" w:after="0" w:line="360" w:lineRule="auto"/>
        <w:rPr>
          <w:rFonts w:cs="Times New Roman"/>
        </w:rPr>
      </w:pPr>
      <w:bookmarkStart w:id="60" w:name="_Toc184889628"/>
      <w:r w:rsidRPr="00303844">
        <w:rPr>
          <w:rFonts w:eastAsia="Times New Roman" w:cs="Times New Roman"/>
        </w:rPr>
        <w:t>Method of Administration</w:t>
      </w:r>
      <w:bookmarkEnd w:id="60"/>
    </w:p>
    <w:p w14:paraId="753C65BE" w14:textId="77777777" w:rsidR="00DE4AFD" w:rsidRPr="00AF1F77" w:rsidRDefault="004A4F56" w:rsidP="0069237C">
      <w:pPr>
        <w:pStyle w:val="HR"/>
        <w:spacing w:after="0"/>
        <w:ind w:firstLineChars="0" w:firstLine="0"/>
        <w:jc w:val="both"/>
        <w:rPr>
          <w:rFonts w:cs="Times New Roman"/>
          <w:lang w:val="en-US" w:eastAsia="zh-CN"/>
        </w:rPr>
      </w:pPr>
      <w:proofErr w:type="spellStart"/>
      <w:r w:rsidRPr="00AF1F77">
        <w:rPr>
          <w:rFonts w:eastAsia="Times New Roman" w:cs="Times New Roman"/>
          <w:lang w:val="en-US" w:eastAsia="zh-CN"/>
        </w:rPr>
        <w:t>Surufatinib</w:t>
      </w:r>
      <w:proofErr w:type="spellEnd"/>
      <w:r w:rsidRPr="00AF1F77">
        <w:rPr>
          <w:rFonts w:eastAsia="Times New Roman" w:cs="Times New Roman"/>
          <w:lang w:val="en-US" w:eastAsia="zh-CN"/>
        </w:rPr>
        <w:t xml:space="preserve">: it is recommended to take the investigational product with 200 mL of clear water within 1 hour after breakfast, striving to take the medication at the same time each day. If vomiting occurs after medication administration, it is not recommended to take the medication again unless the entire capsule is seen. </w:t>
      </w:r>
    </w:p>
    <w:p w14:paraId="291831F2" w14:textId="77777777" w:rsidR="00DE4AFD" w:rsidRPr="00AF1F77" w:rsidRDefault="004A4F56" w:rsidP="0069237C">
      <w:pPr>
        <w:pStyle w:val="HR"/>
        <w:spacing w:after="0"/>
        <w:ind w:firstLineChars="0" w:firstLine="0"/>
        <w:jc w:val="both"/>
        <w:rPr>
          <w:rFonts w:cs="Times New Roman"/>
          <w:lang w:val="en-US" w:eastAsia="zh-CN"/>
        </w:rPr>
      </w:pPr>
      <w:r w:rsidRPr="00AF1F77">
        <w:rPr>
          <w:rFonts w:eastAsia="Times New Roman" w:cs="Times New Roman"/>
          <w:color w:val="333333"/>
          <w:lang w:val="en-US" w:eastAsia="zh-CN"/>
        </w:rPr>
        <w:t>During the study, every effort should be made to ensure that the patient is dosed according to the protocol.</w:t>
      </w:r>
      <w:r w:rsidRPr="00AF1F77">
        <w:rPr>
          <w:rFonts w:eastAsia="Times New Roman" w:cs="Times New Roman"/>
          <w:lang w:val="en-US" w:eastAsia="zh-CN"/>
        </w:rPr>
        <w:t xml:space="preserve"> </w:t>
      </w:r>
      <w:r w:rsidRPr="00AF1F77">
        <w:rPr>
          <w:rFonts w:eastAsia="Times New Roman" w:cs="Times New Roman"/>
          <w:color w:val="333333"/>
          <w:lang w:val="en-US" w:eastAsia="zh-CN"/>
        </w:rPr>
        <w:t>If the patient misses the dose in the morning, it can be taken at any time before 10 p.m. on the same day.</w:t>
      </w:r>
      <w:r w:rsidRPr="00AF1F77">
        <w:rPr>
          <w:rFonts w:eastAsia="Times New Roman" w:cs="Times New Roman"/>
          <w:lang w:val="en-US" w:eastAsia="zh-CN"/>
        </w:rPr>
        <w:t xml:space="preserve"> </w:t>
      </w:r>
      <w:r w:rsidRPr="00AF1F77">
        <w:rPr>
          <w:rFonts w:eastAsia="Times New Roman" w:cs="Times New Roman"/>
          <w:color w:val="333333"/>
          <w:lang w:val="en-US" w:eastAsia="zh-CN"/>
        </w:rPr>
        <w:t>However, if the patient misses the prescribed medication and fails to take it on the same day, the patient must take the prescribed dose at the next time, but the missed dose will not need to be taken again. The investigator should record the actual dose and amount of drug taken by the patient, and record it in the original diagnosis and treatment record and CRF.</w:t>
      </w:r>
      <w:r w:rsidRPr="00AF1F77">
        <w:rPr>
          <w:rFonts w:eastAsia="Times New Roman" w:cs="Times New Roman"/>
          <w:lang w:val="en-US" w:eastAsia="zh-CN"/>
        </w:rPr>
        <w:t xml:space="preserve"> </w:t>
      </w:r>
    </w:p>
    <w:p w14:paraId="2040D793" w14:textId="77777777" w:rsidR="00DE4AFD" w:rsidRPr="00AF1F77" w:rsidRDefault="004A4F56" w:rsidP="0069237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Intense exercise should be avoided during the trial; smoking, alcohol, and caffeinated beverages should be avoided. During the study participation, patients should avoid drinking high concentrations of grapefruit juice and consuming grapefruit, </w:t>
      </w:r>
      <w:r w:rsidRPr="00AF1F77">
        <w:rPr>
          <w:rFonts w:eastAsia="Times New Roman" w:cs="Times New Roman"/>
          <w:color w:val="6F6F6F"/>
          <w:lang w:val="en-US" w:eastAsia="zh-CN"/>
        </w:rPr>
        <w:t>lime</w:t>
      </w:r>
      <w:r w:rsidRPr="00AF1F77">
        <w:rPr>
          <w:rFonts w:eastAsia="Times New Roman" w:cs="Times New Roman"/>
          <w:lang w:val="en-US" w:eastAsia="zh-CN"/>
        </w:rPr>
        <w:t xml:space="preserve">, and beverages containing these ingredients. </w:t>
      </w:r>
    </w:p>
    <w:p w14:paraId="729AE0E4" w14:textId="77777777" w:rsidR="00DE4AFD" w:rsidRPr="00AF1F77" w:rsidRDefault="004A4F56" w:rsidP="0069237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S-1 is administered orally. Generally, the initial dose for adults is determined according to body surface area as per the table below. </w:t>
      </w:r>
      <w:r w:rsidRPr="00AF1F77">
        <w:rPr>
          <w:rFonts w:eastAsia="Times New Roman" w:cs="Times New Roman"/>
          <w:color w:val="333333"/>
          <w:lang w:val="en-US" w:eastAsia="zh-CN"/>
        </w:rPr>
        <w:t>Dosage is given orally twice daily after breakfast and dinner for 28 consecutive days with 14 days of rest as a treatment cycle.</w:t>
      </w:r>
      <w:r w:rsidRPr="00AF1F77">
        <w:rPr>
          <w:rFonts w:eastAsia="Times New Roman" w:cs="Times New Roman"/>
          <w:lang w:val="en-US" w:eastAsia="zh-CN"/>
        </w:rPr>
        <w:t xml:space="preserve"> </w:t>
      </w:r>
      <w:r w:rsidRPr="00AF1F77">
        <w:rPr>
          <w:rFonts w:eastAsia="Times New Roman" w:cs="Times New Roman"/>
          <w:color w:val="333333"/>
          <w:lang w:val="en-US" w:eastAsia="zh-CN"/>
        </w:rPr>
        <w:t>Doses are administered until the patient's condition worsened or the patient is no longer tolerable.</w:t>
      </w:r>
      <w:r w:rsidRPr="00AF1F77">
        <w:rPr>
          <w:rFonts w:eastAsia="Times New Roman" w:cs="Times New Roman"/>
          <w:lang w:val="en-US" w:eastAsia="zh-CN"/>
        </w:rPr>
        <w:t xml:space="preserve"> </w:t>
      </w:r>
    </w:p>
    <w:p w14:paraId="3AB27766" w14:textId="77777777" w:rsidR="00DE4AFD" w:rsidRPr="00303844" w:rsidRDefault="004A4F56" w:rsidP="000C622D">
      <w:pPr>
        <w:pStyle w:val="21"/>
        <w:spacing w:before="0" w:after="0" w:line="360" w:lineRule="auto"/>
        <w:rPr>
          <w:rFonts w:eastAsia="宋体" w:cs="Times New Roman"/>
        </w:rPr>
      </w:pPr>
      <w:bookmarkStart w:id="61" w:name="_Toc184889629"/>
      <w:r w:rsidRPr="00303844">
        <w:rPr>
          <w:rFonts w:eastAsia="Times New Roman" w:cs="Times New Roman"/>
        </w:rPr>
        <w:t>Precautions</w:t>
      </w:r>
      <w:bookmarkEnd w:id="61"/>
    </w:p>
    <w:p w14:paraId="6B9B6589" w14:textId="77777777" w:rsidR="00DE4AFD" w:rsidRPr="00AF1F77" w:rsidRDefault="004A4F56" w:rsidP="0069237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According to the latest Investigator's Brochure for </w:t>
      </w:r>
      <w:proofErr w:type="spellStart"/>
      <w:r w:rsidRPr="00AF1F77">
        <w:rPr>
          <w:rFonts w:eastAsia="Times New Roman" w:cs="Times New Roman"/>
          <w:lang w:val="en-US" w:eastAsia="zh-CN"/>
        </w:rPr>
        <w:t>surufatinib</w:t>
      </w:r>
      <w:proofErr w:type="spellEnd"/>
      <w:r w:rsidRPr="00AF1F77">
        <w:rPr>
          <w:rFonts w:eastAsia="Times New Roman" w:cs="Times New Roman"/>
          <w:lang w:val="en-US" w:eastAsia="zh-CN"/>
        </w:rPr>
        <w:t xml:space="preserve">, the following toxicities need to be particularly observed and prevented in this clinical study. </w:t>
      </w:r>
    </w:p>
    <w:p w14:paraId="43931EAC" w14:textId="77777777" w:rsidR="00DE4AFD" w:rsidRPr="00AF1F77" w:rsidRDefault="004A4F56" w:rsidP="0069237C">
      <w:pPr>
        <w:pStyle w:val="HR"/>
        <w:spacing w:after="0"/>
        <w:ind w:firstLineChars="0" w:firstLine="0"/>
        <w:jc w:val="both"/>
        <w:rPr>
          <w:rFonts w:cs="Times New Roman"/>
          <w:b/>
          <w:bCs/>
          <w:lang w:val="en-US" w:eastAsia="zh-CN"/>
        </w:rPr>
      </w:pPr>
      <w:r w:rsidRPr="00AF1F77">
        <w:rPr>
          <w:rFonts w:eastAsia="Times New Roman" w:cs="Times New Roman"/>
          <w:b/>
          <w:bCs/>
          <w:lang w:val="en-US" w:eastAsia="zh-CN"/>
        </w:rPr>
        <w:t>Hypertension</w:t>
      </w:r>
    </w:p>
    <w:p w14:paraId="7E0C8785" w14:textId="77777777" w:rsidR="00DE4AFD" w:rsidRPr="00AF1F77" w:rsidRDefault="004A4F56" w:rsidP="0069237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Hypertension is one of the common adverse reactions during </w:t>
      </w:r>
      <w:proofErr w:type="spellStart"/>
      <w:r w:rsidRPr="00AF1F77">
        <w:rPr>
          <w:rFonts w:eastAsia="Times New Roman" w:cs="Times New Roman"/>
          <w:lang w:val="en-US" w:eastAsia="zh-CN"/>
        </w:rPr>
        <w:t>surufatinib</w:t>
      </w:r>
      <w:proofErr w:type="spellEnd"/>
      <w:r w:rsidRPr="00AF1F77">
        <w:rPr>
          <w:rFonts w:eastAsia="Times New Roman" w:cs="Times New Roman"/>
          <w:lang w:val="en-US" w:eastAsia="zh-CN"/>
        </w:rPr>
        <w:t xml:space="preserve"> treatment. It can occur at any time after the start of treatment, but most cases appear within one month after </w:t>
      </w:r>
      <w:r w:rsidRPr="00AF1F77">
        <w:rPr>
          <w:rFonts w:eastAsia="Times New Roman" w:cs="Times New Roman"/>
          <w:lang w:val="en-US" w:eastAsia="zh-CN"/>
        </w:rPr>
        <w:lastRenderedPageBreak/>
        <w:t xml:space="preserve">administration. Most of hypertension are Grade 1-2; some patients experience Grade 3 increased blood pressure, but there were no cases of Grade 4 or higher hypertension. Blood pressure should be actively monitored during treatment, and patients who develop increased blood pressure should be promptly treated. Currently, there are no prospective clinical studies confirming the optimal treatment regimen for hypertension induced by VEGF inhibitors. Therefore, the choice of antihypertensive drugs should consider the patient's specific clinical situation. For patients with proteinuria, chronic kidney disease, or metabolic diseases, ACE inhibitors (ACEI) or angiotensin II receptor blockers (ARB) class antihypertensive drugs are preferred. Calcium channel blockers are mainly metabolized via CYP3A4; when used in combination with </w:t>
      </w:r>
      <w:proofErr w:type="spellStart"/>
      <w:r w:rsidRPr="00AF1F77">
        <w:rPr>
          <w:rFonts w:eastAsia="Times New Roman" w:cs="Times New Roman"/>
          <w:lang w:val="en-US" w:eastAsia="zh-CN"/>
        </w:rPr>
        <w:t>surufatinib</w:t>
      </w:r>
      <w:proofErr w:type="spellEnd"/>
      <w:r w:rsidRPr="00AF1F77">
        <w:rPr>
          <w:rFonts w:eastAsia="Times New Roman" w:cs="Times New Roman"/>
          <w:lang w:val="en-US" w:eastAsia="zh-CN"/>
        </w:rPr>
        <w:t xml:space="preserve">, blood pressure should be monitored to prevent hypotension. Please refer to hypertension treatment guidelines, and consult a cardiologist when necessary. The goal of antihypertensive treatment is to control blood pressure within the range of 140/90 mmHg; however, for high-risk populations, such as patients with chronic kidney disease, diabetes mellitus, or those who develop proteinuria after treatment, it is recommended to control blood pressure within the range of 130/80 mmHg. </w:t>
      </w:r>
    </w:p>
    <w:p w14:paraId="41B7EDC1" w14:textId="77777777" w:rsidR="00DE4AFD" w:rsidRPr="00AF1F77" w:rsidRDefault="004A4F56" w:rsidP="0069237C">
      <w:pPr>
        <w:pStyle w:val="HR"/>
        <w:spacing w:after="0"/>
        <w:ind w:firstLineChars="0" w:firstLine="0"/>
        <w:jc w:val="both"/>
        <w:rPr>
          <w:rFonts w:cs="Times New Roman"/>
          <w:b/>
          <w:bCs/>
          <w:lang w:val="en-US" w:eastAsia="zh-CN"/>
        </w:rPr>
      </w:pPr>
      <w:r w:rsidRPr="00AF1F77">
        <w:rPr>
          <w:rFonts w:eastAsia="Times New Roman" w:cs="Times New Roman"/>
          <w:b/>
          <w:bCs/>
          <w:lang w:val="en-US" w:eastAsia="zh-CN"/>
        </w:rPr>
        <w:t>Proteinuria</w:t>
      </w:r>
    </w:p>
    <w:p w14:paraId="4828E971" w14:textId="77777777" w:rsidR="00DE4AFD" w:rsidRPr="00AF1F77" w:rsidRDefault="004A4F56" w:rsidP="0069237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Proteinuria is one of the common adverse reactions during </w:t>
      </w:r>
      <w:proofErr w:type="spellStart"/>
      <w:r w:rsidRPr="00AF1F77">
        <w:rPr>
          <w:rFonts w:eastAsia="Times New Roman" w:cs="Times New Roman"/>
          <w:lang w:val="en-US" w:eastAsia="zh-CN"/>
        </w:rPr>
        <w:t>surufatinib</w:t>
      </w:r>
      <w:proofErr w:type="spellEnd"/>
      <w:r w:rsidRPr="00AF1F77">
        <w:rPr>
          <w:rFonts w:eastAsia="Times New Roman" w:cs="Times New Roman"/>
          <w:lang w:val="en-US" w:eastAsia="zh-CN"/>
        </w:rPr>
        <w:t xml:space="preserve"> treatment. Most of proteinuria are Grade 1-2, with a few reaching Grade 3. In the phase I clinical study of </w:t>
      </w:r>
      <w:proofErr w:type="spellStart"/>
      <w:r w:rsidRPr="00AF1F77">
        <w:rPr>
          <w:rFonts w:eastAsia="Times New Roman" w:cs="Times New Roman"/>
          <w:lang w:val="en-US" w:eastAsia="zh-CN"/>
        </w:rPr>
        <w:t>surufatinib</w:t>
      </w:r>
      <w:proofErr w:type="spellEnd"/>
      <w:r w:rsidRPr="00AF1F77">
        <w:rPr>
          <w:rFonts w:eastAsia="Times New Roman" w:cs="Times New Roman"/>
          <w:lang w:val="en-US" w:eastAsia="zh-CN"/>
        </w:rPr>
        <w:t xml:space="preserve">, a small number of patients paused medication or discontinued treatment due to proteinuria. If a patient's urinalysis during treatment detects protein urine 2+, please collect a 24-hour urine, manage according to local standard medical practice based on the test results, and reduce the dose or stop the drug if necessary. </w:t>
      </w:r>
    </w:p>
    <w:p w14:paraId="64907634" w14:textId="77777777" w:rsidR="00DE4AFD" w:rsidRPr="00AF1F77" w:rsidRDefault="004A4F56" w:rsidP="0069237C">
      <w:pPr>
        <w:pStyle w:val="HR"/>
        <w:spacing w:after="0"/>
        <w:ind w:firstLineChars="0" w:firstLine="0"/>
        <w:jc w:val="both"/>
        <w:rPr>
          <w:rFonts w:cs="Times New Roman"/>
          <w:b/>
          <w:bCs/>
          <w:lang w:val="en-US" w:eastAsia="zh-CN"/>
        </w:rPr>
      </w:pPr>
      <w:r w:rsidRPr="00AF1F77">
        <w:rPr>
          <w:rFonts w:eastAsia="Times New Roman" w:cs="Times New Roman"/>
          <w:b/>
          <w:bCs/>
          <w:lang w:val="en-US" w:eastAsia="zh-CN"/>
        </w:rPr>
        <w:t>Gastrointestinal Symptoms</w:t>
      </w:r>
    </w:p>
    <w:p w14:paraId="1513A726" w14:textId="77777777" w:rsidR="00DE4AFD" w:rsidRPr="00AF1F77" w:rsidRDefault="004A4F56" w:rsidP="0069237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Common gastrointestinal symptoms during </w:t>
      </w:r>
      <w:proofErr w:type="spellStart"/>
      <w:r w:rsidRPr="00AF1F77">
        <w:rPr>
          <w:rFonts w:eastAsia="Times New Roman" w:cs="Times New Roman"/>
          <w:lang w:val="en-US" w:eastAsia="zh-CN"/>
        </w:rPr>
        <w:t>surufatinib</w:t>
      </w:r>
      <w:proofErr w:type="spellEnd"/>
      <w:r w:rsidRPr="00AF1F77">
        <w:rPr>
          <w:rFonts w:eastAsia="Times New Roman" w:cs="Times New Roman"/>
          <w:lang w:val="en-US" w:eastAsia="zh-CN"/>
        </w:rPr>
        <w:t xml:space="preserve"> treatment include </w:t>
      </w:r>
      <w:proofErr w:type="spellStart"/>
      <w:r w:rsidRPr="00AF1F77">
        <w:rPr>
          <w:rFonts w:eastAsia="Times New Roman" w:cs="Times New Roman"/>
          <w:lang w:val="en-US" w:eastAsia="zh-CN"/>
        </w:rPr>
        <w:t>diarrhoea</w:t>
      </w:r>
      <w:proofErr w:type="spellEnd"/>
      <w:r w:rsidRPr="00AF1F77">
        <w:rPr>
          <w:rFonts w:eastAsia="Times New Roman" w:cs="Times New Roman"/>
          <w:lang w:val="en-US" w:eastAsia="zh-CN"/>
        </w:rPr>
        <w:t xml:space="preserve">, nausea, or vomiting. </w:t>
      </w:r>
      <w:r w:rsidRPr="00AF1F77">
        <w:rPr>
          <w:rFonts w:eastAsia="Times New Roman" w:cs="Times New Roman"/>
          <w:color w:val="333333"/>
          <w:lang w:val="en-US" w:eastAsia="zh-CN"/>
        </w:rPr>
        <w:t xml:space="preserve">If a patient experiences </w:t>
      </w:r>
      <w:proofErr w:type="spellStart"/>
      <w:r w:rsidRPr="00AF1F77">
        <w:rPr>
          <w:rFonts w:eastAsia="Times New Roman" w:cs="Times New Roman"/>
          <w:color w:val="333333"/>
          <w:lang w:val="en-US" w:eastAsia="zh-CN"/>
        </w:rPr>
        <w:t>diarrhoea</w:t>
      </w:r>
      <w:proofErr w:type="spellEnd"/>
      <w:r w:rsidRPr="00AF1F77">
        <w:rPr>
          <w:rFonts w:eastAsia="Times New Roman" w:cs="Times New Roman"/>
          <w:color w:val="333333"/>
          <w:lang w:val="en-US" w:eastAsia="zh-CN"/>
        </w:rPr>
        <w:t xml:space="preserve">, nausea, vomiting, symptomatic treatment with drugs may be given according to local medical practice, and blood electrolyte levels (e.g., 1-2 times a week) should be closely monitored, and fluid replacement supportive treatment should be given promptly. After appropriate treatment, the </w:t>
      </w:r>
      <w:r w:rsidRPr="00AF1F77">
        <w:rPr>
          <w:rFonts w:eastAsia="Times New Roman" w:cs="Times New Roman"/>
          <w:lang w:val="en-US" w:eastAsia="zh-CN"/>
        </w:rPr>
        <w:t>investigational product</w:t>
      </w:r>
      <w:r w:rsidRPr="00AF1F77">
        <w:rPr>
          <w:rFonts w:eastAsia="Times New Roman" w:cs="Times New Roman"/>
          <w:color w:val="333333"/>
          <w:lang w:val="en-US" w:eastAsia="zh-CN"/>
        </w:rPr>
        <w:t xml:space="preserve"> may be interrupted </w:t>
      </w:r>
      <w:r w:rsidRPr="00AF1F77">
        <w:rPr>
          <w:rFonts w:eastAsia="Times New Roman" w:cs="Times New Roman"/>
          <w:color w:val="333333"/>
          <w:lang w:val="en-US" w:eastAsia="zh-CN"/>
        </w:rPr>
        <w:lastRenderedPageBreak/>
        <w:t xml:space="preserve">if </w:t>
      </w:r>
      <w:proofErr w:type="spellStart"/>
      <w:r w:rsidRPr="00AF1F77">
        <w:rPr>
          <w:rFonts w:eastAsia="Times New Roman" w:cs="Times New Roman"/>
          <w:color w:val="333333"/>
          <w:lang w:val="en-US" w:eastAsia="zh-CN"/>
        </w:rPr>
        <w:t>diarrhoea</w:t>
      </w:r>
      <w:proofErr w:type="spellEnd"/>
      <w:r w:rsidRPr="00AF1F77">
        <w:rPr>
          <w:rFonts w:eastAsia="Times New Roman" w:cs="Times New Roman"/>
          <w:color w:val="333333"/>
          <w:lang w:val="en-US" w:eastAsia="zh-CN"/>
        </w:rPr>
        <w:t>, nausea and vomiting are still intolerable.</w:t>
      </w:r>
      <w:r w:rsidRPr="00AF1F77">
        <w:rPr>
          <w:rFonts w:eastAsia="Times New Roman" w:cs="Times New Roman"/>
          <w:lang w:val="en-US" w:eastAsia="zh-CN"/>
        </w:rPr>
        <w:t xml:space="preserve"> </w:t>
      </w:r>
      <w:r w:rsidRPr="00AF1F77">
        <w:rPr>
          <w:rFonts w:eastAsia="Times New Roman" w:cs="Times New Roman"/>
          <w:color w:val="333333"/>
          <w:lang w:val="en-US" w:eastAsia="zh-CN"/>
        </w:rPr>
        <w:t xml:space="preserve">Prophylactic symptomatic treatment may be considered in patients with a clear predisposition to </w:t>
      </w:r>
      <w:proofErr w:type="spellStart"/>
      <w:r w:rsidRPr="00AF1F77">
        <w:rPr>
          <w:rFonts w:eastAsia="Times New Roman" w:cs="Times New Roman"/>
          <w:color w:val="333333"/>
          <w:lang w:val="en-US" w:eastAsia="zh-CN"/>
        </w:rPr>
        <w:t>diarrhoea</w:t>
      </w:r>
      <w:proofErr w:type="spellEnd"/>
      <w:r w:rsidRPr="00AF1F77">
        <w:rPr>
          <w:rFonts w:eastAsia="Times New Roman" w:cs="Times New Roman"/>
          <w:color w:val="333333"/>
          <w:lang w:val="en-US" w:eastAsia="zh-CN"/>
        </w:rPr>
        <w:t xml:space="preserve">, nausea, and vomiting. </w:t>
      </w:r>
    </w:p>
    <w:p w14:paraId="2E0012C1" w14:textId="77777777" w:rsidR="00DE4AFD" w:rsidRPr="00AF1F77" w:rsidRDefault="004A4F56" w:rsidP="0069237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If the investigator judges that </w:t>
      </w:r>
      <w:proofErr w:type="spellStart"/>
      <w:r w:rsidRPr="00AF1F77">
        <w:rPr>
          <w:rFonts w:eastAsia="Times New Roman" w:cs="Times New Roman"/>
          <w:lang w:val="en-US" w:eastAsia="zh-CN"/>
        </w:rPr>
        <w:t>diarrhoea</w:t>
      </w:r>
      <w:proofErr w:type="spellEnd"/>
      <w:r w:rsidRPr="00AF1F77">
        <w:rPr>
          <w:rFonts w:eastAsia="Times New Roman" w:cs="Times New Roman"/>
          <w:lang w:val="en-US" w:eastAsia="zh-CN"/>
        </w:rPr>
        <w:t xml:space="preserve"> is related to the toxicity of the investigational product, antidiarrheal and intestinal flora regulating medications such as montmorillonite powder and loperamide can be administered; if it is judged that the </w:t>
      </w:r>
      <w:proofErr w:type="spellStart"/>
      <w:r w:rsidRPr="00AF1F77">
        <w:rPr>
          <w:rFonts w:eastAsia="Times New Roman" w:cs="Times New Roman"/>
          <w:lang w:val="en-US" w:eastAsia="zh-CN"/>
        </w:rPr>
        <w:t>diarrhoea</w:t>
      </w:r>
      <w:proofErr w:type="spellEnd"/>
      <w:r w:rsidRPr="00AF1F77">
        <w:rPr>
          <w:rFonts w:eastAsia="Times New Roman" w:cs="Times New Roman"/>
          <w:lang w:val="en-US" w:eastAsia="zh-CN"/>
        </w:rPr>
        <w:t xml:space="preserve"> is mainly caused by hormones secreted by the </w:t>
      </w:r>
      <w:r w:rsidRPr="00AF1F77">
        <w:rPr>
          <w:rFonts w:eastAsia="Times New Roman" w:cs="Times New Roman"/>
          <w:color w:val="000000"/>
          <w:lang w:val="en-US" w:eastAsia="zh-CN"/>
        </w:rPr>
        <w:t>tumor</w:t>
      </w:r>
      <w:r w:rsidRPr="00AF1F77">
        <w:rPr>
          <w:rFonts w:eastAsia="Times New Roman" w:cs="Times New Roman"/>
          <w:lang w:val="en-US" w:eastAsia="zh-CN"/>
        </w:rPr>
        <w:t xml:space="preserve">, short-acting octreotide acetate (0.1 mg every 8 hours, subcutaneous injection) can be given for symptomatic treatment. If control is poor, the use of long-acting somatostatin analogs (long-acting octreotide acetate 20 or 30 mg once every 28 days, intravenous injection, or </w:t>
      </w:r>
      <w:proofErr w:type="spellStart"/>
      <w:r w:rsidRPr="00AF1F77">
        <w:rPr>
          <w:rFonts w:eastAsia="Times New Roman" w:cs="Times New Roman"/>
          <w:lang w:val="en-US" w:eastAsia="zh-CN"/>
        </w:rPr>
        <w:t>lanreotide</w:t>
      </w:r>
      <w:proofErr w:type="spellEnd"/>
      <w:r w:rsidRPr="00AF1F77">
        <w:rPr>
          <w:rFonts w:eastAsia="Times New Roman" w:cs="Times New Roman"/>
          <w:lang w:val="en-US" w:eastAsia="zh-CN"/>
        </w:rPr>
        <w:t xml:space="preserve"> acetate for injection 40 mg once every 14 days, intravenous injection) can be considered for short-term symptomatic treatment. </w:t>
      </w:r>
    </w:p>
    <w:p w14:paraId="53DC478F" w14:textId="77777777" w:rsidR="00DE4AFD" w:rsidRPr="00AF1F77" w:rsidRDefault="004A4F56" w:rsidP="0069237C">
      <w:pPr>
        <w:pStyle w:val="HR"/>
        <w:spacing w:after="0"/>
        <w:ind w:firstLineChars="0" w:firstLine="0"/>
        <w:jc w:val="both"/>
        <w:rPr>
          <w:rFonts w:cs="Times New Roman"/>
          <w:b/>
          <w:bCs/>
          <w:lang w:val="en-US" w:eastAsia="zh-CN"/>
        </w:rPr>
      </w:pPr>
      <w:r w:rsidRPr="00AF1F77">
        <w:rPr>
          <w:rFonts w:eastAsia="Times New Roman" w:cs="Times New Roman"/>
          <w:b/>
          <w:bCs/>
          <w:lang w:val="en-US" w:eastAsia="zh-CN"/>
        </w:rPr>
        <w:t>Bone Marrow Suppression</w:t>
      </w:r>
    </w:p>
    <w:p w14:paraId="44B223CC" w14:textId="77777777" w:rsidR="00DE4AFD" w:rsidRPr="00AF1F77" w:rsidRDefault="004A4F56" w:rsidP="0069237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Common myelosuppression during </w:t>
      </w:r>
      <w:proofErr w:type="spellStart"/>
      <w:r w:rsidRPr="00AF1F77">
        <w:rPr>
          <w:rFonts w:eastAsia="Times New Roman" w:cs="Times New Roman"/>
          <w:lang w:val="en-US" w:eastAsia="zh-CN"/>
        </w:rPr>
        <w:t>surufatinib</w:t>
      </w:r>
      <w:proofErr w:type="spellEnd"/>
      <w:r w:rsidRPr="00AF1F77">
        <w:rPr>
          <w:rFonts w:eastAsia="Times New Roman" w:cs="Times New Roman"/>
          <w:lang w:val="en-US" w:eastAsia="zh-CN"/>
        </w:rPr>
        <w:t xml:space="preserve"> treatment include leukopenia, </w:t>
      </w:r>
      <w:proofErr w:type="spellStart"/>
      <w:r w:rsidRPr="00AF1F77">
        <w:rPr>
          <w:rFonts w:eastAsia="Times New Roman" w:cs="Times New Roman"/>
          <w:lang w:val="en-US" w:eastAsia="zh-CN"/>
        </w:rPr>
        <w:t>anaemia</w:t>
      </w:r>
      <w:proofErr w:type="spellEnd"/>
      <w:r w:rsidRPr="00AF1F77">
        <w:rPr>
          <w:rFonts w:eastAsia="Times New Roman" w:cs="Times New Roman"/>
          <w:lang w:val="en-US" w:eastAsia="zh-CN"/>
        </w:rPr>
        <w:t xml:space="preserve">, and thrombocytopenia. </w:t>
      </w:r>
      <w:r w:rsidRPr="00AF1F77">
        <w:rPr>
          <w:rFonts w:eastAsia="Times New Roman" w:cs="Times New Roman"/>
          <w:color w:val="333333"/>
          <w:lang w:val="en-US" w:eastAsia="zh-CN"/>
        </w:rPr>
        <w:t xml:space="preserve">Hematology and coagulation tests should be closely monitored, and patients should be noted for </w:t>
      </w:r>
      <w:r w:rsidRPr="00AF1F77">
        <w:rPr>
          <w:rFonts w:eastAsia="Times New Roman" w:cs="Times New Roman"/>
          <w:color w:val="000000"/>
          <w:lang w:val="en-US" w:eastAsia="zh-CN"/>
        </w:rPr>
        <w:t>hemorrhage</w:t>
      </w:r>
      <w:r w:rsidRPr="00AF1F77">
        <w:rPr>
          <w:rFonts w:eastAsia="Times New Roman" w:cs="Times New Roman"/>
          <w:color w:val="333333"/>
          <w:lang w:val="en-US" w:eastAsia="zh-CN"/>
        </w:rPr>
        <w:t xml:space="preserve"> symptoms. </w:t>
      </w:r>
      <w:r w:rsidRPr="00AF1F77">
        <w:rPr>
          <w:rFonts w:eastAsia="Times New Roman" w:cs="Times New Roman"/>
          <w:lang w:val="en-US" w:eastAsia="zh-CN"/>
        </w:rPr>
        <w:t xml:space="preserve">Leukopenia, </w:t>
      </w:r>
      <w:proofErr w:type="spellStart"/>
      <w:r w:rsidRPr="00AF1F77">
        <w:rPr>
          <w:rFonts w:eastAsia="Times New Roman" w:cs="Times New Roman"/>
          <w:lang w:val="en-US" w:eastAsia="zh-CN"/>
        </w:rPr>
        <w:t>anaemia</w:t>
      </w:r>
      <w:proofErr w:type="spellEnd"/>
      <w:r w:rsidRPr="00AF1F77">
        <w:rPr>
          <w:rFonts w:eastAsia="Times New Roman" w:cs="Times New Roman"/>
          <w:lang w:val="en-US" w:eastAsia="zh-CN"/>
        </w:rPr>
        <w:t xml:space="preserve">, and thrombocytopenia are mostly Grade 1-2. If the patient experiences events of Grade 3 or above, </w:t>
      </w:r>
      <w:r w:rsidRPr="00AF1F77">
        <w:rPr>
          <w:rFonts w:eastAsia="Times New Roman" w:cs="Times New Roman"/>
          <w:color w:val="333333"/>
          <w:lang w:val="en-US" w:eastAsia="zh-CN"/>
        </w:rPr>
        <w:t>discontinuation may be considered on a case-by-case basis, hematology may be repeated every 2-3 days or daily, and transfusion or platelet transfusion may be given if necessary.</w:t>
      </w:r>
      <w:r w:rsidRPr="00AF1F77">
        <w:rPr>
          <w:rFonts w:eastAsia="Times New Roman" w:cs="Times New Roman"/>
          <w:lang w:val="en-US" w:eastAsia="zh-CN"/>
        </w:rPr>
        <w:t xml:space="preserve"> </w:t>
      </w:r>
    </w:p>
    <w:p w14:paraId="011423B4" w14:textId="77777777" w:rsidR="00DE4AFD" w:rsidRPr="00AF1F77" w:rsidRDefault="004A4F56" w:rsidP="0069237C">
      <w:pPr>
        <w:pStyle w:val="HR"/>
        <w:spacing w:after="0"/>
        <w:ind w:firstLineChars="0" w:firstLine="0"/>
        <w:jc w:val="both"/>
        <w:rPr>
          <w:rFonts w:cs="Times New Roman"/>
          <w:b/>
          <w:bCs/>
          <w:lang w:val="en-US" w:eastAsia="zh-CN"/>
        </w:rPr>
      </w:pPr>
      <w:r w:rsidRPr="00AF1F77">
        <w:rPr>
          <w:rFonts w:eastAsia="Times New Roman" w:cs="Times New Roman"/>
          <w:b/>
          <w:bCs/>
          <w:lang w:val="en-US" w:eastAsia="zh-CN"/>
        </w:rPr>
        <w:t>Hemorrhage</w:t>
      </w:r>
    </w:p>
    <w:p w14:paraId="7CAA54A7" w14:textId="77777777" w:rsidR="00DE4AFD" w:rsidRPr="00AF1F77" w:rsidRDefault="004A4F56" w:rsidP="0069237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Hemorrhage is one of the common adverse reactions during </w:t>
      </w:r>
      <w:proofErr w:type="spellStart"/>
      <w:r w:rsidRPr="00AF1F77">
        <w:rPr>
          <w:rFonts w:eastAsia="Times New Roman" w:cs="Times New Roman"/>
          <w:lang w:val="en-US" w:eastAsia="zh-CN"/>
        </w:rPr>
        <w:t>surufatinib</w:t>
      </w:r>
      <w:proofErr w:type="spellEnd"/>
      <w:r w:rsidRPr="00AF1F77">
        <w:rPr>
          <w:rFonts w:eastAsia="Times New Roman" w:cs="Times New Roman"/>
          <w:lang w:val="en-US" w:eastAsia="zh-CN"/>
        </w:rPr>
        <w:t xml:space="preserve"> treatment, mostly Grade 1-2. If the hemorrhage event is assessed as Grade 2, medication needs to be </w:t>
      </w:r>
      <w:r w:rsidRPr="00AF1F77">
        <w:rPr>
          <w:rFonts w:eastAsia="Times New Roman" w:cs="Times New Roman"/>
          <w:color w:val="333333"/>
          <w:lang w:val="en-US" w:eastAsia="zh-CN"/>
        </w:rPr>
        <w:t>interrupt</w:t>
      </w:r>
      <w:r w:rsidRPr="00AF1F77">
        <w:rPr>
          <w:rFonts w:eastAsia="Times New Roman" w:cs="Times New Roman"/>
          <w:lang w:val="en-US" w:eastAsia="zh-CN"/>
        </w:rPr>
        <w:t xml:space="preserve">ed; if it can recover to Grade 1 or below within 28 days, medication can be resumed at a reduced dose. If the hemorrhage event is assessed as severe (≥ Grade 3) or an SAE, </w:t>
      </w:r>
      <w:proofErr w:type="spellStart"/>
      <w:r w:rsidRPr="00AF1F77">
        <w:rPr>
          <w:rFonts w:eastAsia="Times New Roman" w:cs="Times New Roman"/>
          <w:lang w:val="en-US" w:eastAsia="zh-CN"/>
        </w:rPr>
        <w:t>surufatinib</w:t>
      </w:r>
      <w:proofErr w:type="spellEnd"/>
      <w:r w:rsidRPr="00AF1F77">
        <w:rPr>
          <w:rFonts w:eastAsia="Times New Roman" w:cs="Times New Roman"/>
          <w:lang w:val="en-US" w:eastAsia="zh-CN"/>
        </w:rPr>
        <w:t xml:space="preserve"> treatment should be stopped immediately, and appropriate treatment methods should be taken to control the hemorrhage (e.g., transfusion, radiotherapy, endoscopy, or selective surgical interventions). When the patient cannot tolerate invasive procedures or surgery, the best supportive care is provided. </w:t>
      </w:r>
    </w:p>
    <w:p w14:paraId="2D7E8793" w14:textId="77777777" w:rsidR="00DE4AFD" w:rsidRPr="00AF1F77" w:rsidRDefault="004A4F56" w:rsidP="0069237C">
      <w:pPr>
        <w:pStyle w:val="HR"/>
        <w:spacing w:after="0"/>
        <w:ind w:firstLineChars="0" w:firstLine="0"/>
        <w:jc w:val="both"/>
        <w:rPr>
          <w:rFonts w:cs="Times New Roman"/>
          <w:b/>
          <w:bCs/>
          <w:lang w:val="en-US" w:eastAsia="zh-CN"/>
        </w:rPr>
      </w:pPr>
      <w:r w:rsidRPr="00AF1F77">
        <w:rPr>
          <w:rFonts w:eastAsia="Times New Roman" w:cs="Times New Roman"/>
          <w:b/>
          <w:bCs/>
          <w:lang w:val="en-US" w:eastAsia="zh-CN"/>
        </w:rPr>
        <w:t>Hepatic Function Abnormal</w:t>
      </w:r>
    </w:p>
    <w:p w14:paraId="6A23EFFC" w14:textId="77777777" w:rsidR="00DE4AFD" w:rsidRPr="00AF1F77" w:rsidRDefault="004A4F56" w:rsidP="0069237C">
      <w:pPr>
        <w:pStyle w:val="HR"/>
        <w:spacing w:after="0"/>
        <w:ind w:firstLineChars="0" w:firstLine="0"/>
        <w:jc w:val="both"/>
        <w:rPr>
          <w:rFonts w:cs="Times New Roman"/>
          <w:lang w:val="en-US" w:eastAsia="zh-CN"/>
        </w:rPr>
      </w:pPr>
      <w:r w:rsidRPr="00AF1F77">
        <w:rPr>
          <w:rFonts w:eastAsia="Times New Roman" w:cs="Times New Roman"/>
          <w:lang w:val="en-US" w:eastAsia="zh-CN"/>
        </w:rPr>
        <w:lastRenderedPageBreak/>
        <w:t xml:space="preserve">Hepatic ALT, AST increased, and/or blood bilirubin increased have been observed, mostly Grade 1-2, with a few being Grade 3-4, and fatal Grade 5 liver injury events have been reported. In clinical study, liver function and skin color should be closely monitored. </w:t>
      </w:r>
      <w:r w:rsidRPr="00AF1F77">
        <w:rPr>
          <w:rFonts w:eastAsia="Times New Roman" w:cs="Times New Roman"/>
          <w:color w:val="333333"/>
          <w:lang w:val="en-US" w:eastAsia="zh-CN"/>
        </w:rPr>
        <w:t xml:space="preserve">Immediate discontinuation is required, supportive care is given, and other potential causes of liver injury are identified by examination. </w:t>
      </w:r>
      <w:r w:rsidRPr="00AF1F77">
        <w:rPr>
          <w:rFonts w:eastAsia="Times New Roman" w:cs="Times New Roman"/>
          <w:lang w:val="en-US" w:eastAsia="zh-CN"/>
        </w:rPr>
        <w:t xml:space="preserve">Hepatic function abnormal conditions that should be reported immediately to the sponsor include: 1. Subjects with normal liver function at baseline (ALT, AST, and bilirubin all within normal ranges) who, in the same blood sample collection, have AST and/or ALT increased ≥3×ULN combined with total serum bilirubin increased ≥2×ULN. 2. Subjects with transaminases or total bilirubin increased at baseline who, in the same blood sample collection, have AST and/or ALT increased ≥2 times the baseline value combined with total serum bilirubin increased ≥2 times the baseline value. </w:t>
      </w:r>
    </w:p>
    <w:p w14:paraId="7FBA91BA" w14:textId="77777777" w:rsidR="00DE4AFD" w:rsidRPr="00AF1F77" w:rsidRDefault="004A4F56" w:rsidP="0069237C">
      <w:pPr>
        <w:pStyle w:val="HR"/>
        <w:spacing w:after="0"/>
        <w:ind w:firstLineChars="0" w:firstLine="0"/>
        <w:jc w:val="both"/>
        <w:rPr>
          <w:rFonts w:cs="Times New Roman"/>
          <w:b/>
          <w:bCs/>
          <w:lang w:val="en-US" w:eastAsia="zh-CN"/>
        </w:rPr>
      </w:pPr>
      <w:r w:rsidRPr="00AF1F77">
        <w:rPr>
          <w:rFonts w:eastAsia="Times New Roman" w:cs="Times New Roman"/>
          <w:b/>
          <w:bCs/>
          <w:lang w:val="en-US" w:eastAsia="zh-CN"/>
        </w:rPr>
        <w:t>Acute Kidney Injury</w:t>
      </w:r>
    </w:p>
    <w:p w14:paraId="33757E16" w14:textId="77777777" w:rsidR="00DE4AFD" w:rsidRPr="00AF1F77" w:rsidRDefault="004A4F56" w:rsidP="0069237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It includes acute kidney injury, acute renal failure, renal injury, blood urea increased, and blood creatinine increased, etc. Most acute kidney injury events are Grade 1-2, with a few being Grade 3-4. When patients experience decreased urine output, a 24-hour urine volume should be collected. After temporarily </w:t>
      </w:r>
      <w:r w:rsidRPr="00AF1F77">
        <w:rPr>
          <w:rFonts w:eastAsia="Times New Roman" w:cs="Times New Roman"/>
          <w:color w:val="333333"/>
          <w:lang w:val="en-US" w:eastAsia="zh-CN"/>
        </w:rPr>
        <w:t>interrupt</w:t>
      </w:r>
      <w:r w:rsidRPr="00AF1F77">
        <w:rPr>
          <w:rFonts w:eastAsia="Times New Roman" w:cs="Times New Roman"/>
          <w:lang w:val="en-US" w:eastAsia="zh-CN"/>
        </w:rPr>
        <w:t xml:space="preserve">ing medication, if recovery to Grade 1 occurs within 28 days, study treatment is re-started at a reduced dose level. If recovery takes more than 28 days, it is generally necessary to discontinue study treatment. If patients develop hypertension before or during acute kidney injury, blood pressure should be controlled according to hypertension management measures. </w:t>
      </w:r>
    </w:p>
    <w:p w14:paraId="3D72F306" w14:textId="77777777" w:rsidR="00DE4AFD" w:rsidRPr="00AF1F77" w:rsidRDefault="004A4F56" w:rsidP="0069237C">
      <w:pPr>
        <w:pStyle w:val="HR"/>
        <w:spacing w:after="0"/>
        <w:ind w:firstLineChars="0" w:firstLine="0"/>
        <w:jc w:val="both"/>
        <w:rPr>
          <w:rFonts w:cs="Times New Roman"/>
          <w:b/>
          <w:bCs/>
          <w:lang w:val="en-US" w:eastAsia="zh-CN"/>
        </w:rPr>
      </w:pPr>
      <w:r w:rsidRPr="00AF1F77">
        <w:rPr>
          <w:rFonts w:eastAsia="Times New Roman" w:cs="Times New Roman"/>
          <w:b/>
          <w:bCs/>
          <w:lang w:val="en-US" w:eastAsia="zh-CN"/>
        </w:rPr>
        <w:t>Other Important Potential Risks</w:t>
      </w:r>
    </w:p>
    <w:p w14:paraId="7DE20FA2" w14:textId="77777777" w:rsidR="00DE4AFD" w:rsidRPr="00AF1F77" w:rsidRDefault="004A4F56" w:rsidP="0069237C">
      <w:pPr>
        <w:pStyle w:val="HR"/>
        <w:spacing w:after="0"/>
        <w:ind w:firstLineChars="0" w:firstLine="0"/>
        <w:jc w:val="both"/>
        <w:rPr>
          <w:rFonts w:cs="Times New Roman"/>
          <w:kern w:val="0"/>
          <w:lang w:val="en-US"/>
        </w:rPr>
      </w:pPr>
      <w:r w:rsidRPr="00AF1F77">
        <w:rPr>
          <w:rFonts w:eastAsia="Times New Roman" w:cs="Times New Roman"/>
          <w:lang w:val="en-US" w:eastAsia="zh-CN"/>
        </w:rPr>
        <w:t xml:space="preserve">Some important potential risks have been observed from AE and laboratory abnormality data in preclinical studies or ongoing clinical studies: including infection, intestinal obstruction, gastrointestinal perforation, myocardial </w:t>
      </w:r>
      <w:proofErr w:type="spellStart"/>
      <w:r w:rsidRPr="00AF1F77">
        <w:rPr>
          <w:rFonts w:eastAsia="Times New Roman" w:cs="Times New Roman"/>
          <w:lang w:val="en-US" w:eastAsia="zh-CN"/>
        </w:rPr>
        <w:t>ischaemia</w:t>
      </w:r>
      <w:proofErr w:type="spellEnd"/>
      <w:r w:rsidRPr="00AF1F77">
        <w:rPr>
          <w:rFonts w:eastAsia="Times New Roman" w:cs="Times New Roman"/>
          <w:lang w:val="en-US" w:eastAsia="zh-CN"/>
        </w:rPr>
        <w:t xml:space="preserve">, cardiac failure, venous thromboembolism/arterial thromboembolism, and pancreatitis. It is recommended to closely monitor patients for signs of these risks and provide supportive treatment according to local clinical practice. </w:t>
      </w:r>
    </w:p>
    <w:p w14:paraId="647EAD9D" w14:textId="77777777" w:rsidR="00DE4AFD" w:rsidRPr="00AF1F77" w:rsidRDefault="004A4F56" w:rsidP="0069237C">
      <w:pPr>
        <w:pStyle w:val="HR"/>
        <w:spacing w:after="0"/>
        <w:ind w:firstLineChars="0" w:firstLine="0"/>
        <w:jc w:val="both"/>
        <w:rPr>
          <w:rFonts w:cs="Times New Roman"/>
          <w:lang w:val="en-US" w:eastAsia="zh-CN"/>
        </w:rPr>
      </w:pPr>
      <w:r w:rsidRPr="00AF1F77">
        <w:rPr>
          <w:rFonts w:eastAsia="Times New Roman" w:cs="Times New Roman"/>
          <w:lang w:val="en-US" w:eastAsia="zh-CN"/>
        </w:rPr>
        <w:lastRenderedPageBreak/>
        <w:t xml:space="preserve">In previous pancreatic carcinoma patients, the incidence of common toxic reactions during monotherapy with S-1 is as follows: leukopenia 32.2%, neutropenia 27.1%, </w:t>
      </w:r>
      <w:proofErr w:type="spellStart"/>
      <w:r w:rsidRPr="00AF1F77">
        <w:rPr>
          <w:rFonts w:eastAsia="Times New Roman" w:cs="Times New Roman"/>
          <w:lang w:val="en-US" w:eastAsia="zh-CN"/>
        </w:rPr>
        <w:t>haemoglobin</w:t>
      </w:r>
      <w:proofErr w:type="spellEnd"/>
      <w:r w:rsidRPr="00AF1F77">
        <w:rPr>
          <w:rFonts w:eastAsia="Times New Roman" w:cs="Times New Roman"/>
          <w:lang w:val="en-US" w:eastAsia="zh-CN"/>
        </w:rPr>
        <w:t xml:space="preserve"> decreased 50.8%, thrombocytopenia 33.9%, decreased appetite 61%, nausea 55.9%, pigmentation 39%, stomatitis 25.4%, vomiting 35.6%, AST increased 18.6%, and ALT increased 16.9%. Severe myelosuppression may occur such as pancytopenia, granulocytopenia (symptoms: pyrexia, sore throat, and general discomfort), leukopenia, </w:t>
      </w:r>
      <w:proofErr w:type="spellStart"/>
      <w:r w:rsidRPr="00AF1F77">
        <w:rPr>
          <w:rFonts w:eastAsia="Times New Roman" w:cs="Times New Roman"/>
          <w:lang w:val="en-US" w:eastAsia="zh-CN"/>
        </w:rPr>
        <w:t>anaemia</w:t>
      </w:r>
      <w:proofErr w:type="spellEnd"/>
      <w:r w:rsidRPr="00AF1F77">
        <w:rPr>
          <w:rFonts w:eastAsia="Times New Roman" w:cs="Times New Roman"/>
          <w:lang w:val="en-US" w:eastAsia="zh-CN"/>
        </w:rPr>
        <w:t xml:space="preserve">, and thrombocytopenia (incidence as above), and </w:t>
      </w:r>
      <w:proofErr w:type="spellStart"/>
      <w:r w:rsidRPr="00AF1F77">
        <w:rPr>
          <w:rFonts w:eastAsia="Times New Roman" w:cs="Times New Roman"/>
          <w:lang w:val="en-US" w:eastAsia="zh-CN"/>
        </w:rPr>
        <w:t>haemolytic</w:t>
      </w:r>
      <w:proofErr w:type="spellEnd"/>
      <w:r w:rsidRPr="00AF1F77">
        <w:rPr>
          <w:rFonts w:eastAsia="Times New Roman" w:cs="Times New Roman"/>
          <w:lang w:val="en-US" w:eastAsia="zh-CN"/>
        </w:rPr>
        <w:t xml:space="preserve"> </w:t>
      </w:r>
      <w:proofErr w:type="spellStart"/>
      <w:r w:rsidRPr="00AF1F77">
        <w:rPr>
          <w:rFonts w:eastAsia="Times New Roman" w:cs="Times New Roman"/>
          <w:lang w:val="en-US" w:eastAsia="zh-CN"/>
        </w:rPr>
        <w:t>anaemia</w:t>
      </w:r>
      <w:proofErr w:type="spellEnd"/>
      <w:r w:rsidRPr="00AF1F77">
        <w:rPr>
          <w:rFonts w:eastAsia="Times New Roman" w:cs="Times New Roman"/>
          <w:lang w:val="en-US" w:eastAsia="zh-CN"/>
        </w:rPr>
        <w:t xml:space="preserve"> (incidence unknown). Severe hepatic function abnormalities like fulminant hepatitis (including those caused by reactivation of hepatitis B) may occur (incidence unknown); severe </w:t>
      </w:r>
      <w:proofErr w:type="spellStart"/>
      <w:r w:rsidRPr="00AF1F77">
        <w:rPr>
          <w:rFonts w:eastAsia="Times New Roman" w:cs="Times New Roman"/>
          <w:lang w:val="en-US" w:eastAsia="zh-CN"/>
        </w:rPr>
        <w:t>diarrhoea</w:t>
      </w:r>
      <w:proofErr w:type="spellEnd"/>
      <w:r w:rsidRPr="00AF1F77">
        <w:rPr>
          <w:rFonts w:eastAsia="Times New Roman" w:cs="Times New Roman"/>
          <w:lang w:val="en-US" w:eastAsia="zh-CN"/>
        </w:rPr>
        <w:t xml:space="preserve"> may cause dehydration (incidence unknown); severe enteritis incidence is 0.5%; </w:t>
      </w:r>
      <w:proofErr w:type="spellStart"/>
      <w:r w:rsidRPr="00AF1F77">
        <w:rPr>
          <w:rFonts w:eastAsia="Times New Roman" w:cs="Times New Roman"/>
          <w:lang w:val="en-US" w:eastAsia="zh-CN"/>
        </w:rPr>
        <w:t>haemorrhagic</w:t>
      </w:r>
      <w:proofErr w:type="spellEnd"/>
      <w:r w:rsidRPr="00AF1F77">
        <w:rPr>
          <w:rFonts w:eastAsia="Times New Roman" w:cs="Times New Roman"/>
          <w:lang w:val="en-US" w:eastAsia="zh-CN"/>
        </w:rPr>
        <w:t xml:space="preserve"> enteritis, </w:t>
      </w:r>
      <w:proofErr w:type="spellStart"/>
      <w:r w:rsidRPr="00AF1F77">
        <w:rPr>
          <w:rFonts w:eastAsia="Times New Roman" w:cs="Times New Roman"/>
          <w:lang w:val="en-US" w:eastAsia="zh-CN"/>
        </w:rPr>
        <w:t>ischaemic</w:t>
      </w:r>
      <w:proofErr w:type="spellEnd"/>
      <w:r w:rsidRPr="00AF1F77">
        <w:rPr>
          <w:rFonts w:eastAsia="Times New Roman" w:cs="Times New Roman"/>
          <w:lang w:val="en-US" w:eastAsia="zh-CN"/>
        </w:rPr>
        <w:t xml:space="preserve"> enteritis, and enteritis </w:t>
      </w:r>
      <w:proofErr w:type="spellStart"/>
      <w:r w:rsidRPr="00AF1F77">
        <w:rPr>
          <w:rFonts w:eastAsia="Times New Roman" w:cs="Times New Roman"/>
          <w:lang w:val="en-US" w:eastAsia="zh-CN"/>
        </w:rPr>
        <w:t>necroticans</w:t>
      </w:r>
      <w:proofErr w:type="spellEnd"/>
      <w:r w:rsidRPr="00AF1F77">
        <w:rPr>
          <w:rFonts w:eastAsia="Times New Roman" w:cs="Times New Roman"/>
          <w:lang w:val="en-US" w:eastAsia="zh-CN"/>
        </w:rPr>
        <w:t xml:space="preserve"> may occur. The incidence of interstitial pneumonia is 0.3%; early symptoms include cough, shortness of breath, </w:t>
      </w:r>
      <w:proofErr w:type="spellStart"/>
      <w:r w:rsidRPr="00AF1F77">
        <w:rPr>
          <w:rFonts w:eastAsia="Times New Roman" w:cs="Times New Roman"/>
          <w:lang w:val="en-US" w:eastAsia="zh-CN"/>
        </w:rPr>
        <w:t>dyspnoea</w:t>
      </w:r>
      <w:proofErr w:type="spellEnd"/>
      <w:r w:rsidRPr="00AF1F77">
        <w:rPr>
          <w:rFonts w:eastAsia="Times New Roman" w:cs="Times New Roman"/>
          <w:lang w:val="en-US" w:eastAsia="zh-CN"/>
        </w:rPr>
        <w:t xml:space="preserve">, and pyrexia. Myocardial infarction, angina pectoris, arrhythmia (including ventricular tachycardia), and cardiac failure may occur (all with unknown incidence). In addition, serious stomatitis (incidence unknown), gastrointestinal ulcer (incidence 0.5%), gastrointestinal hemorrhage (incidence 0.3%), and gastrointestinal perforation (incidence unknown), etc. </w:t>
      </w:r>
      <w:r w:rsidRPr="00AF1F77">
        <w:rPr>
          <w:rFonts w:eastAsia="Times New Roman" w:cs="Times New Roman"/>
          <w:color w:val="333333"/>
          <w:lang w:val="en-US" w:eastAsia="zh-CN"/>
        </w:rPr>
        <w:t>may occur.</w:t>
      </w:r>
    </w:p>
    <w:p w14:paraId="6AD7524C" w14:textId="77777777" w:rsidR="00DE4AFD" w:rsidRPr="00AF1F77" w:rsidRDefault="004A4F56" w:rsidP="0069237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In previous clinical studies of gemcitabine, common adverse reactions include: neutropenia: Grade 3 19.3%, Grade 4 6%; mild to moderate myelosuppression, thrombocytopenia, </w:t>
      </w:r>
      <w:proofErr w:type="spellStart"/>
      <w:r w:rsidRPr="00AF1F77">
        <w:rPr>
          <w:rFonts w:eastAsia="Times New Roman" w:cs="Times New Roman"/>
          <w:lang w:val="en-US" w:eastAsia="zh-CN"/>
        </w:rPr>
        <w:t>anaemia</w:t>
      </w:r>
      <w:proofErr w:type="spellEnd"/>
      <w:r w:rsidRPr="00AF1F77">
        <w:rPr>
          <w:rFonts w:eastAsia="Times New Roman" w:cs="Times New Roman"/>
          <w:lang w:val="en-US" w:eastAsia="zh-CN"/>
        </w:rPr>
        <w:t xml:space="preserve">, febrile neutropenia, anorexia, headache, insomnia, somnolence, mild </w:t>
      </w:r>
      <w:proofErr w:type="spellStart"/>
      <w:r w:rsidRPr="00AF1F77">
        <w:rPr>
          <w:rFonts w:eastAsia="Times New Roman" w:cs="Times New Roman"/>
          <w:lang w:val="en-US" w:eastAsia="zh-CN"/>
        </w:rPr>
        <w:t>dyspnoea</w:t>
      </w:r>
      <w:proofErr w:type="spellEnd"/>
      <w:r w:rsidRPr="00AF1F77">
        <w:rPr>
          <w:rFonts w:eastAsia="Times New Roman" w:cs="Times New Roman"/>
          <w:lang w:val="en-US" w:eastAsia="zh-CN"/>
        </w:rPr>
        <w:t xml:space="preserve">, cough, dermatitis, vomiting, </w:t>
      </w:r>
      <w:proofErr w:type="spellStart"/>
      <w:r w:rsidRPr="00AF1F77">
        <w:rPr>
          <w:rFonts w:eastAsia="Times New Roman" w:cs="Times New Roman"/>
          <w:lang w:val="en-US" w:eastAsia="zh-CN"/>
        </w:rPr>
        <w:t>diarrhoea</w:t>
      </w:r>
      <w:proofErr w:type="spellEnd"/>
      <w:r w:rsidRPr="00AF1F77">
        <w:rPr>
          <w:rFonts w:eastAsia="Times New Roman" w:cs="Times New Roman"/>
          <w:lang w:val="en-US" w:eastAsia="zh-CN"/>
        </w:rPr>
        <w:t xml:space="preserve">, nausea, stomatitis, constipation, AST and ALT increased, alkaline phosphatase increased, skin pruritus, mild proteinuria, and fatigue. </w:t>
      </w:r>
    </w:p>
    <w:p w14:paraId="617D2DE3" w14:textId="77777777" w:rsidR="00DE4AFD" w:rsidRPr="00AF1F77" w:rsidRDefault="004A4F56" w:rsidP="0069237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The most common adverse reactions (≥20%) of nab-paclitaxel in adenocarcinoma pancreas are neutropenia, fatigue, peripheral neuropathy, nausea, alopecia, peripheral oedema, </w:t>
      </w:r>
      <w:proofErr w:type="spellStart"/>
      <w:r w:rsidRPr="00AF1F77">
        <w:rPr>
          <w:rFonts w:eastAsia="Times New Roman" w:cs="Times New Roman"/>
          <w:lang w:val="en-US" w:eastAsia="zh-CN"/>
        </w:rPr>
        <w:t>diarrhoea</w:t>
      </w:r>
      <w:proofErr w:type="spellEnd"/>
      <w:r w:rsidRPr="00AF1F77">
        <w:rPr>
          <w:rFonts w:eastAsia="Times New Roman" w:cs="Times New Roman"/>
          <w:lang w:val="en-US" w:eastAsia="zh-CN"/>
        </w:rPr>
        <w:t xml:space="preserve">, pyrexia, vomiting, decreased appetite, rash, and dehydration. </w:t>
      </w:r>
    </w:p>
    <w:p w14:paraId="1A56361C" w14:textId="77777777" w:rsidR="00DE4AFD" w:rsidRPr="00AF1F77" w:rsidRDefault="004A4F56" w:rsidP="0069237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AEs related to immunotherapy are usually temporary but can occasionally be severe or fatal. The most common and significant immunotherapy-related AEs are dermatosis, </w:t>
      </w:r>
      <w:proofErr w:type="spellStart"/>
      <w:r w:rsidRPr="00AF1F77">
        <w:rPr>
          <w:rFonts w:eastAsia="Times New Roman" w:cs="Times New Roman"/>
          <w:lang w:val="en-US" w:eastAsia="zh-CN"/>
        </w:rPr>
        <w:t>diarrhoea</w:t>
      </w:r>
      <w:proofErr w:type="spellEnd"/>
      <w:r w:rsidRPr="00AF1F77">
        <w:rPr>
          <w:rFonts w:eastAsia="Times New Roman" w:cs="Times New Roman"/>
          <w:lang w:val="en-US" w:eastAsia="zh-CN"/>
        </w:rPr>
        <w:t xml:space="preserve">/colitis, hepatotoxicity, and endocrine diseases, but other organs may also be affected. In previous monotherapy studies of </w:t>
      </w:r>
      <w:proofErr w:type="spellStart"/>
      <w:r w:rsidRPr="00AF1F77">
        <w:rPr>
          <w:rFonts w:eastAsia="Times New Roman" w:cs="Times New Roman"/>
          <w:lang w:val="en-US" w:eastAsia="zh-CN"/>
        </w:rPr>
        <w:t>camrelizumab</w:t>
      </w:r>
      <w:proofErr w:type="spellEnd"/>
      <w:r w:rsidRPr="00AF1F77">
        <w:rPr>
          <w:rFonts w:eastAsia="Times New Roman" w:cs="Times New Roman"/>
          <w:lang w:val="en-US" w:eastAsia="zh-CN"/>
        </w:rPr>
        <w:t xml:space="preserve"> in other cancer types, the majority of </w:t>
      </w:r>
      <w:r w:rsidRPr="00AF1F77">
        <w:rPr>
          <w:rFonts w:eastAsia="Times New Roman" w:cs="Times New Roman"/>
          <w:lang w:val="en-US" w:eastAsia="zh-CN"/>
        </w:rPr>
        <w:lastRenderedPageBreak/>
        <w:t xml:space="preserve">reported adverse reactions are Grade 1 or 2 in severity. The most common ≥ Grade 3 adverse reactions are: </w:t>
      </w:r>
      <w:proofErr w:type="spellStart"/>
      <w:r w:rsidRPr="00AF1F77">
        <w:rPr>
          <w:rFonts w:eastAsia="Times New Roman" w:cs="Times New Roman"/>
          <w:lang w:val="en-US" w:eastAsia="zh-CN"/>
        </w:rPr>
        <w:t>anaemia</w:t>
      </w:r>
      <w:proofErr w:type="spellEnd"/>
      <w:r w:rsidRPr="00AF1F77">
        <w:rPr>
          <w:rFonts w:eastAsia="Times New Roman" w:cs="Times New Roman"/>
          <w:lang w:val="en-US" w:eastAsia="zh-CN"/>
        </w:rPr>
        <w:t xml:space="preserve"> (3.9%), </w:t>
      </w:r>
      <w:proofErr w:type="spellStart"/>
      <w:r w:rsidRPr="00AF1F77">
        <w:rPr>
          <w:rFonts w:eastAsia="Times New Roman" w:cs="Times New Roman"/>
          <w:lang w:val="en-US" w:eastAsia="zh-CN"/>
        </w:rPr>
        <w:t>hyponatraemia</w:t>
      </w:r>
      <w:proofErr w:type="spellEnd"/>
      <w:r w:rsidRPr="00AF1F77">
        <w:rPr>
          <w:rFonts w:eastAsia="Times New Roman" w:cs="Times New Roman"/>
          <w:lang w:val="en-US" w:eastAsia="zh-CN"/>
        </w:rPr>
        <w:t xml:space="preserve"> (3.1%), blood bilirubin increased (3.0%), gamma-</w:t>
      </w:r>
      <w:proofErr w:type="spellStart"/>
      <w:r w:rsidRPr="00AF1F77">
        <w:rPr>
          <w:rFonts w:eastAsia="Times New Roman" w:cs="Times New Roman"/>
          <w:lang w:val="en-US" w:eastAsia="zh-CN"/>
        </w:rPr>
        <w:t>glutamyltransferase</w:t>
      </w:r>
      <w:proofErr w:type="spellEnd"/>
      <w:r w:rsidRPr="00AF1F77">
        <w:rPr>
          <w:rFonts w:eastAsia="Times New Roman" w:cs="Times New Roman"/>
          <w:lang w:val="en-US" w:eastAsia="zh-CN"/>
        </w:rPr>
        <w:t xml:space="preserve"> increased (2.4%), and aspartate aminotransferase increased (2.2%). </w:t>
      </w:r>
    </w:p>
    <w:p w14:paraId="78667F13" w14:textId="77777777" w:rsidR="00DE4AFD" w:rsidRPr="00303844" w:rsidRDefault="004A4F56" w:rsidP="000C622D">
      <w:pPr>
        <w:pStyle w:val="21"/>
        <w:spacing w:before="0" w:after="0" w:line="360" w:lineRule="auto"/>
        <w:rPr>
          <w:rStyle w:val="Instructions"/>
          <w:rFonts w:eastAsia="宋体" w:cs="Times New Roman"/>
          <w:i w:val="0"/>
          <w:iCs w:val="0"/>
          <w:color w:val="auto"/>
        </w:rPr>
      </w:pPr>
      <w:bookmarkStart w:id="62" w:name="_Toc184889630"/>
      <w:bookmarkStart w:id="63" w:name="_Toc467057262"/>
      <w:bookmarkStart w:id="64" w:name="_Ref461110671"/>
      <w:r w:rsidRPr="00303844">
        <w:rPr>
          <w:rFonts w:eastAsia="Times New Roman" w:cs="Times New Roman"/>
        </w:rPr>
        <w:t>Dose Adjustment</w:t>
      </w:r>
      <w:bookmarkEnd w:id="62"/>
    </w:p>
    <w:p w14:paraId="0F25F0DE" w14:textId="77777777" w:rsidR="00DE4AFD" w:rsidRPr="00303844" w:rsidRDefault="004A4F56" w:rsidP="000C622D">
      <w:pPr>
        <w:pStyle w:val="30"/>
        <w:spacing w:before="0" w:after="0" w:line="360" w:lineRule="auto"/>
        <w:rPr>
          <w:rFonts w:cs="Times New Roman"/>
        </w:rPr>
      </w:pPr>
      <w:bookmarkStart w:id="65" w:name="_Toc184889631"/>
      <w:bookmarkStart w:id="66" w:name="_Hlk61200227"/>
      <w:r w:rsidRPr="00303844">
        <w:rPr>
          <w:rFonts w:eastAsia="Times New Roman" w:cs="Times New Roman"/>
        </w:rPr>
        <w:t>Principles of Dose Adjustment</w:t>
      </w:r>
      <w:bookmarkEnd w:id="65"/>
    </w:p>
    <w:bookmarkEnd w:id="66"/>
    <w:p w14:paraId="3D963CF4" w14:textId="77777777" w:rsidR="00DE4AFD" w:rsidRPr="00AF1F77" w:rsidRDefault="004A4F56" w:rsidP="0069237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Adverse drug reactions experienced by patients during the trial will be graded according to NCI CTCAE version 5.0. For subjects in the </w:t>
      </w:r>
      <w:proofErr w:type="spellStart"/>
      <w:r w:rsidRPr="00AF1F77">
        <w:rPr>
          <w:rFonts w:eastAsia="Times New Roman" w:cs="Times New Roman"/>
          <w:lang w:val="en-US" w:eastAsia="zh-CN"/>
        </w:rPr>
        <w:t>surufatinib</w:t>
      </w:r>
      <w:proofErr w:type="spellEnd"/>
      <w:r w:rsidRPr="00AF1F77">
        <w:rPr>
          <w:rFonts w:eastAsia="Times New Roman" w:cs="Times New Roman"/>
          <w:lang w:val="en-US" w:eastAsia="zh-CN"/>
        </w:rPr>
        <w:t xml:space="preserve"> treatment group, the dose should be adjusted according to the following rules:</w:t>
      </w:r>
    </w:p>
    <w:p w14:paraId="47AD4158" w14:textId="77777777" w:rsidR="00DE4AFD" w:rsidRPr="00303844" w:rsidRDefault="004A4F56" w:rsidP="000C622D">
      <w:pPr>
        <w:pStyle w:val="HR"/>
        <w:numPr>
          <w:ilvl w:val="0"/>
          <w:numId w:val="22"/>
        </w:numPr>
        <w:spacing w:after="0"/>
        <w:ind w:firstLineChars="0"/>
        <w:jc w:val="both"/>
        <w:rPr>
          <w:rFonts w:cs="Times New Roman"/>
          <w:lang w:val="en-US" w:eastAsia="zh-CN"/>
        </w:rPr>
      </w:pPr>
      <w:r w:rsidRPr="00303844">
        <w:rPr>
          <w:rFonts w:eastAsia="Times New Roman" w:cs="Times New Roman"/>
          <w:lang w:val="en-US" w:eastAsia="zh-CN"/>
        </w:rPr>
        <w:t xml:space="preserve">When intolerable adverse drug reactions occur during treatment, dose reduction may be performed, but each patient's dose reduction should not exceed 2 times. </w:t>
      </w:r>
    </w:p>
    <w:p w14:paraId="5CB0AB9A" w14:textId="77777777" w:rsidR="00DE4AFD" w:rsidRPr="00303844" w:rsidRDefault="004A4F56" w:rsidP="000C622D">
      <w:pPr>
        <w:pStyle w:val="HR"/>
        <w:numPr>
          <w:ilvl w:val="0"/>
          <w:numId w:val="22"/>
        </w:numPr>
        <w:spacing w:after="0"/>
        <w:ind w:firstLineChars="0"/>
        <w:jc w:val="both"/>
        <w:rPr>
          <w:rFonts w:cs="Times New Roman"/>
          <w:lang w:val="en-US" w:eastAsia="zh-CN"/>
        </w:rPr>
      </w:pPr>
      <w:r w:rsidRPr="00303844">
        <w:rPr>
          <w:rFonts w:eastAsia="Times New Roman" w:cs="Times New Roman"/>
          <w:lang w:val="en-US" w:eastAsia="zh-CN"/>
        </w:rPr>
        <w:t xml:space="preserve">For complications already identified at baseline, if deemed appropriate by the investigator, dose adjustments should be made according to the corresponding change in the grade of adverse reactions. For example, if a patient presents with Grade 1 fatigue at baseline and it increases to Grade 2 during treatment, it can be considered a one-grade change in toxicity, and dose adjustment should be made according to Grade 1 toxicity. </w:t>
      </w:r>
    </w:p>
    <w:p w14:paraId="00B41C99" w14:textId="77777777" w:rsidR="00DE4AFD" w:rsidRPr="00303844" w:rsidRDefault="004A4F56" w:rsidP="000C622D">
      <w:pPr>
        <w:pStyle w:val="HR"/>
        <w:numPr>
          <w:ilvl w:val="0"/>
          <w:numId w:val="22"/>
        </w:numPr>
        <w:spacing w:after="0"/>
        <w:ind w:firstLineChars="0"/>
        <w:jc w:val="both"/>
        <w:rPr>
          <w:rFonts w:cs="Times New Roman"/>
          <w:lang w:val="en-US" w:eastAsia="zh-CN"/>
        </w:rPr>
      </w:pPr>
      <w:r w:rsidRPr="00303844">
        <w:rPr>
          <w:rFonts w:eastAsia="Times New Roman" w:cs="Times New Roman"/>
          <w:lang w:val="en-US" w:eastAsia="zh-CN"/>
        </w:rPr>
        <w:t xml:space="preserve">To allow recovery from acute adverse reactions, treatment can generally be delayed for up to 28 days unless otherwise specified. If treatment needs to be delayed for more than 28 days, the investigator must agree in advance with the sponsor. </w:t>
      </w:r>
    </w:p>
    <w:p w14:paraId="18B9D168" w14:textId="77777777" w:rsidR="00DE4AFD" w:rsidRPr="00AF1F77" w:rsidRDefault="004A4F56" w:rsidP="000C622D">
      <w:pPr>
        <w:pStyle w:val="HR"/>
        <w:numPr>
          <w:ilvl w:val="0"/>
          <w:numId w:val="22"/>
        </w:numPr>
        <w:spacing w:after="0"/>
        <w:ind w:firstLineChars="0"/>
        <w:jc w:val="both"/>
        <w:rPr>
          <w:rFonts w:cs="Times New Roman"/>
          <w:lang w:val="en-US" w:eastAsia="zh-CN"/>
        </w:rPr>
      </w:pPr>
      <w:r w:rsidRPr="00303844">
        <w:rPr>
          <w:rFonts w:eastAsia="Times New Roman" w:cs="Times New Roman"/>
          <w:lang w:val="en-US" w:eastAsia="zh-CN"/>
        </w:rPr>
        <w:t xml:space="preserve">If multiple adverse reactions occur at the same time with different grades or severity, dose adjustment should be based on the highest observed grade. </w:t>
      </w:r>
    </w:p>
    <w:p w14:paraId="2BA3429F" w14:textId="77777777" w:rsidR="00DE4AFD" w:rsidRPr="00303844" w:rsidRDefault="004A4F56" w:rsidP="000C622D">
      <w:pPr>
        <w:pStyle w:val="30"/>
        <w:spacing w:before="0" w:after="0" w:line="360" w:lineRule="auto"/>
        <w:rPr>
          <w:rFonts w:cs="Times New Roman"/>
        </w:rPr>
      </w:pPr>
      <w:bookmarkStart w:id="67" w:name="_Toc184889632"/>
      <w:r w:rsidRPr="00303844">
        <w:rPr>
          <w:rFonts w:eastAsia="Times New Roman" w:cs="Times New Roman"/>
        </w:rPr>
        <w:t>Detailed Procedures for Dose Adjustment</w:t>
      </w:r>
      <w:bookmarkEnd w:id="67"/>
    </w:p>
    <w:p w14:paraId="313FA9D0" w14:textId="77777777" w:rsidR="00DE4AFD" w:rsidRPr="00AF1F77" w:rsidRDefault="004A4F56" w:rsidP="0069237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See Tables 4 and 5 for dose reduction guidelines for hematologic and non-hematologic toxicities of </w:t>
      </w:r>
      <w:proofErr w:type="spellStart"/>
      <w:r w:rsidRPr="00AF1F77">
        <w:rPr>
          <w:rFonts w:eastAsia="Times New Roman" w:cs="Times New Roman"/>
          <w:lang w:val="en-US" w:eastAsia="zh-CN"/>
        </w:rPr>
        <w:t>surufatinib</w:t>
      </w:r>
      <w:proofErr w:type="spellEnd"/>
      <w:r w:rsidRPr="00AF1F77">
        <w:rPr>
          <w:rFonts w:eastAsia="Times New Roman" w:cs="Times New Roman"/>
          <w:lang w:val="en-US" w:eastAsia="zh-CN"/>
        </w:rPr>
        <w:t xml:space="preserve"> (dose reduction guidelines related to hypertension, proteinuria, hepatic dysfunction, thrombocytopenia, and hemorrhage are found in the package insert). </w:t>
      </w:r>
      <w:r w:rsidRPr="00AF1F77">
        <w:rPr>
          <w:rFonts w:eastAsia="Times New Roman" w:cs="Times New Roman"/>
          <w:color w:val="333333"/>
          <w:lang w:val="en-US" w:eastAsia="zh-CN"/>
        </w:rPr>
        <w:t xml:space="preserve">For each dose reduction, the single dose of </w:t>
      </w:r>
      <w:proofErr w:type="spellStart"/>
      <w:r w:rsidRPr="00AF1F77">
        <w:rPr>
          <w:rFonts w:eastAsia="Times New Roman" w:cs="Times New Roman"/>
          <w:lang w:val="en-US" w:eastAsia="zh-CN"/>
        </w:rPr>
        <w:t>surufatinib</w:t>
      </w:r>
      <w:proofErr w:type="spellEnd"/>
      <w:r w:rsidRPr="00AF1F77">
        <w:rPr>
          <w:rFonts w:eastAsia="Times New Roman" w:cs="Times New Roman"/>
          <w:color w:val="333333"/>
          <w:lang w:val="en-US" w:eastAsia="zh-CN"/>
        </w:rPr>
        <w:t xml:space="preserve"> should be reduced by 50 mg, but the lowest dose should not be less than 150 mg.</w:t>
      </w:r>
    </w:p>
    <w:p w14:paraId="72625CCD" w14:textId="77777777" w:rsidR="00DE4AFD" w:rsidRPr="00AF1F77" w:rsidRDefault="004A4F56" w:rsidP="0069237C">
      <w:pPr>
        <w:pStyle w:val="HR"/>
        <w:spacing w:after="0"/>
        <w:ind w:firstLineChars="0" w:firstLine="0"/>
        <w:jc w:val="both"/>
        <w:rPr>
          <w:rFonts w:cs="Times New Roman"/>
          <w:b/>
          <w:kern w:val="0"/>
          <w:lang w:val="en-US" w:eastAsia="zh-CN"/>
        </w:rPr>
      </w:pPr>
      <w:r w:rsidRPr="00AF1F77">
        <w:rPr>
          <w:rFonts w:eastAsia="Times New Roman" w:cs="Times New Roman"/>
          <w:b/>
          <w:bCs/>
          <w:kern w:val="0"/>
          <w:lang w:val="en-US" w:eastAsia="zh-CN"/>
        </w:rPr>
        <w:t>Table 4 Dose Adjustments for Hematological Toxicities</w:t>
      </w:r>
    </w:p>
    <w:tbl>
      <w:tblPr>
        <w:tblStyle w:val="af6"/>
        <w:tblW w:w="5000" w:type="pct"/>
        <w:tblCellMar>
          <w:left w:w="57" w:type="dxa"/>
          <w:right w:w="57" w:type="dxa"/>
        </w:tblCellMar>
        <w:tblLook w:val="04A0" w:firstRow="1" w:lastRow="0" w:firstColumn="1" w:lastColumn="0" w:noHBand="0" w:noVBand="1"/>
      </w:tblPr>
      <w:tblGrid>
        <w:gridCol w:w="4509"/>
        <w:gridCol w:w="4507"/>
      </w:tblGrid>
      <w:tr w:rsidR="00DE4AFD" w:rsidRPr="00227F09" w14:paraId="65883A9D" w14:textId="77777777" w:rsidTr="003F7776">
        <w:tc>
          <w:tcPr>
            <w:tcW w:w="4530" w:type="dxa"/>
          </w:tcPr>
          <w:p w14:paraId="428F0A90" w14:textId="77777777" w:rsidR="00DE4AFD" w:rsidRPr="00227F09" w:rsidRDefault="004A4F56" w:rsidP="003F7776">
            <w:pPr>
              <w:pStyle w:val="HR"/>
              <w:spacing w:after="0" w:line="240" w:lineRule="auto"/>
              <w:ind w:firstLineChars="0" w:firstLine="0"/>
              <w:jc w:val="both"/>
              <w:rPr>
                <w:rFonts w:cs="Times New Roman"/>
                <w:b/>
                <w:sz w:val="21"/>
                <w:szCs w:val="21"/>
                <w:lang w:val="en-US" w:eastAsia="zh-CN"/>
              </w:rPr>
            </w:pPr>
            <w:r w:rsidRPr="00227F09">
              <w:rPr>
                <w:rFonts w:eastAsia="Times New Roman" w:cs="Times New Roman"/>
                <w:b/>
                <w:bCs/>
                <w:kern w:val="0"/>
                <w:sz w:val="21"/>
                <w:szCs w:val="21"/>
                <w:lang w:val="en-US"/>
              </w:rPr>
              <w:lastRenderedPageBreak/>
              <w:t>NCI CTCAE v5.0 Toxicity Grade</w:t>
            </w:r>
          </w:p>
        </w:tc>
        <w:tc>
          <w:tcPr>
            <w:tcW w:w="4531" w:type="dxa"/>
          </w:tcPr>
          <w:p w14:paraId="04950FB5" w14:textId="77777777" w:rsidR="00DE4AFD" w:rsidRPr="00227F09" w:rsidRDefault="004A4F56" w:rsidP="003F7776">
            <w:pPr>
              <w:pStyle w:val="HR"/>
              <w:spacing w:after="0" w:line="240" w:lineRule="auto"/>
              <w:ind w:firstLineChars="0" w:firstLine="0"/>
              <w:jc w:val="both"/>
              <w:rPr>
                <w:rFonts w:cs="Times New Roman"/>
                <w:b/>
                <w:sz w:val="21"/>
                <w:szCs w:val="21"/>
                <w:lang w:val="en-US" w:eastAsia="zh-CN"/>
              </w:rPr>
            </w:pPr>
            <w:r w:rsidRPr="00227F09">
              <w:rPr>
                <w:rFonts w:eastAsia="Times New Roman" w:cs="Times New Roman"/>
                <w:b/>
                <w:bCs/>
                <w:color w:val="333333"/>
                <w:kern w:val="0"/>
                <w:sz w:val="21"/>
                <w:szCs w:val="21"/>
              </w:rPr>
              <w:t>Actions</w:t>
            </w:r>
          </w:p>
        </w:tc>
      </w:tr>
      <w:tr w:rsidR="00DE4AFD" w:rsidRPr="00227F09" w14:paraId="4254FBBF" w14:textId="77777777" w:rsidTr="003F7776">
        <w:tc>
          <w:tcPr>
            <w:tcW w:w="4530" w:type="dxa"/>
          </w:tcPr>
          <w:p w14:paraId="363D8B27" w14:textId="77777777" w:rsidR="00DE4AFD" w:rsidRPr="00227F09" w:rsidRDefault="004A4F56" w:rsidP="003F7776">
            <w:pPr>
              <w:widowControl/>
              <w:autoSpaceDE w:val="0"/>
              <w:autoSpaceDN w:val="0"/>
              <w:adjustRightInd w:val="0"/>
              <w:rPr>
                <w:rFonts w:ascii="Times New Roman" w:eastAsia="宋体" w:hAnsi="Times New Roman" w:cs="Times New Roman"/>
                <w:b/>
                <w:kern w:val="0"/>
              </w:rPr>
            </w:pPr>
            <w:r w:rsidRPr="00227F09">
              <w:rPr>
                <w:rFonts w:ascii="Times New Roman" w:eastAsia="Times New Roman" w:hAnsi="Times New Roman" w:cs="Times New Roman"/>
                <w:b/>
                <w:bCs/>
                <w:kern w:val="0"/>
              </w:rPr>
              <w:t>Grade 1 or 2</w:t>
            </w:r>
          </w:p>
          <w:p w14:paraId="72102324" w14:textId="77777777" w:rsidR="00DE4AFD" w:rsidRPr="00227F09" w:rsidRDefault="00DE4AFD" w:rsidP="003F7776">
            <w:pPr>
              <w:pStyle w:val="HR"/>
              <w:spacing w:after="0" w:line="240" w:lineRule="auto"/>
              <w:ind w:firstLineChars="0" w:firstLine="0"/>
              <w:jc w:val="both"/>
              <w:rPr>
                <w:rFonts w:cs="Times New Roman"/>
                <w:b/>
                <w:sz w:val="21"/>
                <w:szCs w:val="21"/>
                <w:lang w:val="en-US" w:eastAsia="zh-CN"/>
              </w:rPr>
            </w:pPr>
          </w:p>
        </w:tc>
        <w:tc>
          <w:tcPr>
            <w:tcW w:w="4531" w:type="dxa"/>
          </w:tcPr>
          <w:p w14:paraId="70212352" w14:textId="77777777" w:rsidR="00DE4AFD" w:rsidRPr="00227F09" w:rsidRDefault="004A4F56" w:rsidP="003F7776">
            <w:pPr>
              <w:pStyle w:val="HR"/>
              <w:spacing w:after="0" w:line="240" w:lineRule="auto"/>
              <w:ind w:firstLineChars="0" w:firstLine="0"/>
              <w:jc w:val="both"/>
              <w:rPr>
                <w:rFonts w:cs="Times New Roman"/>
                <w:sz w:val="21"/>
                <w:szCs w:val="21"/>
                <w:lang w:val="en-US" w:eastAsia="zh-CN"/>
              </w:rPr>
            </w:pPr>
            <w:r w:rsidRPr="00227F09">
              <w:rPr>
                <w:rFonts w:eastAsia="Times New Roman" w:cs="Times New Roman"/>
                <w:kern w:val="0"/>
                <w:sz w:val="21"/>
                <w:szCs w:val="21"/>
              </w:rPr>
              <w:t>None</w:t>
            </w:r>
          </w:p>
        </w:tc>
      </w:tr>
      <w:tr w:rsidR="00DE4AFD" w:rsidRPr="00227F09" w14:paraId="439E3925" w14:textId="77777777" w:rsidTr="003F7776">
        <w:tc>
          <w:tcPr>
            <w:tcW w:w="4530" w:type="dxa"/>
          </w:tcPr>
          <w:p w14:paraId="514AAB13" w14:textId="77777777" w:rsidR="00DE4AFD" w:rsidRPr="00227F09" w:rsidRDefault="004A4F56" w:rsidP="003F7776">
            <w:pPr>
              <w:pStyle w:val="HR"/>
              <w:spacing w:after="0" w:line="240" w:lineRule="auto"/>
              <w:ind w:firstLineChars="0" w:firstLine="0"/>
              <w:jc w:val="both"/>
              <w:rPr>
                <w:rFonts w:cs="Times New Roman"/>
                <w:b/>
                <w:kern w:val="0"/>
                <w:sz w:val="21"/>
                <w:szCs w:val="21"/>
                <w:lang w:val="en-US" w:eastAsia="zh-CN"/>
              </w:rPr>
            </w:pPr>
            <w:r w:rsidRPr="00227F09">
              <w:rPr>
                <w:rFonts w:eastAsia="Times New Roman" w:cs="Times New Roman"/>
                <w:b/>
                <w:bCs/>
                <w:kern w:val="0"/>
                <w:sz w:val="21"/>
                <w:szCs w:val="21"/>
                <w:lang w:val="en-US" w:eastAsia="zh-CN"/>
              </w:rPr>
              <w:t>Grade 3 or 4</w:t>
            </w:r>
          </w:p>
          <w:p w14:paraId="3891C5D4" w14:textId="77777777" w:rsidR="00DE4AFD" w:rsidRPr="00227F09" w:rsidRDefault="004A4F56" w:rsidP="003F7776">
            <w:pPr>
              <w:pStyle w:val="HR"/>
              <w:spacing w:after="0" w:line="240" w:lineRule="auto"/>
              <w:ind w:firstLineChars="0" w:firstLine="0"/>
              <w:jc w:val="both"/>
              <w:rPr>
                <w:rFonts w:cs="Times New Roman"/>
                <w:kern w:val="0"/>
                <w:sz w:val="21"/>
                <w:szCs w:val="21"/>
                <w:lang w:val="en-US" w:eastAsia="zh-CN"/>
              </w:rPr>
            </w:pPr>
            <w:r w:rsidRPr="00227F09">
              <w:rPr>
                <w:rFonts w:eastAsia="Times New Roman" w:cs="Times New Roman"/>
                <w:color w:val="333333"/>
                <w:kern w:val="0"/>
                <w:sz w:val="21"/>
                <w:szCs w:val="21"/>
                <w:lang w:val="en-US" w:eastAsia="zh-CN"/>
              </w:rPr>
              <w:t>Expected to be treatable/reversible after dose reduction</w:t>
            </w:r>
          </w:p>
          <w:p w14:paraId="4B5F2C42" w14:textId="77777777" w:rsidR="00DE4AFD" w:rsidRPr="00227F09" w:rsidRDefault="004A4F56" w:rsidP="003F7776">
            <w:pPr>
              <w:widowControl/>
              <w:autoSpaceDE w:val="0"/>
              <w:autoSpaceDN w:val="0"/>
              <w:adjustRightInd w:val="0"/>
              <w:rPr>
                <w:rFonts w:ascii="Times New Roman" w:eastAsia="宋体" w:hAnsi="Times New Roman" w:cs="Times New Roman"/>
              </w:rPr>
            </w:pPr>
            <w:r w:rsidRPr="00227F09">
              <w:rPr>
                <w:rFonts w:ascii="Times New Roman" w:eastAsia="Times New Roman" w:hAnsi="Times New Roman" w:cs="Times New Roman"/>
                <w:kern w:val="0"/>
              </w:rPr>
              <w:t xml:space="preserve">Grade 3 or 4 toxicity recovered to ≤ Grade 1 or baseline level within 28 </w:t>
            </w:r>
            <w:proofErr w:type="spellStart"/>
            <w:r w:rsidRPr="00227F09">
              <w:rPr>
                <w:rFonts w:ascii="Times New Roman" w:eastAsia="Times New Roman" w:hAnsi="Times New Roman" w:cs="Times New Roman"/>
                <w:kern w:val="0"/>
              </w:rPr>
              <w:t>days</w:t>
            </w:r>
            <w:r w:rsidRPr="00227F09">
              <w:rPr>
                <w:rFonts w:ascii="Times New Roman" w:eastAsia="Times New Roman" w:hAnsi="Times New Roman" w:cs="Times New Roman"/>
                <w:kern w:val="0"/>
                <w:vertAlign w:val="subscript"/>
              </w:rPr>
              <w:t>b</w:t>
            </w:r>
            <w:proofErr w:type="spellEnd"/>
          </w:p>
        </w:tc>
        <w:tc>
          <w:tcPr>
            <w:tcW w:w="4531" w:type="dxa"/>
          </w:tcPr>
          <w:p w14:paraId="1D31BC71" w14:textId="77777777" w:rsidR="00DE4AFD" w:rsidRPr="00227F09" w:rsidRDefault="004A4F56" w:rsidP="003F7776">
            <w:pPr>
              <w:pStyle w:val="HR"/>
              <w:spacing w:after="0" w:line="240" w:lineRule="auto"/>
              <w:ind w:firstLineChars="0" w:firstLine="0"/>
              <w:jc w:val="both"/>
              <w:rPr>
                <w:rFonts w:cs="Times New Roman"/>
                <w:kern w:val="0"/>
                <w:sz w:val="21"/>
                <w:szCs w:val="21"/>
                <w:lang w:val="en-US" w:eastAsia="zh-CN"/>
              </w:rPr>
            </w:pPr>
            <w:proofErr w:type="spellStart"/>
            <w:r w:rsidRPr="00227F09">
              <w:rPr>
                <w:rFonts w:eastAsia="Times New Roman" w:cs="Times New Roman"/>
                <w:kern w:val="0"/>
                <w:sz w:val="21"/>
                <w:szCs w:val="21"/>
                <w:lang w:val="en-US" w:eastAsia="zh-CN"/>
              </w:rPr>
              <w:t>Interruption</w:t>
            </w:r>
            <w:r w:rsidRPr="00227F09">
              <w:rPr>
                <w:rFonts w:eastAsia="Times New Roman" w:cs="Times New Roman"/>
                <w:kern w:val="0"/>
                <w:sz w:val="21"/>
                <w:szCs w:val="21"/>
                <w:vertAlign w:val="subscript"/>
                <w:lang w:val="en-US" w:eastAsia="zh-CN"/>
              </w:rPr>
              <w:t>a</w:t>
            </w:r>
            <w:proofErr w:type="spellEnd"/>
          </w:p>
          <w:p w14:paraId="1816F413" w14:textId="77777777" w:rsidR="00DE4AFD" w:rsidRPr="00227F09" w:rsidRDefault="004A4F56" w:rsidP="003F7776">
            <w:pPr>
              <w:pStyle w:val="HR"/>
              <w:spacing w:after="0" w:line="240" w:lineRule="auto"/>
              <w:ind w:firstLineChars="0" w:firstLine="0"/>
              <w:jc w:val="both"/>
              <w:rPr>
                <w:rFonts w:cs="Times New Roman"/>
                <w:sz w:val="21"/>
                <w:szCs w:val="21"/>
                <w:lang w:val="en-US" w:eastAsia="zh-CN"/>
              </w:rPr>
            </w:pPr>
            <w:r w:rsidRPr="00227F09">
              <w:rPr>
                <w:rFonts w:eastAsia="Times New Roman" w:cs="Times New Roman"/>
                <w:color w:val="333333"/>
                <w:kern w:val="0"/>
                <w:sz w:val="21"/>
                <w:szCs w:val="21"/>
                <w:lang w:val="en-US" w:eastAsia="zh-CN"/>
              </w:rPr>
              <w:t>Reduction by one dose level</w:t>
            </w:r>
          </w:p>
        </w:tc>
      </w:tr>
      <w:tr w:rsidR="00DE4AFD" w:rsidRPr="00227F09" w14:paraId="3C008EDC" w14:textId="77777777" w:rsidTr="003F7776">
        <w:tc>
          <w:tcPr>
            <w:tcW w:w="4530" w:type="dxa"/>
          </w:tcPr>
          <w:p w14:paraId="28031BC8" w14:textId="77777777" w:rsidR="00DE4AFD" w:rsidRPr="00227F09" w:rsidRDefault="004A4F56" w:rsidP="003F7776">
            <w:pPr>
              <w:pStyle w:val="HR"/>
              <w:spacing w:after="0" w:line="240" w:lineRule="auto"/>
              <w:ind w:firstLineChars="0" w:firstLine="0"/>
              <w:jc w:val="both"/>
              <w:rPr>
                <w:rFonts w:cs="Times New Roman"/>
                <w:kern w:val="0"/>
                <w:sz w:val="21"/>
                <w:szCs w:val="21"/>
                <w:lang w:val="en-US" w:eastAsia="zh-CN"/>
              </w:rPr>
            </w:pPr>
            <w:r w:rsidRPr="00227F09">
              <w:rPr>
                <w:rFonts w:eastAsia="Times New Roman" w:cs="Times New Roman"/>
                <w:color w:val="333333"/>
                <w:kern w:val="0"/>
                <w:sz w:val="21"/>
                <w:szCs w:val="21"/>
                <w:lang w:val="en-US" w:eastAsia="zh-CN"/>
              </w:rPr>
              <w:t>Recurrence of Grade 3 toxicity</w:t>
            </w:r>
          </w:p>
          <w:p w14:paraId="1A4D8B3F" w14:textId="77777777" w:rsidR="00DE4AFD" w:rsidRPr="00227F09" w:rsidRDefault="004A4F56" w:rsidP="003F7776">
            <w:pPr>
              <w:pStyle w:val="HR"/>
              <w:spacing w:after="0" w:line="240" w:lineRule="auto"/>
              <w:ind w:firstLineChars="0" w:firstLine="0"/>
              <w:jc w:val="both"/>
              <w:rPr>
                <w:rFonts w:cs="Times New Roman"/>
                <w:sz w:val="21"/>
                <w:szCs w:val="21"/>
                <w:lang w:val="en-US" w:eastAsia="zh-CN"/>
              </w:rPr>
            </w:pPr>
            <w:r w:rsidRPr="00227F09">
              <w:rPr>
                <w:rFonts w:eastAsia="Times New Roman" w:cs="Times New Roman"/>
                <w:color w:val="333333"/>
                <w:kern w:val="0"/>
                <w:sz w:val="21"/>
                <w:szCs w:val="21"/>
                <w:lang w:val="en-US" w:eastAsia="zh-CN"/>
              </w:rPr>
              <w:t>Recurrence of Grade 4 toxicity</w:t>
            </w:r>
          </w:p>
        </w:tc>
        <w:tc>
          <w:tcPr>
            <w:tcW w:w="4531" w:type="dxa"/>
          </w:tcPr>
          <w:p w14:paraId="2BE39D38" w14:textId="77777777" w:rsidR="00DE4AFD" w:rsidRPr="00227F09" w:rsidRDefault="004A4F56" w:rsidP="003F7776">
            <w:pPr>
              <w:pStyle w:val="HR"/>
              <w:spacing w:after="0" w:line="240" w:lineRule="auto"/>
              <w:ind w:firstLineChars="0" w:firstLine="0"/>
              <w:jc w:val="both"/>
              <w:rPr>
                <w:rFonts w:cs="Times New Roman"/>
                <w:kern w:val="0"/>
                <w:sz w:val="21"/>
                <w:szCs w:val="21"/>
                <w:lang w:val="en-US" w:eastAsia="zh-CN"/>
              </w:rPr>
            </w:pPr>
            <w:r w:rsidRPr="00227F09">
              <w:rPr>
                <w:rFonts w:eastAsia="Times New Roman" w:cs="Times New Roman"/>
                <w:color w:val="333333"/>
                <w:kern w:val="0"/>
                <w:sz w:val="21"/>
                <w:szCs w:val="21"/>
                <w:lang w:val="en-US" w:eastAsia="zh-CN"/>
              </w:rPr>
              <w:t xml:space="preserve">Reduction by one dose level or discontinuation of </w:t>
            </w:r>
            <w:r w:rsidRPr="00227F09">
              <w:rPr>
                <w:rFonts w:eastAsia="Times New Roman" w:cs="Times New Roman"/>
                <w:kern w:val="0"/>
                <w:sz w:val="21"/>
                <w:szCs w:val="21"/>
                <w:lang w:val="en-US" w:eastAsia="zh-CN"/>
              </w:rPr>
              <w:t>investigational product</w:t>
            </w:r>
          </w:p>
          <w:p w14:paraId="56134310" w14:textId="77777777" w:rsidR="00DE4AFD" w:rsidRPr="00227F09" w:rsidRDefault="004A4F56" w:rsidP="003F7776">
            <w:pPr>
              <w:pStyle w:val="HR"/>
              <w:spacing w:after="0" w:line="240" w:lineRule="auto"/>
              <w:ind w:firstLineChars="0" w:firstLine="0"/>
              <w:jc w:val="both"/>
              <w:rPr>
                <w:rFonts w:cs="Times New Roman"/>
                <w:sz w:val="21"/>
                <w:szCs w:val="21"/>
                <w:lang w:val="en-US" w:eastAsia="zh-CN"/>
              </w:rPr>
            </w:pPr>
            <w:r w:rsidRPr="00227F09">
              <w:rPr>
                <w:rFonts w:eastAsia="Times New Roman" w:cs="Times New Roman"/>
                <w:kern w:val="0"/>
                <w:sz w:val="21"/>
                <w:szCs w:val="21"/>
                <w:lang w:eastAsia="zh-CN"/>
              </w:rPr>
              <w:t>Discontinuation of investigational product</w:t>
            </w:r>
          </w:p>
        </w:tc>
      </w:tr>
      <w:tr w:rsidR="00DE4AFD" w:rsidRPr="00227F09" w14:paraId="7877DF88" w14:textId="77777777" w:rsidTr="003F7776">
        <w:tc>
          <w:tcPr>
            <w:tcW w:w="4530" w:type="dxa"/>
          </w:tcPr>
          <w:p w14:paraId="7C7563C9" w14:textId="77777777" w:rsidR="00DE4AFD" w:rsidRPr="00227F09" w:rsidRDefault="004A4F56" w:rsidP="003F7776">
            <w:pPr>
              <w:pStyle w:val="HR"/>
              <w:spacing w:after="0" w:line="240" w:lineRule="auto"/>
              <w:ind w:firstLineChars="0" w:firstLine="0"/>
              <w:jc w:val="both"/>
              <w:rPr>
                <w:rFonts w:cs="Times New Roman"/>
                <w:b/>
                <w:kern w:val="0"/>
                <w:sz w:val="21"/>
                <w:szCs w:val="21"/>
                <w:lang w:val="en-US" w:eastAsia="zh-CN"/>
              </w:rPr>
            </w:pPr>
            <w:r w:rsidRPr="00227F09">
              <w:rPr>
                <w:rFonts w:eastAsia="Times New Roman" w:cs="Times New Roman"/>
                <w:b/>
                <w:bCs/>
                <w:kern w:val="0"/>
                <w:sz w:val="21"/>
                <w:szCs w:val="21"/>
                <w:lang w:val="en-US" w:eastAsia="zh-CN"/>
              </w:rPr>
              <w:t>Grade 3 or 4</w:t>
            </w:r>
          </w:p>
          <w:p w14:paraId="3E821C5E" w14:textId="77777777" w:rsidR="00DE4AFD" w:rsidRPr="00227F09" w:rsidRDefault="004A4F56" w:rsidP="003F7776">
            <w:pPr>
              <w:pStyle w:val="HR"/>
              <w:spacing w:after="0" w:line="240" w:lineRule="auto"/>
              <w:ind w:firstLineChars="0" w:firstLine="0"/>
              <w:jc w:val="both"/>
              <w:rPr>
                <w:rFonts w:cs="Times New Roman"/>
                <w:sz w:val="21"/>
                <w:szCs w:val="21"/>
                <w:lang w:val="en-US" w:eastAsia="zh-CN"/>
              </w:rPr>
            </w:pPr>
            <w:r w:rsidRPr="00227F09">
              <w:rPr>
                <w:rFonts w:eastAsia="Times New Roman" w:cs="Times New Roman"/>
                <w:color w:val="333333"/>
                <w:kern w:val="0"/>
                <w:sz w:val="21"/>
                <w:szCs w:val="21"/>
                <w:lang w:val="en-US" w:eastAsia="zh-CN"/>
              </w:rPr>
              <w:t>Expected to be non-treatable/irreversible after dose reduction</w:t>
            </w:r>
          </w:p>
        </w:tc>
        <w:tc>
          <w:tcPr>
            <w:tcW w:w="4531" w:type="dxa"/>
          </w:tcPr>
          <w:p w14:paraId="20870FDA" w14:textId="77777777" w:rsidR="00DE4AFD" w:rsidRPr="00227F09" w:rsidRDefault="004A4F56" w:rsidP="003F7776">
            <w:pPr>
              <w:pStyle w:val="HR"/>
              <w:spacing w:after="0" w:line="240" w:lineRule="auto"/>
              <w:ind w:firstLineChars="0" w:firstLine="0"/>
              <w:jc w:val="both"/>
              <w:rPr>
                <w:rFonts w:cs="Times New Roman"/>
                <w:sz w:val="21"/>
                <w:szCs w:val="21"/>
                <w:lang w:val="en-US" w:eastAsia="zh-CN"/>
              </w:rPr>
            </w:pPr>
            <w:r w:rsidRPr="00227F09">
              <w:rPr>
                <w:rFonts w:eastAsia="Times New Roman" w:cs="Times New Roman"/>
                <w:kern w:val="0"/>
                <w:sz w:val="21"/>
                <w:szCs w:val="21"/>
                <w:lang w:eastAsia="zh-CN"/>
              </w:rPr>
              <w:t>Discontinuation of investigational product</w:t>
            </w:r>
          </w:p>
        </w:tc>
      </w:tr>
    </w:tbl>
    <w:p w14:paraId="29C74D3C" w14:textId="77777777" w:rsidR="00DE4AFD" w:rsidRPr="00303844" w:rsidRDefault="004A4F56" w:rsidP="0069237C">
      <w:pPr>
        <w:widowControl/>
        <w:autoSpaceDE w:val="0"/>
        <w:autoSpaceDN w:val="0"/>
        <w:adjustRightInd w:val="0"/>
        <w:rPr>
          <w:rFonts w:ascii="Times New Roman" w:eastAsia="宋体" w:hAnsi="Times New Roman" w:cs="Times New Roman"/>
          <w:kern w:val="0"/>
        </w:rPr>
      </w:pPr>
      <w:proofErr w:type="spellStart"/>
      <w:proofErr w:type="gramStart"/>
      <w:r w:rsidRPr="00303844">
        <w:rPr>
          <w:rFonts w:ascii="Times New Roman" w:eastAsia="Times New Roman" w:hAnsi="Times New Roman" w:cs="Times New Roman"/>
          <w:kern w:val="0"/>
          <w:vertAlign w:val="subscript"/>
        </w:rPr>
        <w:t>a</w:t>
      </w:r>
      <w:proofErr w:type="spellEnd"/>
      <w:proofErr w:type="gramEnd"/>
      <w:r w:rsidRPr="00303844">
        <w:rPr>
          <w:rFonts w:ascii="Times New Roman" w:eastAsia="Times New Roman" w:hAnsi="Times New Roman" w:cs="Times New Roman"/>
          <w:kern w:val="0"/>
          <w:vertAlign w:val="subscript"/>
        </w:rPr>
        <w:t xml:space="preserve"> </w:t>
      </w:r>
      <w:r w:rsidRPr="00303844">
        <w:rPr>
          <w:rFonts w:ascii="Times New Roman" w:eastAsia="Times New Roman" w:hAnsi="Times New Roman" w:cs="Times New Roman"/>
          <w:kern w:val="0"/>
        </w:rPr>
        <w:t xml:space="preserve">Interruption of the investigational product until toxicity recovers to ≤ Grade 1 or baseline level. For patients whose toxicity resolution exceeds 28 days, the study treatment should generally be discontinued; </w:t>
      </w:r>
      <w:r w:rsidRPr="00303844">
        <w:rPr>
          <w:rFonts w:ascii="Times New Roman" w:eastAsia="Times New Roman" w:hAnsi="Times New Roman" w:cs="Times New Roman"/>
          <w:color w:val="333333"/>
          <w:kern w:val="0"/>
        </w:rPr>
        <w:t>unless judged by the investigator that the patient still has clinical benefit, the investigator should agree with the sponsor whether the patient should continue study treatment.</w:t>
      </w:r>
      <w:r w:rsidRPr="00303844">
        <w:rPr>
          <w:rFonts w:ascii="Times New Roman" w:eastAsia="Times New Roman" w:hAnsi="Times New Roman" w:cs="Times New Roman"/>
          <w:kern w:val="0"/>
        </w:rPr>
        <w:t xml:space="preserve"> </w:t>
      </w:r>
    </w:p>
    <w:p w14:paraId="5DEAAEC4" w14:textId="77777777" w:rsidR="00DE4AFD" w:rsidRPr="00303844" w:rsidRDefault="004A4F56" w:rsidP="0069237C">
      <w:pPr>
        <w:widowControl/>
        <w:autoSpaceDE w:val="0"/>
        <w:autoSpaceDN w:val="0"/>
        <w:adjustRightInd w:val="0"/>
        <w:rPr>
          <w:rFonts w:ascii="Times New Roman" w:eastAsia="宋体" w:hAnsi="Times New Roman" w:cs="Times New Roman"/>
          <w:kern w:val="0"/>
        </w:rPr>
      </w:pPr>
      <w:r w:rsidRPr="00303844">
        <w:rPr>
          <w:rFonts w:ascii="Times New Roman" w:eastAsia="Times New Roman" w:hAnsi="Times New Roman" w:cs="Times New Roman"/>
          <w:kern w:val="0"/>
          <w:vertAlign w:val="subscript"/>
        </w:rPr>
        <w:t xml:space="preserve">b </w:t>
      </w:r>
      <w:r w:rsidRPr="00303844">
        <w:rPr>
          <w:rFonts w:ascii="Times New Roman" w:eastAsia="Times New Roman" w:hAnsi="Times New Roman" w:cs="Times New Roman"/>
          <w:kern w:val="0"/>
        </w:rPr>
        <w:t xml:space="preserve">Interruption of the investigational product when white blood cells or neutrophils decrease to Grade 3 or 4; after recovery to ≤ Grade 1 or baseline levels within 28 days, the original dosage can be maintained. A dose reduction is necessary only when febrile neutropenia (neutrophil count &lt;1000/mm³, accompanied by pyrexia ≥38℃ lasting over 1 hour or a single body temperature measurement &gt;38.3℃) occurs, or when Grade 4 neutropenia recurs or persists for up to 7 days and after recovery to ≤ Grade 1 or baseline levels within 28 days. </w:t>
      </w:r>
    </w:p>
    <w:p w14:paraId="0F3F8958" w14:textId="77777777" w:rsidR="00DE4AFD" w:rsidRPr="00AF1F77" w:rsidRDefault="004A4F56" w:rsidP="000C622D">
      <w:pPr>
        <w:pStyle w:val="HR"/>
        <w:spacing w:after="0"/>
        <w:ind w:firstLineChars="0" w:firstLine="0"/>
        <w:jc w:val="both"/>
        <w:rPr>
          <w:rFonts w:cs="Times New Roman"/>
          <w:b/>
          <w:kern w:val="0"/>
          <w:lang w:val="en-US" w:eastAsia="zh-CN"/>
        </w:rPr>
      </w:pPr>
      <w:r w:rsidRPr="00AF1F77">
        <w:rPr>
          <w:rFonts w:eastAsia="Times New Roman" w:cs="Times New Roman"/>
          <w:b/>
          <w:bCs/>
          <w:kern w:val="0"/>
          <w:lang w:val="en-US" w:eastAsia="zh-CN"/>
        </w:rPr>
        <w:t>Table 5 Dose Adjustments for Non-Hematological Toxicities</w:t>
      </w:r>
    </w:p>
    <w:tbl>
      <w:tblPr>
        <w:tblStyle w:val="af6"/>
        <w:tblW w:w="5000" w:type="pct"/>
        <w:tblCellMar>
          <w:left w:w="57" w:type="dxa"/>
          <w:right w:w="57" w:type="dxa"/>
        </w:tblCellMar>
        <w:tblLook w:val="04A0" w:firstRow="1" w:lastRow="0" w:firstColumn="1" w:lastColumn="0" w:noHBand="0" w:noVBand="1"/>
      </w:tblPr>
      <w:tblGrid>
        <w:gridCol w:w="4509"/>
        <w:gridCol w:w="4507"/>
      </w:tblGrid>
      <w:tr w:rsidR="00DE4AFD" w:rsidRPr="00227F09" w14:paraId="40DDF5FC" w14:textId="77777777" w:rsidTr="003F7776">
        <w:tc>
          <w:tcPr>
            <w:tcW w:w="4530" w:type="dxa"/>
          </w:tcPr>
          <w:p w14:paraId="1384BD47" w14:textId="77777777" w:rsidR="00DE4AFD" w:rsidRPr="00227F09" w:rsidRDefault="004A4F56" w:rsidP="003F7776">
            <w:pPr>
              <w:pStyle w:val="HR"/>
              <w:spacing w:after="0" w:line="240" w:lineRule="auto"/>
              <w:ind w:firstLineChars="0" w:firstLine="0"/>
              <w:jc w:val="both"/>
              <w:rPr>
                <w:rFonts w:cs="Times New Roman"/>
                <w:b/>
                <w:sz w:val="21"/>
                <w:szCs w:val="21"/>
                <w:lang w:val="en-US" w:eastAsia="zh-CN"/>
              </w:rPr>
            </w:pPr>
            <w:r w:rsidRPr="00227F09">
              <w:rPr>
                <w:rFonts w:eastAsia="Times New Roman" w:cs="Times New Roman"/>
                <w:b/>
                <w:bCs/>
                <w:kern w:val="0"/>
                <w:sz w:val="21"/>
                <w:szCs w:val="21"/>
                <w:lang w:val="en-US"/>
              </w:rPr>
              <w:t>NCI CTCAE v4.03</w:t>
            </w:r>
            <w:r w:rsidRPr="00227F09">
              <w:rPr>
                <w:rFonts w:eastAsia="Times New Roman" w:cs="Times New Roman"/>
                <w:kern w:val="0"/>
                <w:sz w:val="21"/>
                <w:szCs w:val="21"/>
                <w:lang w:val="en-US"/>
              </w:rPr>
              <w:t xml:space="preserve"> Toxicity Grade</w:t>
            </w:r>
          </w:p>
        </w:tc>
        <w:tc>
          <w:tcPr>
            <w:tcW w:w="4531" w:type="dxa"/>
          </w:tcPr>
          <w:p w14:paraId="665E0B22" w14:textId="77777777" w:rsidR="00DE4AFD" w:rsidRPr="00227F09" w:rsidRDefault="004A4F56" w:rsidP="003F7776">
            <w:pPr>
              <w:pStyle w:val="HR"/>
              <w:spacing w:after="0" w:line="240" w:lineRule="auto"/>
              <w:ind w:firstLineChars="0" w:firstLine="0"/>
              <w:jc w:val="both"/>
              <w:rPr>
                <w:rFonts w:cs="Times New Roman"/>
                <w:b/>
                <w:sz w:val="21"/>
                <w:szCs w:val="21"/>
                <w:lang w:val="en-US" w:eastAsia="zh-CN"/>
              </w:rPr>
            </w:pPr>
            <w:r w:rsidRPr="00227F09">
              <w:rPr>
                <w:rFonts w:eastAsia="Times New Roman" w:cs="Times New Roman"/>
                <w:b/>
                <w:bCs/>
                <w:color w:val="333333"/>
                <w:kern w:val="0"/>
                <w:sz w:val="21"/>
                <w:szCs w:val="21"/>
              </w:rPr>
              <w:t>Actions</w:t>
            </w:r>
          </w:p>
        </w:tc>
      </w:tr>
      <w:tr w:rsidR="00DE4AFD" w:rsidRPr="00227F09" w14:paraId="69684688" w14:textId="77777777" w:rsidTr="003F7776">
        <w:tc>
          <w:tcPr>
            <w:tcW w:w="4530" w:type="dxa"/>
          </w:tcPr>
          <w:p w14:paraId="1E32AE33" w14:textId="77777777" w:rsidR="00DE4AFD" w:rsidRPr="00227F09" w:rsidRDefault="004A4F56" w:rsidP="003F7776">
            <w:pPr>
              <w:pStyle w:val="HR"/>
              <w:spacing w:after="0" w:line="240" w:lineRule="auto"/>
              <w:ind w:firstLineChars="0" w:firstLine="0"/>
              <w:jc w:val="both"/>
              <w:rPr>
                <w:rFonts w:cs="Times New Roman"/>
                <w:b/>
                <w:sz w:val="21"/>
                <w:szCs w:val="21"/>
                <w:lang w:val="en-US" w:eastAsia="zh-CN"/>
              </w:rPr>
            </w:pPr>
            <w:r w:rsidRPr="00227F09">
              <w:rPr>
                <w:rFonts w:eastAsia="Times New Roman" w:cs="Times New Roman"/>
                <w:b/>
                <w:bCs/>
                <w:kern w:val="0"/>
                <w:sz w:val="21"/>
                <w:szCs w:val="21"/>
              </w:rPr>
              <w:t>Grade 1 or 2</w:t>
            </w:r>
            <w:r w:rsidRPr="00227F09">
              <w:rPr>
                <w:rFonts w:eastAsia="Times New Roman" w:cs="Times New Roman"/>
                <w:kern w:val="0"/>
                <w:sz w:val="21"/>
                <w:szCs w:val="21"/>
              </w:rPr>
              <w:t xml:space="preserve"> (tolerable)</w:t>
            </w:r>
          </w:p>
        </w:tc>
        <w:tc>
          <w:tcPr>
            <w:tcW w:w="4531" w:type="dxa"/>
          </w:tcPr>
          <w:p w14:paraId="1951925A" w14:textId="77777777" w:rsidR="00DE4AFD" w:rsidRPr="00227F09" w:rsidRDefault="004A4F56" w:rsidP="003F7776">
            <w:pPr>
              <w:pStyle w:val="HR"/>
              <w:spacing w:after="0" w:line="240" w:lineRule="auto"/>
              <w:ind w:firstLineChars="0" w:firstLine="0"/>
              <w:jc w:val="both"/>
              <w:rPr>
                <w:rFonts w:cs="Times New Roman"/>
                <w:sz w:val="21"/>
                <w:szCs w:val="21"/>
                <w:lang w:val="en-US" w:eastAsia="zh-CN"/>
              </w:rPr>
            </w:pPr>
            <w:r w:rsidRPr="00227F09">
              <w:rPr>
                <w:rFonts w:eastAsia="Times New Roman" w:cs="Times New Roman"/>
                <w:kern w:val="0"/>
                <w:sz w:val="21"/>
                <w:szCs w:val="21"/>
              </w:rPr>
              <w:t>None</w:t>
            </w:r>
          </w:p>
        </w:tc>
      </w:tr>
      <w:tr w:rsidR="00DE4AFD" w:rsidRPr="00227F09" w14:paraId="43805007" w14:textId="77777777" w:rsidTr="003F7776">
        <w:tc>
          <w:tcPr>
            <w:tcW w:w="4530" w:type="dxa"/>
          </w:tcPr>
          <w:p w14:paraId="6066C651" w14:textId="77777777" w:rsidR="00DE4AFD" w:rsidRPr="00227F09" w:rsidRDefault="004A4F56" w:rsidP="003F7776">
            <w:pPr>
              <w:pStyle w:val="HR"/>
              <w:spacing w:after="0" w:line="240" w:lineRule="auto"/>
              <w:ind w:firstLineChars="0" w:firstLine="0"/>
              <w:jc w:val="both"/>
              <w:rPr>
                <w:rFonts w:cs="Times New Roman"/>
                <w:b/>
                <w:bCs/>
                <w:kern w:val="0"/>
                <w:sz w:val="21"/>
                <w:szCs w:val="21"/>
                <w:lang w:val="en-US" w:eastAsia="zh-CN"/>
              </w:rPr>
            </w:pPr>
            <w:r w:rsidRPr="00227F09">
              <w:rPr>
                <w:rFonts w:eastAsia="Times New Roman" w:cs="Times New Roman"/>
                <w:b/>
                <w:bCs/>
                <w:kern w:val="0"/>
                <w:sz w:val="21"/>
                <w:szCs w:val="21"/>
                <w:lang w:val="en-US" w:eastAsia="zh-CN"/>
              </w:rPr>
              <w:t>Grade 2</w:t>
            </w:r>
            <w:r w:rsidRPr="00227F09">
              <w:rPr>
                <w:rFonts w:eastAsia="Times New Roman" w:cs="Times New Roman"/>
                <w:kern w:val="0"/>
                <w:sz w:val="21"/>
                <w:szCs w:val="21"/>
                <w:lang w:val="en-US" w:eastAsia="zh-CN"/>
              </w:rPr>
              <w:t xml:space="preserve"> (intolerable)</w:t>
            </w:r>
            <w:r w:rsidRPr="00227F09">
              <w:rPr>
                <w:rFonts w:eastAsia="Times New Roman" w:cs="Times New Roman"/>
                <w:b/>
                <w:bCs/>
                <w:kern w:val="0"/>
                <w:sz w:val="21"/>
                <w:szCs w:val="21"/>
                <w:vertAlign w:val="subscript"/>
                <w:lang w:val="en-US" w:eastAsia="zh-CN"/>
              </w:rPr>
              <w:t>d</w:t>
            </w:r>
          </w:p>
          <w:p w14:paraId="61D2F561" w14:textId="77777777" w:rsidR="00DE4AFD" w:rsidRPr="00227F09" w:rsidRDefault="004A4F56" w:rsidP="003F7776">
            <w:pPr>
              <w:widowControl/>
              <w:autoSpaceDE w:val="0"/>
              <w:autoSpaceDN w:val="0"/>
              <w:adjustRightInd w:val="0"/>
              <w:rPr>
                <w:rFonts w:ascii="Times New Roman" w:eastAsia="宋体" w:hAnsi="Times New Roman" w:cs="Times New Roman"/>
                <w:kern w:val="0"/>
              </w:rPr>
            </w:pPr>
            <w:r w:rsidRPr="00227F09">
              <w:rPr>
                <w:rFonts w:ascii="Times New Roman" w:eastAsia="Times New Roman" w:hAnsi="Times New Roman" w:cs="Times New Roman"/>
                <w:kern w:val="0"/>
              </w:rPr>
              <w:t>Toxicity recovered to ≤ Grade 1 or baseline level within 28 days</w:t>
            </w:r>
          </w:p>
          <w:p w14:paraId="751C6FEA" w14:textId="77777777" w:rsidR="00DE4AFD" w:rsidRPr="00227F09" w:rsidRDefault="004A4F56" w:rsidP="003F7776">
            <w:pPr>
              <w:pStyle w:val="HR"/>
              <w:spacing w:after="0" w:line="240" w:lineRule="auto"/>
              <w:ind w:firstLineChars="0" w:firstLine="0"/>
              <w:jc w:val="both"/>
              <w:rPr>
                <w:rFonts w:cs="Times New Roman"/>
                <w:b/>
                <w:sz w:val="21"/>
                <w:szCs w:val="21"/>
                <w:lang w:val="en-US" w:eastAsia="zh-CN"/>
              </w:rPr>
            </w:pPr>
            <w:r w:rsidRPr="00227F09">
              <w:rPr>
                <w:rFonts w:eastAsia="Times New Roman" w:cs="Times New Roman"/>
                <w:kern w:val="0"/>
                <w:sz w:val="21"/>
                <w:szCs w:val="21"/>
              </w:rPr>
              <w:t>Relapse</w:t>
            </w:r>
          </w:p>
        </w:tc>
        <w:tc>
          <w:tcPr>
            <w:tcW w:w="4531" w:type="dxa"/>
          </w:tcPr>
          <w:p w14:paraId="5EFE5081" w14:textId="77777777" w:rsidR="00DE4AFD" w:rsidRPr="00227F09" w:rsidRDefault="004A4F56" w:rsidP="003F7776">
            <w:pPr>
              <w:pStyle w:val="HR"/>
              <w:spacing w:after="0" w:line="240" w:lineRule="auto"/>
              <w:ind w:firstLineChars="0" w:firstLine="0"/>
              <w:jc w:val="both"/>
              <w:rPr>
                <w:rFonts w:cs="Times New Roman"/>
                <w:kern w:val="0"/>
                <w:sz w:val="21"/>
                <w:szCs w:val="21"/>
                <w:lang w:val="en-US" w:eastAsia="zh-CN"/>
              </w:rPr>
            </w:pPr>
            <w:proofErr w:type="spellStart"/>
            <w:r w:rsidRPr="00227F09">
              <w:rPr>
                <w:rFonts w:eastAsia="Times New Roman" w:cs="Times New Roman"/>
                <w:kern w:val="0"/>
                <w:sz w:val="21"/>
                <w:szCs w:val="21"/>
                <w:lang w:val="en-US" w:eastAsia="zh-CN"/>
              </w:rPr>
              <w:t>Interruption</w:t>
            </w:r>
            <w:r w:rsidRPr="00227F09">
              <w:rPr>
                <w:rFonts w:eastAsia="Times New Roman" w:cs="Times New Roman"/>
                <w:kern w:val="0"/>
                <w:sz w:val="21"/>
                <w:szCs w:val="21"/>
                <w:vertAlign w:val="subscript"/>
                <w:lang w:val="en-US" w:eastAsia="zh-CN"/>
              </w:rPr>
              <w:t>c</w:t>
            </w:r>
            <w:proofErr w:type="spellEnd"/>
          </w:p>
          <w:p w14:paraId="5D633F4D" w14:textId="77777777" w:rsidR="00DE4AFD" w:rsidRPr="00227F09" w:rsidRDefault="004A4F56" w:rsidP="003F7776">
            <w:pPr>
              <w:pStyle w:val="HR"/>
              <w:spacing w:after="0" w:line="240" w:lineRule="auto"/>
              <w:ind w:firstLineChars="0" w:firstLine="0"/>
              <w:jc w:val="both"/>
              <w:rPr>
                <w:rFonts w:cs="Times New Roman"/>
                <w:b/>
                <w:sz w:val="21"/>
                <w:szCs w:val="21"/>
                <w:lang w:val="en-US" w:eastAsia="zh-CN"/>
              </w:rPr>
            </w:pPr>
            <w:r w:rsidRPr="00227F09">
              <w:rPr>
                <w:rFonts w:eastAsia="Times New Roman" w:cs="Times New Roman"/>
                <w:color w:val="333333"/>
                <w:kern w:val="0"/>
                <w:sz w:val="21"/>
                <w:szCs w:val="21"/>
                <w:lang w:val="en-US" w:eastAsia="zh-CN"/>
              </w:rPr>
              <w:t>Reduction by one dose level</w:t>
            </w:r>
          </w:p>
        </w:tc>
      </w:tr>
      <w:tr w:rsidR="00DE4AFD" w:rsidRPr="00227F09" w14:paraId="5BB84A0F" w14:textId="77777777" w:rsidTr="003F7776">
        <w:tc>
          <w:tcPr>
            <w:tcW w:w="4530" w:type="dxa"/>
          </w:tcPr>
          <w:p w14:paraId="2C8AFB54" w14:textId="77777777" w:rsidR="00DE4AFD" w:rsidRPr="00227F09" w:rsidRDefault="004A4F56" w:rsidP="003F7776">
            <w:pPr>
              <w:pStyle w:val="HR"/>
              <w:spacing w:after="0" w:line="240" w:lineRule="auto"/>
              <w:ind w:firstLineChars="0" w:firstLine="0"/>
              <w:jc w:val="both"/>
              <w:rPr>
                <w:rFonts w:cs="Times New Roman"/>
                <w:b/>
                <w:bCs/>
                <w:kern w:val="0"/>
                <w:sz w:val="21"/>
                <w:szCs w:val="21"/>
                <w:lang w:val="en-US" w:eastAsia="zh-CN"/>
              </w:rPr>
            </w:pPr>
            <w:r w:rsidRPr="00227F09">
              <w:rPr>
                <w:rFonts w:eastAsia="Times New Roman" w:cs="Times New Roman"/>
                <w:b/>
                <w:bCs/>
                <w:kern w:val="0"/>
                <w:sz w:val="21"/>
                <w:szCs w:val="21"/>
                <w:lang w:val="en-US" w:eastAsia="zh-CN"/>
              </w:rPr>
              <w:t>Grade 3 or 4</w:t>
            </w:r>
            <w:r w:rsidRPr="00227F09">
              <w:rPr>
                <w:rFonts w:eastAsia="Times New Roman" w:cs="Times New Roman"/>
                <w:b/>
                <w:bCs/>
                <w:kern w:val="0"/>
                <w:sz w:val="21"/>
                <w:szCs w:val="21"/>
                <w:vertAlign w:val="subscript"/>
                <w:lang w:val="en-US" w:eastAsia="zh-CN"/>
              </w:rPr>
              <w:t>d</w:t>
            </w:r>
          </w:p>
          <w:p w14:paraId="6AD896BC" w14:textId="77777777" w:rsidR="00DE4AFD" w:rsidRPr="00227F09" w:rsidRDefault="004A4F56" w:rsidP="003F7776">
            <w:pPr>
              <w:pStyle w:val="HR"/>
              <w:spacing w:after="0" w:line="240" w:lineRule="auto"/>
              <w:ind w:firstLineChars="0" w:firstLine="0"/>
              <w:jc w:val="both"/>
              <w:rPr>
                <w:rFonts w:cs="Times New Roman"/>
                <w:kern w:val="0"/>
                <w:sz w:val="21"/>
                <w:szCs w:val="21"/>
                <w:lang w:val="en-US" w:eastAsia="zh-CN"/>
              </w:rPr>
            </w:pPr>
            <w:r w:rsidRPr="00227F09">
              <w:rPr>
                <w:rFonts w:eastAsia="Times New Roman" w:cs="Times New Roman"/>
                <w:color w:val="333333"/>
                <w:kern w:val="0"/>
                <w:sz w:val="21"/>
                <w:szCs w:val="21"/>
                <w:lang w:val="en-US" w:eastAsia="zh-CN"/>
              </w:rPr>
              <w:t>Expected to be treatable/reversible after dose reduction</w:t>
            </w:r>
          </w:p>
          <w:p w14:paraId="121BA69B" w14:textId="77777777" w:rsidR="00DE4AFD" w:rsidRPr="00227F09" w:rsidRDefault="004A4F56" w:rsidP="003F7776">
            <w:pPr>
              <w:pStyle w:val="HR"/>
              <w:spacing w:after="0" w:line="240" w:lineRule="auto"/>
              <w:ind w:firstLineChars="0" w:firstLine="0"/>
              <w:jc w:val="both"/>
              <w:rPr>
                <w:rFonts w:cs="Times New Roman"/>
                <w:kern w:val="0"/>
                <w:sz w:val="21"/>
                <w:szCs w:val="21"/>
                <w:lang w:val="en-US" w:eastAsia="zh-CN"/>
              </w:rPr>
            </w:pPr>
            <w:r w:rsidRPr="00227F09">
              <w:rPr>
                <w:rFonts w:eastAsia="Times New Roman" w:cs="Times New Roman"/>
                <w:kern w:val="0"/>
                <w:sz w:val="21"/>
                <w:szCs w:val="21"/>
                <w:lang w:val="en-US" w:eastAsia="zh-CN"/>
              </w:rPr>
              <w:t>Grade 3 toxicity recovered to ≤ Grade 1 within 28 days</w:t>
            </w:r>
          </w:p>
          <w:p w14:paraId="49D348F9" w14:textId="77777777" w:rsidR="00DE4AFD" w:rsidRPr="00227F09" w:rsidRDefault="004A4F56" w:rsidP="003F7776">
            <w:pPr>
              <w:pStyle w:val="HR"/>
              <w:spacing w:after="0" w:line="240" w:lineRule="auto"/>
              <w:ind w:firstLineChars="0" w:firstLine="0"/>
              <w:jc w:val="both"/>
              <w:rPr>
                <w:rFonts w:cs="Times New Roman"/>
                <w:kern w:val="0"/>
                <w:sz w:val="21"/>
                <w:szCs w:val="21"/>
                <w:lang w:val="en-US" w:eastAsia="zh-CN"/>
              </w:rPr>
            </w:pPr>
            <w:r w:rsidRPr="00227F09">
              <w:rPr>
                <w:rFonts w:eastAsia="Times New Roman" w:cs="Times New Roman"/>
                <w:color w:val="333333"/>
                <w:kern w:val="0"/>
                <w:sz w:val="21"/>
                <w:szCs w:val="21"/>
                <w:lang w:val="en-US" w:eastAsia="zh-CN"/>
              </w:rPr>
              <w:t>Recurrence of Grade 3 toxicity</w:t>
            </w:r>
          </w:p>
          <w:p w14:paraId="49A348EE" w14:textId="77777777" w:rsidR="00DE4AFD" w:rsidRPr="00227F09" w:rsidRDefault="004A4F56" w:rsidP="003F7776">
            <w:pPr>
              <w:pStyle w:val="HR"/>
              <w:spacing w:after="0" w:line="240" w:lineRule="auto"/>
              <w:ind w:firstLineChars="0" w:firstLine="0"/>
              <w:jc w:val="both"/>
              <w:rPr>
                <w:rFonts w:cs="Times New Roman"/>
                <w:b/>
                <w:sz w:val="21"/>
                <w:szCs w:val="21"/>
                <w:lang w:val="en-US" w:eastAsia="zh-CN"/>
              </w:rPr>
            </w:pPr>
            <w:r w:rsidRPr="00227F09">
              <w:rPr>
                <w:rFonts w:eastAsia="Times New Roman" w:cs="Times New Roman"/>
                <w:color w:val="333333"/>
                <w:kern w:val="0"/>
                <w:sz w:val="21"/>
                <w:szCs w:val="21"/>
                <w:lang w:val="en-US" w:eastAsia="zh-CN"/>
              </w:rPr>
              <w:t>Recurrence of Grade 4 toxicity</w:t>
            </w:r>
          </w:p>
        </w:tc>
        <w:tc>
          <w:tcPr>
            <w:tcW w:w="4531" w:type="dxa"/>
          </w:tcPr>
          <w:p w14:paraId="1831AF73" w14:textId="77777777" w:rsidR="00DE4AFD" w:rsidRPr="00227F09" w:rsidRDefault="004A4F56" w:rsidP="003F7776">
            <w:pPr>
              <w:pStyle w:val="HR"/>
              <w:spacing w:after="0" w:line="240" w:lineRule="auto"/>
              <w:ind w:firstLineChars="0" w:firstLine="0"/>
              <w:jc w:val="both"/>
              <w:rPr>
                <w:rFonts w:cs="Times New Roman"/>
                <w:kern w:val="0"/>
                <w:sz w:val="21"/>
                <w:szCs w:val="21"/>
                <w:lang w:val="en-US" w:eastAsia="zh-CN"/>
              </w:rPr>
            </w:pPr>
            <w:proofErr w:type="spellStart"/>
            <w:r w:rsidRPr="00227F09">
              <w:rPr>
                <w:rFonts w:eastAsia="Times New Roman" w:cs="Times New Roman"/>
                <w:kern w:val="0"/>
                <w:sz w:val="21"/>
                <w:szCs w:val="21"/>
                <w:lang w:val="en-US" w:eastAsia="zh-CN"/>
              </w:rPr>
              <w:t>Interruption</w:t>
            </w:r>
            <w:r w:rsidRPr="00227F09">
              <w:rPr>
                <w:rFonts w:eastAsia="Times New Roman" w:cs="Times New Roman"/>
                <w:kern w:val="0"/>
                <w:sz w:val="21"/>
                <w:szCs w:val="21"/>
                <w:vertAlign w:val="subscript"/>
                <w:lang w:val="en-US" w:eastAsia="zh-CN"/>
              </w:rPr>
              <w:t>c</w:t>
            </w:r>
            <w:proofErr w:type="spellEnd"/>
          </w:p>
          <w:p w14:paraId="45249236" w14:textId="77777777" w:rsidR="00DE4AFD" w:rsidRPr="00227F09" w:rsidRDefault="004A4F56" w:rsidP="003F7776">
            <w:pPr>
              <w:pStyle w:val="HR"/>
              <w:spacing w:after="0" w:line="240" w:lineRule="auto"/>
              <w:ind w:firstLineChars="0" w:firstLine="0"/>
              <w:jc w:val="both"/>
              <w:rPr>
                <w:rFonts w:cs="Times New Roman"/>
                <w:kern w:val="0"/>
                <w:sz w:val="21"/>
                <w:szCs w:val="21"/>
                <w:lang w:val="en-US" w:eastAsia="zh-CN"/>
              </w:rPr>
            </w:pPr>
            <w:r w:rsidRPr="00227F09">
              <w:rPr>
                <w:rFonts w:eastAsia="Times New Roman" w:cs="Times New Roman"/>
                <w:color w:val="333333"/>
                <w:kern w:val="0"/>
                <w:sz w:val="21"/>
                <w:szCs w:val="21"/>
                <w:lang w:val="en-US" w:eastAsia="zh-CN"/>
              </w:rPr>
              <w:t>Reduction by one dose level</w:t>
            </w:r>
          </w:p>
          <w:p w14:paraId="270A0DBE" w14:textId="77777777" w:rsidR="00DE4AFD" w:rsidRPr="00227F09" w:rsidRDefault="004A4F56" w:rsidP="003F7776">
            <w:pPr>
              <w:pStyle w:val="HR"/>
              <w:spacing w:after="0" w:line="240" w:lineRule="auto"/>
              <w:ind w:firstLineChars="0" w:firstLine="0"/>
              <w:jc w:val="both"/>
              <w:rPr>
                <w:rFonts w:cs="Times New Roman"/>
                <w:kern w:val="0"/>
                <w:sz w:val="21"/>
                <w:szCs w:val="21"/>
                <w:lang w:val="en-US" w:eastAsia="zh-CN"/>
              </w:rPr>
            </w:pPr>
            <w:r w:rsidRPr="00227F09">
              <w:rPr>
                <w:rFonts w:eastAsia="Times New Roman" w:cs="Times New Roman"/>
                <w:color w:val="333333"/>
                <w:kern w:val="0"/>
                <w:sz w:val="21"/>
                <w:szCs w:val="21"/>
                <w:lang w:val="en-US" w:eastAsia="zh-CN"/>
              </w:rPr>
              <w:t xml:space="preserve">Reduction by one dose level or discontinuation of </w:t>
            </w:r>
            <w:r w:rsidRPr="00227F09">
              <w:rPr>
                <w:rFonts w:eastAsia="Times New Roman" w:cs="Times New Roman"/>
                <w:kern w:val="0"/>
                <w:sz w:val="21"/>
                <w:szCs w:val="21"/>
                <w:lang w:val="en-US" w:eastAsia="zh-CN"/>
              </w:rPr>
              <w:t>investigational product</w:t>
            </w:r>
          </w:p>
          <w:p w14:paraId="47BDE99F" w14:textId="77777777" w:rsidR="00DE4AFD" w:rsidRPr="00227F09" w:rsidRDefault="004A4F56" w:rsidP="003F7776">
            <w:pPr>
              <w:pStyle w:val="HR"/>
              <w:spacing w:after="0" w:line="240" w:lineRule="auto"/>
              <w:ind w:firstLineChars="0" w:firstLine="0"/>
              <w:jc w:val="both"/>
              <w:rPr>
                <w:rFonts w:cs="Times New Roman"/>
                <w:b/>
                <w:sz w:val="21"/>
                <w:szCs w:val="21"/>
                <w:lang w:val="en-US" w:eastAsia="zh-CN"/>
              </w:rPr>
            </w:pPr>
            <w:r w:rsidRPr="00227F09">
              <w:rPr>
                <w:rFonts w:eastAsia="Times New Roman" w:cs="Times New Roman"/>
                <w:kern w:val="0"/>
                <w:sz w:val="21"/>
                <w:szCs w:val="21"/>
                <w:lang w:eastAsia="zh-CN"/>
              </w:rPr>
              <w:t>Discontinuation of investigational product</w:t>
            </w:r>
          </w:p>
        </w:tc>
      </w:tr>
      <w:tr w:rsidR="00DE4AFD" w:rsidRPr="00227F09" w14:paraId="47ABCC82" w14:textId="77777777" w:rsidTr="003F7776">
        <w:tc>
          <w:tcPr>
            <w:tcW w:w="4530" w:type="dxa"/>
          </w:tcPr>
          <w:p w14:paraId="47FDFE5C" w14:textId="77777777" w:rsidR="00DE4AFD" w:rsidRPr="00227F09" w:rsidRDefault="004A4F56" w:rsidP="003F7776">
            <w:pPr>
              <w:pStyle w:val="HR"/>
              <w:spacing w:after="0" w:line="240" w:lineRule="auto"/>
              <w:ind w:firstLineChars="0" w:firstLine="0"/>
              <w:jc w:val="both"/>
              <w:rPr>
                <w:rFonts w:cs="Times New Roman"/>
                <w:b/>
                <w:kern w:val="0"/>
                <w:sz w:val="21"/>
                <w:szCs w:val="21"/>
                <w:lang w:val="en-US" w:eastAsia="zh-CN"/>
              </w:rPr>
            </w:pPr>
            <w:r w:rsidRPr="00227F09">
              <w:rPr>
                <w:rFonts w:eastAsia="Times New Roman" w:cs="Times New Roman"/>
                <w:b/>
                <w:bCs/>
                <w:kern w:val="0"/>
                <w:sz w:val="21"/>
                <w:szCs w:val="21"/>
                <w:lang w:val="en-US" w:eastAsia="zh-CN"/>
              </w:rPr>
              <w:t>Grade 3 or 4</w:t>
            </w:r>
          </w:p>
          <w:p w14:paraId="7613F240" w14:textId="77777777" w:rsidR="00DE4AFD" w:rsidRPr="00227F09" w:rsidRDefault="004A4F56" w:rsidP="003F7776">
            <w:pPr>
              <w:pStyle w:val="HR"/>
              <w:spacing w:after="0" w:line="240" w:lineRule="auto"/>
              <w:ind w:firstLineChars="0" w:firstLine="0"/>
              <w:jc w:val="both"/>
              <w:rPr>
                <w:rFonts w:cs="Times New Roman"/>
                <w:b/>
                <w:sz w:val="21"/>
                <w:szCs w:val="21"/>
                <w:lang w:val="en-US" w:eastAsia="zh-CN"/>
              </w:rPr>
            </w:pPr>
            <w:r w:rsidRPr="00227F09">
              <w:rPr>
                <w:rFonts w:eastAsia="Times New Roman" w:cs="Times New Roman"/>
                <w:color w:val="333333"/>
                <w:kern w:val="0"/>
                <w:sz w:val="21"/>
                <w:szCs w:val="21"/>
                <w:lang w:val="en-US" w:eastAsia="zh-CN"/>
              </w:rPr>
              <w:t>Expected to be non-treatable/irreversible after dose reduction</w:t>
            </w:r>
          </w:p>
        </w:tc>
        <w:tc>
          <w:tcPr>
            <w:tcW w:w="4531" w:type="dxa"/>
          </w:tcPr>
          <w:p w14:paraId="7641717D" w14:textId="77777777" w:rsidR="00DE4AFD" w:rsidRPr="00227F09" w:rsidRDefault="004A4F56" w:rsidP="003F7776">
            <w:pPr>
              <w:pStyle w:val="HR"/>
              <w:spacing w:after="0" w:line="240" w:lineRule="auto"/>
              <w:ind w:firstLineChars="0" w:firstLine="0"/>
              <w:jc w:val="both"/>
              <w:rPr>
                <w:rFonts w:cs="Times New Roman"/>
                <w:b/>
                <w:sz w:val="21"/>
                <w:szCs w:val="21"/>
                <w:lang w:val="en-US" w:eastAsia="zh-CN"/>
              </w:rPr>
            </w:pPr>
            <w:r w:rsidRPr="00227F09">
              <w:rPr>
                <w:rFonts w:eastAsia="Times New Roman" w:cs="Times New Roman"/>
                <w:kern w:val="0"/>
                <w:sz w:val="21"/>
                <w:szCs w:val="21"/>
                <w:lang w:eastAsia="zh-CN"/>
              </w:rPr>
              <w:t>Discontinuation of investigational product</w:t>
            </w:r>
          </w:p>
        </w:tc>
      </w:tr>
    </w:tbl>
    <w:p w14:paraId="24D17A0F" w14:textId="77777777" w:rsidR="00DE4AFD" w:rsidRPr="00303844" w:rsidRDefault="004A4F56" w:rsidP="00B24BFE">
      <w:pPr>
        <w:widowControl/>
        <w:autoSpaceDE w:val="0"/>
        <w:autoSpaceDN w:val="0"/>
        <w:adjustRightInd w:val="0"/>
        <w:rPr>
          <w:rFonts w:ascii="Times New Roman" w:eastAsia="宋体" w:hAnsi="Times New Roman" w:cs="Times New Roman"/>
          <w:kern w:val="0"/>
        </w:rPr>
      </w:pPr>
      <w:r w:rsidRPr="00303844">
        <w:rPr>
          <w:rFonts w:ascii="Times New Roman" w:eastAsia="Times New Roman" w:hAnsi="Times New Roman" w:cs="Times New Roman"/>
          <w:kern w:val="0"/>
          <w:vertAlign w:val="subscript"/>
        </w:rPr>
        <w:lastRenderedPageBreak/>
        <w:t xml:space="preserve">c </w:t>
      </w:r>
      <w:proofErr w:type="gramStart"/>
      <w:r w:rsidRPr="00303844">
        <w:rPr>
          <w:rFonts w:ascii="Times New Roman" w:eastAsia="Times New Roman" w:hAnsi="Times New Roman" w:cs="Times New Roman"/>
          <w:kern w:val="0"/>
        </w:rPr>
        <w:t>For</w:t>
      </w:r>
      <w:proofErr w:type="gramEnd"/>
      <w:r w:rsidRPr="00303844">
        <w:rPr>
          <w:rFonts w:ascii="Times New Roman" w:eastAsia="Times New Roman" w:hAnsi="Times New Roman" w:cs="Times New Roman"/>
          <w:kern w:val="0"/>
        </w:rPr>
        <w:t xml:space="preserve"> patients whose toxicity resolution exceeds 28 days, the study treatment should generally be discontinued; unless judged by the investigator that the patient still has clinical benefit, the investigator should agree with the sponsor whether the patient should continue study treatment. </w:t>
      </w:r>
    </w:p>
    <w:p w14:paraId="13445B55" w14:textId="4556671C" w:rsidR="00DE4AFD" w:rsidRPr="00303844" w:rsidRDefault="004A4F56" w:rsidP="00B24BFE">
      <w:pPr>
        <w:widowControl/>
        <w:autoSpaceDE w:val="0"/>
        <w:autoSpaceDN w:val="0"/>
        <w:adjustRightInd w:val="0"/>
        <w:rPr>
          <w:rFonts w:ascii="Times New Roman" w:eastAsia="宋体" w:hAnsi="Times New Roman" w:cs="Times New Roman"/>
          <w:kern w:val="0"/>
        </w:rPr>
      </w:pPr>
      <w:r w:rsidRPr="00303844">
        <w:rPr>
          <w:rFonts w:ascii="Times New Roman" w:eastAsia="Times New Roman" w:hAnsi="Times New Roman" w:cs="Times New Roman"/>
          <w:kern w:val="0"/>
          <w:vertAlign w:val="subscript"/>
        </w:rPr>
        <w:t>d</w:t>
      </w:r>
      <w:r w:rsidR="00C6522E">
        <w:rPr>
          <w:rFonts w:ascii="Times New Roman" w:hAnsi="Times New Roman" w:cs="Times New Roman" w:hint="eastAsia"/>
          <w:kern w:val="0"/>
          <w:vertAlign w:val="subscript"/>
        </w:rPr>
        <w:t xml:space="preserve"> </w:t>
      </w:r>
      <w:proofErr w:type="gramStart"/>
      <w:r w:rsidRPr="00303844">
        <w:rPr>
          <w:rFonts w:ascii="Times New Roman" w:eastAsia="Times New Roman" w:hAnsi="Times New Roman" w:cs="Times New Roman"/>
          <w:kern w:val="0"/>
        </w:rPr>
        <w:t>For</w:t>
      </w:r>
      <w:proofErr w:type="gramEnd"/>
      <w:r w:rsidRPr="00303844">
        <w:rPr>
          <w:rFonts w:ascii="Times New Roman" w:eastAsia="Times New Roman" w:hAnsi="Times New Roman" w:cs="Times New Roman"/>
          <w:kern w:val="0"/>
        </w:rPr>
        <w:t xml:space="preserve"> nausea, vomiting, or </w:t>
      </w:r>
      <w:proofErr w:type="spellStart"/>
      <w:r w:rsidRPr="00303844">
        <w:rPr>
          <w:rFonts w:ascii="Times New Roman" w:eastAsia="Times New Roman" w:hAnsi="Times New Roman" w:cs="Times New Roman"/>
          <w:kern w:val="0"/>
        </w:rPr>
        <w:t>diarrhoea</w:t>
      </w:r>
      <w:proofErr w:type="spellEnd"/>
      <w:r w:rsidRPr="00303844">
        <w:rPr>
          <w:rFonts w:ascii="Times New Roman" w:eastAsia="Times New Roman" w:hAnsi="Times New Roman" w:cs="Times New Roman"/>
          <w:kern w:val="0"/>
        </w:rPr>
        <w:t>, supportive treatment should first be administered. Investigational product</w:t>
      </w:r>
      <w:r w:rsidRPr="00303844">
        <w:rPr>
          <w:rFonts w:ascii="Times New Roman" w:eastAsia="Times New Roman" w:hAnsi="Times New Roman" w:cs="Times New Roman"/>
          <w:color w:val="333333"/>
          <w:kern w:val="0"/>
        </w:rPr>
        <w:t xml:space="preserve"> should be withheld until toxicity returns to ≤ Grade 1 or baseline.</w:t>
      </w:r>
      <w:r w:rsidRPr="00303844">
        <w:rPr>
          <w:rFonts w:ascii="Times New Roman" w:eastAsia="Times New Roman" w:hAnsi="Times New Roman" w:cs="Times New Roman"/>
          <w:kern w:val="0"/>
        </w:rPr>
        <w:t xml:space="preserve"> Additionally, for adverse reactions that the investigator believes are unlikely to develop into serious or life-threatening toxicity events and the patient can tolerate, under the premise of actively providing symptomatic treatment, the study treatment can be maintained at the same dose level without dose reduction or interruption, such as </w:t>
      </w:r>
      <w:proofErr w:type="spellStart"/>
      <w:r w:rsidRPr="00303844">
        <w:rPr>
          <w:rFonts w:ascii="Times New Roman" w:eastAsia="Times New Roman" w:hAnsi="Times New Roman" w:cs="Times New Roman"/>
          <w:kern w:val="0"/>
        </w:rPr>
        <w:t>hyperuricaemia</w:t>
      </w:r>
      <w:proofErr w:type="spellEnd"/>
      <w:r w:rsidRPr="00303844">
        <w:rPr>
          <w:rFonts w:ascii="Times New Roman" w:eastAsia="Times New Roman" w:hAnsi="Times New Roman" w:cs="Times New Roman"/>
          <w:kern w:val="0"/>
        </w:rPr>
        <w:t xml:space="preserve"> and </w:t>
      </w:r>
      <w:proofErr w:type="spellStart"/>
      <w:r w:rsidRPr="00303844">
        <w:rPr>
          <w:rFonts w:ascii="Times New Roman" w:eastAsia="Times New Roman" w:hAnsi="Times New Roman" w:cs="Times New Roman"/>
          <w:kern w:val="0"/>
        </w:rPr>
        <w:t>hypophosphataemia</w:t>
      </w:r>
      <w:proofErr w:type="spellEnd"/>
      <w:r w:rsidRPr="00303844">
        <w:rPr>
          <w:rFonts w:ascii="Times New Roman" w:eastAsia="Times New Roman" w:hAnsi="Times New Roman" w:cs="Times New Roman"/>
          <w:kern w:val="0"/>
        </w:rPr>
        <w:t xml:space="preserve"> found in laboratory tests, or alopecia, etc. </w:t>
      </w:r>
    </w:p>
    <w:p w14:paraId="4070831A" w14:textId="77777777" w:rsidR="00DE4AFD" w:rsidRPr="00AF1F77" w:rsidRDefault="004A4F56" w:rsidP="00E0412F">
      <w:pPr>
        <w:pStyle w:val="HR"/>
        <w:spacing w:after="0"/>
        <w:ind w:firstLineChars="0" w:firstLine="0"/>
        <w:jc w:val="both"/>
        <w:rPr>
          <w:rFonts w:cs="Times New Roman"/>
          <w:kern w:val="0"/>
          <w:lang w:val="en-US" w:eastAsia="zh-CN"/>
        </w:rPr>
      </w:pPr>
      <w:r w:rsidRPr="00AF1F77">
        <w:rPr>
          <w:rFonts w:eastAsia="Times New Roman" w:cs="Times New Roman"/>
          <w:kern w:val="0"/>
          <w:lang w:val="en-US" w:eastAsia="zh-CN"/>
        </w:rPr>
        <w:t xml:space="preserve">During treatment with </w:t>
      </w:r>
      <w:proofErr w:type="spellStart"/>
      <w:r w:rsidRPr="00AF1F77">
        <w:rPr>
          <w:rFonts w:eastAsia="Times New Roman" w:cs="Times New Roman"/>
          <w:kern w:val="0"/>
          <w:lang w:val="en-US" w:eastAsia="zh-CN"/>
        </w:rPr>
        <w:t>camrelizumab</w:t>
      </w:r>
      <w:proofErr w:type="spellEnd"/>
      <w:r w:rsidRPr="00AF1F77">
        <w:rPr>
          <w:rFonts w:eastAsia="Times New Roman" w:cs="Times New Roman"/>
          <w:kern w:val="0"/>
          <w:lang w:val="en-US" w:eastAsia="zh-CN"/>
        </w:rPr>
        <w:t xml:space="preserve">, atypical responses may be observed (e.g., temporary enlargement of </w:t>
      </w:r>
      <w:r w:rsidRPr="00AF1F77">
        <w:rPr>
          <w:rFonts w:eastAsia="Times New Roman" w:cs="Times New Roman"/>
          <w:color w:val="000000"/>
          <w:kern w:val="0"/>
          <w:lang w:val="en-US" w:eastAsia="zh-CN"/>
        </w:rPr>
        <w:t>tumor</w:t>
      </w:r>
      <w:r w:rsidRPr="00AF1F77">
        <w:rPr>
          <w:rFonts w:eastAsia="Times New Roman" w:cs="Times New Roman"/>
          <w:kern w:val="0"/>
          <w:lang w:val="en-US" w:eastAsia="zh-CN"/>
        </w:rPr>
        <w:t xml:space="preserve">s or appearance of new small lesions in the first few months, followed by </w:t>
      </w:r>
      <w:r w:rsidRPr="00AF1F77">
        <w:rPr>
          <w:rFonts w:eastAsia="Times New Roman" w:cs="Times New Roman"/>
          <w:color w:val="000000"/>
          <w:kern w:val="0"/>
          <w:lang w:val="en-US" w:eastAsia="zh-CN"/>
        </w:rPr>
        <w:t>tumor</w:t>
      </w:r>
      <w:r w:rsidRPr="00AF1F77">
        <w:rPr>
          <w:rFonts w:eastAsia="Times New Roman" w:cs="Times New Roman"/>
          <w:kern w:val="0"/>
          <w:lang w:val="en-US" w:eastAsia="zh-CN"/>
        </w:rPr>
        <w:t xml:space="preserve"> shrinkage). If the patient's clinical symptoms are stable or continuously improving, even if there is preliminary imaging evidence of disease progression, based on the assessment of overall clinical benefit, consideration can be given to continuing treatment with </w:t>
      </w:r>
      <w:proofErr w:type="spellStart"/>
      <w:r w:rsidRPr="00AF1F77">
        <w:rPr>
          <w:rFonts w:eastAsia="Times New Roman" w:cs="Times New Roman"/>
          <w:kern w:val="0"/>
          <w:lang w:val="en-US" w:eastAsia="zh-CN"/>
        </w:rPr>
        <w:t>camrelizumab</w:t>
      </w:r>
      <w:proofErr w:type="spellEnd"/>
      <w:r w:rsidRPr="00AF1F77">
        <w:rPr>
          <w:rFonts w:eastAsia="Times New Roman" w:cs="Times New Roman"/>
          <w:kern w:val="0"/>
          <w:lang w:val="en-US" w:eastAsia="zh-CN"/>
        </w:rPr>
        <w:t xml:space="preserve"> until disease progression is confirmed or intolerable toxicity occurs. </w:t>
      </w:r>
    </w:p>
    <w:p w14:paraId="37625144" w14:textId="77777777" w:rsidR="00DE4AFD" w:rsidRPr="00AF1F77" w:rsidRDefault="004A4F56" w:rsidP="00E0412F">
      <w:pPr>
        <w:pStyle w:val="HR"/>
        <w:spacing w:after="0"/>
        <w:ind w:firstLineChars="0" w:firstLine="0"/>
        <w:jc w:val="both"/>
        <w:rPr>
          <w:rFonts w:cs="Times New Roman"/>
          <w:kern w:val="0"/>
          <w:lang w:val="en-US" w:eastAsia="zh-CN"/>
        </w:rPr>
      </w:pPr>
      <w:r w:rsidRPr="00AF1F77">
        <w:rPr>
          <w:rFonts w:eastAsia="Times New Roman" w:cs="Times New Roman"/>
          <w:color w:val="333333"/>
          <w:kern w:val="0"/>
          <w:lang w:val="en-US" w:eastAsia="zh-CN"/>
        </w:rPr>
        <w:t>Dose interruption or discontinuation may be required based on individual safety and tolerability.</w:t>
      </w:r>
      <w:r w:rsidRPr="00AF1F77">
        <w:rPr>
          <w:rFonts w:eastAsia="Times New Roman" w:cs="Times New Roman"/>
          <w:kern w:val="0"/>
          <w:lang w:val="en-US" w:eastAsia="zh-CN"/>
        </w:rPr>
        <w:t xml:space="preserve"> </w:t>
      </w:r>
      <w:r w:rsidRPr="00AF1F77">
        <w:rPr>
          <w:rFonts w:eastAsia="Times New Roman" w:cs="Times New Roman"/>
          <w:color w:val="333333"/>
          <w:kern w:val="0"/>
          <w:lang w:val="en-US" w:eastAsia="zh-CN"/>
        </w:rPr>
        <w:t>Dose increase or decrease was not recommended.</w:t>
      </w:r>
      <w:r w:rsidRPr="00AF1F77">
        <w:rPr>
          <w:rFonts w:eastAsia="Times New Roman" w:cs="Times New Roman"/>
          <w:kern w:val="0"/>
          <w:lang w:val="en-US" w:eastAsia="zh-CN"/>
        </w:rPr>
        <w:t xml:space="preserve"> </w:t>
      </w:r>
      <w:r w:rsidRPr="00AF1F77">
        <w:rPr>
          <w:rFonts w:eastAsia="Times New Roman" w:cs="Times New Roman"/>
          <w:color w:val="333333"/>
          <w:kern w:val="0"/>
          <w:lang w:val="en-US" w:eastAsia="zh-CN"/>
        </w:rPr>
        <w:t>Specific adjustment protocols for dose interruption or permanent discontinuation are shown in Table 6.</w:t>
      </w:r>
      <w:r w:rsidRPr="00AF1F77">
        <w:rPr>
          <w:rFonts w:eastAsia="Times New Roman" w:cs="Times New Roman"/>
          <w:kern w:val="0"/>
          <w:lang w:val="en-US" w:eastAsia="zh-CN"/>
        </w:rPr>
        <w:t xml:space="preserve"> </w:t>
      </w:r>
    </w:p>
    <w:p w14:paraId="51D468DB" w14:textId="77777777" w:rsidR="00DE4AFD" w:rsidRPr="00AF1F77" w:rsidRDefault="004A4F56" w:rsidP="000C622D">
      <w:pPr>
        <w:pStyle w:val="HR"/>
        <w:spacing w:after="0"/>
        <w:ind w:firstLineChars="0" w:firstLine="0"/>
        <w:jc w:val="both"/>
        <w:rPr>
          <w:rFonts w:cs="Times New Roman"/>
          <w:b/>
          <w:kern w:val="0"/>
          <w:lang w:val="en-US" w:eastAsia="zh-CN"/>
        </w:rPr>
      </w:pPr>
      <w:r w:rsidRPr="00AF1F77">
        <w:rPr>
          <w:rFonts w:eastAsia="Times New Roman" w:cs="Times New Roman"/>
          <w:b/>
          <w:bCs/>
          <w:kern w:val="0"/>
          <w:lang w:val="en-US" w:eastAsia="zh-CN"/>
        </w:rPr>
        <w:t xml:space="preserve">Table 6 Recommended Dose Adjustment Plan for </w:t>
      </w:r>
      <w:proofErr w:type="spellStart"/>
      <w:r w:rsidRPr="00AF1F77">
        <w:rPr>
          <w:rFonts w:eastAsia="Times New Roman" w:cs="Times New Roman"/>
          <w:b/>
          <w:bCs/>
          <w:kern w:val="0"/>
          <w:lang w:val="en-US" w:eastAsia="zh-CN"/>
        </w:rPr>
        <w:t>Camrelizumab</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405"/>
        <w:gridCol w:w="3796"/>
        <w:gridCol w:w="2815"/>
      </w:tblGrid>
      <w:tr w:rsidR="00DE4AFD" w:rsidRPr="00227F09" w14:paraId="169DEFDC" w14:textId="77777777" w:rsidTr="00E7716E">
        <w:trPr>
          <w:tblHeader/>
        </w:trPr>
        <w:tc>
          <w:tcPr>
            <w:tcW w:w="1334" w:type="pct"/>
            <w:shd w:val="clear" w:color="auto" w:fill="auto"/>
            <w:vAlign w:val="center"/>
          </w:tcPr>
          <w:p w14:paraId="5CC77A84" w14:textId="77777777" w:rsidR="00DE4AFD" w:rsidRPr="00227F09" w:rsidRDefault="00DE4AFD" w:rsidP="003F7776">
            <w:pPr>
              <w:pStyle w:val="-"/>
              <w:spacing w:after="0" w:line="240" w:lineRule="auto"/>
              <w:jc w:val="both"/>
              <w:rPr>
                <w:rFonts w:cs="Times New Roman"/>
                <w:b w:val="0"/>
                <w:szCs w:val="21"/>
              </w:rPr>
            </w:pPr>
          </w:p>
        </w:tc>
        <w:tc>
          <w:tcPr>
            <w:tcW w:w="2105" w:type="pct"/>
            <w:shd w:val="clear" w:color="auto" w:fill="auto"/>
            <w:vAlign w:val="center"/>
          </w:tcPr>
          <w:p w14:paraId="6BB3F570" w14:textId="77777777" w:rsidR="00DE4AFD" w:rsidRPr="00227F09" w:rsidRDefault="004A4F56" w:rsidP="003F7776">
            <w:pPr>
              <w:pStyle w:val="-"/>
              <w:spacing w:after="0" w:line="240" w:lineRule="auto"/>
              <w:jc w:val="both"/>
              <w:rPr>
                <w:rFonts w:cs="Times New Roman"/>
                <w:b w:val="0"/>
                <w:szCs w:val="21"/>
              </w:rPr>
            </w:pPr>
            <w:r w:rsidRPr="00227F09">
              <w:rPr>
                <w:rFonts w:eastAsia="Times New Roman" w:cs="Times New Roman"/>
                <w:szCs w:val="21"/>
              </w:rPr>
              <w:t>Severity‡</w:t>
            </w:r>
          </w:p>
        </w:tc>
        <w:tc>
          <w:tcPr>
            <w:tcW w:w="1561" w:type="pct"/>
            <w:shd w:val="clear" w:color="auto" w:fill="auto"/>
            <w:vAlign w:val="center"/>
          </w:tcPr>
          <w:p w14:paraId="71DBC192" w14:textId="77777777" w:rsidR="00DE4AFD" w:rsidRPr="00227F09" w:rsidRDefault="004A4F56" w:rsidP="003F7776">
            <w:pPr>
              <w:pStyle w:val="-"/>
              <w:spacing w:after="0" w:line="240" w:lineRule="auto"/>
              <w:jc w:val="both"/>
              <w:rPr>
                <w:rFonts w:cs="Times New Roman"/>
                <w:szCs w:val="21"/>
              </w:rPr>
            </w:pPr>
            <w:r w:rsidRPr="00227F09">
              <w:rPr>
                <w:rFonts w:eastAsia="Times New Roman" w:cs="Times New Roman"/>
                <w:szCs w:val="21"/>
              </w:rPr>
              <w:t>Treatment Modification Plan</w:t>
            </w:r>
          </w:p>
        </w:tc>
      </w:tr>
      <w:tr w:rsidR="00DE4AFD" w:rsidRPr="00227F09" w14:paraId="6A069ABE" w14:textId="77777777" w:rsidTr="00E7716E">
        <w:tc>
          <w:tcPr>
            <w:tcW w:w="1334" w:type="pct"/>
            <w:vMerge w:val="restart"/>
            <w:shd w:val="clear" w:color="auto" w:fill="auto"/>
            <w:vAlign w:val="center"/>
          </w:tcPr>
          <w:p w14:paraId="44077B1A"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b/>
                <w:bCs/>
                <w:szCs w:val="21"/>
              </w:rPr>
              <w:t>Reactive capillary endothelial proliferation</w:t>
            </w:r>
            <w:r w:rsidRPr="00227F09">
              <w:rPr>
                <w:rFonts w:eastAsia="Times New Roman" w:cs="Times New Roman"/>
                <w:szCs w:val="21"/>
              </w:rPr>
              <w:t>*</w:t>
            </w:r>
          </w:p>
        </w:tc>
        <w:tc>
          <w:tcPr>
            <w:tcW w:w="2105" w:type="pct"/>
            <w:shd w:val="clear" w:color="auto" w:fill="auto"/>
            <w:vAlign w:val="center"/>
          </w:tcPr>
          <w:p w14:paraId="6E0A666A"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3</w:t>
            </w:r>
          </w:p>
        </w:tc>
        <w:tc>
          <w:tcPr>
            <w:tcW w:w="1561" w:type="pct"/>
            <w:shd w:val="clear" w:color="auto" w:fill="auto"/>
            <w:vAlign w:val="center"/>
          </w:tcPr>
          <w:p w14:paraId="2007E5C6"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Interrupt medication until the adverse reaction recovers to Grade 0-1. </w:t>
            </w:r>
          </w:p>
        </w:tc>
      </w:tr>
      <w:tr w:rsidR="00DE4AFD" w:rsidRPr="00227F09" w14:paraId="677E2486" w14:textId="77777777" w:rsidTr="00E7716E">
        <w:tc>
          <w:tcPr>
            <w:tcW w:w="1334" w:type="pct"/>
            <w:vMerge/>
            <w:shd w:val="clear" w:color="auto" w:fill="auto"/>
            <w:vAlign w:val="center"/>
          </w:tcPr>
          <w:p w14:paraId="1A6B659C" w14:textId="77777777" w:rsidR="00DE4AFD" w:rsidRPr="00227F09" w:rsidRDefault="00DE4AFD" w:rsidP="003F7776">
            <w:pPr>
              <w:pStyle w:val="aff"/>
              <w:spacing w:after="0" w:line="240" w:lineRule="auto"/>
              <w:jc w:val="both"/>
              <w:rPr>
                <w:rFonts w:cs="Times New Roman"/>
                <w:szCs w:val="21"/>
              </w:rPr>
            </w:pPr>
          </w:p>
        </w:tc>
        <w:tc>
          <w:tcPr>
            <w:tcW w:w="2105" w:type="pct"/>
            <w:shd w:val="clear" w:color="auto" w:fill="auto"/>
            <w:vAlign w:val="center"/>
          </w:tcPr>
          <w:p w14:paraId="2525CB72"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4</w:t>
            </w:r>
          </w:p>
        </w:tc>
        <w:tc>
          <w:tcPr>
            <w:tcW w:w="1561" w:type="pct"/>
            <w:shd w:val="clear" w:color="auto" w:fill="auto"/>
            <w:vAlign w:val="center"/>
          </w:tcPr>
          <w:p w14:paraId="35FA899D" w14:textId="53A16C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Permanent </w:t>
            </w:r>
            <w:r w:rsidR="00336D6F">
              <w:rPr>
                <w:rFonts w:eastAsiaTheme="minorEastAsia" w:cs="Times New Roman" w:hint="eastAsia"/>
                <w:szCs w:val="21"/>
              </w:rPr>
              <w:t>d</w:t>
            </w:r>
            <w:r w:rsidR="00336D6F" w:rsidRPr="00227F09">
              <w:rPr>
                <w:rFonts w:eastAsia="Times New Roman" w:cs="Times New Roman"/>
                <w:szCs w:val="21"/>
              </w:rPr>
              <w:t>iscontinuation</w:t>
            </w:r>
          </w:p>
        </w:tc>
      </w:tr>
      <w:tr w:rsidR="00DE4AFD" w:rsidRPr="00227F09" w14:paraId="1B0337B8" w14:textId="77777777" w:rsidTr="008300AC">
        <w:tc>
          <w:tcPr>
            <w:tcW w:w="5000" w:type="pct"/>
            <w:gridSpan w:val="3"/>
            <w:shd w:val="clear" w:color="auto" w:fill="auto"/>
            <w:vAlign w:val="center"/>
          </w:tcPr>
          <w:p w14:paraId="6D4C165F" w14:textId="77777777" w:rsidR="00DE4AFD" w:rsidRPr="00227F09" w:rsidRDefault="004A4F56" w:rsidP="003F7776">
            <w:pPr>
              <w:pStyle w:val="aff"/>
              <w:spacing w:after="0" w:line="240" w:lineRule="auto"/>
              <w:jc w:val="both"/>
              <w:rPr>
                <w:rFonts w:cs="Times New Roman"/>
                <w:b/>
                <w:szCs w:val="21"/>
              </w:rPr>
            </w:pPr>
            <w:r w:rsidRPr="00227F09">
              <w:rPr>
                <w:rFonts w:eastAsia="Times New Roman" w:cs="Times New Roman"/>
                <w:b/>
                <w:bCs/>
                <w:szCs w:val="21"/>
              </w:rPr>
              <w:t>Immune-Related Adverse Reactions</w:t>
            </w:r>
          </w:p>
        </w:tc>
      </w:tr>
      <w:tr w:rsidR="00DE4AFD" w:rsidRPr="00227F09" w14:paraId="4F21888B" w14:textId="77777777" w:rsidTr="00E7716E">
        <w:tc>
          <w:tcPr>
            <w:tcW w:w="1334" w:type="pct"/>
            <w:vMerge w:val="restart"/>
            <w:shd w:val="clear" w:color="auto" w:fill="auto"/>
            <w:vAlign w:val="center"/>
          </w:tcPr>
          <w:p w14:paraId="657D5566" w14:textId="77777777" w:rsidR="00DE4AFD" w:rsidRPr="00227F09" w:rsidRDefault="004A4F56" w:rsidP="00E92AB7">
            <w:pPr>
              <w:pStyle w:val="aff"/>
              <w:spacing w:after="0" w:line="240" w:lineRule="auto"/>
              <w:ind w:leftChars="100" w:left="210"/>
              <w:jc w:val="both"/>
              <w:rPr>
                <w:rFonts w:cs="Times New Roman"/>
                <w:szCs w:val="21"/>
              </w:rPr>
            </w:pPr>
            <w:r w:rsidRPr="00227F09">
              <w:rPr>
                <w:rFonts w:eastAsia="Times New Roman" w:cs="Times New Roman"/>
                <w:szCs w:val="21"/>
              </w:rPr>
              <w:t>Pneumonia</w:t>
            </w:r>
          </w:p>
        </w:tc>
        <w:tc>
          <w:tcPr>
            <w:tcW w:w="2105" w:type="pct"/>
            <w:shd w:val="clear" w:color="auto" w:fill="auto"/>
            <w:vAlign w:val="center"/>
          </w:tcPr>
          <w:p w14:paraId="144215CE"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2</w:t>
            </w:r>
          </w:p>
        </w:tc>
        <w:tc>
          <w:tcPr>
            <w:tcW w:w="1561" w:type="pct"/>
            <w:shd w:val="clear" w:color="auto" w:fill="auto"/>
            <w:vAlign w:val="center"/>
          </w:tcPr>
          <w:p w14:paraId="464B3AF4"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Interrupt medication until the adverse reaction recovers to Grade 0-1. </w:t>
            </w:r>
          </w:p>
        </w:tc>
      </w:tr>
      <w:tr w:rsidR="00DE4AFD" w:rsidRPr="00227F09" w14:paraId="33C7DE86" w14:textId="77777777" w:rsidTr="00E7716E">
        <w:tc>
          <w:tcPr>
            <w:tcW w:w="1334" w:type="pct"/>
            <w:vMerge/>
            <w:shd w:val="clear" w:color="auto" w:fill="auto"/>
            <w:vAlign w:val="center"/>
          </w:tcPr>
          <w:p w14:paraId="54801788" w14:textId="77777777" w:rsidR="00DE4AFD" w:rsidRPr="00227F09" w:rsidRDefault="00DE4AFD" w:rsidP="00E92AB7">
            <w:pPr>
              <w:pStyle w:val="aff"/>
              <w:spacing w:after="0" w:line="240" w:lineRule="auto"/>
              <w:ind w:leftChars="100" w:left="210"/>
              <w:jc w:val="both"/>
              <w:rPr>
                <w:rFonts w:cs="Times New Roman"/>
                <w:szCs w:val="21"/>
              </w:rPr>
            </w:pPr>
          </w:p>
        </w:tc>
        <w:tc>
          <w:tcPr>
            <w:tcW w:w="2105" w:type="pct"/>
            <w:shd w:val="clear" w:color="auto" w:fill="auto"/>
            <w:vAlign w:val="center"/>
          </w:tcPr>
          <w:p w14:paraId="5113B0D8"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3 or 4 or recurrent Grade 2</w:t>
            </w:r>
          </w:p>
        </w:tc>
        <w:tc>
          <w:tcPr>
            <w:tcW w:w="1561" w:type="pct"/>
            <w:shd w:val="clear" w:color="auto" w:fill="auto"/>
            <w:vAlign w:val="center"/>
          </w:tcPr>
          <w:p w14:paraId="7B7432A5" w14:textId="72CAE73F"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Permanent </w:t>
            </w:r>
            <w:r w:rsidR="00336D6F">
              <w:rPr>
                <w:rFonts w:eastAsiaTheme="minorEastAsia" w:cs="Times New Roman" w:hint="eastAsia"/>
                <w:szCs w:val="21"/>
              </w:rPr>
              <w:t>d</w:t>
            </w:r>
            <w:r w:rsidR="00336D6F" w:rsidRPr="00227F09">
              <w:rPr>
                <w:rFonts w:eastAsia="Times New Roman" w:cs="Times New Roman"/>
                <w:szCs w:val="21"/>
              </w:rPr>
              <w:t>iscontinuation</w:t>
            </w:r>
          </w:p>
        </w:tc>
      </w:tr>
      <w:tr w:rsidR="00DE4AFD" w:rsidRPr="00227F09" w14:paraId="71515B3A" w14:textId="77777777" w:rsidTr="00E7716E">
        <w:tc>
          <w:tcPr>
            <w:tcW w:w="1334" w:type="pct"/>
            <w:vMerge w:val="restart"/>
            <w:shd w:val="clear" w:color="auto" w:fill="auto"/>
            <w:vAlign w:val="center"/>
          </w:tcPr>
          <w:p w14:paraId="15B09AD1" w14:textId="77777777" w:rsidR="00DE4AFD" w:rsidRPr="00227F09" w:rsidRDefault="004A4F56" w:rsidP="00E92AB7">
            <w:pPr>
              <w:pStyle w:val="aff"/>
              <w:spacing w:after="0" w:line="240" w:lineRule="auto"/>
              <w:ind w:leftChars="100" w:left="210"/>
              <w:jc w:val="both"/>
              <w:rPr>
                <w:rFonts w:cs="Times New Roman"/>
                <w:szCs w:val="21"/>
              </w:rPr>
            </w:pPr>
            <w:proofErr w:type="spellStart"/>
            <w:r w:rsidRPr="00227F09">
              <w:rPr>
                <w:rFonts w:eastAsia="Times New Roman" w:cs="Times New Roman"/>
                <w:szCs w:val="21"/>
              </w:rPr>
              <w:t>Diarrhoea</w:t>
            </w:r>
            <w:proofErr w:type="spellEnd"/>
            <w:r w:rsidRPr="00227F09">
              <w:rPr>
                <w:rFonts w:eastAsia="Times New Roman" w:cs="Times New Roman"/>
                <w:szCs w:val="21"/>
              </w:rPr>
              <w:t xml:space="preserve"> and colitis</w:t>
            </w:r>
          </w:p>
        </w:tc>
        <w:tc>
          <w:tcPr>
            <w:tcW w:w="2105" w:type="pct"/>
            <w:shd w:val="clear" w:color="auto" w:fill="auto"/>
            <w:vAlign w:val="center"/>
          </w:tcPr>
          <w:p w14:paraId="332FF920"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2 or 3</w:t>
            </w:r>
          </w:p>
        </w:tc>
        <w:tc>
          <w:tcPr>
            <w:tcW w:w="1561" w:type="pct"/>
            <w:shd w:val="clear" w:color="auto" w:fill="auto"/>
            <w:vAlign w:val="center"/>
          </w:tcPr>
          <w:p w14:paraId="5275191D"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Interrupt medication until the adverse reaction recovers to Grade 0-1. </w:t>
            </w:r>
          </w:p>
        </w:tc>
      </w:tr>
      <w:tr w:rsidR="00DE4AFD" w:rsidRPr="00227F09" w14:paraId="3E2C8EBF" w14:textId="77777777" w:rsidTr="00E7716E">
        <w:tc>
          <w:tcPr>
            <w:tcW w:w="1334" w:type="pct"/>
            <w:vMerge/>
            <w:shd w:val="clear" w:color="auto" w:fill="auto"/>
            <w:vAlign w:val="center"/>
          </w:tcPr>
          <w:p w14:paraId="5925BD46" w14:textId="77777777" w:rsidR="00DE4AFD" w:rsidRPr="00227F09" w:rsidRDefault="00DE4AFD" w:rsidP="00E92AB7">
            <w:pPr>
              <w:pStyle w:val="aff"/>
              <w:spacing w:after="0" w:line="240" w:lineRule="auto"/>
              <w:ind w:leftChars="100" w:left="210"/>
              <w:jc w:val="both"/>
              <w:rPr>
                <w:rFonts w:cs="Times New Roman"/>
                <w:szCs w:val="21"/>
              </w:rPr>
            </w:pPr>
          </w:p>
        </w:tc>
        <w:tc>
          <w:tcPr>
            <w:tcW w:w="2105" w:type="pct"/>
            <w:shd w:val="clear" w:color="auto" w:fill="auto"/>
            <w:vAlign w:val="center"/>
          </w:tcPr>
          <w:p w14:paraId="17DB145A"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4</w:t>
            </w:r>
          </w:p>
        </w:tc>
        <w:tc>
          <w:tcPr>
            <w:tcW w:w="1561" w:type="pct"/>
            <w:shd w:val="clear" w:color="auto" w:fill="auto"/>
            <w:vAlign w:val="center"/>
          </w:tcPr>
          <w:p w14:paraId="4AA88614" w14:textId="6D1649CE"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Permanent </w:t>
            </w:r>
            <w:r w:rsidR="00336D6F">
              <w:rPr>
                <w:rFonts w:eastAsiaTheme="minorEastAsia" w:cs="Times New Roman" w:hint="eastAsia"/>
                <w:szCs w:val="21"/>
              </w:rPr>
              <w:t>d</w:t>
            </w:r>
            <w:r w:rsidR="00336D6F" w:rsidRPr="00227F09">
              <w:rPr>
                <w:rFonts w:eastAsia="Times New Roman" w:cs="Times New Roman"/>
                <w:szCs w:val="21"/>
              </w:rPr>
              <w:t>iscontinuation</w:t>
            </w:r>
          </w:p>
        </w:tc>
      </w:tr>
      <w:tr w:rsidR="00DE4AFD" w:rsidRPr="00227F09" w14:paraId="27E58576" w14:textId="77777777" w:rsidTr="00E7716E">
        <w:tc>
          <w:tcPr>
            <w:tcW w:w="1334" w:type="pct"/>
            <w:vMerge w:val="restart"/>
            <w:shd w:val="clear" w:color="auto" w:fill="auto"/>
            <w:vAlign w:val="center"/>
          </w:tcPr>
          <w:p w14:paraId="4E6D1B4A" w14:textId="77777777" w:rsidR="00DE4AFD" w:rsidRPr="00227F09" w:rsidRDefault="004A4F56" w:rsidP="00E92AB7">
            <w:pPr>
              <w:pStyle w:val="aff"/>
              <w:spacing w:after="0" w:line="240" w:lineRule="auto"/>
              <w:ind w:leftChars="100" w:left="210"/>
              <w:jc w:val="both"/>
              <w:rPr>
                <w:rFonts w:cs="Times New Roman"/>
                <w:szCs w:val="21"/>
              </w:rPr>
            </w:pPr>
            <w:r w:rsidRPr="00227F09">
              <w:rPr>
                <w:rFonts w:eastAsia="Times New Roman" w:cs="Times New Roman"/>
                <w:szCs w:val="21"/>
              </w:rPr>
              <w:t>Hepatitis</w:t>
            </w:r>
          </w:p>
          <w:p w14:paraId="4ABCC0EC" w14:textId="77777777" w:rsidR="00DE4AFD" w:rsidRPr="00227F09" w:rsidRDefault="004A4F56" w:rsidP="00E92AB7">
            <w:pPr>
              <w:pStyle w:val="aff"/>
              <w:spacing w:after="0" w:line="240" w:lineRule="auto"/>
              <w:ind w:leftChars="100" w:left="210"/>
              <w:jc w:val="both"/>
              <w:rPr>
                <w:rFonts w:cs="Times New Roman"/>
                <w:szCs w:val="21"/>
              </w:rPr>
            </w:pPr>
            <w:r w:rsidRPr="00227F09">
              <w:rPr>
                <w:rFonts w:eastAsia="Times New Roman" w:cs="Times New Roman"/>
                <w:szCs w:val="21"/>
              </w:rPr>
              <w:t>(Applicable to non-hepatocellular carcinoma patients)</w:t>
            </w:r>
          </w:p>
        </w:tc>
        <w:tc>
          <w:tcPr>
            <w:tcW w:w="2105" w:type="pct"/>
            <w:shd w:val="clear" w:color="auto" w:fill="auto"/>
            <w:vAlign w:val="center"/>
          </w:tcPr>
          <w:p w14:paraId="4641EBCF" w14:textId="77777777" w:rsidR="00DE4AFD" w:rsidRPr="00227F09" w:rsidRDefault="004A4F56" w:rsidP="003F7776">
            <w:pPr>
              <w:pStyle w:val="aff"/>
              <w:spacing w:after="0" w:line="240" w:lineRule="auto"/>
              <w:ind w:left="31"/>
              <w:jc w:val="both"/>
              <w:rPr>
                <w:rFonts w:cs="Times New Roman"/>
                <w:szCs w:val="21"/>
              </w:rPr>
            </w:pPr>
            <w:r w:rsidRPr="00227F09">
              <w:rPr>
                <w:rFonts w:eastAsia="Times New Roman" w:cs="Times New Roman"/>
                <w:szCs w:val="21"/>
              </w:rPr>
              <w:t xml:space="preserve">Grade 2, aspartate aminotransferase (AST) and alanine transaminase (ALT) are at 3-5 × the upper limit of normal (ULN), or total bilirubin (TBIL) is at 1.5-3 × ULN. </w:t>
            </w:r>
          </w:p>
        </w:tc>
        <w:tc>
          <w:tcPr>
            <w:tcW w:w="1561" w:type="pct"/>
            <w:shd w:val="clear" w:color="auto" w:fill="auto"/>
            <w:vAlign w:val="center"/>
          </w:tcPr>
          <w:p w14:paraId="6A004860"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Interrupt medication until the adverse reaction recovers to Grade 0-1. </w:t>
            </w:r>
          </w:p>
        </w:tc>
      </w:tr>
      <w:tr w:rsidR="00DE4AFD" w:rsidRPr="00227F09" w14:paraId="6910CD6D" w14:textId="77777777" w:rsidTr="00E7716E">
        <w:tc>
          <w:tcPr>
            <w:tcW w:w="1334" w:type="pct"/>
            <w:vMerge/>
            <w:shd w:val="clear" w:color="auto" w:fill="auto"/>
            <w:vAlign w:val="center"/>
          </w:tcPr>
          <w:p w14:paraId="2B3DB9A3" w14:textId="77777777" w:rsidR="00DE4AFD" w:rsidRPr="00227F09" w:rsidRDefault="00DE4AFD" w:rsidP="00E92AB7">
            <w:pPr>
              <w:pStyle w:val="aff"/>
              <w:spacing w:after="0" w:line="240" w:lineRule="auto"/>
              <w:ind w:leftChars="100" w:left="210"/>
              <w:jc w:val="both"/>
              <w:rPr>
                <w:rFonts w:cs="Times New Roman"/>
                <w:szCs w:val="21"/>
              </w:rPr>
            </w:pPr>
          </w:p>
        </w:tc>
        <w:tc>
          <w:tcPr>
            <w:tcW w:w="2105" w:type="pct"/>
            <w:shd w:val="clear" w:color="auto" w:fill="auto"/>
            <w:vAlign w:val="center"/>
          </w:tcPr>
          <w:p w14:paraId="7A077DC6" w14:textId="77777777" w:rsidR="00DE4AFD" w:rsidRPr="00227F09" w:rsidRDefault="004A4F56" w:rsidP="003F7776">
            <w:pPr>
              <w:pStyle w:val="aff"/>
              <w:spacing w:after="0" w:line="240" w:lineRule="auto"/>
              <w:ind w:left="31"/>
              <w:jc w:val="both"/>
              <w:rPr>
                <w:rFonts w:cs="Times New Roman"/>
                <w:szCs w:val="21"/>
              </w:rPr>
            </w:pPr>
            <w:r w:rsidRPr="00227F09">
              <w:rPr>
                <w:rFonts w:eastAsia="Times New Roman" w:cs="Times New Roman"/>
                <w:szCs w:val="21"/>
              </w:rPr>
              <w:t>Grade 3 or 4, AST, ALT &gt;5 × ULN, or total bilirubin &gt;3 × ULN</w:t>
            </w:r>
          </w:p>
        </w:tc>
        <w:tc>
          <w:tcPr>
            <w:tcW w:w="1561" w:type="pct"/>
            <w:shd w:val="clear" w:color="auto" w:fill="auto"/>
            <w:vAlign w:val="center"/>
          </w:tcPr>
          <w:p w14:paraId="0C7113C9" w14:textId="0B1A4FA9"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Permanent </w:t>
            </w:r>
            <w:r w:rsidR="00336D6F">
              <w:rPr>
                <w:rFonts w:eastAsiaTheme="minorEastAsia" w:cs="Times New Roman" w:hint="eastAsia"/>
                <w:szCs w:val="21"/>
              </w:rPr>
              <w:t>d</w:t>
            </w:r>
            <w:r w:rsidR="00336D6F" w:rsidRPr="00227F09">
              <w:rPr>
                <w:rFonts w:eastAsia="Times New Roman" w:cs="Times New Roman"/>
                <w:szCs w:val="21"/>
              </w:rPr>
              <w:t>iscontinuation</w:t>
            </w:r>
          </w:p>
        </w:tc>
      </w:tr>
      <w:tr w:rsidR="00DE4AFD" w:rsidRPr="00227F09" w14:paraId="4CC33B77" w14:textId="77777777" w:rsidTr="00E7716E">
        <w:tc>
          <w:tcPr>
            <w:tcW w:w="1334" w:type="pct"/>
            <w:vMerge w:val="restart"/>
            <w:shd w:val="clear" w:color="auto" w:fill="auto"/>
            <w:vAlign w:val="center"/>
          </w:tcPr>
          <w:p w14:paraId="44A5AC68" w14:textId="77777777" w:rsidR="00DE4AFD" w:rsidRPr="00227F09" w:rsidRDefault="004A4F56" w:rsidP="00E92AB7">
            <w:pPr>
              <w:pStyle w:val="aff"/>
              <w:spacing w:after="0" w:line="240" w:lineRule="auto"/>
              <w:ind w:leftChars="100" w:left="210"/>
              <w:jc w:val="both"/>
              <w:rPr>
                <w:rFonts w:cs="Times New Roman"/>
                <w:szCs w:val="21"/>
              </w:rPr>
            </w:pPr>
            <w:r w:rsidRPr="00227F09">
              <w:rPr>
                <w:rFonts w:eastAsia="Times New Roman" w:cs="Times New Roman"/>
                <w:szCs w:val="21"/>
              </w:rPr>
              <w:t>Hepatitis</w:t>
            </w:r>
          </w:p>
          <w:p w14:paraId="22D3FB82" w14:textId="77777777" w:rsidR="00DE4AFD" w:rsidRPr="00227F09" w:rsidRDefault="004A4F56" w:rsidP="00E92AB7">
            <w:pPr>
              <w:pStyle w:val="aff"/>
              <w:spacing w:after="0" w:line="240" w:lineRule="auto"/>
              <w:ind w:leftChars="100" w:left="210"/>
              <w:jc w:val="both"/>
              <w:rPr>
                <w:rFonts w:cs="Times New Roman"/>
                <w:szCs w:val="21"/>
              </w:rPr>
            </w:pPr>
            <w:r w:rsidRPr="00227F09">
              <w:rPr>
                <w:rFonts w:eastAsia="Times New Roman" w:cs="Times New Roman"/>
                <w:szCs w:val="21"/>
              </w:rPr>
              <w:t xml:space="preserve">(Applicable to hepatocellular </w:t>
            </w:r>
            <w:r w:rsidRPr="00227F09">
              <w:rPr>
                <w:rFonts w:eastAsia="Times New Roman" w:cs="Times New Roman"/>
                <w:szCs w:val="21"/>
              </w:rPr>
              <w:lastRenderedPageBreak/>
              <w:t>carcinoma patients)</w:t>
            </w:r>
          </w:p>
        </w:tc>
        <w:tc>
          <w:tcPr>
            <w:tcW w:w="2105" w:type="pct"/>
            <w:shd w:val="clear" w:color="auto" w:fill="auto"/>
            <w:vAlign w:val="center"/>
          </w:tcPr>
          <w:p w14:paraId="39646904" w14:textId="77777777" w:rsidR="00DE4AFD" w:rsidRPr="00227F09" w:rsidRDefault="004A4F56" w:rsidP="003F7776">
            <w:pPr>
              <w:pStyle w:val="aff"/>
              <w:spacing w:after="0" w:line="240" w:lineRule="auto"/>
              <w:ind w:left="31"/>
              <w:jc w:val="both"/>
              <w:rPr>
                <w:rFonts w:cs="Times New Roman"/>
                <w:szCs w:val="21"/>
              </w:rPr>
            </w:pPr>
            <w:r w:rsidRPr="00227F09">
              <w:rPr>
                <w:rFonts w:eastAsia="Times New Roman" w:cs="Times New Roman"/>
                <w:szCs w:val="21"/>
              </w:rPr>
              <w:lastRenderedPageBreak/>
              <w:t>AST or ALT: 3-5 × ULN, if baseline is within normal range</w:t>
            </w:r>
          </w:p>
          <w:p w14:paraId="5C1DA088" w14:textId="77777777" w:rsidR="00DE4AFD" w:rsidRPr="00227F09" w:rsidRDefault="004A4F56" w:rsidP="003F7776">
            <w:pPr>
              <w:pStyle w:val="aff"/>
              <w:spacing w:after="0" w:line="240" w:lineRule="auto"/>
              <w:ind w:left="31"/>
              <w:jc w:val="both"/>
              <w:rPr>
                <w:rFonts w:cs="Times New Roman"/>
                <w:szCs w:val="21"/>
              </w:rPr>
            </w:pPr>
            <w:r w:rsidRPr="00227F09">
              <w:rPr>
                <w:rFonts w:eastAsia="Times New Roman" w:cs="Times New Roman"/>
                <w:szCs w:val="21"/>
              </w:rPr>
              <w:t xml:space="preserve">AST or ALT: 5-10 × ULN, if baseline AST </w:t>
            </w:r>
            <w:r w:rsidRPr="00227F09">
              <w:rPr>
                <w:rFonts w:eastAsia="Times New Roman" w:cs="Times New Roman"/>
                <w:szCs w:val="21"/>
              </w:rPr>
              <w:lastRenderedPageBreak/>
              <w:t>or ALT is between 1-3 × ULN</w:t>
            </w:r>
          </w:p>
          <w:p w14:paraId="77A478B0" w14:textId="77777777" w:rsidR="00DE4AFD" w:rsidRPr="00227F09" w:rsidRDefault="004A4F56" w:rsidP="003F7776">
            <w:pPr>
              <w:pStyle w:val="aff"/>
              <w:spacing w:after="0" w:line="240" w:lineRule="auto"/>
              <w:ind w:left="31"/>
              <w:jc w:val="both"/>
              <w:rPr>
                <w:rFonts w:cs="Times New Roman"/>
                <w:szCs w:val="21"/>
              </w:rPr>
            </w:pPr>
            <w:r w:rsidRPr="00227F09">
              <w:rPr>
                <w:rFonts w:eastAsia="Times New Roman" w:cs="Times New Roman"/>
                <w:szCs w:val="21"/>
              </w:rPr>
              <w:t>AST or ALT: 8-10 × ULN, if baseline is 3-5 × ULN</w:t>
            </w:r>
          </w:p>
          <w:p w14:paraId="7BB6FEBB" w14:textId="77777777" w:rsidR="00DE4AFD" w:rsidRPr="00227F09" w:rsidRDefault="004A4F56" w:rsidP="003F7776">
            <w:pPr>
              <w:pStyle w:val="aff"/>
              <w:spacing w:after="0" w:line="240" w:lineRule="auto"/>
              <w:ind w:left="31"/>
              <w:jc w:val="both"/>
              <w:rPr>
                <w:rFonts w:cs="Times New Roman"/>
                <w:szCs w:val="21"/>
              </w:rPr>
            </w:pPr>
            <w:r w:rsidRPr="00227F09">
              <w:rPr>
                <w:rFonts w:eastAsia="Times New Roman" w:cs="Times New Roman"/>
                <w:szCs w:val="21"/>
              </w:rPr>
              <w:t>Total bilirubin: 1.5-3 × ULN</w:t>
            </w:r>
          </w:p>
        </w:tc>
        <w:tc>
          <w:tcPr>
            <w:tcW w:w="1561" w:type="pct"/>
            <w:shd w:val="clear" w:color="auto" w:fill="auto"/>
            <w:vAlign w:val="center"/>
          </w:tcPr>
          <w:p w14:paraId="36574372"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lastRenderedPageBreak/>
              <w:t xml:space="preserve">Interrupt medication until the adverse reaction recovers to Grade 0-1 or returns to baseline, </w:t>
            </w:r>
            <w:r w:rsidRPr="00227F09">
              <w:rPr>
                <w:rFonts w:eastAsia="Times New Roman" w:cs="Times New Roman"/>
                <w:szCs w:val="21"/>
              </w:rPr>
              <w:lastRenderedPageBreak/>
              <w:t xml:space="preserve">then resume dosing. </w:t>
            </w:r>
          </w:p>
        </w:tc>
      </w:tr>
      <w:tr w:rsidR="00DE4AFD" w:rsidRPr="00227F09" w14:paraId="55A83851" w14:textId="77777777" w:rsidTr="00E7716E">
        <w:tc>
          <w:tcPr>
            <w:tcW w:w="1334" w:type="pct"/>
            <w:vMerge/>
            <w:shd w:val="clear" w:color="auto" w:fill="auto"/>
            <w:vAlign w:val="center"/>
          </w:tcPr>
          <w:p w14:paraId="78CD0FE8" w14:textId="77777777" w:rsidR="00DE4AFD" w:rsidRPr="00227F09" w:rsidRDefault="00DE4AFD" w:rsidP="00E92AB7">
            <w:pPr>
              <w:pStyle w:val="aff"/>
              <w:spacing w:after="0" w:line="240" w:lineRule="auto"/>
              <w:ind w:leftChars="100" w:left="210"/>
              <w:jc w:val="both"/>
              <w:rPr>
                <w:rFonts w:cs="Times New Roman"/>
                <w:szCs w:val="21"/>
              </w:rPr>
            </w:pPr>
          </w:p>
        </w:tc>
        <w:tc>
          <w:tcPr>
            <w:tcW w:w="2105" w:type="pct"/>
            <w:shd w:val="clear" w:color="auto" w:fill="auto"/>
            <w:vAlign w:val="center"/>
          </w:tcPr>
          <w:p w14:paraId="6DE822A7" w14:textId="77777777" w:rsidR="00DE4AFD" w:rsidRPr="00227F09" w:rsidRDefault="004A4F56" w:rsidP="003F7776">
            <w:pPr>
              <w:pStyle w:val="aff"/>
              <w:spacing w:after="0" w:line="240" w:lineRule="auto"/>
              <w:ind w:left="31"/>
              <w:jc w:val="both"/>
              <w:rPr>
                <w:rFonts w:cs="Times New Roman"/>
                <w:szCs w:val="21"/>
              </w:rPr>
            </w:pPr>
            <w:r w:rsidRPr="00227F09">
              <w:rPr>
                <w:rFonts w:eastAsia="Times New Roman" w:cs="Times New Roman"/>
                <w:szCs w:val="21"/>
              </w:rPr>
              <w:t>AST or ALT: &gt;5 × ULN, if baseline is within normal range</w:t>
            </w:r>
          </w:p>
          <w:p w14:paraId="7D8645BE" w14:textId="77777777" w:rsidR="00DE4AFD" w:rsidRPr="00227F09" w:rsidRDefault="004A4F56" w:rsidP="003F7776">
            <w:pPr>
              <w:pStyle w:val="aff"/>
              <w:spacing w:after="0" w:line="240" w:lineRule="auto"/>
              <w:ind w:left="31"/>
              <w:jc w:val="both"/>
              <w:rPr>
                <w:rFonts w:cs="Times New Roman"/>
                <w:szCs w:val="21"/>
              </w:rPr>
            </w:pPr>
            <w:r w:rsidRPr="00227F09">
              <w:rPr>
                <w:rFonts w:eastAsia="Times New Roman" w:cs="Times New Roman"/>
                <w:szCs w:val="21"/>
              </w:rPr>
              <w:t>AST or ALT: &gt;10 × ULN, if baseline &gt; ULN</w:t>
            </w:r>
          </w:p>
          <w:p w14:paraId="232E8B94" w14:textId="77777777" w:rsidR="00DE4AFD" w:rsidRPr="00227F09" w:rsidRDefault="004A4F56" w:rsidP="003F7776">
            <w:pPr>
              <w:pStyle w:val="aff"/>
              <w:spacing w:after="0" w:line="240" w:lineRule="auto"/>
              <w:ind w:left="31"/>
              <w:jc w:val="both"/>
              <w:rPr>
                <w:rFonts w:cs="Times New Roman"/>
                <w:szCs w:val="21"/>
              </w:rPr>
            </w:pPr>
            <w:r w:rsidRPr="00227F09">
              <w:rPr>
                <w:rFonts w:eastAsia="Times New Roman" w:cs="Times New Roman"/>
                <w:szCs w:val="21"/>
              </w:rPr>
              <w:t>Total bilirubin &gt;3 × ULN</w:t>
            </w:r>
          </w:p>
        </w:tc>
        <w:tc>
          <w:tcPr>
            <w:tcW w:w="1561" w:type="pct"/>
            <w:shd w:val="clear" w:color="auto" w:fill="auto"/>
            <w:vAlign w:val="center"/>
          </w:tcPr>
          <w:p w14:paraId="4BAD627D" w14:textId="0B6EC88F"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Permanent </w:t>
            </w:r>
            <w:r w:rsidR="00336D6F">
              <w:rPr>
                <w:rFonts w:eastAsiaTheme="minorEastAsia" w:cs="Times New Roman" w:hint="eastAsia"/>
                <w:szCs w:val="21"/>
              </w:rPr>
              <w:t>d</w:t>
            </w:r>
            <w:r w:rsidR="00336D6F" w:rsidRPr="00227F09">
              <w:rPr>
                <w:rFonts w:eastAsia="Times New Roman" w:cs="Times New Roman"/>
                <w:szCs w:val="21"/>
              </w:rPr>
              <w:t>iscontinuation</w:t>
            </w:r>
          </w:p>
        </w:tc>
      </w:tr>
      <w:tr w:rsidR="00DE4AFD" w:rsidRPr="00227F09" w14:paraId="63AB6D98" w14:textId="77777777" w:rsidTr="00E7716E">
        <w:tc>
          <w:tcPr>
            <w:tcW w:w="1334" w:type="pct"/>
            <w:vMerge w:val="restart"/>
            <w:shd w:val="clear" w:color="auto" w:fill="auto"/>
            <w:vAlign w:val="center"/>
          </w:tcPr>
          <w:p w14:paraId="31854C46" w14:textId="77777777" w:rsidR="00DE4AFD" w:rsidRPr="00227F09" w:rsidRDefault="004A4F56" w:rsidP="00E92AB7">
            <w:pPr>
              <w:pStyle w:val="aff"/>
              <w:spacing w:after="0" w:line="240" w:lineRule="auto"/>
              <w:ind w:leftChars="100" w:left="210"/>
              <w:jc w:val="both"/>
              <w:rPr>
                <w:rFonts w:cs="Times New Roman"/>
                <w:szCs w:val="21"/>
              </w:rPr>
            </w:pPr>
            <w:r w:rsidRPr="00227F09">
              <w:rPr>
                <w:rFonts w:eastAsia="Times New Roman" w:cs="Times New Roman"/>
                <w:szCs w:val="21"/>
              </w:rPr>
              <w:t>Nephritis</w:t>
            </w:r>
          </w:p>
        </w:tc>
        <w:tc>
          <w:tcPr>
            <w:tcW w:w="2105" w:type="pct"/>
            <w:shd w:val="clear" w:color="auto" w:fill="auto"/>
            <w:vAlign w:val="center"/>
          </w:tcPr>
          <w:p w14:paraId="61CBF2E4"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2 or 3 blood creatinine increased</w:t>
            </w:r>
          </w:p>
        </w:tc>
        <w:tc>
          <w:tcPr>
            <w:tcW w:w="1561" w:type="pct"/>
            <w:shd w:val="clear" w:color="auto" w:fill="auto"/>
            <w:vAlign w:val="center"/>
          </w:tcPr>
          <w:p w14:paraId="68321062"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Interrupt medication until the adverse reaction recovers to Grade 0-1. </w:t>
            </w:r>
          </w:p>
        </w:tc>
      </w:tr>
      <w:tr w:rsidR="00DE4AFD" w:rsidRPr="00227F09" w14:paraId="65D71936" w14:textId="77777777" w:rsidTr="00E7716E">
        <w:tc>
          <w:tcPr>
            <w:tcW w:w="1334" w:type="pct"/>
            <w:vMerge/>
            <w:shd w:val="clear" w:color="auto" w:fill="auto"/>
            <w:vAlign w:val="center"/>
          </w:tcPr>
          <w:p w14:paraId="429852EF" w14:textId="77777777" w:rsidR="00DE4AFD" w:rsidRPr="00227F09" w:rsidRDefault="00DE4AFD" w:rsidP="00E92AB7">
            <w:pPr>
              <w:pStyle w:val="aff"/>
              <w:spacing w:after="0" w:line="240" w:lineRule="auto"/>
              <w:ind w:leftChars="100" w:left="210"/>
              <w:jc w:val="both"/>
              <w:rPr>
                <w:rFonts w:cs="Times New Roman"/>
                <w:szCs w:val="21"/>
              </w:rPr>
            </w:pPr>
          </w:p>
        </w:tc>
        <w:tc>
          <w:tcPr>
            <w:tcW w:w="2105" w:type="pct"/>
            <w:shd w:val="clear" w:color="auto" w:fill="auto"/>
            <w:vAlign w:val="center"/>
          </w:tcPr>
          <w:p w14:paraId="68B2782F"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4 blood creatinine increased</w:t>
            </w:r>
          </w:p>
        </w:tc>
        <w:tc>
          <w:tcPr>
            <w:tcW w:w="1561" w:type="pct"/>
            <w:shd w:val="clear" w:color="auto" w:fill="auto"/>
            <w:vAlign w:val="center"/>
          </w:tcPr>
          <w:p w14:paraId="21B9895A" w14:textId="3410D856"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Permanent </w:t>
            </w:r>
            <w:r w:rsidR="00336D6F">
              <w:rPr>
                <w:rFonts w:eastAsiaTheme="minorEastAsia" w:cs="Times New Roman" w:hint="eastAsia"/>
                <w:szCs w:val="21"/>
              </w:rPr>
              <w:t>d</w:t>
            </w:r>
            <w:r w:rsidR="00336D6F" w:rsidRPr="00227F09">
              <w:rPr>
                <w:rFonts w:eastAsia="Times New Roman" w:cs="Times New Roman"/>
                <w:szCs w:val="21"/>
              </w:rPr>
              <w:t>iscontinuation</w:t>
            </w:r>
          </w:p>
        </w:tc>
      </w:tr>
      <w:tr w:rsidR="00DE4AFD" w:rsidRPr="00227F09" w14:paraId="65242DBA" w14:textId="77777777" w:rsidTr="00E7716E">
        <w:tc>
          <w:tcPr>
            <w:tcW w:w="1334" w:type="pct"/>
            <w:vMerge w:val="restart"/>
            <w:shd w:val="clear" w:color="auto" w:fill="auto"/>
            <w:vAlign w:val="center"/>
          </w:tcPr>
          <w:p w14:paraId="07EF0C74" w14:textId="77777777" w:rsidR="00DE4AFD" w:rsidRPr="00227F09" w:rsidRDefault="004A4F56" w:rsidP="00E92AB7">
            <w:pPr>
              <w:pStyle w:val="aff"/>
              <w:spacing w:after="0" w:line="240" w:lineRule="auto"/>
              <w:ind w:leftChars="100" w:left="210"/>
              <w:jc w:val="both"/>
              <w:rPr>
                <w:rFonts w:cs="Times New Roman"/>
                <w:szCs w:val="21"/>
              </w:rPr>
            </w:pPr>
            <w:r w:rsidRPr="00227F09">
              <w:rPr>
                <w:rFonts w:eastAsia="Times New Roman" w:cs="Times New Roman"/>
                <w:szCs w:val="21"/>
              </w:rPr>
              <w:t>Endocrine diseases</w:t>
            </w:r>
          </w:p>
        </w:tc>
        <w:tc>
          <w:tcPr>
            <w:tcW w:w="2105" w:type="pct"/>
            <w:shd w:val="clear" w:color="auto" w:fill="auto"/>
            <w:vAlign w:val="center"/>
          </w:tcPr>
          <w:p w14:paraId="78BD7DD4"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Symptomatic Grade 2 or 3 hypothyroidism, Grade 2 or 3 hyperthyroidism, Grade 2 or 3 </w:t>
            </w:r>
            <w:proofErr w:type="spellStart"/>
            <w:r w:rsidRPr="00227F09">
              <w:rPr>
                <w:rFonts w:eastAsia="Times New Roman" w:cs="Times New Roman"/>
                <w:szCs w:val="21"/>
              </w:rPr>
              <w:t>hypophysitis</w:t>
            </w:r>
            <w:proofErr w:type="spellEnd"/>
            <w:r w:rsidRPr="00227F09">
              <w:rPr>
                <w:rFonts w:eastAsia="Times New Roman" w:cs="Times New Roman"/>
                <w:szCs w:val="21"/>
              </w:rPr>
              <w:t>, Grade 2 adrenal insufficiency</w:t>
            </w:r>
          </w:p>
          <w:p w14:paraId="189116FE"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Grade 3 </w:t>
            </w:r>
            <w:proofErr w:type="spellStart"/>
            <w:r w:rsidRPr="00227F09">
              <w:rPr>
                <w:rFonts w:eastAsia="Times New Roman" w:cs="Times New Roman"/>
                <w:szCs w:val="21"/>
              </w:rPr>
              <w:t>hyperglycaemia</w:t>
            </w:r>
            <w:proofErr w:type="spellEnd"/>
            <w:r w:rsidRPr="00227F09">
              <w:rPr>
                <w:rFonts w:eastAsia="Times New Roman" w:cs="Times New Roman"/>
                <w:szCs w:val="21"/>
              </w:rPr>
              <w:t xml:space="preserve"> or diabetes mellitus</w:t>
            </w:r>
          </w:p>
        </w:tc>
        <w:tc>
          <w:tcPr>
            <w:tcW w:w="1561" w:type="pct"/>
            <w:shd w:val="clear" w:color="auto" w:fill="auto"/>
            <w:vAlign w:val="center"/>
          </w:tcPr>
          <w:p w14:paraId="112BD42F" w14:textId="77777777" w:rsidR="00DE4AFD" w:rsidRPr="00227F09" w:rsidRDefault="004A4F56" w:rsidP="003F7776">
            <w:pPr>
              <w:pStyle w:val="aff"/>
              <w:spacing w:after="0" w:line="240" w:lineRule="auto"/>
              <w:jc w:val="both"/>
              <w:rPr>
                <w:rFonts w:cs="Times New Roman"/>
                <w:szCs w:val="21"/>
                <w:vertAlign w:val="superscript"/>
              </w:rPr>
            </w:pPr>
            <w:r w:rsidRPr="00227F09">
              <w:rPr>
                <w:rFonts w:eastAsia="Times New Roman" w:cs="Times New Roman"/>
                <w:szCs w:val="21"/>
              </w:rPr>
              <w:t xml:space="preserve">Interrupt medication until the adverse reaction recovers to Grade 0-1. </w:t>
            </w:r>
          </w:p>
          <w:p w14:paraId="5977D49B" w14:textId="77777777" w:rsidR="00DE4AFD" w:rsidRPr="00227F09" w:rsidRDefault="00DE4AFD" w:rsidP="003F7776">
            <w:pPr>
              <w:pStyle w:val="aff"/>
              <w:spacing w:after="0" w:line="240" w:lineRule="auto"/>
              <w:jc w:val="both"/>
              <w:rPr>
                <w:rFonts w:cs="Times New Roman"/>
                <w:szCs w:val="21"/>
              </w:rPr>
            </w:pPr>
          </w:p>
        </w:tc>
      </w:tr>
      <w:tr w:rsidR="00DE4AFD" w:rsidRPr="00227F09" w14:paraId="65D68A18" w14:textId="77777777" w:rsidTr="00E7716E">
        <w:tc>
          <w:tcPr>
            <w:tcW w:w="1334" w:type="pct"/>
            <w:vMerge/>
            <w:shd w:val="clear" w:color="auto" w:fill="auto"/>
            <w:vAlign w:val="center"/>
          </w:tcPr>
          <w:p w14:paraId="37FB163B" w14:textId="77777777" w:rsidR="00DE4AFD" w:rsidRPr="00227F09" w:rsidRDefault="00DE4AFD" w:rsidP="00E92AB7">
            <w:pPr>
              <w:pStyle w:val="aff"/>
              <w:spacing w:after="0" w:line="240" w:lineRule="auto"/>
              <w:ind w:leftChars="100" w:left="210"/>
              <w:jc w:val="both"/>
              <w:rPr>
                <w:rFonts w:cs="Times New Roman"/>
                <w:szCs w:val="21"/>
              </w:rPr>
            </w:pPr>
          </w:p>
        </w:tc>
        <w:tc>
          <w:tcPr>
            <w:tcW w:w="2105" w:type="pct"/>
            <w:shd w:val="clear" w:color="auto" w:fill="auto"/>
            <w:vAlign w:val="center"/>
          </w:tcPr>
          <w:p w14:paraId="3690B139"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4 hypothyroidism</w:t>
            </w:r>
          </w:p>
          <w:p w14:paraId="67EB9EBD"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4 hyperthyroidism</w:t>
            </w:r>
          </w:p>
          <w:p w14:paraId="553599FE"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Grade 4 </w:t>
            </w:r>
            <w:proofErr w:type="spellStart"/>
            <w:r w:rsidRPr="00227F09">
              <w:rPr>
                <w:rFonts w:eastAsia="Times New Roman" w:cs="Times New Roman"/>
                <w:szCs w:val="21"/>
              </w:rPr>
              <w:t>hypophysitis</w:t>
            </w:r>
            <w:proofErr w:type="spellEnd"/>
          </w:p>
          <w:p w14:paraId="04617D3E"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3 or 4 adrenal insufficiency</w:t>
            </w:r>
          </w:p>
          <w:p w14:paraId="2B0E7071"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Grade 4 </w:t>
            </w:r>
            <w:proofErr w:type="spellStart"/>
            <w:r w:rsidRPr="00227F09">
              <w:rPr>
                <w:rFonts w:eastAsia="Times New Roman" w:cs="Times New Roman"/>
                <w:szCs w:val="21"/>
              </w:rPr>
              <w:t>hyperglycaemia</w:t>
            </w:r>
            <w:proofErr w:type="spellEnd"/>
            <w:r w:rsidRPr="00227F09">
              <w:rPr>
                <w:rFonts w:eastAsia="Times New Roman" w:cs="Times New Roman"/>
                <w:szCs w:val="21"/>
              </w:rPr>
              <w:t xml:space="preserve"> or diabetes mellitus</w:t>
            </w:r>
          </w:p>
        </w:tc>
        <w:tc>
          <w:tcPr>
            <w:tcW w:w="1561" w:type="pct"/>
            <w:shd w:val="clear" w:color="auto" w:fill="auto"/>
            <w:vAlign w:val="center"/>
          </w:tcPr>
          <w:p w14:paraId="63FC6C60" w14:textId="0548328A"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Permanent </w:t>
            </w:r>
            <w:r w:rsidR="00336D6F">
              <w:rPr>
                <w:rFonts w:eastAsiaTheme="minorEastAsia" w:cs="Times New Roman" w:hint="eastAsia"/>
                <w:szCs w:val="21"/>
              </w:rPr>
              <w:t>d</w:t>
            </w:r>
            <w:r w:rsidR="00336D6F" w:rsidRPr="00227F09">
              <w:rPr>
                <w:rFonts w:eastAsia="Times New Roman" w:cs="Times New Roman"/>
                <w:szCs w:val="21"/>
              </w:rPr>
              <w:t>iscontinuation</w:t>
            </w:r>
          </w:p>
        </w:tc>
      </w:tr>
      <w:tr w:rsidR="00DE4AFD" w:rsidRPr="00227F09" w14:paraId="2B248A94" w14:textId="77777777" w:rsidTr="00E7716E">
        <w:tc>
          <w:tcPr>
            <w:tcW w:w="1334" w:type="pct"/>
            <w:vMerge w:val="restart"/>
            <w:shd w:val="clear" w:color="auto" w:fill="auto"/>
            <w:vAlign w:val="center"/>
          </w:tcPr>
          <w:p w14:paraId="727CB825" w14:textId="77777777" w:rsidR="00DE4AFD" w:rsidRPr="00227F09" w:rsidRDefault="004A4F56" w:rsidP="00E92AB7">
            <w:pPr>
              <w:pStyle w:val="aff"/>
              <w:spacing w:after="0" w:line="240" w:lineRule="auto"/>
              <w:ind w:leftChars="100" w:left="210"/>
              <w:jc w:val="both"/>
              <w:rPr>
                <w:rFonts w:cs="Times New Roman"/>
                <w:szCs w:val="21"/>
              </w:rPr>
            </w:pPr>
            <w:r w:rsidRPr="00227F09">
              <w:rPr>
                <w:rFonts w:eastAsia="Times New Roman" w:cs="Times New Roman"/>
                <w:szCs w:val="21"/>
              </w:rPr>
              <w:t>Skin adverse reaction</w:t>
            </w:r>
          </w:p>
        </w:tc>
        <w:tc>
          <w:tcPr>
            <w:tcW w:w="2105" w:type="pct"/>
            <w:shd w:val="clear" w:color="auto" w:fill="auto"/>
            <w:vAlign w:val="center"/>
          </w:tcPr>
          <w:p w14:paraId="35B16631"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3</w:t>
            </w:r>
          </w:p>
        </w:tc>
        <w:tc>
          <w:tcPr>
            <w:tcW w:w="1561" w:type="pct"/>
            <w:shd w:val="clear" w:color="auto" w:fill="auto"/>
            <w:vAlign w:val="center"/>
          </w:tcPr>
          <w:p w14:paraId="71AA3E4A"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Interrupt medication until the adverse reaction recovers to Grade 0-1. </w:t>
            </w:r>
          </w:p>
        </w:tc>
      </w:tr>
      <w:tr w:rsidR="00DE4AFD" w:rsidRPr="00227F09" w14:paraId="6CFC9B97" w14:textId="77777777" w:rsidTr="00E7716E">
        <w:trPr>
          <w:trHeight w:val="872"/>
        </w:trPr>
        <w:tc>
          <w:tcPr>
            <w:tcW w:w="1334" w:type="pct"/>
            <w:vMerge/>
            <w:shd w:val="clear" w:color="auto" w:fill="auto"/>
            <w:vAlign w:val="center"/>
          </w:tcPr>
          <w:p w14:paraId="33E5269C" w14:textId="77777777" w:rsidR="00DE4AFD" w:rsidRPr="00227F09" w:rsidRDefault="00DE4AFD" w:rsidP="00E92AB7">
            <w:pPr>
              <w:pStyle w:val="aff"/>
              <w:spacing w:after="0" w:line="240" w:lineRule="auto"/>
              <w:ind w:leftChars="100" w:left="210"/>
              <w:jc w:val="both"/>
              <w:rPr>
                <w:rFonts w:cs="Times New Roman"/>
                <w:szCs w:val="21"/>
              </w:rPr>
            </w:pPr>
          </w:p>
        </w:tc>
        <w:tc>
          <w:tcPr>
            <w:tcW w:w="2105" w:type="pct"/>
            <w:shd w:val="clear" w:color="auto" w:fill="auto"/>
            <w:vAlign w:val="center"/>
          </w:tcPr>
          <w:p w14:paraId="7906F626"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4, Stevens-Johnson syndrome (SJS) or toxic epidermal necrolysis (TEN)</w:t>
            </w:r>
          </w:p>
        </w:tc>
        <w:tc>
          <w:tcPr>
            <w:tcW w:w="1561" w:type="pct"/>
            <w:shd w:val="clear" w:color="auto" w:fill="auto"/>
            <w:vAlign w:val="center"/>
          </w:tcPr>
          <w:p w14:paraId="1B1E1AF3" w14:textId="3DC77CB3"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Permanent </w:t>
            </w:r>
            <w:r w:rsidR="00336D6F">
              <w:rPr>
                <w:rFonts w:eastAsiaTheme="minorEastAsia" w:cs="Times New Roman" w:hint="eastAsia"/>
                <w:szCs w:val="21"/>
              </w:rPr>
              <w:t>d</w:t>
            </w:r>
            <w:r w:rsidR="00336D6F" w:rsidRPr="00227F09">
              <w:rPr>
                <w:rFonts w:eastAsia="Times New Roman" w:cs="Times New Roman"/>
                <w:szCs w:val="21"/>
              </w:rPr>
              <w:t>iscontinuation</w:t>
            </w:r>
          </w:p>
        </w:tc>
      </w:tr>
      <w:tr w:rsidR="00DE4AFD" w:rsidRPr="00227F09" w14:paraId="40413EB7" w14:textId="77777777" w:rsidTr="00E7716E">
        <w:tc>
          <w:tcPr>
            <w:tcW w:w="1334" w:type="pct"/>
            <w:vMerge w:val="restart"/>
            <w:shd w:val="clear" w:color="auto" w:fill="auto"/>
            <w:vAlign w:val="center"/>
          </w:tcPr>
          <w:p w14:paraId="31E9DC5A" w14:textId="77777777" w:rsidR="00DE4AFD" w:rsidRPr="00227F09" w:rsidRDefault="004A4F56" w:rsidP="00E92AB7">
            <w:pPr>
              <w:pStyle w:val="aff"/>
              <w:spacing w:after="0" w:line="240" w:lineRule="auto"/>
              <w:ind w:leftChars="100" w:left="210"/>
              <w:jc w:val="both"/>
              <w:rPr>
                <w:rFonts w:cs="Times New Roman"/>
                <w:szCs w:val="21"/>
              </w:rPr>
            </w:pPr>
            <w:r w:rsidRPr="00227F09">
              <w:rPr>
                <w:rFonts w:eastAsia="Times New Roman" w:cs="Times New Roman"/>
                <w:szCs w:val="21"/>
              </w:rPr>
              <w:t>Thrombocytopenia</w:t>
            </w:r>
          </w:p>
        </w:tc>
        <w:tc>
          <w:tcPr>
            <w:tcW w:w="2105" w:type="pct"/>
            <w:shd w:val="clear" w:color="auto" w:fill="auto"/>
            <w:vAlign w:val="center"/>
          </w:tcPr>
          <w:p w14:paraId="73B74322"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3</w:t>
            </w:r>
          </w:p>
        </w:tc>
        <w:tc>
          <w:tcPr>
            <w:tcW w:w="1561" w:type="pct"/>
            <w:shd w:val="clear" w:color="auto" w:fill="auto"/>
            <w:vAlign w:val="center"/>
          </w:tcPr>
          <w:p w14:paraId="58975268"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Interrupt medication until the adverse reaction recovers to Grade 0-1. </w:t>
            </w:r>
          </w:p>
        </w:tc>
      </w:tr>
      <w:tr w:rsidR="00DE4AFD" w:rsidRPr="00227F09" w14:paraId="01DC879A" w14:textId="77777777" w:rsidTr="00E7716E">
        <w:tc>
          <w:tcPr>
            <w:tcW w:w="1334" w:type="pct"/>
            <w:vMerge/>
            <w:shd w:val="clear" w:color="auto" w:fill="auto"/>
            <w:vAlign w:val="center"/>
          </w:tcPr>
          <w:p w14:paraId="220FD1A4" w14:textId="77777777" w:rsidR="00DE4AFD" w:rsidRPr="00227F09" w:rsidRDefault="00DE4AFD" w:rsidP="00E92AB7">
            <w:pPr>
              <w:pStyle w:val="aff"/>
              <w:spacing w:after="0" w:line="240" w:lineRule="auto"/>
              <w:ind w:leftChars="100" w:left="210"/>
              <w:jc w:val="both"/>
              <w:rPr>
                <w:rFonts w:cs="Times New Roman"/>
                <w:szCs w:val="21"/>
              </w:rPr>
            </w:pPr>
          </w:p>
        </w:tc>
        <w:tc>
          <w:tcPr>
            <w:tcW w:w="2105" w:type="pct"/>
            <w:shd w:val="clear" w:color="auto" w:fill="auto"/>
            <w:vAlign w:val="center"/>
          </w:tcPr>
          <w:p w14:paraId="53EA4E47"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4</w:t>
            </w:r>
          </w:p>
        </w:tc>
        <w:tc>
          <w:tcPr>
            <w:tcW w:w="1561" w:type="pct"/>
            <w:shd w:val="clear" w:color="auto" w:fill="auto"/>
            <w:vAlign w:val="center"/>
          </w:tcPr>
          <w:p w14:paraId="5EC9E17E" w14:textId="2907AB15"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Permanent </w:t>
            </w:r>
            <w:r w:rsidR="00336D6F">
              <w:rPr>
                <w:rFonts w:eastAsiaTheme="minorEastAsia" w:cs="Times New Roman" w:hint="eastAsia"/>
                <w:szCs w:val="21"/>
              </w:rPr>
              <w:t>d</w:t>
            </w:r>
            <w:r w:rsidR="00336D6F" w:rsidRPr="00227F09">
              <w:rPr>
                <w:rFonts w:eastAsia="Times New Roman" w:cs="Times New Roman"/>
                <w:szCs w:val="21"/>
              </w:rPr>
              <w:t>iscontinuation</w:t>
            </w:r>
          </w:p>
        </w:tc>
      </w:tr>
      <w:tr w:rsidR="00DE4AFD" w:rsidRPr="00227F09" w14:paraId="1F5BFEF9" w14:textId="77777777" w:rsidTr="00E7716E">
        <w:trPr>
          <w:trHeight w:val="1616"/>
        </w:trPr>
        <w:tc>
          <w:tcPr>
            <w:tcW w:w="1334" w:type="pct"/>
            <w:vMerge w:val="restart"/>
            <w:shd w:val="clear" w:color="auto" w:fill="auto"/>
            <w:vAlign w:val="center"/>
          </w:tcPr>
          <w:p w14:paraId="044AD6D9" w14:textId="77777777" w:rsidR="00DE4AFD" w:rsidRPr="00227F09" w:rsidRDefault="004A4F56" w:rsidP="00E92AB7">
            <w:pPr>
              <w:pStyle w:val="aff"/>
              <w:spacing w:after="0" w:line="240" w:lineRule="auto"/>
              <w:ind w:leftChars="100" w:left="210"/>
              <w:jc w:val="both"/>
              <w:rPr>
                <w:rFonts w:cs="Times New Roman"/>
                <w:szCs w:val="21"/>
              </w:rPr>
            </w:pPr>
            <w:r w:rsidRPr="00227F09">
              <w:rPr>
                <w:rFonts w:eastAsia="Times New Roman" w:cs="Times New Roman"/>
                <w:szCs w:val="21"/>
              </w:rPr>
              <w:t>Other immune-related adverse reactions</w:t>
            </w:r>
          </w:p>
        </w:tc>
        <w:tc>
          <w:tcPr>
            <w:tcW w:w="2105" w:type="pct"/>
            <w:shd w:val="clear" w:color="auto" w:fill="auto"/>
            <w:vAlign w:val="center"/>
          </w:tcPr>
          <w:p w14:paraId="4620E347"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3 or 4 amylase increased or lipase increased</w:t>
            </w:r>
          </w:p>
          <w:p w14:paraId="76BBFE36"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2 or 3 pancreatitis</w:t>
            </w:r>
          </w:p>
          <w:p w14:paraId="25144FF6"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2 myocarditis**</w:t>
            </w:r>
          </w:p>
          <w:p w14:paraId="174C4B0A"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Other first occurrences of Grade 2 or 3 immune-related adverse reactions</w:t>
            </w:r>
          </w:p>
        </w:tc>
        <w:tc>
          <w:tcPr>
            <w:tcW w:w="1561" w:type="pct"/>
            <w:shd w:val="clear" w:color="auto" w:fill="auto"/>
            <w:vAlign w:val="center"/>
          </w:tcPr>
          <w:p w14:paraId="64E77AB9"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Interrupt medication until the adverse reaction recovers to Grade 0-1. </w:t>
            </w:r>
          </w:p>
        </w:tc>
      </w:tr>
      <w:tr w:rsidR="00DE4AFD" w:rsidRPr="00227F09" w14:paraId="33F6C302" w14:textId="77777777" w:rsidTr="00E7716E">
        <w:trPr>
          <w:trHeight w:val="212"/>
        </w:trPr>
        <w:tc>
          <w:tcPr>
            <w:tcW w:w="1334" w:type="pct"/>
            <w:vMerge/>
            <w:shd w:val="clear" w:color="auto" w:fill="auto"/>
            <w:vAlign w:val="center"/>
          </w:tcPr>
          <w:p w14:paraId="27516249" w14:textId="77777777" w:rsidR="00DE4AFD" w:rsidRPr="00227F09" w:rsidRDefault="00DE4AFD" w:rsidP="00E92AB7">
            <w:pPr>
              <w:pStyle w:val="aff"/>
              <w:spacing w:after="0" w:line="240" w:lineRule="auto"/>
              <w:ind w:leftChars="100" w:left="210"/>
              <w:jc w:val="both"/>
              <w:rPr>
                <w:rFonts w:cs="Times New Roman"/>
                <w:szCs w:val="21"/>
              </w:rPr>
            </w:pPr>
          </w:p>
        </w:tc>
        <w:tc>
          <w:tcPr>
            <w:tcW w:w="2105" w:type="pct"/>
            <w:shd w:val="clear" w:color="auto" w:fill="auto"/>
            <w:vAlign w:val="center"/>
          </w:tcPr>
          <w:p w14:paraId="78345D76"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4 pancreatitis or recurrent pancreatitis of any grade</w:t>
            </w:r>
          </w:p>
          <w:p w14:paraId="0BF27AFF"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3 or 4 myocarditis</w:t>
            </w:r>
          </w:p>
          <w:p w14:paraId="70653750"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3 or 4 encephalitis</w:t>
            </w:r>
          </w:p>
          <w:p w14:paraId="7607FE7B"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Other first occurrences of Grade 4 immune-related adverse reactions</w:t>
            </w:r>
          </w:p>
        </w:tc>
        <w:tc>
          <w:tcPr>
            <w:tcW w:w="1561" w:type="pct"/>
            <w:shd w:val="clear" w:color="auto" w:fill="auto"/>
            <w:vAlign w:val="center"/>
          </w:tcPr>
          <w:p w14:paraId="2BBAAFCB" w14:textId="263B061E"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Permanent </w:t>
            </w:r>
            <w:r w:rsidR="00336D6F">
              <w:rPr>
                <w:rFonts w:eastAsiaTheme="minorEastAsia" w:cs="Times New Roman" w:hint="eastAsia"/>
                <w:szCs w:val="21"/>
              </w:rPr>
              <w:t>d</w:t>
            </w:r>
            <w:r w:rsidR="00336D6F" w:rsidRPr="00227F09">
              <w:rPr>
                <w:rFonts w:eastAsia="Times New Roman" w:cs="Times New Roman"/>
                <w:szCs w:val="21"/>
              </w:rPr>
              <w:t>iscontinuation</w:t>
            </w:r>
          </w:p>
        </w:tc>
      </w:tr>
      <w:tr w:rsidR="00DE4AFD" w:rsidRPr="00227F09" w14:paraId="657DE269" w14:textId="77777777" w:rsidTr="00E7716E">
        <w:tc>
          <w:tcPr>
            <w:tcW w:w="1334" w:type="pct"/>
            <w:shd w:val="clear" w:color="auto" w:fill="auto"/>
            <w:vAlign w:val="center"/>
          </w:tcPr>
          <w:p w14:paraId="1CA3E96A" w14:textId="77777777" w:rsidR="00DE4AFD" w:rsidRPr="00227F09" w:rsidRDefault="004A4F56" w:rsidP="00E92AB7">
            <w:pPr>
              <w:pStyle w:val="aff"/>
              <w:spacing w:after="0" w:line="240" w:lineRule="auto"/>
              <w:ind w:leftChars="100" w:left="210"/>
              <w:jc w:val="both"/>
              <w:rPr>
                <w:rFonts w:cs="Times New Roman"/>
                <w:szCs w:val="21"/>
              </w:rPr>
            </w:pPr>
            <w:r w:rsidRPr="00227F09">
              <w:rPr>
                <w:rFonts w:eastAsia="Times New Roman" w:cs="Times New Roman"/>
                <w:szCs w:val="21"/>
              </w:rPr>
              <w:t>Recurrent or persistent adverse reaction</w:t>
            </w:r>
          </w:p>
        </w:tc>
        <w:tc>
          <w:tcPr>
            <w:tcW w:w="2105" w:type="pct"/>
            <w:shd w:val="clear" w:color="auto" w:fill="auto"/>
            <w:vAlign w:val="center"/>
          </w:tcPr>
          <w:p w14:paraId="573E3823"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Recurrent Grade 3 or 4 (excluding endocrine disorders)</w:t>
            </w:r>
          </w:p>
          <w:p w14:paraId="08FC6C23"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2 or Grade 3 adverse reactions (excluding endocrine disorders) that have not improved to Grade 0-1 within 12 weeks after the last administration</w:t>
            </w:r>
          </w:p>
          <w:p w14:paraId="56CD30E3"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Failure to reduce corticosteroids to a </w:t>
            </w:r>
            <w:r w:rsidRPr="00227F09">
              <w:rPr>
                <w:rFonts w:eastAsia="Times New Roman" w:cs="Times New Roman"/>
                <w:szCs w:val="21"/>
              </w:rPr>
              <w:lastRenderedPageBreak/>
              <w:t>prednisone-equivalent dose of ≤10 mg/day within 12 weeks after the last administration</w:t>
            </w:r>
          </w:p>
        </w:tc>
        <w:tc>
          <w:tcPr>
            <w:tcW w:w="1561" w:type="pct"/>
            <w:shd w:val="clear" w:color="auto" w:fill="auto"/>
            <w:vAlign w:val="center"/>
          </w:tcPr>
          <w:p w14:paraId="18D95AD2" w14:textId="41667D4C"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lastRenderedPageBreak/>
              <w:t xml:space="preserve">Permanent </w:t>
            </w:r>
            <w:r w:rsidR="00336D6F">
              <w:rPr>
                <w:rFonts w:eastAsiaTheme="minorEastAsia" w:cs="Times New Roman" w:hint="eastAsia"/>
                <w:szCs w:val="21"/>
              </w:rPr>
              <w:t>d</w:t>
            </w:r>
            <w:r w:rsidR="00336D6F" w:rsidRPr="00227F09">
              <w:rPr>
                <w:rFonts w:eastAsia="Times New Roman" w:cs="Times New Roman"/>
                <w:szCs w:val="21"/>
              </w:rPr>
              <w:t>iscontinuation</w:t>
            </w:r>
          </w:p>
        </w:tc>
      </w:tr>
      <w:tr w:rsidR="00DE4AFD" w:rsidRPr="00227F09" w14:paraId="35C460BE" w14:textId="77777777" w:rsidTr="00E7716E">
        <w:tc>
          <w:tcPr>
            <w:tcW w:w="1334" w:type="pct"/>
            <w:vMerge w:val="restart"/>
            <w:shd w:val="clear" w:color="auto" w:fill="auto"/>
            <w:vAlign w:val="center"/>
          </w:tcPr>
          <w:p w14:paraId="2963B1DC" w14:textId="77777777" w:rsidR="00DE4AFD" w:rsidRPr="00227F09" w:rsidRDefault="004A4F56" w:rsidP="00E92AB7">
            <w:pPr>
              <w:pStyle w:val="aff"/>
              <w:spacing w:after="0" w:line="240" w:lineRule="auto"/>
              <w:ind w:leftChars="100" w:left="210"/>
              <w:jc w:val="both"/>
              <w:rPr>
                <w:rFonts w:cs="Times New Roman"/>
                <w:szCs w:val="21"/>
              </w:rPr>
            </w:pPr>
            <w:r w:rsidRPr="00227F09">
              <w:rPr>
                <w:rFonts w:eastAsia="Times New Roman" w:cs="Times New Roman"/>
                <w:szCs w:val="21"/>
              </w:rPr>
              <w:t>Infusion reaction</w:t>
            </w:r>
          </w:p>
        </w:tc>
        <w:tc>
          <w:tcPr>
            <w:tcW w:w="2105" w:type="pct"/>
            <w:shd w:val="clear" w:color="auto" w:fill="auto"/>
            <w:vAlign w:val="center"/>
          </w:tcPr>
          <w:p w14:paraId="70AB04FC"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2</w:t>
            </w:r>
          </w:p>
        </w:tc>
        <w:tc>
          <w:tcPr>
            <w:tcW w:w="1561" w:type="pct"/>
            <w:shd w:val="clear" w:color="auto" w:fill="auto"/>
            <w:vAlign w:val="center"/>
          </w:tcPr>
          <w:p w14:paraId="6BEB1CFF"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Reduce the infusion rate or interrupt administration, </w:t>
            </w:r>
            <w:r w:rsidRPr="00227F09">
              <w:rPr>
                <w:rFonts w:eastAsia="Times New Roman" w:cs="Times New Roman"/>
                <w:color w:val="333333"/>
                <w:szCs w:val="21"/>
              </w:rPr>
              <w:t xml:space="preserve">and the </w:t>
            </w:r>
            <w:r w:rsidRPr="00227F09">
              <w:rPr>
                <w:rFonts w:eastAsia="Times New Roman" w:cs="Times New Roman"/>
                <w:szCs w:val="21"/>
              </w:rPr>
              <w:t>investigational product</w:t>
            </w:r>
            <w:r w:rsidRPr="00227F09">
              <w:rPr>
                <w:rFonts w:eastAsia="Times New Roman" w:cs="Times New Roman"/>
                <w:color w:val="333333"/>
                <w:szCs w:val="21"/>
              </w:rPr>
              <w:t xml:space="preserve"> may be resumed when there is a symptomatic remission, closely observation should also be conducted. </w:t>
            </w:r>
          </w:p>
        </w:tc>
      </w:tr>
      <w:tr w:rsidR="00DE4AFD" w:rsidRPr="00227F09" w14:paraId="4182432C" w14:textId="77777777" w:rsidTr="00E7716E">
        <w:tc>
          <w:tcPr>
            <w:tcW w:w="1334" w:type="pct"/>
            <w:vMerge/>
            <w:shd w:val="clear" w:color="auto" w:fill="auto"/>
            <w:vAlign w:val="center"/>
          </w:tcPr>
          <w:p w14:paraId="49C02779" w14:textId="77777777" w:rsidR="00DE4AFD" w:rsidRPr="00227F09" w:rsidRDefault="00DE4AFD" w:rsidP="003F7776">
            <w:pPr>
              <w:pStyle w:val="aff"/>
              <w:spacing w:after="0" w:line="240" w:lineRule="auto"/>
              <w:jc w:val="both"/>
              <w:rPr>
                <w:rFonts w:cs="Times New Roman"/>
                <w:szCs w:val="21"/>
              </w:rPr>
            </w:pPr>
          </w:p>
        </w:tc>
        <w:tc>
          <w:tcPr>
            <w:tcW w:w="2105" w:type="pct"/>
            <w:shd w:val="clear" w:color="auto" w:fill="auto"/>
            <w:vAlign w:val="center"/>
          </w:tcPr>
          <w:p w14:paraId="6BB72D9D" w14:textId="77777777"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Grade 3 or 4</w:t>
            </w:r>
          </w:p>
        </w:tc>
        <w:tc>
          <w:tcPr>
            <w:tcW w:w="1561" w:type="pct"/>
            <w:shd w:val="clear" w:color="auto" w:fill="auto"/>
            <w:vAlign w:val="center"/>
          </w:tcPr>
          <w:p w14:paraId="6D5DC603" w14:textId="13E1A2A1" w:rsidR="00DE4AFD" w:rsidRPr="00227F09" w:rsidRDefault="004A4F56" w:rsidP="003F7776">
            <w:pPr>
              <w:pStyle w:val="aff"/>
              <w:spacing w:after="0" w:line="240" w:lineRule="auto"/>
              <w:jc w:val="both"/>
              <w:rPr>
                <w:rFonts w:cs="Times New Roman"/>
                <w:szCs w:val="21"/>
              </w:rPr>
            </w:pPr>
            <w:r w:rsidRPr="00227F09">
              <w:rPr>
                <w:rFonts w:eastAsia="Times New Roman" w:cs="Times New Roman"/>
                <w:szCs w:val="21"/>
              </w:rPr>
              <w:t xml:space="preserve">Permanent </w:t>
            </w:r>
            <w:r w:rsidR="00336D6F">
              <w:rPr>
                <w:rFonts w:eastAsiaTheme="minorEastAsia" w:cs="Times New Roman" w:hint="eastAsia"/>
                <w:szCs w:val="21"/>
              </w:rPr>
              <w:t>d</w:t>
            </w:r>
            <w:r w:rsidR="00336D6F" w:rsidRPr="00227F09">
              <w:rPr>
                <w:rFonts w:eastAsia="Times New Roman" w:cs="Times New Roman"/>
                <w:szCs w:val="21"/>
              </w:rPr>
              <w:t>iscontinuation</w:t>
            </w:r>
          </w:p>
        </w:tc>
      </w:tr>
    </w:tbl>
    <w:p w14:paraId="3D57BFFB" w14:textId="03EB7AEC" w:rsidR="00DE4AFD" w:rsidRPr="00AF1F77" w:rsidRDefault="004A4F56" w:rsidP="00810E14">
      <w:pPr>
        <w:pStyle w:val="HR"/>
        <w:spacing w:after="0"/>
        <w:ind w:firstLineChars="0" w:firstLine="0"/>
        <w:jc w:val="both"/>
        <w:rPr>
          <w:rFonts w:cs="Times New Roman"/>
          <w:kern w:val="0"/>
          <w:lang w:val="en-US" w:eastAsia="zh-CN"/>
        </w:rPr>
      </w:pPr>
      <w:r w:rsidRPr="00AF1F77">
        <w:rPr>
          <w:rFonts w:eastAsia="Times New Roman" w:cs="Times New Roman"/>
          <w:kern w:val="0"/>
          <w:lang w:val="en-US" w:eastAsia="zh-CN"/>
        </w:rPr>
        <w:t xml:space="preserve">Patients with mild hepatic impairment do not require dose adjustments. Use in patients with moderate or severe hepatic impairment is not recommended, as there are no relevant studies of </w:t>
      </w:r>
      <w:proofErr w:type="spellStart"/>
      <w:r w:rsidRPr="00AF1F77">
        <w:rPr>
          <w:rFonts w:eastAsia="Times New Roman" w:cs="Times New Roman"/>
          <w:kern w:val="0"/>
          <w:lang w:val="en-US" w:eastAsia="zh-CN"/>
        </w:rPr>
        <w:t>camrelizumab</w:t>
      </w:r>
      <w:proofErr w:type="spellEnd"/>
      <w:r w:rsidRPr="00AF1F77">
        <w:rPr>
          <w:rFonts w:eastAsia="Times New Roman" w:cs="Times New Roman"/>
          <w:kern w:val="0"/>
          <w:lang w:val="en-US" w:eastAsia="zh-CN"/>
        </w:rPr>
        <w:t xml:space="preserve"> in patients with severe hepatic function abnormal. Currently, there are no study data on </w:t>
      </w:r>
      <w:proofErr w:type="spellStart"/>
      <w:r w:rsidRPr="00AF1F77">
        <w:rPr>
          <w:rFonts w:eastAsia="Times New Roman" w:cs="Times New Roman"/>
          <w:kern w:val="0"/>
          <w:lang w:val="en-US" w:eastAsia="zh-CN"/>
        </w:rPr>
        <w:t>camrelizumab</w:t>
      </w:r>
      <w:proofErr w:type="spellEnd"/>
      <w:r w:rsidRPr="00AF1F77">
        <w:rPr>
          <w:rFonts w:eastAsia="Times New Roman" w:cs="Times New Roman"/>
          <w:kern w:val="0"/>
          <w:lang w:val="en-US" w:eastAsia="zh-CN"/>
        </w:rPr>
        <w:t xml:space="preserve"> in patients with moderate to severe renal impairment; use in patients with moderate or severe renal impairment is not recommended. Patients with mild renal impairment should use </w:t>
      </w:r>
      <w:proofErr w:type="spellStart"/>
      <w:r w:rsidRPr="00AF1F77">
        <w:rPr>
          <w:rFonts w:eastAsia="Times New Roman" w:cs="Times New Roman"/>
          <w:kern w:val="0"/>
          <w:lang w:val="en-US" w:eastAsia="zh-CN"/>
        </w:rPr>
        <w:t>camrelizumab</w:t>
      </w:r>
      <w:proofErr w:type="spellEnd"/>
      <w:r w:rsidRPr="00AF1F77">
        <w:rPr>
          <w:rFonts w:eastAsia="Times New Roman" w:cs="Times New Roman"/>
          <w:kern w:val="0"/>
          <w:lang w:val="en-US" w:eastAsia="zh-CN"/>
        </w:rPr>
        <w:t xml:space="preserve"> cautiously under the guidance of a physician, and if usage is necessary, no dose adjustment is required. </w:t>
      </w:r>
    </w:p>
    <w:p w14:paraId="6A6CE795" w14:textId="77777777" w:rsidR="00DE4AFD" w:rsidRPr="00AF1F77" w:rsidRDefault="004A4F56" w:rsidP="00810E14">
      <w:pPr>
        <w:pStyle w:val="HR"/>
        <w:spacing w:after="0"/>
        <w:ind w:firstLineChars="0" w:firstLine="0"/>
        <w:jc w:val="both"/>
        <w:rPr>
          <w:rFonts w:cs="Times New Roman"/>
          <w:iCs/>
          <w:color w:val="000000" w:themeColor="text1"/>
          <w:lang w:val="en-US"/>
        </w:rPr>
      </w:pPr>
      <w:r w:rsidRPr="00AF1F77">
        <w:rPr>
          <w:rFonts w:eastAsia="Times New Roman" w:cs="Times New Roman"/>
          <w:color w:val="000000"/>
          <w:lang w:val="en-US" w:eastAsia="zh-CN"/>
        </w:rPr>
        <w:t>Reactive capillary endothelial proliferation mostly occurs on the surface skin, with a few cases observed in the oral mucosa, nasal mucosa, and eyelid conjunctiva.</w:t>
      </w:r>
      <w:r w:rsidRPr="00AF1F77">
        <w:rPr>
          <w:rFonts w:eastAsia="Times New Roman" w:cs="Times New Roman"/>
          <w:lang w:val="en-US" w:eastAsia="zh-CN"/>
        </w:rPr>
        <w:t xml:space="preserve"> </w:t>
      </w:r>
      <w:r w:rsidRPr="00AF1F77">
        <w:rPr>
          <w:rFonts w:eastAsia="Times New Roman" w:cs="Times New Roman"/>
          <w:color w:val="000000"/>
          <w:lang w:val="en-US" w:eastAsia="zh-CN"/>
        </w:rPr>
        <w:t>Reactive capillary endothelial proliferation occurring on the skin initially often presents as bright red pinpoint lesions on the body surface, with a diameter ≤2 mm. With the increase of the number of doses, the lesion range may gradually enlarge, mostly nodular, or patchy, bright red or dark red in color. Clinical symptoms and signs need to be observed, which can be managed according to the following grading criteria and treatment recommendations:</w:t>
      </w:r>
    </w:p>
    <w:p w14:paraId="6EFD3271" w14:textId="77777777" w:rsidR="00DE4AFD" w:rsidRPr="00AF1F77" w:rsidRDefault="004A4F56" w:rsidP="000C622D">
      <w:pPr>
        <w:pStyle w:val="HR"/>
        <w:spacing w:after="0"/>
        <w:ind w:firstLineChars="0" w:firstLine="0"/>
        <w:jc w:val="both"/>
        <w:rPr>
          <w:rFonts w:cs="Times New Roman"/>
          <w:b/>
          <w:iCs/>
          <w:color w:val="000000" w:themeColor="text1"/>
          <w:lang w:val="en-US"/>
        </w:rPr>
      </w:pPr>
      <w:r w:rsidRPr="00AF1F77">
        <w:rPr>
          <w:rFonts w:eastAsia="Times New Roman" w:cs="Times New Roman"/>
          <w:b/>
          <w:iCs/>
          <w:color w:val="000000" w:themeColor="text1"/>
          <w:lang w:val="en-US" w:eastAsia="zh-CN"/>
        </w:rPr>
        <w:t xml:space="preserve">Table 7. </w:t>
      </w:r>
      <w:r w:rsidRPr="00AF1F77">
        <w:rPr>
          <w:rFonts w:eastAsia="Times New Roman" w:cs="Times New Roman"/>
          <w:b/>
          <w:bCs/>
          <w:color w:val="000000"/>
          <w:lang w:val="en-US" w:eastAsia="zh-CN"/>
        </w:rPr>
        <w:t xml:space="preserve">Treatment Recommendations for Reactive Capillary Endothelial Proliferation Related to </w:t>
      </w:r>
      <w:proofErr w:type="spellStart"/>
      <w:r w:rsidRPr="00AF1F77">
        <w:rPr>
          <w:rFonts w:eastAsia="Times New Roman" w:cs="Times New Roman"/>
          <w:b/>
          <w:bCs/>
          <w:color w:val="000000"/>
          <w:lang w:val="en-US" w:eastAsia="zh-CN"/>
        </w:rPr>
        <w:t>Camrelizumab</w:t>
      </w:r>
      <w:proofErr w:type="spellEnd"/>
    </w:p>
    <w:tbl>
      <w:tblPr>
        <w:tblStyle w:val="32"/>
        <w:tblW w:w="5000" w:type="pct"/>
        <w:tblCellMar>
          <w:left w:w="57" w:type="dxa"/>
          <w:right w:w="57" w:type="dxa"/>
        </w:tblCellMar>
        <w:tblLook w:val="04A0" w:firstRow="1" w:lastRow="0" w:firstColumn="1" w:lastColumn="0" w:noHBand="0" w:noVBand="1"/>
      </w:tblPr>
      <w:tblGrid>
        <w:gridCol w:w="2043"/>
        <w:gridCol w:w="2637"/>
        <w:gridCol w:w="4336"/>
      </w:tblGrid>
      <w:tr w:rsidR="00DE4AFD" w:rsidRPr="00227F09" w14:paraId="172C6D6A" w14:textId="77777777" w:rsidTr="003F7776">
        <w:trPr>
          <w:trHeight w:val="355"/>
        </w:trPr>
        <w:tc>
          <w:tcPr>
            <w:tcW w:w="2027" w:type="dxa"/>
            <w:vAlign w:val="center"/>
          </w:tcPr>
          <w:p w14:paraId="028507CD" w14:textId="77777777" w:rsidR="00DE4AFD" w:rsidRPr="00227F09" w:rsidRDefault="004A4F56" w:rsidP="003F7776">
            <w:pPr>
              <w:autoSpaceDE w:val="0"/>
              <w:autoSpaceDN w:val="0"/>
              <w:snapToGrid w:val="0"/>
              <w:spacing w:line="240" w:lineRule="auto"/>
              <w:jc w:val="center"/>
              <w:rPr>
                <w:b/>
                <w:kern w:val="0"/>
              </w:rPr>
            </w:pPr>
            <w:r w:rsidRPr="00227F09">
              <w:rPr>
                <w:rFonts w:eastAsia="Times New Roman"/>
                <w:b/>
                <w:bCs/>
                <w:kern w:val="0"/>
              </w:rPr>
              <w:t>Grading†</w:t>
            </w:r>
          </w:p>
        </w:tc>
        <w:tc>
          <w:tcPr>
            <w:tcW w:w="2617" w:type="dxa"/>
            <w:vAlign w:val="center"/>
          </w:tcPr>
          <w:p w14:paraId="4488E291" w14:textId="77777777" w:rsidR="00DE4AFD" w:rsidRPr="00227F09" w:rsidRDefault="004A4F56" w:rsidP="003F7776">
            <w:pPr>
              <w:autoSpaceDE w:val="0"/>
              <w:autoSpaceDN w:val="0"/>
              <w:snapToGrid w:val="0"/>
              <w:spacing w:line="240" w:lineRule="auto"/>
              <w:jc w:val="center"/>
              <w:rPr>
                <w:b/>
                <w:kern w:val="0"/>
              </w:rPr>
            </w:pPr>
            <w:r w:rsidRPr="00227F09">
              <w:rPr>
                <w:rFonts w:eastAsia="Times New Roman"/>
                <w:b/>
                <w:bCs/>
                <w:kern w:val="0"/>
              </w:rPr>
              <w:t>Clinical Manifestations</w:t>
            </w:r>
          </w:p>
        </w:tc>
        <w:tc>
          <w:tcPr>
            <w:tcW w:w="4303" w:type="dxa"/>
            <w:vAlign w:val="center"/>
          </w:tcPr>
          <w:p w14:paraId="5268BD21" w14:textId="77777777" w:rsidR="00DE4AFD" w:rsidRPr="00227F09" w:rsidRDefault="004A4F56" w:rsidP="003F7776">
            <w:pPr>
              <w:autoSpaceDE w:val="0"/>
              <w:autoSpaceDN w:val="0"/>
              <w:snapToGrid w:val="0"/>
              <w:spacing w:line="240" w:lineRule="auto"/>
              <w:jc w:val="center"/>
              <w:rPr>
                <w:b/>
                <w:kern w:val="0"/>
              </w:rPr>
            </w:pPr>
            <w:r w:rsidRPr="00227F09">
              <w:rPr>
                <w:rFonts w:eastAsia="Times New Roman"/>
                <w:b/>
                <w:bCs/>
                <w:kern w:val="0"/>
              </w:rPr>
              <w:t>Treatment Recommendations</w:t>
            </w:r>
          </w:p>
        </w:tc>
      </w:tr>
      <w:tr w:rsidR="00DE4AFD" w:rsidRPr="00227F09" w14:paraId="42EDB23F" w14:textId="77777777" w:rsidTr="003F7776">
        <w:trPr>
          <w:trHeight w:val="553"/>
        </w:trPr>
        <w:tc>
          <w:tcPr>
            <w:tcW w:w="2027" w:type="dxa"/>
            <w:vAlign w:val="center"/>
          </w:tcPr>
          <w:p w14:paraId="1E6E277E" w14:textId="77777777" w:rsidR="00DE4AFD" w:rsidRPr="00227F09" w:rsidRDefault="004A4F56" w:rsidP="003F7776">
            <w:pPr>
              <w:autoSpaceDE w:val="0"/>
              <w:autoSpaceDN w:val="0"/>
              <w:snapToGrid w:val="0"/>
              <w:spacing w:line="240" w:lineRule="auto"/>
              <w:jc w:val="center"/>
              <w:rPr>
                <w:kern w:val="0"/>
              </w:rPr>
            </w:pPr>
            <w:r w:rsidRPr="00227F09">
              <w:rPr>
                <w:rFonts w:eastAsia="Times New Roman"/>
                <w:kern w:val="0"/>
              </w:rPr>
              <w:t>Grade 1</w:t>
            </w:r>
          </w:p>
        </w:tc>
        <w:tc>
          <w:tcPr>
            <w:tcW w:w="2617" w:type="dxa"/>
          </w:tcPr>
          <w:p w14:paraId="02EDD828" w14:textId="7A883903" w:rsidR="00DE4AFD" w:rsidRPr="00227F09" w:rsidRDefault="004A4F56" w:rsidP="003F7776">
            <w:pPr>
              <w:autoSpaceDE w:val="0"/>
              <w:autoSpaceDN w:val="0"/>
              <w:snapToGrid w:val="0"/>
              <w:spacing w:line="240" w:lineRule="auto"/>
              <w:rPr>
                <w:kern w:val="0"/>
                <w:lang w:eastAsia="zh-CN"/>
              </w:rPr>
            </w:pPr>
            <w:r w:rsidRPr="00227F09">
              <w:rPr>
                <w:rFonts w:eastAsia="Times New Roman"/>
                <w:kern w:val="0"/>
                <w:lang w:eastAsia="zh-CN"/>
              </w:rPr>
              <w:t>Maximum single diameter ≤10 mm, with or without ulceration and hemorrhage</w:t>
            </w:r>
          </w:p>
        </w:tc>
        <w:tc>
          <w:tcPr>
            <w:tcW w:w="4303" w:type="dxa"/>
          </w:tcPr>
          <w:p w14:paraId="798A1FAA" w14:textId="77777777" w:rsidR="00DE4AFD" w:rsidRPr="00227F09" w:rsidRDefault="004A4F56" w:rsidP="003F7776">
            <w:pPr>
              <w:autoSpaceDE w:val="0"/>
              <w:autoSpaceDN w:val="0"/>
              <w:snapToGrid w:val="0"/>
              <w:spacing w:line="240" w:lineRule="auto"/>
              <w:rPr>
                <w:kern w:val="0"/>
                <w:lang w:eastAsia="zh-CN"/>
              </w:rPr>
            </w:pPr>
            <w:r w:rsidRPr="00227F09">
              <w:rPr>
                <w:rFonts w:eastAsia="Times New Roman"/>
                <w:color w:val="333333"/>
                <w:kern w:val="0"/>
                <w:lang w:eastAsia="zh-CN"/>
              </w:rPr>
              <w:t xml:space="preserve">Continue the drug, and the easily rubbed area can be protected with gauze to avoid </w:t>
            </w:r>
            <w:r w:rsidRPr="00227F09">
              <w:rPr>
                <w:rFonts w:eastAsia="Times New Roman"/>
                <w:kern w:val="0"/>
                <w:lang w:eastAsia="zh-CN"/>
              </w:rPr>
              <w:t>hemorrhage</w:t>
            </w:r>
            <w:r w:rsidRPr="00227F09">
              <w:rPr>
                <w:rFonts w:eastAsia="Times New Roman"/>
                <w:color w:val="333333"/>
                <w:kern w:val="0"/>
                <w:lang w:eastAsia="zh-CN"/>
              </w:rPr>
              <w:t>.</w:t>
            </w:r>
            <w:r w:rsidRPr="00227F09">
              <w:rPr>
                <w:rFonts w:eastAsia="Times New Roman"/>
                <w:kern w:val="0"/>
                <w:lang w:eastAsia="zh-CN"/>
              </w:rPr>
              <w:t xml:space="preserve"> </w:t>
            </w:r>
            <w:r w:rsidRPr="00227F09">
              <w:rPr>
                <w:rFonts w:eastAsia="Times New Roman"/>
                <w:color w:val="333333"/>
                <w:kern w:val="0"/>
                <w:lang w:eastAsia="zh-CN"/>
              </w:rPr>
              <w:t xml:space="preserve">The area with ulceration and </w:t>
            </w:r>
            <w:r w:rsidRPr="00227F09">
              <w:rPr>
                <w:rFonts w:eastAsia="Times New Roman"/>
                <w:kern w:val="0"/>
                <w:lang w:eastAsia="zh-CN"/>
              </w:rPr>
              <w:t>hemorrhage</w:t>
            </w:r>
            <w:r w:rsidRPr="00227F09">
              <w:rPr>
                <w:rFonts w:eastAsia="Times New Roman"/>
                <w:color w:val="333333"/>
                <w:kern w:val="0"/>
                <w:lang w:eastAsia="zh-CN"/>
              </w:rPr>
              <w:t xml:space="preserve"> can be treated with local compression hemostasis.</w:t>
            </w:r>
            <w:r w:rsidRPr="00227F09">
              <w:rPr>
                <w:rFonts w:eastAsia="Times New Roman"/>
                <w:kern w:val="0"/>
                <w:lang w:eastAsia="zh-CN"/>
              </w:rPr>
              <w:t xml:space="preserve"> </w:t>
            </w:r>
          </w:p>
        </w:tc>
      </w:tr>
      <w:tr w:rsidR="00DE4AFD" w:rsidRPr="00227F09" w14:paraId="592ABE38" w14:textId="77777777" w:rsidTr="003F7776">
        <w:trPr>
          <w:trHeight w:val="553"/>
        </w:trPr>
        <w:tc>
          <w:tcPr>
            <w:tcW w:w="2027" w:type="dxa"/>
            <w:vAlign w:val="center"/>
          </w:tcPr>
          <w:p w14:paraId="33DC049D" w14:textId="77777777" w:rsidR="00DE4AFD" w:rsidRPr="00227F09" w:rsidRDefault="004A4F56" w:rsidP="003F7776">
            <w:pPr>
              <w:autoSpaceDE w:val="0"/>
              <w:autoSpaceDN w:val="0"/>
              <w:snapToGrid w:val="0"/>
              <w:spacing w:line="240" w:lineRule="auto"/>
              <w:jc w:val="center"/>
              <w:rPr>
                <w:kern w:val="0"/>
              </w:rPr>
            </w:pPr>
            <w:r w:rsidRPr="00227F09">
              <w:rPr>
                <w:rFonts w:eastAsia="Times New Roman"/>
              </w:rPr>
              <w:t>Grade 2</w:t>
            </w:r>
          </w:p>
        </w:tc>
        <w:tc>
          <w:tcPr>
            <w:tcW w:w="2617" w:type="dxa"/>
          </w:tcPr>
          <w:p w14:paraId="1AA9B9D4" w14:textId="3A89E8D7" w:rsidR="00DE4AFD" w:rsidRPr="00227F09" w:rsidRDefault="004A4F56" w:rsidP="003F7776">
            <w:pPr>
              <w:autoSpaceDE w:val="0"/>
              <w:autoSpaceDN w:val="0"/>
              <w:snapToGrid w:val="0"/>
              <w:spacing w:line="240" w:lineRule="auto"/>
              <w:rPr>
                <w:kern w:val="0"/>
                <w:lang w:eastAsia="zh-CN"/>
              </w:rPr>
            </w:pPr>
            <w:r w:rsidRPr="00227F09">
              <w:rPr>
                <w:rFonts w:eastAsia="Times New Roman"/>
                <w:kern w:val="0"/>
                <w:lang w:eastAsia="zh-CN"/>
              </w:rPr>
              <w:t>Maximum single diameter &gt;10 mm, with or without ulceration and hemorrhage</w:t>
            </w:r>
          </w:p>
        </w:tc>
        <w:tc>
          <w:tcPr>
            <w:tcW w:w="4303" w:type="dxa"/>
          </w:tcPr>
          <w:p w14:paraId="7C4AB5BB" w14:textId="77777777" w:rsidR="00DE4AFD" w:rsidRPr="00227F09" w:rsidRDefault="004A4F56" w:rsidP="003F7776">
            <w:pPr>
              <w:autoSpaceDE w:val="0"/>
              <w:autoSpaceDN w:val="0"/>
              <w:snapToGrid w:val="0"/>
              <w:spacing w:line="240" w:lineRule="auto"/>
              <w:rPr>
                <w:kern w:val="0"/>
              </w:rPr>
            </w:pPr>
            <w:r w:rsidRPr="00227F09">
              <w:rPr>
                <w:rFonts w:eastAsia="Times New Roman"/>
                <w:color w:val="333333"/>
                <w:kern w:val="0"/>
                <w:lang w:eastAsia="zh-CN"/>
              </w:rPr>
              <w:t xml:space="preserve">Continue the drug, and the easily rubbed area can be protected with gauze to avoid </w:t>
            </w:r>
            <w:r w:rsidRPr="00227F09">
              <w:rPr>
                <w:rFonts w:eastAsia="Times New Roman"/>
                <w:kern w:val="0"/>
                <w:lang w:eastAsia="zh-CN"/>
              </w:rPr>
              <w:t>hemorrhage</w:t>
            </w:r>
            <w:r w:rsidRPr="00227F09">
              <w:rPr>
                <w:rFonts w:eastAsia="Times New Roman"/>
                <w:color w:val="333333"/>
                <w:kern w:val="0"/>
                <w:lang w:eastAsia="zh-CN"/>
              </w:rPr>
              <w:t>.</w:t>
            </w:r>
            <w:r w:rsidRPr="00227F09">
              <w:rPr>
                <w:rFonts w:eastAsia="Times New Roman"/>
                <w:kern w:val="0"/>
                <w:lang w:eastAsia="zh-CN"/>
              </w:rPr>
              <w:t xml:space="preserve"> </w:t>
            </w:r>
            <w:r w:rsidRPr="00227F09">
              <w:rPr>
                <w:rFonts w:eastAsia="Times New Roman"/>
                <w:color w:val="333333"/>
                <w:kern w:val="0"/>
                <w:lang w:eastAsia="zh-CN"/>
              </w:rPr>
              <w:t xml:space="preserve">The area with ulceration and </w:t>
            </w:r>
            <w:r w:rsidRPr="00227F09">
              <w:rPr>
                <w:rFonts w:eastAsia="Times New Roman"/>
                <w:kern w:val="0"/>
                <w:lang w:eastAsia="zh-CN"/>
              </w:rPr>
              <w:t>hemorrhage</w:t>
            </w:r>
            <w:r w:rsidRPr="00227F09">
              <w:rPr>
                <w:rFonts w:eastAsia="Times New Roman"/>
                <w:color w:val="333333"/>
                <w:kern w:val="0"/>
                <w:lang w:eastAsia="zh-CN"/>
              </w:rPr>
              <w:t xml:space="preserve"> can be treated with local compression hemostasis, or local treatment measures, such as laser or surgical resection.</w:t>
            </w:r>
            <w:r w:rsidRPr="00227F09">
              <w:rPr>
                <w:rFonts w:eastAsia="Times New Roman"/>
                <w:kern w:val="0"/>
                <w:lang w:eastAsia="zh-CN"/>
              </w:rPr>
              <w:t xml:space="preserve"> </w:t>
            </w:r>
            <w:r w:rsidRPr="00227F09">
              <w:rPr>
                <w:rFonts w:eastAsia="Times New Roman"/>
                <w:kern w:val="0"/>
              </w:rPr>
              <w:t xml:space="preserve">Avoid infection at the site of ulceration. </w:t>
            </w:r>
          </w:p>
        </w:tc>
      </w:tr>
      <w:tr w:rsidR="00DE4AFD" w:rsidRPr="00227F09" w14:paraId="4B7BDA70" w14:textId="77777777" w:rsidTr="003F7776">
        <w:trPr>
          <w:trHeight w:val="553"/>
        </w:trPr>
        <w:tc>
          <w:tcPr>
            <w:tcW w:w="2027" w:type="dxa"/>
            <w:vAlign w:val="center"/>
          </w:tcPr>
          <w:p w14:paraId="57D04AC6" w14:textId="77777777" w:rsidR="00DE4AFD" w:rsidRPr="00227F09" w:rsidRDefault="004A4F56" w:rsidP="003F7776">
            <w:pPr>
              <w:autoSpaceDE w:val="0"/>
              <w:autoSpaceDN w:val="0"/>
              <w:snapToGrid w:val="0"/>
              <w:spacing w:line="240" w:lineRule="auto"/>
              <w:jc w:val="center"/>
              <w:rPr>
                <w:kern w:val="0"/>
              </w:rPr>
            </w:pPr>
            <w:r w:rsidRPr="00227F09">
              <w:rPr>
                <w:rFonts w:eastAsia="Times New Roman"/>
              </w:rPr>
              <w:lastRenderedPageBreak/>
              <w:t>Grade 3</w:t>
            </w:r>
          </w:p>
        </w:tc>
        <w:tc>
          <w:tcPr>
            <w:tcW w:w="2617" w:type="dxa"/>
          </w:tcPr>
          <w:p w14:paraId="6CD1855D" w14:textId="77777777" w:rsidR="00DE4AFD" w:rsidRPr="00227F09" w:rsidRDefault="004A4F56" w:rsidP="003F7776">
            <w:pPr>
              <w:autoSpaceDE w:val="0"/>
              <w:autoSpaceDN w:val="0"/>
              <w:snapToGrid w:val="0"/>
              <w:spacing w:line="240" w:lineRule="auto"/>
              <w:rPr>
                <w:kern w:val="0"/>
                <w:lang w:eastAsia="zh-CN"/>
              </w:rPr>
            </w:pPr>
            <w:r w:rsidRPr="00227F09">
              <w:rPr>
                <w:rFonts w:eastAsia="Times New Roman"/>
                <w:color w:val="333333"/>
                <w:kern w:val="0"/>
                <w:lang w:eastAsia="zh-CN"/>
              </w:rPr>
              <w:t>Generalized, can be complicated by skin infection, may require hospitalization</w:t>
            </w:r>
            <w:r w:rsidRPr="00227F09">
              <w:rPr>
                <w:rFonts w:eastAsia="Times New Roman"/>
                <w:kern w:val="0"/>
                <w:lang w:eastAsia="zh-CN"/>
              </w:rPr>
              <w:t xml:space="preserve">. </w:t>
            </w:r>
          </w:p>
        </w:tc>
        <w:tc>
          <w:tcPr>
            <w:tcW w:w="4303" w:type="dxa"/>
          </w:tcPr>
          <w:p w14:paraId="3CF62F28" w14:textId="77777777" w:rsidR="00DE4AFD" w:rsidRPr="00227F09" w:rsidRDefault="004A4F56" w:rsidP="003F7776">
            <w:pPr>
              <w:autoSpaceDE w:val="0"/>
              <w:autoSpaceDN w:val="0"/>
              <w:snapToGrid w:val="0"/>
              <w:spacing w:line="240" w:lineRule="auto"/>
              <w:rPr>
                <w:kern w:val="0"/>
                <w:lang w:eastAsia="zh-CN"/>
              </w:rPr>
            </w:pPr>
            <w:r w:rsidRPr="00227F09">
              <w:rPr>
                <w:rFonts w:eastAsia="Times New Roman"/>
                <w:color w:val="333333"/>
                <w:kern w:val="0"/>
                <w:lang w:eastAsia="zh-CN"/>
              </w:rPr>
              <w:t xml:space="preserve">Interrupt the drug, resume the drug after recovery to ≤ Grade 1, and the easily rubbed area can be protected with gauze to avoid </w:t>
            </w:r>
            <w:r w:rsidRPr="00227F09">
              <w:rPr>
                <w:rFonts w:eastAsia="Times New Roman"/>
                <w:kern w:val="0"/>
                <w:lang w:eastAsia="zh-CN"/>
              </w:rPr>
              <w:t>hemorrhage</w:t>
            </w:r>
            <w:r w:rsidRPr="00227F09">
              <w:rPr>
                <w:rFonts w:eastAsia="Times New Roman"/>
                <w:color w:val="333333"/>
                <w:kern w:val="0"/>
                <w:lang w:eastAsia="zh-CN"/>
              </w:rPr>
              <w:t>.</w:t>
            </w:r>
            <w:r w:rsidRPr="00227F09">
              <w:rPr>
                <w:rFonts w:eastAsia="Times New Roman"/>
                <w:kern w:val="0"/>
                <w:lang w:eastAsia="zh-CN"/>
              </w:rPr>
              <w:t xml:space="preserve"> </w:t>
            </w:r>
            <w:r w:rsidRPr="00227F09">
              <w:rPr>
                <w:rFonts w:eastAsia="Times New Roman"/>
                <w:color w:val="333333"/>
                <w:kern w:val="0"/>
                <w:lang w:eastAsia="zh-CN"/>
              </w:rPr>
              <w:t xml:space="preserve">The area with ulceration and </w:t>
            </w:r>
            <w:r w:rsidRPr="00227F09">
              <w:rPr>
                <w:rFonts w:eastAsia="Times New Roman"/>
                <w:kern w:val="0"/>
                <w:lang w:eastAsia="zh-CN"/>
              </w:rPr>
              <w:t>hemorrhage</w:t>
            </w:r>
            <w:r w:rsidRPr="00227F09">
              <w:rPr>
                <w:rFonts w:eastAsia="Times New Roman"/>
                <w:color w:val="333333"/>
                <w:kern w:val="0"/>
                <w:lang w:eastAsia="zh-CN"/>
              </w:rPr>
              <w:t xml:space="preserve"> can be treated with local compression hemostasis, or local treatment measures, such as laser or surgical resection, and anti-infective treatment should be given for those complicated with infection. </w:t>
            </w:r>
          </w:p>
        </w:tc>
      </w:tr>
      <w:tr w:rsidR="00DE4AFD" w:rsidRPr="00227F09" w14:paraId="45948EDD" w14:textId="77777777" w:rsidTr="003F7776">
        <w:trPr>
          <w:trHeight w:val="396"/>
        </w:trPr>
        <w:tc>
          <w:tcPr>
            <w:tcW w:w="2027" w:type="dxa"/>
            <w:vAlign w:val="center"/>
          </w:tcPr>
          <w:p w14:paraId="6977CA69" w14:textId="77777777" w:rsidR="00DE4AFD" w:rsidRPr="00227F09" w:rsidRDefault="004A4F56" w:rsidP="003F7776">
            <w:pPr>
              <w:autoSpaceDE w:val="0"/>
              <w:autoSpaceDN w:val="0"/>
              <w:snapToGrid w:val="0"/>
              <w:spacing w:line="240" w:lineRule="auto"/>
              <w:jc w:val="center"/>
              <w:rPr>
                <w:kern w:val="0"/>
              </w:rPr>
            </w:pPr>
            <w:r w:rsidRPr="00227F09">
              <w:rPr>
                <w:rFonts w:eastAsia="Times New Roman"/>
                <w:kern w:val="0"/>
              </w:rPr>
              <w:t>Grade 4‡</w:t>
            </w:r>
          </w:p>
        </w:tc>
        <w:tc>
          <w:tcPr>
            <w:tcW w:w="2617" w:type="dxa"/>
            <w:vAlign w:val="center"/>
          </w:tcPr>
          <w:p w14:paraId="339D022D" w14:textId="77777777" w:rsidR="00DE4AFD" w:rsidRPr="00227F09" w:rsidRDefault="004A4F56" w:rsidP="003F7776">
            <w:pPr>
              <w:autoSpaceDE w:val="0"/>
              <w:autoSpaceDN w:val="0"/>
              <w:snapToGrid w:val="0"/>
              <w:spacing w:line="240" w:lineRule="auto"/>
              <w:rPr>
                <w:kern w:val="0"/>
                <w:lang w:eastAsia="zh-CN"/>
              </w:rPr>
            </w:pPr>
            <w:r w:rsidRPr="00227F09">
              <w:rPr>
                <w:rFonts w:eastAsia="Times New Roman"/>
                <w:color w:val="333333"/>
                <w:kern w:val="0"/>
                <w:lang w:eastAsia="zh-CN"/>
              </w:rPr>
              <w:t>Multiple and generalized, life-threatening</w:t>
            </w:r>
          </w:p>
        </w:tc>
        <w:tc>
          <w:tcPr>
            <w:tcW w:w="4303" w:type="dxa"/>
            <w:vAlign w:val="center"/>
          </w:tcPr>
          <w:p w14:paraId="29693EA2" w14:textId="5228C20B" w:rsidR="00DE4AFD" w:rsidRPr="00227F09" w:rsidRDefault="004A4F56" w:rsidP="003F7776">
            <w:pPr>
              <w:autoSpaceDE w:val="0"/>
              <w:autoSpaceDN w:val="0"/>
              <w:snapToGrid w:val="0"/>
              <w:spacing w:line="240" w:lineRule="auto"/>
              <w:rPr>
                <w:kern w:val="0"/>
              </w:rPr>
            </w:pPr>
            <w:r w:rsidRPr="00227F09">
              <w:rPr>
                <w:rFonts w:eastAsia="Times New Roman"/>
              </w:rPr>
              <w:t xml:space="preserve">Permanent </w:t>
            </w:r>
            <w:r w:rsidR="00336D6F">
              <w:rPr>
                <w:rFonts w:eastAsiaTheme="minorEastAsia" w:hint="eastAsia"/>
                <w:lang w:eastAsia="zh-CN"/>
              </w:rPr>
              <w:t>d</w:t>
            </w:r>
            <w:r w:rsidR="00336D6F" w:rsidRPr="00227F09">
              <w:rPr>
                <w:rFonts w:eastAsia="Times New Roman"/>
              </w:rPr>
              <w:t>iscontinuation</w:t>
            </w:r>
          </w:p>
        </w:tc>
      </w:tr>
      <w:tr w:rsidR="00DE4AFD" w:rsidRPr="00227F09" w14:paraId="4898F4BB" w14:textId="77777777" w:rsidTr="003F7776">
        <w:trPr>
          <w:trHeight w:val="396"/>
        </w:trPr>
        <w:tc>
          <w:tcPr>
            <w:tcW w:w="2027" w:type="dxa"/>
            <w:vAlign w:val="center"/>
          </w:tcPr>
          <w:p w14:paraId="6F398F18" w14:textId="77777777" w:rsidR="00DE4AFD" w:rsidRPr="00227F09" w:rsidRDefault="004A4F56" w:rsidP="003F7776">
            <w:pPr>
              <w:autoSpaceDE w:val="0"/>
              <w:autoSpaceDN w:val="0"/>
              <w:snapToGrid w:val="0"/>
              <w:spacing w:line="240" w:lineRule="auto"/>
              <w:jc w:val="center"/>
              <w:rPr>
                <w:kern w:val="0"/>
              </w:rPr>
            </w:pPr>
            <w:r w:rsidRPr="00227F09">
              <w:rPr>
                <w:rFonts w:eastAsia="Times New Roman"/>
                <w:kern w:val="0"/>
              </w:rPr>
              <w:t>Grade 5‡</w:t>
            </w:r>
          </w:p>
        </w:tc>
        <w:tc>
          <w:tcPr>
            <w:tcW w:w="2617" w:type="dxa"/>
            <w:vAlign w:val="center"/>
          </w:tcPr>
          <w:p w14:paraId="0E33919E" w14:textId="77777777" w:rsidR="00DE4AFD" w:rsidRPr="00227F09" w:rsidRDefault="004A4F56" w:rsidP="003F7776">
            <w:pPr>
              <w:autoSpaceDE w:val="0"/>
              <w:autoSpaceDN w:val="0"/>
              <w:snapToGrid w:val="0"/>
              <w:spacing w:line="240" w:lineRule="auto"/>
              <w:rPr>
                <w:kern w:val="0"/>
              </w:rPr>
            </w:pPr>
            <w:r w:rsidRPr="00227F09">
              <w:rPr>
                <w:rFonts w:eastAsia="Times New Roman"/>
                <w:kern w:val="0"/>
              </w:rPr>
              <w:t>Death</w:t>
            </w:r>
          </w:p>
        </w:tc>
        <w:tc>
          <w:tcPr>
            <w:tcW w:w="4303" w:type="dxa"/>
            <w:vAlign w:val="center"/>
          </w:tcPr>
          <w:p w14:paraId="6B6624A6" w14:textId="77777777" w:rsidR="00DE4AFD" w:rsidRPr="00227F09" w:rsidRDefault="00DE4AFD" w:rsidP="003F7776">
            <w:pPr>
              <w:autoSpaceDE w:val="0"/>
              <w:autoSpaceDN w:val="0"/>
              <w:snapToGrid w:val="0"/>
              <w:spacing w:line="240" w:lineRule="auto"/>
              <w:rPr>
                <w:kern w:val="0"/>
              </w:rPr>
            </w:pPr>
          </w:p>
        </w:tc>
      </w:tr>
    </w:tbl>
    <w:p w14:paraId="2EF190A9" w14:textId="70345981" w:rsidR="00DE4AFD" w:rsidRPr="00303844" w:rsidRDefault="004A4F56" w:rsidP="00DC03A8">
      <w:pPr>
        <w:autoSpaceDE w:val="0"/>
        <w:autoSpaceDN w:val="0"/>
        <w:adjustRightInd w:val="0"/>
        <w:snapToGrid w:val="0"/>
        <w:jc w:val="left"/>
        <w:rPr>
          <w:rFonts w:ascii="Times New Roman" w:eastAsia="宋体" w:hAnsi="Times New Roman" w:cs="Times New Roman"/>
          <w:kern w:val="0"/>
        </w:rPr>
      </w:pPr>
      <w:r w:rsidRPr="00303844">
        <w:rPr>
          <w:rFonts w:ascii="Times New Roman" w:eastAsia="Times New Roman" w:hAnsi="Times New Roman" w:cs="Times New Roman"/>
        </w:rPr>
        <w:t xml:space="preserve">† Grading is based on the </w:t>
      </w:r>
      <w:r w:rsidRPr="00303844">
        <w:rPr>
          <w:rFonts w:ascii="Times New Roman" w:eastAsia="Times New Roman" w:hAnsi="Times New Roman" w:cs="Times New Roman"/>
          <w:i/>
          <w:iCs/>
        </w:rPr>
        <w:t xml:space="preserve">CSCO Guidelines for Toxicity Management Related to </w:t>
      </w:r>
      <w:r w:rsidR="0083321D" w:rsidRPr="0083321D">
        <w:rPr>
          <w:rFonts w:ascii="Times New Roman" w:eastAsia="Times New Roman" w:hAnsi="Times New Roman" w:cs="Times New Roman"/>
          <w:i/>
          <w:iCs/>
        </w:rPr>
        <w:t>ICI</w:t>
      </w:r>
      <w:r w:rsidRPr="00303844">
        <w:rPr>
          <w:rFonts w:ascii="Times New Roman" w:eastAsia="Times New Roman" w:hAnsi="Times New Roman" w:cs="Times New Roman"/>
          <w:i/>
          <w:iCs/>
        </w:rPr>
        <w:t>s 2019</w:t>
      </w:r>
      <w:r w:rsidRPr="00303844">
        <w:rPr>
          <w:rFonts w:ascii="Times New Roman" w:eastAsia="Times New Roman" w:hAnsi="Times New Roman" w:cs="Times New Roman"/>
        </w:rPr>
        <w:t xml:space="preserve">. </w:t>
      </w:r>
      <w:r w:rsidR="00DC03A8">
        <w:rPr>
          <w:rFonts w:ascii="Times New Roman" w:hAnsi="Times New Roman" w:cs="Times New Roman"/>
        </w:rPr>
        <w:br/>
      </w:r>
      <w:r w:rsidRPr="00303844">
        <w:rPr>
          <w:rFonts w:ascii="Times New Roman" w:eastAsia="Times New Roman" w:hAnsi="Times New Roman" w:cs="Times New Roman"/>
          <w:kern w:val="0"/>
        </w:rPr>
        <w:t xml:space="preserve">‡ No Grade 4 life-threatening or Grade 5 death </w:t>
      </w:r>
      <w:r w:rsidR="007F48EE">
        <w:rPr>
          <w:rFonts w:ascii="Times New Roman" w:hAnsi="Times New Roman" w:cs="Times New Roman" w:hint="eastAsia"/>
          <w:kern w:val="0"/>
        </w:rPr>
        <w:t>AE</w:t>
      </w:r>
      <w:r w:rsidRPr="00303844">
        <w:rPr>
          <w:rFonts w:ascii="Times New Roman" w:eastAsia="Times New Roman" w:hAnsi="Times New Roman" w:cs="Times New Roman"/>
          <w:kern w:val="0"/>
        </w:rPr>
        <w:t xml:space="preserve">s occurred in the </w:t>
      </w:r>
      <w:proofErr w:type="spellStart"/>
      <w:r w:rsidRPr="00303844">
        <w:rPr>
          <w:rFonts w:ascii="Times New Roman" w:eastAsia="Times New Roman" w:hAnsi="Times New Roman" w:cs="Times New Roman"/>
          <w:kern w:val="0"/>
        </w:rPr>
        <w:t>camrelizumab</w:t>
      </w:r>
      <w:proofErr w:type="spellEnd"/>
      <w:r w:rsidRPr="00303844">
        <w:rPr>
          <w:rFonts w:ascii="Times New Roman" w:eastAsia="Times New Roman" w:hAnsi="Times New Roman" w:cs="Times New Roman"/>
          <w:kern w:val="0"/>
        </w:rPr>
        <w:t xml:space="preserve"> studies. </w:t>
      </w:r>
    </w:p>
    <w:p w14:paraId="0B4530F2" w14:textId="77777777" w:rsidR="008300AC" w:rsidRPr="00303844" w:rsidRDefault="008300AC" w:rsidP="00DC03A8">
      <w:pPr>
        <w:autoSpaceDE w:val="0"/>
        <w:autoSpaceDN w:val="0"/>
        <w:adjustRightInd w:val="0"/>
        <w:snapToGrid w:val="0"/>
        <w:rPr>
          <w:rFonts w:ascii="Times New Roman" w:eastAsia="宋体" w:hAnsi="Times New Roman" w:cs="Times New Roman"/>
          <w:kern w:val="0"/>
        </w:rPr>
      </w:pPr>
    </w:p>
    <w:p w14:paraId="04477E5D" w14:textId="77777777" w:rsidR="00DE4AFD" w:rsidRPr="00AF1F77" w:rsidRDefault="004A4F56" w:rsidP="00DC03A8">
      <w:pPr>
        <w:pStyle w:val="HR"/>
        <w:spacing w:after="0"/>
        <w:ind w:firstLineChars="0" w:firstLine="0"/>
        <w:jc w:val="both"/>
        <w:rPr>
          <w:rFonts w:cs="Times New Roman"/>
          <w:iCs/>
          <w:color w:val="000000" w:themeColor="text1"/>
          <w:lang w:val="en-US"/>
        </w:rPr>
      </w:pPr>
      <w:r w:rsidRPr="00AF1F77">
        <w:rPr>
          <w:rFonts w:eastAsia="Times New Roman" w:cs="Times New Roman"/>
          <w:color w:val="000000"/>
          <w:lang w:val="en-US" w:eastAsia="zh-CN"/>
        </w:rPr>
        <w:t>When the patient develops this adverse reaction, scratching or rubbing should be avoided. Areas prone to friction can be protected with gauze to prevent hemorrhage. Simultaneously, the doctor should be contacted to obtain appropriate management advice.</w:t>
      </w:r>
      <w:r w:rsidRPr="00AF1F77">
        <w:rPr>
          <w:rFonts w:eastAsia="Times New Roman" w:cs="Times New Roman"/>
          <w:lang w:val="en-US" w:eastAsia="zh-CN"/>
        </w:rPr>
        <w:t xml:space="preserve"> </w:t>
      </w:r>
      <w:r w:rsidRPr="00AF1F77">
        <w:rPr>
          <w:rFonts w:eastAsia="Times New Roman" w:cs="Times New Roman"/>
          <w:color w:val="000000"/>
          <w:lang w:val="en-US" w:eastAsia="zh-CN"/>
        </w:rPr>
        <w:t xml:space="preserve">For those with ulcerative hemorrhage, local compression </w:t>
      </w:r>
      <w:proofErr w:type="spellStart"/>
      <w:r w:rsidRPr="00AF1F77">
        <w:rPr>
          <w:rFonts w:eastAsia="Times New Roman" w:cs="Times New Roman"/>
          <w:color w:val="000000"/>
          <w:lang w:val="en-US" w:eastAsia="zh-CN"/>
        </w:rPr>
        <w:t>haemostasis</w:t>
      </w:r>
      <w:proofErr w:type="spellEnd"/>
      <w:r w:rsidRPr="00AF1F77">
        <w:rPr>
          <w:rFonts w:eastAsia="Times New Roman" w:cs="Times New Roman"/>
          <w:color w:val="000000"/>
          <w:lang w:val="en-US" w:eastAsia="zh-CN"/>
        </w:rPr>
        <w:t xml:space="preserve"> can be applied. For recurrent cases, after </w:t>
      </w:r>
      <w:proofErr w:type="spellStart"/>
      <w:r w:rsidRPr="00AF1F77">
        <w:rPr>
          <w:rFonts w:eastAsia="Times New Roman" w:cs="Times New Roman"/>
          <w:color w:val="000000"/>
          <w:lang w:val="en-US" w:eastAsia="zh-CN"/>
        </w:rPr>
        <w:t>haemostasis</w:t>
      </w:r>
      <w:proofErr w:type="spellEnd"/>
      <w:r w:rsidRPr="00AF1F77">
        <w:rPr>
          <w:rFonts w:eastAsia="Times New Roman" w:cs="Times New Roman"/>
          <w:color w:val="000000"/>
          <w:lang w:val="en-US" w:eastAsia="zh-CN"/>
        </w:rPr>
        <w:t>, patients can visit the dermatology department for local treatments such as laser therapy or surgical excision.</w:t>
      </w:r>
      <w:r w:rsidRPr="00AF1F77">
        <w:rPr>
          <w:rFonts w:eastAsia="Times New Roman" w:cs="Times New Roman"/>
          <w:lang w:val="en-US" w:eastAsia="zh-CN"/>
        </w:rPr>
        <w:t xml:space="preserve"> </w:t>
      </w:r>
      <w:r w:rsidRPr="00AF1F77">
        <w:rPr>
          <w:rFonts w:eastAsia="Times New Roman" w:cs="Times New Roman"/>
          <w:color w:val="000000"/>
          <w:lang w:val="en-US" w:eastAsia="zh-CN"/>
        </w:rPr>
        <w:t>Patients with local concurrent infection should be given local anti-infective therapy.</w:t>
      </w:r>
      <w:r w:rsidRPr="00AF1F77">
        <w:rPr>
          <w:rFonts w:eastAsia="Times New Roman" w:cs="Times New Roman"/>
          <w:lang w:val="en-US" w:eastAsia="zh-CN"/>
        </w:rPr>
        <w:t xml:space="preserve"> </w:t>
      </w:r>
      <w:r w:rsidRPr="00AF1F77">
        <w:rPr>
          <w:rFonts w:eastAsia="Times New Roman" w:cs="Times New Roman"/>
          <w:color w:val="000000"/>
          <w:lang w:val="en-US" w:eastAsia="zh-CN"/>
        </w:rPr>
        <w:t xml:space="preserve">Reactive capillary endothelial proliferation may occur in tissues other than the skin (including palpebral conjunctiva, medial and external </w:t>
      </w:r>
      <w:proofErr w:type="spellStart"/>
      <w:r w:rsidRPr="00AF1F77">
        <w:rPr>
          <w:rFonts w:eastAsia="Times New Roman" w:cs="Times New Roman"/>
          <w:color w:val="000000"/>
          <w:lang w:val="en-US" w:eastAsia="zh-CN"/>
        </w:rPr>
        <w:t>canthus</w:t>
      </w:r>
      <w:proofErr w:type="spellEnd"/>
      <w:r w:rsidRPr="00AF1F77">
        <w:rPr>
          <w:rFonts w:eastAsia="Times New Roman" w:cs="Times New Roman"/>
          <w:color w:val="000000"/>
          <w:lang w:val="en-US" w:eastAsia="zh-CN"/>
        </w:rPr>
        <w:t>, oral mucosa, throat or other organs), and appropriate medical examinations, such as fecal occult blood, endoscopy, and imaging examinations, should be performed according to self-examination signs and symptoms, if necessary (for details, refer to the "Information Collection and Risk Management Plan for Reactive Capillary Endothelial Proliferation").</w:t>
      </w:r>
      <w:r w:rsidRPr="00AF1F77">
        <w:rPr>
          <w:rFonts w:eastAsia="Times New Roman" w:cs="Times New Roman"/>
          <w:lang w:val="en-US" w:eastAsia="zh-CN"/>
        </w:rPr>
        <w:t xml:space="preserve"> </w:t>
      </w:r>
    </w:p>
    <w:p w14:paraId="45C75687" w14:textId="77777777" w:rsidR="00DE4AFD" w:rsidRPr="00303844" w:rsidRDefault="004A4F56" w:rsidP="000C622D">
      <w:pPr>
        <w:pStyle w:val="21"/>
        <w:spacing w:before="0" w:after="0" w:line="360" w:lineRule="auto"/>
        <w:rPr>
          <w:rFonts w:eastAsia="宋体" w:cs="Times New Roman"/>
        </w:rPr>
      </w:pPr>
      <w:bookmarkStart w:id="68" w:name="_Toc184889633"/>
      <w:r w:rsidRPr="00303844">
        <w:rPr>
          <w:rFonts w:eastAsia="Times New Roman" w:cs="Times New Roman"/>
          <w:color w:val="333333"/>
        </w:rPr>
        <w:t>Concomitant and Excluded Medications</w:t>
      </w:r>
      <w:bookmarkEnd w:id="68"/>
    </w:p>
    <w:p w14:paraId="0B4F6159" w14:textId="77777777" w:rsidR="00DE4AFD" w:rsidRPr="00303844" w:rsidRDefault="004A4F56" w:rsidP="000C622D">
      <w:pPr>
        <w:pStyle w:val="30"/>
        <w:spacing w:before="0" w:after="0" w:line="360" w:lineRule="auto"/>
        <w:rPr>
          <w:rFonts w:cs="Times New Roman"/>
        </w:rPr>
      </w:pPr>
      <w:bookmarkStart w:id="69" w:name="_Toc184889634"/>
      <w:r w:rsidRPr="00303844">
        <w:rPr>
          <w:rFonts w:eastAsia="Times New Roman" w:cs="Times New Roman"/>
        </w:rPr>
        <w:t>Concomitant Medications</w:t>
      </w:r>
      <w:bookmarkEnd w:id="69"/>
    </w:p>
    <w:p w14:paraId="7F5640CF" w14:textId="77777777" w:rsidR="00DE4AFD" w:rsidRPr="00AF1F77" w:rsidRDefault="004A4F56" w:rsidP="00A00B16">
      <w:pPr>
        <w:pStyle w:val="HR"/>
        <w:spacing w:after="0"/>
        <w:ind w:firstLineChars="0" w:firstLine="0"/>
        <w:jc w:val="both"/>
        <w:rPr>
          <w:rFonts w:cs="Times New Roman"/>
          <w:lang w:val="en-US"/>
        </w:rPr>
      </w:pPr>
      <w:r w:rsidRPr="00A00B16">
        <w:rPr>
          <w:rFonts w:eastAsia="Times New Roman" w:cs="Times New Roman"/>
          <w:color w:val="333333"/>
          <w:szCs w:val="20"/>
          <w:lang w:val="en-US"/>
        </w:rPr>
        <w:t>Concomitant medications include any prescription and over-the-counter drugs.</w:t>
      </w:r>
      <w:r w:rsidRPr="00A00B16">
        <w:rPr>
          <w:rFonts w:eastAsia="Times New Roman" w:cs="Times New Roman"/>
          <w:szCs w:val="20"/>
          <w:lang w:val="en-US"/>
        </w:rPr>
        <w:t xml:space="preserve"> </w:t>
      </w:r>
      <w:r w:rsidRPr="00AF1F77">
        <w:rPr>
          <w:rFonts w:eastAsia="Times New Roman" w:cs="Times New Roman"/>
          <w:iCs/>
          <w:color w:val="000000"/>
          <w:lang w:val="en-US" w:eastAsia="zh-CN"/>
        </w:rPr>
        <w:t>All medications used by the patient within 21 days prior to the first dose administration up to the 30-day safety visit should be recorded.</w:t>
      </w:r>
      <w:r w:rsidRPr="00AF1F77">
        <w:rPr>
          <w:rFonts w:eastAsia="Times New Roman" w:cs="Times New Roman"/>
          <w:iCs/>
          <w:lang w:val="en-US" w:eastAsia="zh-CN"/>
        </w:rPr>
        <w:t xml:space="preserve"> </w:t>
      </w:r>
      <w:r w:rsidRPr="00A00B16">
        <w:rPr>
          <w:rFonts w:eastAsia="Times New Roman" w:cs="Times New Roman"/>
          <w:color w:val="333333"/>
          <w:szCs w:val="20"/>
          <w:lang w:val="en-US"/>
        </w:rPr>
        <w:t>Only subsequent anti-tumor therapies will be recorded after the 30-day safety visit.</w:t>
      </w:r>
      <w:r w:rsidRPr="00A00B16">
        <w:rPr>
          <w:rFonts w:eastAsia="Times New Roman" w:cs="Times New Roman"/>
          <w:szCs w:val="20"/>
          <w:lang w:val="en-US"/>
        </w:rPr>
        <w:t xml:space="preserve"> </w:t>
      </w:r>
      <w:r w:rsidRPr="00AF1F77">
        <w:rPr>
          <w:rFonts w:eastAsia="Times New Roman" w:cs="Times New Roman"/>
          <w:lang w:val="en-US" w:eastAsia="zh-CN"/>
        </w:rPr>
        <w:t xml:space="preserve">Patients </w:t>
      </w:r>
      <w:r w:rsidRPr="00AF1F77">
        <w:rPr>
          <w:rFonts w:eastAsia="Times New Roman" w:cs="Times New Roman"/>
          <w:color w:val="333333"/>
          <w:lang w:val="en-US" w:eastAsia="zh-CN"/>
        </w:rPr>
        <w:t>on oral contraceptives and hormone replacement therapy may continue to take the medications.</w:t>
      </w:r>
      <w:r w:rsidRPr="00AF1F77">
        <w:rPr>
          <w:rFonts w:eastAsia="Times New Roman" w:cs="Times New Roman"/>
          <w:lang w:val="en-US" w:eastAsia="zh-CN"/>
        </w:rPr>
        <w:t xml:space="preserve"> All concomitant medications, including the start and end dates, route of administration, usage, dosage, and indications, must be recorded in the Case Report Form. </w:t>
      </w:r>
      <w:r w:rsidRPr="00AF1F77">
        <w:rPr>
          <w:rFonts w:eastAsia="Times New Roman" w:cs="Times New Roman"/>
          <w:lang w:val="en-US" w:eastAsia="zh-CN"/>
        </w:rPr>
        <w:lastRenderedPageBreak/>
        <w:t xml:space="preserve">Patients should, as much as possible, inform and consult the investigators before using any concomitant medications. </w:t>
      </w:r>
    </w:p>
    <w:p w14:paraId="2B014F38" w14:textId="77777777" w:rsidR="00DE4AFD" w:rsidRPr="00303844" w:rsidRDefault="004A4F56" w:rsidP="000C622D">
      <w:pPr>
        <w:pStyle w:val="30"/>
        <w:spacing w:before="0" w:after="0" w:line="360" w:lineRule="auto"/>
        <w:rPr>
          <w:rFonts w:cs="Times New Roman"/>
        </w:rPr>
      </w:pPr>
      <w:bookmarkStart w:id="70" w:name="_Toc184889635"/>
      <w:r w:rsidRPr="00303844">
        <w:rPr>
          <w:rFonts w:eastAsia="Times New Roman" w:cs="Times New Roman"/>
        </w:rPr>
        <w:t>Excluded Medications</w:t>
      </w:r>
      <w:bookmarkEnd w:id="70"/>
    </w:p>
    <w:p w14:paraId="6C48E14C"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color w:val="333333"/>
          <w:lang w:val="en-US" w:eastAsia="zh-CN"/>
        </w:rPr>
        <w:t xml:space="preserve">Patient cannot receive other anti-tumor therapies at the same time throughout the study, including but not limited to: chemotherapy, radiation therapy, biotherapy, hormonal therapy or any other </w:t>
      </w:r>
      <w:r w:rsidRPr="00AF1F77">
        <w:rPr>
          <w:rFonts w:eastAsia="Times New Roman" w:cs="Times New Roman"/>
          <w:lang w:val="en-US" w:eastAsia="zh-CN"/>
        </w:rPr>
        <w:t>investigational product</w:t>
      </w:r>
      <w:r w:rsidRPr="00AF1F77">
        <w:rPr>
          <w:rFonts w:eastAsia="Times New Roman" w:cs="Times New Roman"/>
          <w:color w:val="333333"/>
          <w:lang w:val="en-US" w:eastAsia="zh-CN"/>
        </w:rPr>
        <w:t xml:space="preserve"> therapy, and traditional Chinese medicine with anti-tumor effect cannot be used during the entire period of </w:t>
      </w:r>
      <w:r w:rsidRPr="00AF1F77">
        <w:rPr>
          <w:rFonts w:eastAsia="Times New Roman" w:cs="Times New Roman"/>
          <w:lang w:val="en-US" w:eastAsia="zh-CN"/>
        </w:rPr>
        <w:t>investigational product</w:t>
      </w:r>
      <w:r w:rsidRPr="00AF1F77">
        <w:rPr>
          <w:rFonts w:eastAsia="Times New Roman" w:cs="Times New Roman"/>
          <w:color w:val="333333"/>
          <w:lang w:val="en-US" w:eastAsia="zh-CN"/>
        </w:rPr>
        <w:t xml:space="preserve"> therapy.</w:t>
      </w:r>
      <w:r w:rsidRPr="00AF1F77">
        <w:rPr>
          <w:rFonts w:eastAsia="Times New Roman" w:cs="Times New Roman"/>
          <w:lang w:val="en-US" w:eastAsia="zh-CN"/>
        </w:rPr>
        <w:t xml:space="preserve"> </w:t>
      </w:r>
      <w:r w:rsidRPr="00AF1F77">
        <w:rPr>
          <w:rFonts w:eastAsia="Times New Roman" w:cs="Times New Roman"/>
          <w:color w:val="333333"/>
          <w:lang w:val="en-US" w:eastAsia="zh-CN"/>
        </w:rPr>
        <w:t xml:space="preserve">If a patient requires palliative local radiotherapy for symptomatic relief (e.g., local radiotherapy to relieve cancerous bone pain), the patient may restart the </w:t>
      </w:r>
      <w:r w:rsidRPr="00AF1F77">
        <w:rPr>
          <w:rFonts w:eastAsia="Times New Roman" w:cs="Times New Roman"/>
          <w:lang w:val="en-US" w:eastAsia="zh-CN"/>
        </w:rPr>
        <w:t>investigational product</w:t>
      </w:r>
      <w:r w:rsidRPr="00AF1F77">
        <w:rPr>
          <w:rFonts w:eastAsia="Times New Roman" w:cs="Times New Roman"/>
          <w:color w:val="333333"/>
          <w:lang w:val="en-US" w:eastAsia="zh-CN"/>
        </w:rPr>
        <w:t xml:space="preserve"> 7 days after the end of local radiotherapy, while the patient must meet the following criteria:</w:t>
      </w:r>
    </w:p>
    <w:p w14:paraId="42F8052A" w14:textId="77777777" w:rsidR="00DE4AFD" w:rsidRPr="00AF1F77" w:rsidRDefault="004A4F56" w:rsidP="000C622D">
      <w:pPr>
        <w:pStyle w:val="HR"/>
        <w:numPr>
          <w:ilvl w:val="0"/>
          <w:numId w:val="22"/>
        </w:numPr>
        <w:spacing w:after="0"/>
        <w:ind w:firstLineChars="0"/>
        <w:jc w:val="both"/>
        <w:rPr>
          <w:rFonts w:cs="Times New Roman"/>
          <w:lang w:val="en-US" w:eastAsia="zh-CN"/>
        </w:rPr>
      </w:pPr>
      <w:r w:rsidRPr="00AF1F77">
        <w:rPr>
          <w:rFonts w:eastAsia="Times New Roman" w:cs="Times New Roman"/>
          <w:color w:val="333333"/>
          <w:lang w:val="en-US" w:eastAsia="zh-CN"/>
        </w:rPr>
        <w:t>The patient recovers from radiation therapy-related toxicity to ≤ Grade 2;</w:t>
      </w:r>
      <w:r w:rsidRPr="00AF1F77">
        <w:rPr>
          <w:rFonts w:eastAsia="Times New Roman" w:cs="Times New Roman"/>
          <w:lang w:val="en-US" w:eastAsia="zh-CN"/>
        </w:rPr>
        <w:t xml:space="preserve"> </w:t>
      </w:r>
    </w:p>
    <w:p w14:paraId="3FEAED1B" w14:textId="77777777" w:rsidR="00DE4AFD" w:rsidRPr="00303844" w:rsidRDefault="004A4F56" w:rsidP="000C622D">
      <w:pPr>
        <w:pStyle w:val="HR"/>
        <w:numPr>
          <w:ilvl w:val="0"/>
          <w:numId w:val="22"/>
        </w:numPr>
        <w:spacing w:after="0"/>
        <w:ind w:firstLineChars="0"/>
        <w:jc w:val="both"/>
        <w:rPr>
          <w:rFonts w:cs="Times New Roman"/>
          <w:i/>
          <w:color w:val="1F497D"/>
          <w:lang w:val="en-US" w:eastAsia="zh-CN"/>
        </w:rPr>
      </w:pPr>
      <w:r w:rsidRPr="00303844">
        <w:rPr>
          <w:rFonts w:eastAsia="Times New Roman" w:cs="Times New Roman"/>
          <w:color w:val="333333"/>
          <w:lang w:eastAsia="zh-CN"/>
        </w:rPr>
        <w:t>No tumor progression.</w:t>
      </w:r>
      <w:r w:rsidRPr="00303844">
        <w:rPr>
          <w:rFonts w:eastAsia="Times New Roman" w:cs="Times New Roman"/>
          <w:lang w:eastAsia="zh-CN"/>
        </w:rPr>
        <w:t xml:space="preserve"> </w:t>
      </w:r>
    </w:p>
    <w:p w14:paraId="3296FE46" w14:textId="77777777" w:rsidR="00DE4AFD" w:rsidRPr="00303844" w:rsidRDefault="004A4F56" w:rsidP="000C622D">
      <w:pPr>
        <w:pStyle w:val="30"/>
        <w:spacing w:before="0" w:after="0" w:line="360" w:lineRule="auto"/>
        <w:rPr>
          <w:rFonts w:cs="Times New Roman"/>
          <w:i/>
          <w:color w:val="1F497D"/>
        </w:rPr>
      </w:pPr>
      <w:bookmarkStart w:id="71" w:name="_Toc184889636"/>
      <w:r w:rsidRPr="00303844">
        <w:rPr>
          <w:rFonts w:eastAsia="Times New Roman" w:cs="Times New Roman"/>
        </w:rPr>
        <w:t>Drug Interaction</w:t>
      </w:r>
      <w:bookmarkEnd w:id="71"/>
    </w:p>
    <w:p w14:paraId="65A5989F"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In the in vitro liver microsomal incubation studies, the primary Phase I metabolic enzymes mediating the metabolism of </w:t>
      </w:r>
      <w:proofErr w:type="spellStart"/>
      <w:r w:rsidRPr="00AF1F77">
        <w:rPr>
          <w:rFonts w:eastAsia="Times New Roman" w:cs="Times New Roman"/>
          <w:lang w:val="en-US" w:eastAsia="zh-CN"/>
        </w:rPr>
        <w:t>surufatinib</w:t>
      </w:r>
      <w:proofErr w:type="spellEnd"/>
      <w:r w:rsidRPr="00AF1F77">
        <w:rPr>
          <w:rFonts w:eastAsia="Times New Roman" w:cs="Times New Roman"/>
          <w:lang w:val="en-US" w:eastAsia="zh-CN"/>
        </w:rPr>
        <w:t xml:space="preserve"> include CYP3A4/5 and CYP2C8 (dehydrogenation, N-demethylation), CYP2E1 (mono-oxygenation), and FMO. </w:t>
      </w:r>
      <w:proofErr w:type="spellStart"/>
      <w:r w:rsidRPr="00AF1F77">
        <w:rPr>
          <w:rFonts w:eastAsia="Times New Roman" w:cs="Times New Roman"/>
          <w:lang w:val="en-US" w:eastAsia="zh-CN"/>
        </w:rPr>
        <w:t>Surufatinib</w:t>
      </w:r>
      <w:proofErr w:type="spellEnd"/>
      <w:r w:rsidRPr="00AF1F77">
        <w:rPr>
          <w:rFonts w:eastAsia="Times New Roman" w:cs="Times New Roman"/>
          <w:lang w:val="en-US" w:eastAsia="zh-CN"/>
        </w:rPr>
        <w:t xml:space="preserve"> shows no significant reversible inhibition on P450 enzymes. </w:t>
      </w:r>
      <w:proofErr w:type="spellStart"/>
      <w:r w:rsidRPr="00AF1F77">
        <w:rPr>
          <w:rFonts w:eastAsia="Times New Roman" w:cs="Times New Roman"/>
          <w:lang w:val="en-US" w:eastAsia="zh-CN"/>
        </w:rPr>
        <w:t>Surufatinib</w:t>
      </w:r>
      <w:proofErr w:type="spellEnd"/>
      <w:r w:rsidRPr="00AF1F77">
        <w:rPr>
          <w:rFonts w:eastAsia="Times New Roman" w:cs="Times New Roman"/>
          <w:lang w:val="en-US" w:eastAsia="zh-CN"/>
        </w:rPr>
        <w:t xml:space="preserve"> exhibits time-dependent inhibition on CYP3A4/5, with </w:t>
      </w:r>
      <w:proofErr w:type="spellStart"/>
      <w:r w:rsidRPr="00AF1F77">
        <w:rPr>
          <w:rFonts w:eastAsia="Times New Roman" w:cs="Times New Roman"/>
          <w:lang w:val="en-US" w:eastAsia="zh-CN"/>
        </w:rPr>
        <w:t>k</w:t>
      </w:r>
      <w:r w:rsidRPr="00222B77">
        <w:rPr>
          <w:rFonts w:eastAsia="Times New Roman" w:cs="Times New Roman"/>
          <w:vertAlign w:val="subscript"/>
          <w:lang w:val="en-US" w:eastAsia="zh-CN"/>
        </w:rPr>
        <w:t>inact</w:t>
      </w:r>
      <w:proofErr w:type="spellEnd"/>
      <w:r w:rsidRPr="00AF1F77">
        <w:rPr>
          <w:rFonts w:eastAsia="Times New Roman" w:cs="Times New Roman"/>
          <w:lang w:val="en-US" w:eastAsia="zh-CN"/>
        </w:rPr>
        <w:t xml:space="preserve"> of 0.73 min⁻¹ and KI of 163 </w:t>
      </w:r>
      <w:r w:rsidRPr="00303844">
        <w:rPr>
          <w:rFonts w:eastAsia="Times New Roman" w:cs="Times New Roman"/>
          <w:lang w:eastAsia="zh-CN"/>
        </w:rPr>
        <w:t>μ</w:t>
      </w:r>
      <w:r w:rsidRPr="00AF1F77">
        <w:rPr>
          <w:rFonts w:eastAsia="Times New Roman" w:cs="Times New Roman"/>
          <w:lang w:val="en-US" w:eastAsia="zh-CN"/>
        </w:rPr>
        <w:t xml:space="preserve">M. Results from induction studies in human primary hepatocytes showed that </w:t>
      </w:r>
      <w:proofErr w:type="spellStart"/>
      <w:r w:rsidRPr="00AF1F77">
        <w:rPr>
          <w:rFonts w:eastAsia="Times New Roman" w:cs="Times New Roman"/>
          <w:lang w:val="en-US" w:eastAsia="zh-CN"/>
        </w:rPr>
        <w:t>surufatinib</w:t>
      </w:r>
      <w:proofErr w:type="spellEnd"/>
      <w:r w:rsidRPr="00AF1F77">
        <w:rPr>
          <w:rFonts w:eastAsia="Times New Roman" w:cs="Times New Roman"/>
          <w:lang w:val="en-US" w:eastAsia="zh-CN"/>
        </w:rPr>
        <w:t xml:space="preserve"> did not have significant induction effects on CYP1A2 at a concentration of 10 </w:t>
      </w:r>
      <w:r w:rsidRPr="00303844">
        <w:rPr>
          <w:rFonts w:eastAsia="Times New Roman" w:cs="Times New Roman"/>
          <w:lang w:eastAsia="zh-CN"/>
        </w:rPr>
        <w:t>μ</w:t>
      </w:r>
      <w:r w:rsidRPr="00AF1F77">
        <w:rPr>
          <w:rFonts w:eastAsia="Times New Roman" w:cs="Times New Roman"/>
          <w:lang w:val="en-US" w:eastAsia="zh-CN"/>
        </w:rPr>
        <w:t>M and on CYP3A4 at a concentration of 2 </w:t>
      </w:r>
      <w:r w:rsidRPr="00303844">
        <w:rPr>
          <w:rFonts w:eastAsia="Times New Roman" w:cs="Times New Roman"/>
          <w:lang w:eastAsia="zh-CN"/>
        </w:rPr>
        <w:t>μ</w:t>
      </w:r>
      <w:r w:rsidRPr="00AF1F77">
        <w:rPr>
          <w:rFonts w:eastAsia="Times New Roman" w:cs="Times New Roman"/>
          <w:lang w:val="en-US" w:eastAsia="zh-CN"/>
        </w:rPr>
        <w:t xml:space="preserve">M. In vitro permeability and efflux transport studies using Caco-2 cells suggested that </w:t>
      </w:r>
      <w:proofErr w:type="spellStart"/>
      <w:r w:rsidRPr="00AF1F77">
        <w:rPr>
          <w:rFonts w:eastAsia="Times New Roman" w:cs="Times New Roman"/>
          <w:lang w:val="en-US" w:eastAsia="zh-CN"/>
        </w:rPr>
        <w:t>surufatinib</w:t>
      </w:r>
      <w:proofErr w:type="spellEnd"/>
      <w:r w:rsidRPr="00AF1F77">
        <w:rPr>
          <w:rFonts w:eastAsia="Times New Roman" w:cs="Times New Roman"/>
          <w:lang w:val="en-US" w:eastAsia="zh-CN"/>
        </w:rPr>
        <w:t xml:space="preserve"> may be a substrate of the efflux transporter P-</w:t>
      </w:r>
      <w:proofErr w:type="spellStart"/>
      <w:r w:rsidRPr="00AF1F77">
        <w:rPr>
          <w:rFonts w:eastAsia="Times New Roman" w:cs="Times New Roman"/>
          <w:lang w:val="en-US" w:eastAsia="zh-CN"/>
        </w:rPr>
        <w:t>gp</w:t>
      </w:r>
      <w:proofErr w:type="spellEnd"/>
      <w:r w:rsidRPr="00AF1F77">
        <w:rPr>
          <w:rFonts w:eastAsia="Times New Roman" w:cs="Times New Roman"/>
          <w:lang w:val="en-US" w:eastAsia="zh-CN"/>
        </w:rPr>
        <w:t xml:space="preserve">. Strong inducers, strong inhibitors, or substrates of CYP3A4 should be avoided concomitantly during the study. If the investigator deems it necessary to use them, the potential for reduced efficacy or increased toxicity due to drug interactions should be closely monitored. Appendix 8 provides a list of some strong inhibitors, strong inducers, and substrates of CYP3A4. </w:t>
      </w:r>
    </w:p>
    <w:p w14:paraId="1CDCF9C2" w14:textId="77777777" w:rsidR="00DE4AFD" w:rsidRPr="00303844" w:rsidRDefault="004A4F56" w:rsidP="000C622D">
      <w:pPr>
        <w:pStyle w:val="21"/>
        <w:spacing w:before="0" w:after="0" w:line="360" w:lineRule="auto"/>
        <w:rPr>
          <w:rFonts w:eastAsia="宋体" w:cs="Times New Roman"/>
        </w:rPr>
      </w:pPr>
      <w:bookmarkStart w:id="72" w:name="_Toc184889637"/>
      <w:bookmarkEnd w:id="63"/>
      <w:r w:rsidRPr="00303844">
        <w:rPr>
          <w:rFonts w:eastAsia="Times New Roman" w:cs="Times New Roman"/>
        </w:rPr>
        <w:lastRenderedPageBreak/>
        <w:t>Subject Compliance</w:t>
      </w:r>
      <w:bookmarkEnd w:id="72"/>
    </w:p>
    <w:p w14:paraId="646653D4" w14:textId="77777777" w:rsidR="00DE4AFD" w:rsidRPr="00E41560" w:rsidRDefault="004A4F56" w:rsidP="008300AC">
      <w:pPr>
        <w:pStyle w:val="HR"/>
        <w:spacing w:after="0"/>
        <w:ind w:firstLineChars="0" w:firstLine="0"/>
        <w:jc w:val="both"/>
        <w:rPr>
          <w:rStyle w:val="Instructions"/>
          <w:rFonts w:cs="Times New Roman"/>
          <w:i w:val="0"/>
          <w:iCs w:val="0"/>
          <w:color w:val="000000" w:themeColor="text1"/>
          <w:kern w:val="0"/>
          <w:lang w:val="en-US" w:eastAsia="zh-CN"/>
        </w:rPr>
      </w:pPr>
      <w:r w:rsidRPr="00E41560">
        <w:rPr>
          <w:rStyle w:val="Instructions"/>
          <w:rFonts w:eastAsia="Times New Roman" w:cs="Times New Roman"/>
          <w:i w:val="0"/>
          <w:iCs w:val="0"/>
          <w:color w:val="000000"/>
          <w:kern w:val="0"/>
          <w:lang w:val="en-US" w:eastAsia="zh-CN"/>
        </w:rPr>
        <w:t>It is the investigator's responsibility to ensure that patients comply with the study treatment, which is supervised by the sponsor's representatives through on-site monitoring visits.</w:t>
      </w:r>
      <w:r w:rsidRPr="00E41560">
        <w:rPr>
          <w:rStyle w:val="Instructions"/>
          <w:rFonts w:eastAsia="Times New Roman" w:cs="Times New Roman"/>
          <w:i w:val="0"/>
          <w:iCs w:val="0"/>
          <w:kern w:val="0"/>
          <w:lang w:val="en-US" w:eastAsia="zh-CN"/>
        </w:rPr>
        <w:t xml:space="preserve"> </w:t>
      </w:r>
      <w:r w:rsidRPr="00E41560">
        <w:rPr>
          <w:rStyle w:val="Instructions"/>
          <w:rFonts w:eastAsia="Times New Roman" w:cs="Times New Roman"/>
          <w:i w:val="0"/>
          <w:iCs w:val="0"/>
          <w:color w:val="000000"/>
          <w:kern w:val="0"/>
          <w:lang w:val="en-US" w:eastAsia="zh-CN"/>
        </w:rPr>
        <w:t>The investigator should maintain complete and accurate records of drug usage data.</w:t>
      </w:r>
      <w:r w:rsidRPr="00E41560">
        <w:rPr>
          <w:rStyle w:val="Instructions"/>
          <w:rFonts w:eastAsia="Times New Roman" w:cs="Times New Roman"/>
          <w:i w:val="0"/>
          <w:iCs w:val="0"/>
          <w:kern w:val="0"/>
          <w:lang w:val="en-US" w:eastAsia="zh-CN"/>
        </w:rPr>
        <w:t xml:space="preserve"> </w:t>
      </w:r>
      <w:r w:rsidRPr="00E41560">
        <w:rPr>
          <w:rStyle w:val="Instructions"/>
          <w:rFonts w:eastAsia="Times New Roman" w:cs="Times New Roman"/>
          <w:i w:val="0"/>
          <w:iCs w:val="0"/>
          <w:color w:val="000000"/>
          <w:kern w:val="0"/>
          <w:lang w:val="en-US" w:eastAsia="zh-CN"/>
        </w:rPr>
        <w:t>Patients' medication administration and actual dosage taken need to be reflected in the source medical records and the CRF.</w:t>
      </w:r>
      <w:r w:rsidRPr="00E41560">
        <w:rPr>
          <w:rStyle w:val="Instructions"/>
          <w:rFonts w:eastAsia="Times New Roman" w:cs="Times New Roman"/>
          <w:i w:val="0"/>
          <w:iCs w:val="0"/>
          <w:kern w:val="0"/>
          <w:lang w:val="en-US" w:eastAsia="zh-CN"/>
        </w:rPr>
        <w:t xml:space="preserve"> </w:t>
      </w:r>
      <w:r w:rsidRPr="00E41560">
        <w:rPr>
          <w:rStyle w:val="Instructions"/>
          <w:rFonts w:eastAsia="Times New Roman" w:cs="Times New Roman"/>
          <w:i w:val="0"/>
          <w:iCs w:val="0"/>
          <w:color w:val="000000"/>
          <w:kern w:val="0"/>
          <w:lang w:val="en-US" w:eastAsia="zh-CN"/>
        </w:rPr>
        <w:t>At each treatment visit, the investigator or study staff needs to assess the patient's treatment compliance, making a comprehensive evaluation based on the quantity of medication dispensed at each visit, the amount of medication returned by the patient, and the patient's reported actual consumption, missed doses, overdoses, etc.</w:t>
      </w:r>
      <w:r w:rsidRPr="00E41560">
        <w:rPr>
          <w:rStyle w:val="Instructions"/>
          <w:rFonts w:eastAsia="Times New Roman" w:cs="Times New Roman"/>
          <w:i w:val="0"/>
          <w:iCs w:val="0"/>
          <w:kern w:val="0"/>
          <w:lang w:val="en-US" w:eastAsia="zh-CN"/>
        </w:rPr>
        <w:t xml:space="preserve"> </w:t>
      </w:r>
      <w:r w:rsidRPr="00E41560">
        <w:rPr>
          <w:rStyle w:val="Instructions"/>
          <w:rFonts w:eastAsia="Times New Roman" w:cs="Times New Roman"/>
          <w:i w:val="0"/>
          <w:iCs w:val="0"/>
          <w:color w:val="000000"/>
          <w:kern w:val="0"/>
          <w:lang w:val="en-US" w:eastAsia="zh-CN"/>
        </w:rPr>
        <w:t>At the end of the study, patients must return all medication bottles and any remaining capsules.</w:t>
      </w:r>
      <w:r w:rsidRPr="00E41560">
        <w:rPr>
          <w:rStyle w:val="Instructions"/>
          <w:rFonts w:eastAsia="Times New Roman" w:cs="Times New Roman"/>
          <w:i w:val="0"/>
          <w:iCs w:val="0"/>
          <w:kern w:val="0"/>
          <w:lang w:val="en-US" w:eastAsia="zh-CN"/>
        </w:rPr>
        <w:t xml:space="preserve"> </w:t>
      </w:r>
    </w:p>
    <w:p w14:paraId="44AAC960" w14:textId="77777777" w:rsidR="00DE4AFD" w:rsidRPr="00303844" w:rsidRDefault="004A4F56" w:rsidP="000C622D">
      <w:pPr>
        <w:pStyle w:val="21"/>
        <w:spacing w:before="0" w:after="0" w:line="360" w:lineRule="auto"/>
        <w:rPr>
          <w:rFonts w:eastAsia="宋体" w:cs="Times New Roman"/>
        </w:rPr>
      </w:pPr>
      <w:bookmarkStart w:id="73" w:name="_Toc184889638"/>
      <w:r w:rsidRPr="00303844">
        <w:rPr>
          <w:rFonts w:eastAsia="Times New Roman" w:cs="Times New Roman"/>
        </w:rPr>
        <w:t>Study Procedures</w:t>
      </w:r>
      <w:bookmarkEnd w:id="73"/>
    </w:p>
    <w:p w14:paraId="66FC4E26"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 xml:space="preserve">Subjects must read and sign the </w:t>
      </w:r>
      <w:r w:rsidRPr="00303844">
        <w:rPr>
          <w:rFonts w:eastAsia="Times New Roman" w:cs="Times New Roman"/>
          <w:color w:val="6F6F6F"/>
          <w:lang w:val="en-US" w:eastAsia="zh-CN"/>
        </w:rPr>
        <w:t>informed consent form</w:t>
      </w:r>
      <w:r w:rsidRPr="00303844">
        <w:rPr>
          <w:rFonts w:eastAsia="Times New Roman" w:cs="Times New Roman"/>
          <w:color w:val="333333"/>
          <w:lang w:val="en-US" w:eastAsia="zh-CN"/>
        </w:rPr>
        <w:t xml:space="preserve"> currently approved by the EC prior to initiation of the study. All study steps must be conducted within the time windows specified in the study schedule.</w:t>
      </w:r>
      <w:r w:rsidRPr="00303844">
        <w:rPr>
          <w:rFonts w:eastAsia="Times New Roman" w:cs="Times New Roman"/>
          <w:lang w:val="en-US" w:eastAsia="zh-CN"/>
        </w:rPr>
        <w:t xml:space="preserve"> </w:t>
      </w:r>
    </w:p>
    <w:p w14:paraId="784F05AE" w14:textId="77777777" w:rsidR="00DE4AFD" w:rsidRPr="00303844" w:rsidRDefault="004A4F56" w:rsidP="008300AC">
      <w:pPr>
        <w:pStyle w:val="HR"/>
        <w:spacing w:after="0"/>
        <w:ind w:firstLineChars="0" w:firstLine="0"/>
        <w:jc w:val="both"/>
        <w:rPr>
          <w:rFonts w:cs="Times New Roman"/>
          <w:i/>
          <w:color w:val="808080" w:themeColor="background1" w:themeShade="80"/>
          <w:lang w:val="en-US" w:eastAsia="zh-CN"/>
        </w:rPr>
      </w:pPr>
      <w:r w:rsidRPr="00AF1F77">
        <w:rPr>
          <w:rFonts w:eastAsia="Times New Roman" w:cs="Times New Roman"/>
          <w:color w:val="333333"/>
          <w:lang w:val="en-US" w:eastAsia="zh-CN"/>
        </w:rPr>
        <w:t xml:space="preserve">The utmost effort will be made to ensure that the required tests and procedures are carried out according to the protocol. However, unscheduled situations occur from time to time beyond the investigator’s control, making the examinations difficult to perform. In such cases, the investigator must take all necessary measures to ensure the safety and interests of the subjects. When a required test cannot be conducted, the investigator needs to record the reasons. Additionally, the study team should be promptly notified of any unexpected situations in a timely manner. </w:t>
      </w:r>
    </w:p>
    <w:p w14:paraId="0A99EA69" w14:textId="77777777" w:rsidR="00DE4AFD" w:rsidRPr="00303844" w:rsidRDefault="004A4F56" w:rsidP="000C622D">
      <w:pPr>
        <w:pStyle w:val="21"/>
        <w:spacing w:before="0" w:after="0" w:line="360" w:lineRule="auto"/>
        <w:rPr>
          <w:rFonts w:eastAsia="宋体" w:cs="Times New Roman"/>
        </w:rPr>
      </w:pPr>
      <w:bookmarkStart w:id="74" w:name="_Toc184889639"/>
      <w:r w:rsidRPr="00303844">
        <w:rPr>
          <w:rFonts w:eastAsia="Times New Roman" w:cs="Times New Roman"/>
        </w:rPr>
        <w:t>Screening</w:t>
      </w:r>
      <w:bookmarkEnd w:id="74"/>
    </w:p>
    <w:p w14:paraId="4DC27DE8" w14:textId="77777777" w:rsidR="00DE4AFD" w:rsidRPr="00303844" w:rsidRDefault="004A4F56" w:rsidP="008300AC">
      <w:pPr>
        <w:pStyle w:val="afc"/>
        <w:widowControl/>
        <w:topLinePunct w:val="0"/>
        <w:adjustRightInd/>
        <w:snapToGrid/>
        <w:ind w:firstLineChars="0" w:firstLine="0"/>
        <w:contextualSpacing/>
        <w:rPr>
          <w:i/>
          <w:color w:val="008000"/>
        </w:rPr>
      </w:pPr>
      <w:r w:rsidRPr="00303844">
        <w:rPr>
          <w:rFonts w:eastAsia="Times New Roman"/>
        </w:rPr>
        <w:t>Unless otherwise specified, the following screening procedures must be completed within 21 days prior to starting investigational product therapy; during the screening visit (Day -21 to Day 1):</w:t>
      </w:r>
    </w:p>
    <w:p w14:paraId="39651D3A" w14:textId="77777777" w:rsidR="00DE4AFD" w:rsidRPr="00AF1F77" w:rsidRDefault="004A4F56" w:rsidP="000C622D">
      <w:pPr>
        <w:pStyle w:val="HR"/>
        <w:numPr>
          <w:ilvl w:val="0"/>
          <w:numId w:val="23"/>
        </w:numPr>
        <w:spacing w:after="0"/>
        <w:ind w:firstLineChars="0"/>
        <w:jc w:val="both"/>
        <w:rPr>
          <w:rFonts w:cs="Times New Roman"/>
          <w:lang w:val="en-US"/>
        </w:rPr>
      </w:pPr>
      <w:r w:rsidRPr="00AF1F77">
        <w:rPr>
          <w:rFonts w:eastAsia="Times New Roman" w:cs="Times New Roman"/>
          <w:lang w:val="en-US" w:eastAsia="zh-CN"/>
        </w:rPr>
        <w:t xml:space="preserve">Obtaining the signed written informed consent from the subject. </w:t>
      </w:r>
    </w:p>
    <w:p w14:paraId="771EFBC8" w14:textId="77777777" w:rsidR="00DE4AFD" w:rsidRPr="00AF1F77" w:rsidRDefault="004A4F56" w:rsidP="000C622D">
      <w:pPr>
        <w:pStyle w:val="HR"/>
        <w:numPr>
          <w:ilvl w:val="0"/>
          <w:numId w:val="23"/>
        </w:numPr>
        <w:spacing w:after="0"/>
        <w:ind w:firstLineChars="0"/>
        <w:jc w:val="both"/>
        <w:rPr>
          <w:rFonts w:cs="Times New Roman"/>
          <w:lang w:val="en-US" w:eastAsia="zh-CN"/>
        </w:rPr>
      </w:pPr>
      <w:r w:rsidRPr="00AF1F77">
        <w:rPr>
          <w:rFonts w:eastAsia="Times New Roman" w:cs="Times New Roman"/>
          <w:lang w:val="en-US" w:eastAsia="zh-CN"/>
        </w:rPr>
        <w:t xml:space="preserve">Collection of medical history and demographic data (specify detailed information, such as body height, weight, etc.); </w:t>
      </w:r>
    </w:p>
    <w:p w14:paraId="7AAE0CF5" w14:textId="77777777" w:rsidR="00DE4AFD" w:rsidRPr="00AF1F77" w:rsidRDefault="004A4F56" w:rsidP="000C622D">
      <w:pPr>
        <w:pStyle w:val="HR"/>
        <w:numPr>
          <w:ilvl w:val="0"/>
          <w:numId w:val="23"/>
        </w:numPr>
        <w:spacing w:after="0"/>
        <w:ind w:firstLineChars="0"/>
        <w:jc w:val="both"/>
        <w:rPr>
          <w:rFonts w:cs="Times New Roman"/>
          <w:lang w:val="en-US" w:eastAsia="zh-CN"/>
        </w:rPr>
      </w:pPr>
      <w:r w:rsidRPr="00AF1F77">
        <w:rPr>
          <w:rFonts w:eastAsia="Times New Roman" w:cs="Times New Roman"/>
          <w:lang w:val="en-US" w:eastAsia="zh-CN"/>
        </w:rPr>
        <w:lastRenderedPageBreak/>
        <w:t>Disease treatment history (chemotherapy, radiotherapy...)</w:t>
      </w:r>
    </w:p>
    <w:p w14:paraId="02340307" w14:textId="77777777" w:rsidR="00DE4AFD" w:rsidRPr="00303844" w:rsidRDefault="004A4F56" w:rsidP="000C622D">
      <w:pPr>
        <w:pStyle w:val="HR"/>
        <w:numPr>
          <w:ilvl w:val="0"/>
          <w:numId w:val="23"/>
        </w:numPr>
        <w:spacing w:after="0"/>
        <w:ind w:firstLineChars="0"/>
        <w:jc w:val="both"/>
        <w:rPr>
          <w:rFonts w:cs="Times New Roman"/>
        </w:rPr>
      </w:pPr>
      <w:r w:rsidRPr="00303844">
        <w:rPr>
          <w:rFonts w:eastAsia="Times New Roman" w:cs="Times New Roman"/>
          <w:lang w:eastAsia="zh-CN"/>
        </w:rPr>
        <w:t>Collection of medication history</w:t>
      </w:r>
    </w:p>
    <w:p w14:paraId="2064C5F0" w14:textId="77777777" w:rsidR="00DE4AFD" w:rsidRPr="00AF1F77" w:rsidRDefault="004A4F56" w:rsidP="000C622D">
      <w:pPr>
        <w:pStyle w:val="HR"/>
        <w:numPr>
          <w:ilvl w:val="0"/>
          <w:numId w:val="23"/>
        </w:numPr>
        <w:spacing w:after="0"/>
        <w:ind w:firstLineChars="0"/>
        <w:jc w:val="both"/>
        <w:rPr>
          <w:rFonts w:cs="Times New Roman"/>
          <w:lang w:val="en-US" w:eastAsia="zh-CN"/>
        </w:rPr>
      </w:pPr>
      <w:r w:rsidRPr="00AF1F77">
        <w:rPr>
          <w:rFonts w:eastAsia="Times New Roman" w:cs="Times New Roman"/>
          <w:lang w:val="en-US" w:eastAsia="zh-CN"/>
        </w:rPr>
        <w:t xml:space="preserve">Careful and comprehensive physical examination (in detail): ECOG PS score, body height, weight, vital signs (blood pressure, pulse, etc.), examination of various organs; </w:t>
      </w:r>
    </w:p>
    <w:p w14:paraId="550A49FA" w14:textId="77777777" w:rsidR="00DE4AFD" w:rsidRPr="00AF1F77" w:rsidRDefault="004A4F56" w:rsidP="000C622D">
      <w:pPr>
        <w:pStyle w:val="HR"/>
        <w:numPr>
          <w:ilvl w:val="0"/>
          <w:numId w:val="23"/>
        </w:numPr>
        <w:spacing w:after="0"/>
        <w:ind w:firstLineChars="0"/>
        <w:jc w:val="both"/>
        <w:rPr>
          <w:rFonts w:cs="Times New Roman"/>
          <w:lang w:val="en-US" w:eastAsia="zh-CN"/>
        </w:rPr>
      </w:pPr>
      <w:r w:rsidRPr="00AF1F77">
        <w:rPr>
          <w:rFonts w:eastAsia="Times New Roman" w:cs="Times New Roman"/>
          <w:lang w:val="en-US" w:eastAsia="zh-CN"/>
        </w:rPr>
        <w:t xml:space="preserve">Necessary laboratory tests, collection of blood and urine samples; </w:t>
      </w:r>
    </w:p>
    <w:p w14:paraId="06C4D8BC" w14:textId="77777777" w:rsidR="00DE4AFD" w:rsidRPr="00303844" w:rsidRDefault="004A4F56" w:rsidP="000C622D">
      <w:pPr>
        <w:pStyle w:val="HR"/>
        <w:numPr>
          <w:ilvl w:val="0"/>
          <w:numId w:val="23"/>
        </w:numPr>
        <w:spacing w:after="0"/>
        <w:ind w:firstLineChars="0"/>
        <w:jc w:val="both"/>
        <w:rPr>
          <w:rFonts w:cs="Times New Roman"/>
        </w:rPr>
      </w:pPr>
      <w:r w:rsidRPr="00303844">
        <w:rPr>
          <w:rFonts w:eastAsia="Times New Roman" w:cs="Times New Roman"/>
        </w:rPr>
        <w:t xml:space="preserve">Necessary imaging examinations; </w:t>
      </w:r>
    </w:p>
    <w:p w14:paraId="48BB60C4" w14:textId="77777777" w:rsidR="00DE4AFD" w:rsidRPr="00AF1F77" w:rsidRDefault="004A4F56" w:rsidP="000C622D">
      <w:pPr>
        <w:pStyle w:val="HR"/>
        <w:numPr>
          <w:ilvl w:val="0"/>
          <w:numId w:val="23"/>
        </w:numPr>
        <w:spacing w:after="0"/>
        <w:ind w:firstLineChars="0"/>
        <w:jc w:val="both"/>
        <w:rPr>
          <w:rFonts w:cs="Times New Roman"/>
          <w:lang w:val="en-US" w:eastAsia="zh-CN"/>
        </w:rPr>
      </w:pPr>
      <w:r w:rsidRPr="00AF1F77">
        <w:rPr>
          <w:rFonts w:eastAsia="Times New Roman" w:cs="Times New Roman"/>
          <w:lang w:val="en-US" w:eastAsia="zh-CN"/>
        </w:rPr>
        <w:t xml:space="preserve">Evaluation of current concomitant medications and treatments; </w:t>
      </w:r>
    </w:p>
    <w:p w14:paraId="577C0915" w14:textId="77777777" w:rsidR="00DE4AFD" w:rsidRPr="00AF1F77" w:rsidRDefault="004A4F56" w:rsidP="000C622D">
      <w:pPr>
        <w:pStyle w:val="HR"/>
        <w:numPr>
          <w:ilvl w:val="0"/>
          <w:numId w:val="23"/>
        </w:numPr>
        <w:spacing w:after="0"/>
        <w:ind w:firstLineChars="0"/>
        <w:jc w:val="both"/>
        <w:rPr>
          <w:rFonts w:cs="Times New Roman"/>
          <w:lang w:val="en-US" w:eastAsia="zh-CN"/>
        </w:rPr>
      </w:pPr>
      <w:r w:rsidRPr="00AF1F77">
        <w:rPr>
          <w:rFonts w:eastAsia="Times New Roman" w:cs="Times New Roman"/>
          <w:lang w:val="en-US" w:eastAsia="zh-CN"/>
        </w:rPr>
        <w:t xml:space="preserve">Evaluation of current symptoms/AEs. </w:t>
      </w:r>
    </w:p>
    <w:p w14:paraId="4C754837" w14:textId="77777777" w:rsidR="00DE4AFD" w:rsidRPr="00303844" w:rsidRDefault="004A4F56" w:rsidP="000C622D">
      <w:pPr>
        <w:pStyle w:val="21"/>
        <w:spacing w:before="0" w:after="0" w:line="360" w:lineRule="auto"/>
        <w:rPr>
          <w:rFonts w:eastAsia="宋体" w:cs="Times New Roman"/>
        </w:rPr>
      </w:pPr>
      <w:bookmarkStart w:id="75" w:name="_Toc184889640"/>
      <w:r w:rsidRPr="00303844">
        <w:rPr>
          <w:rFonts w:eastAsia="Times New Roman" w:cs="Times New Roman"/>
        </w:rPr>
        <w:t>Enrollment</w:t>
      </w:r>
      <w:bookmarkEnd w:id="75"/>
    </w:p>
    <w:p w14:paraId="4A603ACD" w14:textId="77777777" w:rsidR="00DE4AFD" w:rsidRPr="00303844" w:rsidRDefault="004A4F56" w:rsidP="008300AC">
      <w:pPr>
        <w:pStyle w:val="afc"/>
        <w:widowControl/>
        <w:topLinePunct w:val="0"/>
        <w:adjustRightInd/>
        <w:snapToGrid/>
        <w:ind w:firstLineChars="0" w:firstLine="0"/>
        <w:contextualSpacing/>
        <w:rPr>
          <w:i/>
          <w:color w:val="808080" w:themeColor="background1" w:themeShade="80"/>
        </w:rPr>
      </w:pPr>
      <w:r w:rsidRPr="00303844">
        <w:rPr>
          <w:rFonts w:eastAsia="Times New Roman"/>
          <w:color w:val="333333"/>
        </w:rPr>
        <w:t xml:space="preserve">Each subject is evaluated for all eligibility screening criteria. </w:t>
      </w:r>
      <w:r w:rsidRPr="00303844">
        <w:rPr>
          <w:rFonts w:eastAsia="Times New Roman"/>
        </w:rPr>
        <w:t xml:space="preserve">By logging into the IWRS online, the investigator should complete the IWRS worksheet to register screening. </w:t>
      </w:r>
      <w:r w:rsidRPr="00303844">
        <w:rPr>
          <w:rFonts w:eastAsia="Times New Roman"/>
          <w:color w:val="333333"/>
        </w:rPr>
        <w:t xml:space="preserve">The judgment of eligibility criteria during the screening period should be medically reviewed and confirmed by the investigator prior to randomization. </w:t>
      </w:r>
      <w:r w:rsidRPr="00303844">
        <w:rPr>
          <w:rFonts w:eastAsia="Times New Roman"/>
        </w:rPr>
        <w:t xml:space="preserve">If the subject meets all eligibility criteria, they can be randomized, receive a randomization number, and be enrolled in the study. </w:t>
      </w:r>
      <w:r w:rsidRPr="00303844">
        <w:rPr>
          <w:rFonts w:eastAsia="Times New Roman"/>
          <w:color w:val="333333"/>
        </w:rPr>
        <w:t>The subject who discontinues the study after signing the informed consent form and before randomization will be considered as a "screening failure".</w:t>
      </w:r>
      <w:r w:rsidRPr="00303844">
        <w:rPr>
          <w:rFonts w:eastAsia="Times New Roman"/>
        </w:rPr>
        <w:t xml:space="preserve"> </w:t>
      </w:r>
      <w:r w:rsidRPr="00303844">
        <w:rPr>
          <w:rFonts w:eastAsia="Times New Roman"/>
          <w:color w:val="333333"/>
        </w:rPr>
        <w:t xml:space="preserve">Subjects who previously failed screening may be re-screened once. </w:t>
      </w:r>
      <w:r w:rsidRPr="00303844">
        <w:rPr>
          <w:rFonts w:eastAsia="Times New Roman"/>
        </w:rPr>
        <w:t xml:space="preserve">A new subject number needs to be reassigned through IWRS. Subjects can only be re-screened once. </w:t>
      </w:r>
    </w:p>
    <w:p w14:paraId="68BC95A0" w14:textId="77777777" w:rsidR="00DE4AFD" w:rsidRPr="00303844" w:rsidRDefault="004A4F56" w:rsidP="000C622D">
      <w:pPr>
        <w:pStyle w:val="21"/>
        <w:spacing w:before="0" w:after="0" w:line="360" w:lineRule="auto"/>
        <w:rPr>
          <w:rFonts w:eastAsia="宋体" w:cs="Times New Roman"/>
          <w:color w:val="000000" w:themeColor="text1"/>
        </w:rPr>
      </w:pPr>
      <w:bookmarkStart w:id="76" w:name="_Toc184889641"/>
      <w:r w:rsidRPr="00303844">
        <w:rPr>
          <w:rFonts w:eastAsia="Times New Roman" w:cs="Times New Roman"/>
          <w:color w:val="000000"/>
        </w:rPr>
        <w:t>Treatment Period</w:t>
      </w:r>
      <w:bookmarkEnd w:id="76"/>
    </w:p>
    <w:p w14:paraId="25C4FC16" w14:textId="67D3FFF0" w:rsidR="00DE4AFD" w:rsidRPr="00303844" w:rsidRDefault="004A4F56" w:rsidP="008300AC">
      <w:pPr>
        <w:pStyle w:val="afc"/>
        <w:widowControl/>
        <w:topLinePunct w:val="0"/>
        <w:adjustRightInd/>
        <w:snapToGrid/>
        <w:ind w:firstLineChars="0" w:firstLine="0"/>
        <w:contextualSpacing/>
      </w:pPr>
      <w:r w:rsidRPr="00303844">
        <w:rPr>
          <w:rFonts w:eastAsia="Times New Roman"/>
        </w:rPr>
        <w:t xml:space="preserve">The test group and the control group both have a treatment cycle of 21 days. Unless otherwise specified, all visits during the treatment period should be completed within ±2 days of the scheduled date, and the evaluation times should refer to the study flowchart. The evaluation content includes the assessment and recording of AEs, laboratory tests, electrocardiograms, echocardiograms, HBV DNA or HCV RNA testing (for those who tested positive for HBs Ag, </w:t>
      </w:r>
      <w:proofErr w:type="spellStart"/>
      <w:r w:rsidRPr="00303844">
        <w:rPr>
          <w:rFonts w:eastAsia="Times New Roman"/>
        </w:rPr>
        <w:t>HBe</w:t>
      </w:r>
      <w:proofErr w:type="spellEnd"/>
      <w:r w:rsidRPr="00303844">
        <w:rPr>
          <w:rFonts w:eastAsia="Times New Roman"/>
        </w:rPr>
        <w:t xml:space="preserve"> Ag, or HCV Ab during the screening period), etc. This study will conduct </w:t>
      </w:r>
      <w:r w:rsidRPr="00303844">
        <w:rPr>
          <w:rFonts w:eastAsia="Times New Roman"/>
          <w:color w:val="000000"/>
        </w:rPr>
        <w:t>tumor</w:t>
      </w:r>
      <w:r w:rsidRPr="00303844">
        <w:rPr>
          <w:rFonts w:eastAsia="Times New Roman"/>
        </w:rPr>
        <w:t xml:space="preserve"> assessments according to RECIST version 1.1 standards, with </w:t>
      </w:r>
      <w:r w:rsidRPr="00303844">
        <w:rPr>
          <w:rFonts w:eastAsia="Times New Roman"/>
          <w:color w:val="000000"/>
        </w:rPr>
        <w:t>tumor</w:t>
      </w:r>
      <w:r w:rsidRPr="00303844">
        <w:rPr>
          <w:rFonts w:eastAsia="Times New Roman"/>
        </w:rPr>
        <w:t xml:space="preserve"> assessments performed every 6 weeks ±2 days after the start of treatment. For patients who have discontinued study </w:t>
      </w:r>
      <w:r w:rsidRPr="00303844">
        <w:rPr>
          <w:rFonts w:eastAsia="Times New Roman"/>
        </w:rPr>
        <w:lastRenderedPageBreak/>
        <w:t xml:space="preserve">treatment before disease progression, </w:t>
      </w:r>
      <w:r w:rsidRPr="00303844">
        <w:rPr>
          <w:rFonts w:eastAsia="Times New Roman"/>
          <w:color w:val="000000"/>
        </w:rPr>
        <w:t>tumor</w:t>
      </w:r>
      <w:r w:rsidRPr="00303844">
        <w:rPr>
          <w:rFonts w:eastAsia="Times New Roman"/>
        </w:rPr>
        <w:t xml:space="preserve"> assessments should be carried out as planned whenever possible. Unscheduled examinations may be conducted if clinically indicated. </w:t>
      </w:r>
    </w:p>
    <w:p w14:paraId="11078D1F" w14:textId="77777777" w:rsidR="00DE4AFD" w:rsidRPr="00303844" w:rsidRDefault="004A4F56" w:rsidP="000C622D">
      <w:pPr>
        <w:pStyle w:val="21"/>
        <w:spacing w:before="0" w:after="0" w:line="360" w:lineRule="auto"/>
        <w:rPr>
          <w:rFonts w:eastAsia="宋体" w:cs="Times New Roman"/>
        </w:rPr>
      </w:pPr>
      <w:bookmarkStart w:id="77" w:name="_Toc184889642"/>
      <w:r w:rsidRPr="00303844">
        <w:rPr>
          <w:rFonts w:eastAsia="Times New Roman" w:cs="Times New Roman"/>
        </w:rPr>
        <w:t>Follow-up Period</w:t>
      </w:r>
      <w:bookmarkEnd w:id="77"/>
    </w:p>
    <w:p w14:paraId="69BD896B"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lang w:val="en-US" w:eastAsia="zh-CN"/>
        </w:rPr>
        <w:t>After the patient completes the 30-day safety visit following the end of study treatment, if the patient has unresolved AEs, follow-up will continue until the AEs return to baseline, the AEs stabilize, the patient initiates new anti-</w:t>
      </w:r>
      <w:r w:rsidRPr="00AF1F77">
        <w:rPr>
          <w:rFonts w:eastAsia="Times New Roman" w:cs="Times New Roman"/>
          <w:color w:val="000000"/>
          <w:lang w:val="en-US" w:eastAsia="zh-CN"/>
        </w:rPr>
        <w:t>tumor</w:t>
      </w:r>
      <w:r w:rsidRPr="00AF1F77">
        <w:rPr>
          <w:rFonts w:eastAsia="Times New Roman" w:cs="Times New Roman"/>
          <w:lang w:val="en-US" w:eastAsia="zh-CN"/>
        </w:rPr>
        <w:t xml:space="preserve"> therapy, is lost to follow-up, withdraws informed consent, or it is determined that the AEs are unrelated to the study treatment or participation in this study. Newly occurring drug-related SAEs also need to be recorded and reported. </w:t>
      </w:r>
    </w:p>
    <w:p w14:paraId="274DBFB0"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If a patient discontinues study treatment early for reasons other than disease progression, </w:t>
      </w:r>
      <w:r w:rsidRPr="00AF1F77">
        <w:rPr>
          <w:rFonts w:eastAsia="Times New Roman" w:cs="Times New Roman"/>
          <w:color w:val="000000"/>
          <w:lang w:val="en-US" w:eastAsia="zh-CN"/>
        </w:rPr>
        <w:t>tumor</w:t>
      </w:r>
      <w:r w:rsidRPr="00AF1F77">
        <w:rPr>
          <w:rFonts w:eastAsia="Times New Roman" w:cs="Times New Roman"/>
          <w:lang w:val="en-US" w:eastAsia="zh-CN"/>
        </w:rPr>
        <w:t xml:space="preserve"> assessments should be conducted per protocol whenever possible before the initiation of other anti-</w:t>
      </w:r>
      <w:r w:rsidRPr="00AF1F77">
        <w:rPr>
          <w:rFonts w:eastAsia="Times New Roman" w:cs="Times New Roman"/>
          <w:color w:val="000000"/>
          <w:lang w:val="en-US" w:eastAsia="zh-CN"/>
        </w:rPr>
        <w:t>tumor</w:t>
      </w:r>
      <w:r w:rsidRPr="00AF1F77">
        <w:rPr>
          <w:rFonts w:eastAsia="Times New Roman" w:cs="Times New Roman"/>
          <w:lang w:val="en-US" w:eastAsia="zh-CN"/>
        </w:rPr>
        <w:t xml:space="preserve"> therapies, until the patient experiences disease progression, death, is lost to follow-up, withdraws the informed consent, or the trial ends. </w:t>
      </w:r>
    </w:p>
    <w:p w14:paraId="6CBF9967" w14:textId="77777777" w:rsidR="00DE4AFD" w:rsidRPr="00AF1F77" w:rsidRDefault="004A4F56" w:rsidP="00A00B16">
      <w:pPr>
        <w:pStyle w:val="HR"/>
        <w:spacing w:after="0"/>
        <w:ind w:firstLineChars="0" w:firstLine="0"/>
        <w:jc w:val="both"/>
        <w:rPr>
          <w:rFonts w:cs="Times New Roman"/>
          <w:lang w:val="en-US" w:eastAsia="zh-CN"/>
        </w:rPr>
      </w:pPr>
      <w:r w:rsidRPr="00AF1F77">
        <w:rPr>
          <w:rFonts w:eastAsia="Times New Roman" w:cs="Times New Roman"/>
          <w:lang w:val="en-US" w:eastAsia="zh-CN"/>
        </w:rPr>
        <w:t>Subjects who discontinue treatment for any reason will undergo survival/post-</w:t>
      </w:r>
      <w:r w:rsidRPr="00AF1F77">
        <w:rPr>
          <w:rFonts w:eastAsia="Times New Roman" w:cs="Times New Roman"/>
          <w:color w:val="000000"/>
          <w:lang w:val="en-US" w:eastAsia="zh-CN"/>
        </w:rPr>
        <w:t>tumor</w:t>
      </w:r>
      <w:r w:rsidRPr="00AF1F77">
        <w:rPr>
          <w:rFonts w:eastAsia="Times New Roman" w:cs="Times New Roman"/>
          <w:lang w:val="en-US" w:eastAsia="zh-CN"/>
        </w:rPr>
        <w:t xml:space="preserve"> treatment follow-up every 3 months (±7 days) within one year after the end of treatment (EOT). After one year, survival/post-</w:t>
      </w:r>
      <w:r w:rsidRPr="00AF1F77">
        <w:rPr>
          <w:rFonts w:eastAsia="Times New Roman" w:cs="Times New Roman"/>
          <w:color w:val="000000"/>
          <w:lang w:val="en-US" w:eastAsia="zh-CN"/>
        </w:rPr>
        <w:t>tumor</w:t>
      </w:r>
      <w:r w:rsidRPr="00AF1F77">
        <w:rPr>
          <w:rFonts w:eastAsia="Times New Roman" w:cs="Times New Roman"/>
          <w:lang w:val="en-US" w:eastAsia="zh-CN"/>
        </w:rPr>
        <w:t xml:space="preserve"> treatment follow-up will be conducted every 6 months (±7 days), until </w:t>
      </w:r>
      <w:r w:rsidRPr="00AF1F77">
        <w:rPr>
          <w:rFonts w:eastAsia="Times New Roman" w:cs="Times New Roman"/>
          <w:color w:val="333333"/>
          <w:lang w:val="en-US" w:eastAsia="zh-CN"/>
        </w:rPr>
        <w:t>death, loss to follow-up, withdrawal of consent, refusal to continue to provide information, or the end of the trial as a whole.</w:t>
      </w:r>
      <w:r w:rsidRPr="00AF1F77">
        <w:rPr>
          <w:rFonts w:eastAsia="Times New Roman" w:cs="Times New Roman"/>
          <w:lang w:val="en-US" w:eastAsia="zh-CN"/>
        </w:rPr>
        <w:t xml:space="preserve"> </w:t>
      </w:r>
      <w:r w:rsidRPr="00A00B16">
        <w:rPr>
          <w:rFonts w:eastAsia="Times New Roman" w:cs="Times New Roman"/>
          <w:color w:val="333333"/>
          <w:szCs w:val="20"/>
          <w:lang w:val="en-US"/>
        </w:rPr>
        <w:t xml:space="preserve">All surviving subjects will be followed for survival once before the end of the entire study. </w:t>
      </w:r>
      <w:r w:rsidRPr="00AF1F77">
        <w:rPr>
          <w:rFonts w:eastAsia="Times New Roman" w:cs="Times New Roman"/>
          <w:color w:val="333333"/>
          <w:lang w:val="en-US" w:eastAsia="zh-CN"/>
        </w:rPr>
        <w:t xml:space="preserve">The investigator should try to avoid loss to follow-up, and if the subject cannot be contacted at the time of survival follow-up, he/she needs to contact at least three times on a different date within each survival visit window. </w:t>
      </w:r>
      <w:r w:rsidRPr="00AF1F77">
        <w:rPr>
          <w:rFonts w:eastAsia="Times New Roman" w:cs="Times New Roman"/>
          <w:lang w:val="en-US" w:eastAsia="zh-CN"/>
        </w:rPr>
        <w:t xml:space="preserve">Only after all attempts have been made and the subject still cannot be contacted during all three OS visits can they be recorded as lost to follow-up. </w:t>
      </w:r>
    </w:p>
    <w:p w14:paraId="0D6CF5CA" w14:textId="77777777" w:rsidR="00DE4AFD" w:rsidRPr="00303844" w:rsidRDefault="004A4F56" w:rsidP="008300A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After the entire trial is concluded, no further follow-up will be conducted on the subjects. </w:t>
      </w:r>
    </w:p>
    <w:p w14:paraId="281DF31E" w14:textId="235A8FC5" w:rsidR="00DE4AFD" w:rsidRPr="00303844" w:rsidRDefault="004A4F56" w:rsidP="000C622D">
      <w:pPr>
        <w:pStyle w:val="21"/>
        <w:spacing w:before="0" w:after="0" w:line="360" w:lineRule="auto"/>
        <w:rPr>
          <w:rFonts w:eastAsia="宋体" w:cs="Times New Roman"/>
        </w:rPr>
      </w:pPr>
      <w:bookmarkStart w:id="78" w:name="_Toc184889643"/>
      <w:r w:rsidRPr="00303844">
        <w:rPr>
          <w:rFonts w:eastAsia="Times New Roman" w:cs="Times New Roman"/>
        </w:rPr>
        <w:t xml:space="preserve">Continuation of Medication </w:t>
      </w:r>
      <w:r w:rsidR="007F48EE">
        <w:rPr>
          <w:rFonts w:eastAsiaTheme="minorEastAsia" w:cs="Times New Roman" w:hint="eastAsia"/>
        </w:rPr>
        <w:t>a</w:t>
      </w:r>
      <w:r w:rsidR="007F48EE" w:rsidRPr="00303844">
        <w:rPr>
          <w:rFonts w:eastAsia="Times New Roman" w:cs="Times New Roman"/>
        </w:rPr>
        <w:t xml:space="preserve">fter </w:t>
      </w:r>
      <w:r w:rsidRPr="00303844">
        <w:rPr>
          <w:rFonts w:eastAsia="Times New Roman" w:cs="Times New Roman"/>
        </w:rPr>
        <w:t>the End of the Study</w:t>
      </w:r>
      <w:bookmarkEnd w:id="78"/>
    </w:p>
    <w:p w14:paraId="20048A3C" w14:textId="77777777" w:rsidR="00DE4AFD" w:rsidRPr="00303844" w:rsidRDefault="004A4F56" w:rsidP="008300AC">
      <w:pPr>
        <w:pStyle w:val="HR"/>
        <w:spacing w:after="0"/>
        <w:ind w:firstLineChars="0" w:firstLine="0"/>
        <w:jc w:val="both"/>
        <w:rPr>
          <w:rFonts w:cs="Times New Roman"/>
          <w:i/>
          <w:color w:val="808080" w:themeColor="background1" w:themeShade="80"/>
          <w:lang w:val="en-US" w:eastAsia="zh-CN"/>
        </w:rPr>
      </w:pPr>
      <w:r w:rsidRPr="00303844">
        <w:rPr>
          <w:rFonts w:eastAsia="Times New Roman" w:cs="Times New Roman"/>
          <w:color w:val="333333"/>
          <w:lang w:val="en-US" w:eastAsia="zh-CN"/>
        </w:rPr>
        <w:t xml:space="preserve">After the end of the study, if the subjects continue to benefit from the treatment as judged by the investigator, then they will be allowed to receive the </w:t>
      </w:r>
      <w:r w:rsidRPr="00303844">
        <w:rPr>
          <w:rFonts w:eastAsia="Times New Roman" w:cs="Times New Roman"/>
          <w:lang w:val="en-US" w:eastAsia="zh-CN"/>
        </w:rPr>
        <w:t>investigational product</w:t>
      </w:r>
      <w:r w:rsidRPr="00303844">
        <w:rPr>
          <w:rFonts w:eastAsia="Times New Roman" w:cs="Times New Roman"/>
          <w:color w:val="333333"/>
          <w:lang w:val="en-US" w:eastAsia="zh-CN"/>
        </w:rPr>
        <w:t xml:space="preserve"> until the treatment discontinuation criteria (disease progression, intolerable toxicity, subject refusal to continue the </w:t>
      </w:r>
      <w:r w:rsidRPr="00303844">
        <w:rPr>
          <w:rFonts w:eastAsia="Times New Roman" w:cs="Times New Roman"/>
          <w:lang w:val="en-US" w:eastAsia="zh-CN"/>
        </w:rPr>
        <w:t>investigational product</w:t>
      </w:r>
      <w:r w:rsidRPr="00303844">
        <w:rPr>
          <w:rFonts w:eastAsia="Times New Roman" w:cs="Times New Roman"/>
          <w:color w:val="333333"/>
          <w:lang w:val="en-US" w:eastAsia="zh-CN"/>
        </w:rPr>
        <w:t xml:space="preserve">, the investigator judged that the subject is no longer </w:t>
      </w:r>
      <w:r w:rsidRPr="00303844">
        <w:rPr>
          <w:rFonts w:eastAsia="Times New Roman" w:cs="Times New Roman"/>
          <w:color w:val="333333"/>
          <w:lang w:val="en-US" w:eastAsia="zh-CN"/>
        </w:rPr>
        <w:lastRenderedPageBreak/>
        <w:t xml:space="preserve">suitable to continue the </w:t>
      </w:r>
      <w:r w:rsidRPr="00303844">
        <w:rPr>
          <w:rFonts w:eastAsia="Times New Roman" w:cs="Times New Roman"/>
          <w:lang w:val="en-US" w:eastAsia="zh-CN"/>
        </w:rPr>
        <w:t>investigational product</w:t>
      </w:r>
      <w:r w:rsidRPr="00303844">
        <w:rPr>
          <w:rFonts w:eastAsia="Times New Roman" w:cs="Times New Roman"/>
          <w:color w:val="333333"/>
          <w:lang w:val="en-US" w:eastAsia="zh-CN"/>
        </w:rPr>
        <w:t>) are met provided that the investigator has obtained their informed consent for this continued treatment.</w:t>
      </w:r>
      <w:r w:rsidRPr="00303844">
        <w:rPr>
          <w:rFonts w:eastAsia="Times New Roman" w:cs="Times New Roman"/>
          <w:lang w:val="en-US" w:eastAsia="zh-CN"/>
        </w:rPr>
        <w:t xml:space="preserve"> </w:t>
      </w:r>
      <w:r w:rsidRPr="00303844">
        <w:rPr>
          <w:rFonts w:eastAsia="Times New Roman" w:cs="Times New Roman"/>
          <w:color w:val="333333"/>
          <w:lang w:val="en-US" w:eastAsia="zh-CN"/>
        </w:rPr>
        <w:t>SAEs will be collected and recorded during and after the last dose according to the protocol.</w:t>
      </w:r>
    </w:p>
    <w:p w14:paraId="6937EC72" w14:textId="77777777" w:rsidR="00DE4AFD" w:rsidRPr="00303844" w:rsidRDefault="004A4F56" w:rsidP="000C622D">
      <w:pPr>
        <w:pStyle w:val="10"/>
        <w:spacing w:before="0" w:after="0" w:line="360" w:lineRule="auto"/>
        <w:jc w:val="both"/>
        <w:rPr>
          <w:rFonts w:cs="Times New Roman"/>
        </w:rPr>
      </w:pPr>
      <w:bookmarkStart w:id="79" w:name="_Toc184889644"/>
      <w:bookmarkEnd w:id="64"/>
      <w:r w:rsidRPr="00303844">
        <w:rPr>
          <w:rFonts w:eastAsia="Times New Roman" w:cs="Times New Roman"/>
        </w:rPr>
        <w:t>Evaluation</w:t>
      </w:r>
      <w:bookmarkEnd w:id="79"/>
    </w:p>
    <w:p w14:paraId="2176CAA6" w14:textId="77777777" w:rsidR="00DE4AFD" w:rsidRPr="00303844" w:rsidRDefault="004A4F56" w:rsidP="000C622D">
      <w:pPr>
        <w:pStyle w:val="21"/>
        <w:spacing w:before="0" w:after="0" w:line="360" w:lineRule="auto"/>
        <w:rPr>
          <w:rFonts w:eastAsia="宋体" w:cs="Times New Roman"/>
        </w:rPr>
      </w:pPr>
      <w:bookmarkStart w:id="80" w:name="_Toc184889645"/>
      <w:r w:rsidRPr="00303844">
        <w:rPr>
          <w:rFonts w:eastAsia="Times New Roman" w:cs="Times New Roman"/>
        </w:rPr>
        <w:t>Efficacy Evaluation</w:t>
      </w:r>
      <w:bookmarkEnd w:id="80"/>
    </w:p>
    <w:p w14:paraId="65491818" w14:textId="3A24BB03"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color w:val="333333"/>
          <w:lang w:val="en-US" w:eastAsia="zh-CN"/>
        </w:rPr>
        <w:t>Baseline tumor assessment should be completed within 21 days prior to the first dose. CT or MRI of the chest, abdomen and pelvis at baseline is recommended. If there are clinical indications or suspected lesions in other areas, tumor imaging evaluation must also be performed. Baseline and post-treatment response assessments should be performed using the same method and as far as possible by the same investigator (RECIST 1.1 criteria).</w:t>
      </w:r>
      <w:r w:rsidRPr="00AF1F77">
        <w:rPr>
          <w:rFonts w:eastAsia="Times New Roman" w:cs="Times New Roman"/>
          <w:lang w:val="en-US" w:eastAsia="zh-CN"/>
        </w:rPr>
        <w:t xml:space="preserve"> At screening and subsequent </w:t>
      </w:r>
      <w:r w:rsidRPr="00AF1F77">
        <w:rPr>
          <w:rFonts w:eastAsia="Times New Roman" w:cs="Times New Roman"/>
          <w:color w:val="000000"/>
          <w:lang w:val="en-US" w:eastAsia="zh-CN"/>
        </w:rPr>
        <w:t>tumor</w:t>
      </w:r>
      <w:r w:rsidRPr="00AF1F77">
        <w:rPr>
          <w:rFonts w:eastAsia="Times New Roman" w:cs="Times New Roman"/>
          <w:lang w:val="en-US" w:eastAsia="zh-CN"/>
        </w:rPr>
        <w:t xml:space="preserve"> evaluations, all measurable and non-measurable tumor lesions should be recorded and evaluated. </w:t>
      </w:r>
      <w:r w:rsidRPr="00AF1F77">
        <w:rPr>
          <w:rFonts w:eastAsia="Times New Roman" w:cs="Times New Roman"/>
          <w:color w:val="333333"/>
          <w:lang w:val="en-US" w:eastAsia="zh-CN"/>
        </w:rPr>
        <w:t xml:space="preserve">Measurable and non-measurable lesions will be evaluated by the investigator per RECIST criteria version 1.1. </w:t>
      </w:r>
    </w:p>
    <w:p w14:paraId="402E5019"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color w:val="333333"/>
          <w:lang w:val="en-US" w:eastAsia="zh-CN"/>
        </w:rPr>
        <w:t>Tumor assessments will be performed at baseline and every 6 weeks ± 2 days after start of treatment.</w:t>
      </w:r>
      <w:r w:rsidRPr="00AF1F77">
        <w:rPr>
          <w:rFonts w:eastAsia="Times New Roman" w:cs="Times New Roman"/>
          <w:lang w:val="en-US" w:eastAsia="zh-CN"/>
        </w:rPr>
        <w:t xml:space="preserve">, until disease progression, withdrawal of informed consent, or death (whichever occurs first). </w:t>
      </w:r>
      <w:r w:rsidRPr="00AF1F77">
        <w:rPr>
          <w:rFonts w:eastAsia="Times New Roman" w:cs="Times New Roman"/>
          <w:color w:val="333333"/>
          <w:lang w:val="en-US" w:eastAsia="zh-CN"/>
        </w:rPr>
        <w:t>The subjects who discontinue the study treatment for reasons other than disease progression or death should undergo tumor assessments as planned as far as possible until disease progression.</w:t>
      </w:r>
      <w:r w:rsidRPr="00AF1F77">
        <w:rPr>
          <w:rFonts w:eastAsia="Times New Roman" w:cs="Times New Roman"/>
          <w:lang w:val="en-US" w:eastAsia="zh-CN"/>
        </w:rPr>
        <w:t xml:space="preserve"> </w:t>
      </w:r>
      <w:r w:rsidRPr="00AF1F77">
        <w:rPr>
          <w:rFonts w:eastAsia="Times New Roman" w:cs="Times New Roman"/>
          <w:color w:val="333333"/>
          <w:lang w:val="en-US" w:eastAsia="zh-CN"/>
        </w:rPr>
        <w:t>Unscheduled tumor assessments may be performed by the investigator as clinically indicated or when disease progression is suspected.</w:t>
      </w:r>
      <w:r w:rsidRPr="00AF1F77">
        <w:rPr>
          <w:rFonts w:eastAsia="Times New Roman" w:cs="Times New Roman"/>
          <w:lang w:val="en-US" w:eastAsia="zh-CN"/>
        </w:rPr>
        <w:t xml:space="preserve"> </w:t>
      </w:r>
    </w:p>
    <w:p w14:paraId="4BC3A0D4"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If there are no contraindications, </w:t>
      </w:r>
      <w:r w:rsidRPr="00AF1F77">
        <w:rPr>
          <w:rFonts w:eastAsia="Times New Roman" w:cs="Times New Roman"/>
          <w:color w:val="000000"/>
          <w:lang w:val="en-US" w:eastAsia="zh-CN"/>
        </w:rPr>
        <w:t>tumor</w:t>
      </w:r>
      <w:r w:rsidRPr="00AF1F77">
        <w:rPr>
          <w:rFonts w:eastAsia="Times New Roman" w:cs="Times New Roman"/>
          <w:lang w:val="en-US" w:eastAsia="zh-CN"/>
        </w:rPr>
        <w:t xml:space="preserve"> assessment during screening should include enhanced CT scans (preferred) of the head, chest, abdomen, and pelvis; if there are contraindications to contrast agents, MRI may be used. If metastases to bone are known or suspected at baseline, a bone scan examination should be performed; or if bone scan results suggest possible metastases to bone, corresponding bone CT/MRI or X-ray verification is required. Other relevant examinations may also be conducted as clinically indicated. </w:t>
      </w:r>
    </w:p>
    <w:p w14:paraId="2AFDC560"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For each patient, the same </w:t>
      </w:r>
      <w:r w:rsidRPr="00AF1F77">
        <w:rPr>
          <w:rFonts w:eastAsia="Times New Roman" w:cs="Times New Roman"/>
          <w:color w:val="000000"/>
          <w:lang w:val="en-US" w:eastAsia="zh-CN"/>
        </w:rPr>
        <w:t>tumor</w:t>
      </w:r>
      <w:r w:rsidRPr="00AF1F77">
        <w:rPr>
          <w:rFonts w:eastAsia="Times New Roman" w:cs="Times New Roman"/>
          <w:lang w:val="en-US" w:eastAsia="zh-CN"/>
        </w:rPr>
        <w:t xml:space="preserve"> examination methods and procedures as at baseline should be used throughout the study period. During subsequent follow-up, bone scan examinations should be repeated only when it is necessary to confirm a complete response or when </w:t>
      </w:r>
      <w:r w:rsidRPr="00AF1F77">
        <w:rPr>
          <w:rFonts w:eastAsia="Times New Roman" w:cs="Times New Roman"/>
          <w:lang w:val="en-US" w:eastAsia="zh-CN"/>
        </w:rPr>
        <w:lastRenderedPageBreak/>
        <w:t xml:space="preserve">progression of bone metastasis lesions is suspected. Head CT/MRI may be repeated only when brain metastasis lesions are suspected. </w:t>
      </w:r>
    </w:p>
    <w:p w14:paraId="6489BDFA"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If disease progression is suspected or based on clinical judgment, the investigator may decide to perform unscheduled </w:t>
      </w:r>
      <w:r w:rsidRPr="00AF1F77">
        <w:rPr>
          <w:rFonts w:eastAsia="Times New Roman" w:cs="Times New Roman"/>
          <w:color w:val="000000"/>
          <w:lang w:val="en-US" w:eastAsia="zh-CN"/>
        </w:rPr>
        <w:t>tumor</w:t>
      </w:r>
      <w:r w:rsidRPr="00AF1F77">
        <w:rPr>
          <w:rFonts w:eastAsia="Times New Roman" w:cs="Times New Roman"/>
          <w:lang w:val="en-US" w:eastAsia="zh-CN"/>
        </w:rPr>
        <w:t xml:space="preserve"> evaluations at any time. Patients who have discontinued study treatment before disease progression should undergo </w:t>
      </w:r>
      <w:r w:rsidRPr="00AF1F77">
        <w:rPr>
          <w:rFonts w:eastAsia="Times New Roman" w:cs="Times New Roman"/>
          <w:color w:val="000000"/>
          <w:lang w:val="en-US" w:eastAsia="zh-CN"/>
        </w:rPr>
        <w:t>tumor</w:t>
      </w:r>
      <w:r w:rsidRPr="00AF1F77">
        <w:rPr>
          <w:rFonts w:eastAsia="Times New Roman" w:cs="Times New Roman"/>
          <w:lang w:val="en-US" w:eastAsia="zh-CN"/>
        </w:rPr>
        <w:t xml:space="preserve"> assessment as originally planned prior to initiating new anti-</w:t>
      </w:r>
      <w:r w:rsidRPr="00AF1F77">
        <w:rPr>
          <w:rFonts w:eastAsia="Times New Roman" w:cs="Times New Roman"/>
          <w:color w:val="000000"/>
          <w:lang w:val="en-US" w:eastAsia="zh-CN"/>
        </w:rPr>
        <w:t>tumor</w:t>
      </w:r>
      <w:r w:rsidRPr="00AF1F77">
        <w:rPr>
          <w:rFonts w:eastAsia="Times New Roman" w:cs="Times New Roman"/>
          <w:lang w:val="en-US" w:eastAsia="zh-CN"/>
        </w:rPr>
        <w:t xml:space="preserve"> therapy. </w:t>
      </w:r>
    </w:p>
    <w:p w14:paraId="134A1250"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Selection of target lesions should follow the RECIST version 1.1 criteria, that is, under the premise of no more than 2 target lesions per organ and a total of no more than 5 target lesions, as many involved organs as possible should be included. At baseline, the number of target lesions, description of their locations, the maximum diameter of each target lesion (excluding lymph nodes), the minimum diameter of lymph nodes, and the sum of diameters of all target lesions should be recorded. </w:t>
      </w:r>
    </w:p>
    <w:p w14:paraId="1BAD4F85" w14:textId="2E273DBB"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When the investigator suspects that the subject may have </w:t>
      </w:r>
      <w:proofErr w:type="spellStart"/>
      <w:r w:rsidRPr="00AF1F77">
        <w:rPr>
          <w:rFonts w:eastAsia="Times New Roman" w:cs="Times New Roman"/>
          <w:lang w:val="en-US" w:eastAsia="zh-CN"/>
        </w:rPr>
        <w:t>pseudoprogression</w:t>
      </w:r>
      <w:proofErr w:type="spellEnd"/>
      <w:r w:rsidRPr="00AF1F77">
        <w:rPr>
          <w:rFonts w:eastAsia="Times New Roman" w:cs="Times New Roman"/>
          <w:lang w:val="en-US" w:eastAsia="zh-CN"/>
        </w:rPr>
        <w:t xml:space="preserve">, PD should be confirmed in principle at least 4 weeks later (it is recommended that the investigator confirm PD according to </w:t>
      </w:r>
      <w:proofErr w:type="spellStart"/>
      <w:r w:rsidRPr="00AF1F77">
        <w:rPr>
          <w:rFonts w:eastAsia="Times New Roman" w:cs="Times New Roman"/>
          <w:lang w:val="en-US" w:eastAsia="zh-CN"/>
        </w:rPr>
        <w:t>irRECIST</w:t>
      </w:r>
      <w:proofErr w:type="spellEnd"/>
      <w:r w:rsidRPr="00AF1F77">
        <w:rPr>
          <w:rFonts w:eastAsia="Times New Roman" w:cs="Times New Roman"/>
          <w:lang w:val="en-US" w:eastAsia="zh-CN"/>
        </w:rPr>
        <w:t xml:space="preserve">). During the PD confirmation period, the subject should continue to receive investigational product therapy. </w:t>
      </w:r>
    </w:p>
    <w:p w14:paraId="62D06D97" w14:textId="77777777" w:rsidR="00DE4AFD" w:rsidRPr="00303844" w:rsidRDefault="004A4F56" w:rsidP="000C622D">
      <w:pPr>
        <w:pStyle w:val="21"/>
        <w:spacing w:before="0" w:after="0" w:line="360" w:lineRule="auto"/>
        <w:rPr>
          <w:rFonts w:eastAsia="宋体" w:cs="Times New Roman"/>
        </w:rPr>
      </w:pPr>
      <w:bookmarkStart w:id="81" w:name="_Toc184889646"/>
      <w:r w:rsidRPr="00303844">
        <w:rPr>
          <w:rFonts w:eastAsia="Times New Roman" w:cs="Times New Roman"/>
        </w:rPr>
        <w:t>Safety Evaluation</w:t>
      </w:r>
      <w:bookmarkEnd w:id="81"/>
    </w:p>
    <w:p w14:paraId="7109369C" w14:textId="4E49B568" w:rsidR="00DE4AFD" w:rsidRPr="00222B77" w:rsidRDefault="007F48EE" w:rsidP="008300AC">
      <w:pPr>
        <w:pStyle w:val="HR"/>
        <w:spacing w:after="0"/>
        <w:ind w:firstLineChars="0" w:firstLine="0"/>
        <w:jc w:val="both"/>
        <w:rPr>
          <w:rFonts w:eastAsiaTheme="minorEastAsia" w:cs="Times New Roman"/>
          <w:b/>
          <w:iCs/>
          <w:lang w:eastAsia="zh-CN"/>
        </w:rPr>
      </w:pPr>
      <w:r>
        <w:rPr>
          <w:rFonts w:eastAsiaTheme="minorEastAsia" w:cs="Times New Roman" w:hint="eastAsia"/>
          <w:b/>
          <w:bCs/>
          <w:lang w:eastAsia="zh-CN"/>
        </w:rPr>
        <w:t>AE</w:t>
      </w:r>
    </w:p>
    <w:p w14:paraId="0980E913" w14:textId="77777777" w:rsidR="00DE4AFD" w:rsidRPr="00AF1F77" w:rsidRDefault="004A4F56" w:rsidP="008300AC">
      <w:pPr>
        <w:pStyle w:val="HR"/>
        <w:spacing w:after="0"/>
        <w:ind w:firstLineChars="0" w:firstLine="0"/>
        <w:jc w:val="both"/>
        <w:rPr>
          <w:rFonts w:cs="Times New Roman"/>
          <w:iCs/>
          <w:lang w:val="en-US" w:eastAsia="zh-CN"/>
        </w:rPr>
      </w:pPr>
      <w:r w:rsidRPr="00AF1F77">
        <w:rPr>
          <w:rFonts w:eastAsia="Times New Roman" w:cs="Times New Roman"/>
          <w:iCs/>
          <w:lang w:val="en-US" w:eastAsia="zh-CN"/>
        </w:rPr>
        <w:t xml:space="preserve">The safety of both groups will be comprehensively evaluated based on the incidence and severity of AEs, graded according to NCI CTCAE version 5.0. </w:t>
      </w:r>
      <w:r w:rsidRPr="00AF1F77">
        <w:rPr>
          <w:rFonts w:eastAsia="Times New Roman" w:cs="Times New Roman"/>
          <w:lang w:val="en-US" w:eastAsia="zh-CN"/>
        </w:rPr>
        <w:t xml:space="preserve">Safety endpoints include but are not limited to: the overall incidence of AEs; the incidence of Grade 3 or higher AEs; the incidence of drug-related AEs; the incidence of SAEs; the incidence of AEs leading to permanent discontinuation; the incidence of AEs leading to interruption or dose adjustment. </w:t>
      </w:r>
    </w:p>
    <w:p w14:paraId="317A2EAF" w14:textId="77777777" w:rsidR="00DE4AFD" w:rsidRPr="00AF1F77" w:rsidRDefault="004A4F56" w:rsidP="008300AC">
      <w:pPr>
        <w:pStyle w:val="HR"/>
        <w:spacing w:after="0"/>
        <w:ind w:firstLineChars="0" w:firstLine="0"/>
        <w:jc w:val="both"/>
        <w:rPr>
          <w:rFonts w:cs="Times New Roman"/>
          <w:b/>
          <w:iCs/>
          <w:lang w:val="en-US" w:eastAsia="zh-CN"/>
        </w:rPr>
      </w:pPr>
      <w:r w:rsidRPr="00AF1F77">
        <w:rPr>
          <w:rFonts w:eastAsia="Times New Roman" w:cs="Times New Roman"/>
          <w:b/>
          <w:bCs/>
          <w:lang w:val="en-US" w:eastAsia="zh-CN"/>
        </w:rPr>
        <w:t>Vital Signs Assessment</w:t>
      </w:r>
    </w:p>
    <w:p w14:paraId="375DAC91" w14:textId="77777777" w:rsidR="00DE4AFD" w:rsidRPr="00AF1F77" w:rsidRDefault="004A4F56" w:rsidP="008300AC">
      <w:pPr>
        <w:pStyle w:val="HR"/>
        <w:spacing w:after="0"/>
        <w:ind w:firstLineChars="0" w:firstLine="0"/>
        <w:jc w:val="both"/>
        <w:rPr>
          <w:rFonts w:cs="Times New Roman"/>
          <w:iCs/>
          <w:lang w:val="en-US" w:eastAsia="zh-CN"/>
        </w:rPr>
      </w:pPr>
      <w:r w:rsidRPr="00AF1F77">
        <w:rPr>
          <w:rFonts w:eastAsia="Times New Roman" w:cs="Times New Roman"/>
          <w:lang w:val="en-US" w:eastAsia="zh-CN"/>
        </w:rPr>
        <w:t xml:space="preserve">Vital signs include four parameters: blood pressure, heart rate, respiration, and body temperature. Before measuring blood pressure, patients need to sit quietly for 5 minutes. </w:t>
      </w:r>
    </w:p>
    <w:p w14:paraId="1FB20AF9" w14:textId="77777777" w:rsidR="00DE4AFD" w:rsidRPr="00AF1F77" w:rsidRDefault="004A4F56" w:rsidP="008300AC">
      <w:pPr>
        <w:pStyle w:val="HR"/>
        <w:spacing w:after="0"/>
        <w:ind w:firstLineChars="0" w:firstLine="0"/>
        <w:jc w:val="both"/>
        <w:rPr>
          <w:rFonts w:cs="Times New Roman"/>
          <w:b/>
          <w:iCs/>
          <w:lang w:val="en-US" w:eastAsia="zh-CN"/>
        </w:rPr>
      </w:pPr>
      <w:r w:rsidRPr="00AF1F77">
        <w:rPr>
          <w:rFonts w:eastAsia="Times New Roman" w:cs="Times New Roman"/>
          <w:b/>
          <w:bCs/>
          <w:lang w:val="en-US" w:eastAsia="zh-CN"/>
        </w:rPr>
        <w:t>Performance Status Score and Physical Examination</w:t>
      </w:r>
    </w:p>
    <w:p w14:paraId="0C5BB333" w14:textId="77777777" w:rsidR="00DE4AFD" w:rsidRPr="00AF1F77" w:rsidRDefault="004A4F56" w:rsidP="008300AC">
      <w:pPr>
        <w:pStyle w:val="HR"/>
        <w:spacing w:after="0"/>
        <w:ind w:firstLineChars="0" w:firstLine="0"/>
        <w:jc w:val="both"/>
        <w:rPr>
          <w:rFonts w:cs="Times New Roman"/>
          <w:iCs/>
          <w:lang w:val="en-US" w:eastAsia="zh-CN"/>
        </w:rPr>
      </w:pPr>
      <w:r w:rsidRPr="00AF1F77">
        <w:rPr>
          <w:rFonts w:eastAsia="Times New Roman" w:cs="Times New Roman"/>
          <w:lang w:val="en-US" w:eastAsia="zh-CN"/>
        </w:rPr>
        <w:lastRenderedPageBreak/>
        <w:t xml:space="preserve">During the screening period, the performance status score and a comprehensive physical examination should be completed, including weight, head, neck, ears, nose, eyes, throat, cardiovascular, skin and mucous membranes, musculoskeletal, respiratory, gastrointestinal, and nervous system. </w:t>
      </w:r>
    </w:p>
    <w:p w14:paraId="34F65C9B" w14:textId="77777777" w:rsidR="00DE4AFD" w:rsidRPr="00AF1F77" w:rsidRDefault="004A4F56" w:rsidP="008300AC">
      <w:pPr>
        <w:pStyle w:val="HR"/>
        <w:spacing w:after="0"/>
        <w:ind w:firstLineChars="0" w:firstLine="0"/>
        <w:jc w:val="both"/>
        <w:rPr>
          <w:rFonts w:cs="Times New Roman"/>
          <w:iCs/>
          <w:lang w:val="en-US" w:eastAsia="zh-CN"/>
        </w:rPr>
      </w:pPr>
      <w:r w:rsidRPr="00AF1F77">
        <w:rPr>
          <w:rFonts w:eastAsia="Times New Roman" w:cs="Times New Roman"/>
          <w:iCs/>
          <w:lang w:val="en-US" w:eastAsia="zh-CN"/>
        </w:rPr>
        <w:t xml:space="preserve">Subsequent visits will score the performance status, and only partial physical examinations are required to evaluate changes in abnormal signs relative to baseline, new abnormal signs, and patient-reported symptoms. </w:t>
      </w:r>
      <w:r w:rsidRPr="00AF1F77">
        <w:rPr>
          <w:rFonts w:eastAsia="Times New Roman" w:cs="Times New Roman"/>
          <w:lang w:val="en-US" w:eastAsia="zh-CN"/>
        </w:rPr>
        <w:t xml:space="preserve">If applicable, new or worsening abnormal signs should be recorded as AEs. </w:t>
      </w:r>
    </w:p>
    <w:p w14:paraId="6A4B7F2C" w14:textId="77777777" w:rsidR="00DE4AFD" w:rsidRPr="00AF1F77" w:rsidRDefault="004A4F56" w:rsidP="008300AC">
      <w:pPr>
        <w:pStyle w:val="HR"/>
        <w:spacing w:after="0"/>
        <w:ind w:firstLineChars="0" w:firstLine="0"/>
        <w:jc w:val="both"/>
        <w:rPr>
          <w:rFonts w:cs="Times New Roman"/>
          <w:iCs/>
          <w:lang w:val="en-US" w:eastAsia="zh-CN"/>
        </w:rPr>
      </w:pPr>
      <w:r w:rsidRPr="00AF1F77">
        <w:rPr>
          <w:rFonts w:eastAsia="Times New Roman" w:cs="Times New Roman"/>
          <w:color w:val="333333"/>
          <w:lang w:val="en-US" w:eastAsia="zh-CN"/>
        </w:rPr>
        <w:t>As a part of tumor evaluation, physical examinations should include enlarged lymph nodes, skin lesions, hepatomegaly, splenomegaly, etc.</w:t>
      </w:r>
      <w:r w:rsidRPr="00AF1F77">
        <w:rPr>
          <w:rFonts w:eastAsia="Times New Roman" w:cs="Times New Roman"/>
          <w:lang w:val="en-US" w:eastAsia="zh-CN"/>
        </w:rPr>
        <w:t xml:space="preserve"> </w:t>
      </w:r>
    </w:p>
    <w:p w14:paraId="6D5AA528" w14:textId="77777777" w:rsidR="00DE4AFD" w:rsidRPr="00AF1F77" w:rsidRDefault="004A4F56" w:rsidP="008300AC">
      <w:pPr>
        <w:pStyle w:val="HR"/>
        <w:spacing w:after="0"/>
        <w:ind w:firstLineChars="0" w:firstLine="0"/>
        <w:jc w:val="both"/>
        <w:rPr>
          <w:rFonts w:cs="Times New Roman"/>
          <w:iCs/>
          <w:lang w:val="en-US" w:eastAsia="zh-CN"/>
        </w:rPr>
      </w:pPr>
      <w:r w:rsidRPr="00AF1F77">
        <w:rPr>
          <w:rFonts w:eastAsia="Times New Roman" w:cs="Times New Roman"/>
          <w:color w:val="333333"/>
          <w:lang w:val="en-US" w:eastAsia="zh-CN"/>
        </w:rPr>
        <w:t xml:space="preserve">Height will be measured at screening only. Body weight will be measured at screening and at subsequent visits. </w:t>
      </w:r>
    </w:p>
    <w:p w14:paraId="497ED822" w14:textId="77777777" w:rsidR="00DE4AFD" w:rsidRPr="00AF1F77" w:rsidRDefault="004A4F56" w:rsidP="008300AC">
      <w:pPr>
        <w:pStyle w:val="HR"/>
        <w:spacing w:after="0"/>
        <w:ind w:firstLineChars="0" w:firstLine="0"/>
        <w:jc w:val="both"/>
        <w:rPr>
          <w:rFonts w:cs="Times New Roman"/>
          <w:b/>
          <w:iCs/>
          <w:lang w:val="en-US" w:eastAsia="zh-CN"/>
        </w:rPr>
      </w:pPr>
      <w:r w:rsidRPr="00AF1F77">
        <w:rPr>
          <w:rFonts w:eastAsia="Times New Roman" w:cs="Times New Roman"/>
          <w:b/>
          <w:bCs/>
          <w:color w:val="333333"/>
          <w:lang w:val="en-US" w:eastAsia="zh-CN"/>
        </w:rPr>
        <w:t>Liver Function (Child-Pugh Modified Grading) Score</w:t>
      </w:r>
    </w:p>
    <w:p w14:paraId="223659B5" w14:textId="3277E808" w:rsidR="00DE4AFD" w:rsidRPr="00AF1F77" w:rsidRDefault="004A4F56" w:rsidP="008300AC">
      <w:pPr>
        <w:pStyle w:val="HR"/>
        <w:spacing w:after="0"/>
        <w:ind w:firstLineChars="0" w:firstLine="0"/>
        <w:jc w:val="both"/>
        <w:rPr>
          <w:rFonts w:cs="Times New Roman"/>
          <w:iCs/>
          <w:lang w:val="en-US" w:eastAsia="zh-CN"/>
        </w:rPr>
      </w:pPr>
      <w:r w:rsidRPr="00AF1F77">
        <w:rPr>
          <w:rFonts w:eastAsia="Times New Roman" w:cs="Times New Roman"/>
          <w:color w:val="333333"/>
          <w:lang w:val="en-US" w:eastAsia="zh-CN"/>
        </w:rPr>
        <w:t>Liver function will be scored according to different degrees of serum total bilirubin, serum albumin concentration, prothrombin prolongation time, ascites and hepatic encephalopathy.</w:t>
      </w:r>
      <w:r w:rsidRPr="00AF1F77">
        <w:rPr>
          <w:rFonts w:eastAsia="Times New Roman" w:cs="Times New Roman"/>
          <w:lang w:val="en-US" w:eastAsia="zh-CN"/>
        </w:rPr>
        <w:t xml:space="preserve"> </w:t>
      </w:r>
    </w:p>
    <w:p w14:paraId="1A1C47ED" w14:textId="77777777" w:rsidR="00DE4AFD" w:rsidRPr="00AF1F77" w:rsidRDefault="004A4F56" w:rsidP="008300AC">
      <w:pPr>
        <w:pStyle w:val="HR"/>
        <w:spacing w:after="0"/>
        <w:ind w:firstLineChars="0" w:firstLine="0"/>
        <w:jc w:val="both"/>
        <w:rPr>
          <w:rFonts w:cs="Times New Roman"/>
          <w:b/>
          <w:iCs/>
          <w:lang w:val="en-US" w:eastAsia="zh-CN"/>
        </w:rPr>
      </w:pPr>
      <w:r w:rsidRPr="00AF1F77">
        <w:rPr>
          <w:rFonts w:eastAsia="Times New Roman" w:cs="Times New Roman"/>
          <w:b/>
          <w:bCs/>
          <w:lang w:val="en-US" w:eastAsia="zh-CN"/>
        </w:rPr>
        <w:t>Laboratory Evaluation</w:t>
      </w:r>
    </w:p>
    <w:p w14:paraId="4A001A66" w14:textId="77777777" w:rsidR="00DE4AFD" w:rsidRPr="00AF1F77" w:rsidRDefault="004A4F56" w:rsidP="008300AC">
      <w:pPr>
        <w:pStyle w:val="HR"/>
        <w:spacing w:after="0"/>
        <w:ind w:firstLineChars="0" w:firstLine="0"/>
        <w:jc w:val="both"/>
        <w:rPr>
          <w:rFonts w:cs="Times New Roman"/>
          <w:iCs/>
          <w:lang w:val="en-US" w:eastAsia="zh-CN"/>
        </w:rPr>
      </w:pPr>
      <w:r w:rsidRPr="00AF1F77">
        <w:rPr>
          <w:rFonts w:eastAsia="Times New Roman" w:cs="Times New Roman"/>
          <w:color w:val="333333"/>
          <w:lang w:val="en-US" w:eastAsia="zh-CN"/>
        </w:rPr>
        <w:t>The laboratory of the study site will be used to monitor hematology, clinical chemistry, urinalysis, etc., at screening and at each visit point, including at least the following parameters.</w:t>
      </w:r>
      <w:r w:rsidRPr="00AF1F77">
        <w:rPr>
          <w:rFonts w:eastAsia="Times New Roman" w:cs="Times New Roman"/>
          <w:lang w:val="en-US" w:eastAsia="zh-CN"/>
        </w:rPr>
        <w:t xml:space="preserve"> </w:t>
      </w:r>
    </w:p>
    <w:p w14:paraId="0101A9F4" w14:textId="77777777" w:rsidR="00DE4AFD" w:rsidRPr="00AF1F77" w:rsidRDefault="004A4F56" w:rsidP="008300AC">
      <w:pPr>
        <w:pStyle w:val="HR"/>
        <w:spacing w:after="0"/>
        <w:ind w:firstLineChars="0" w:firstLine="0"/>
        <w:jc w:val="both"/>
        <w:rPr>
          <w:rFonts w:cs="Times New Roman"/>
          <w:iCs/>
          <w:lang w:val="en-US" w:eastAsia="zh-CN"/>
        </w:rPr>
      </w:pPr>
      <w:r w:rsidRPr="00AF1F77">
        <w:rPr>
          <w:rFonts w:eastAsia="Times New Roman" w:cs="Times New Roman"/>
          <w:color w:val="333333"/>
          <w:lang w:val="en-US" w:eastAsia="zh-CN"/>
        </w:rPr>
        <w:t>Hematology (expected blood volume 15-20 mL): red blood cell, hemoglobin, neutrophil, platelet count and absolute differential white blood cell;</w:t>
      </w:r>
      <w:r w:rsidRPr="00AF1F77">
        <w:rPr>
          <w:rFonts w:eastAsia="Times New Roman" w:cs="Times New Roman"/>
          <w:lang w:val="en-US" w:eastAsia="zh-CN"/>
        </w:rPr>
        <w:t xml:space="preserve"> </w:t>
      </w:r>
    </w:p>
    <w:p w14:paraId="37E1A286" w14:textId="77777777" w:rsidR="00DE4AFD" w:rsidRPr="00AF1F77" w:rsidRDefault="004A4F56" w:rsidP="008300AC">
      <w:pPr>
        <w:pStyle w:val="HR"/>
        <w:spacing w:after="0"/>
        <w:ind w:firstLineChars="0" w:firstLine="0"/>
        <w:jc w:val="both"/>
        <w:rPr>
          <w:rFonts w:cs="Times New Roman"/>
          <w:iCs/>
          <w:lang w:val="en-US" w:eastAsia="zh-CN"/>
        </w:rPr>
      </w:pPr>
      <w:r w:rsidRPr="00AF1F77">
        <w:rPr>
          <w:rFonts w:eastAsia="Times New Roman" w:cs="Times New Roman"/>
          <w:lang w:val="en-US" w:eastAsia="zh-CN"/>
        </w:rPr>
        <w:t xml:space="preserve">Coagulation parameters: APTT, PT, INR; </w:t>
      </w:r>
    </w:p>
    <w:p w14:paraId="6624C0F3" w14:textId="77777777" w:rsidR="00DE4AFD" w:rsidRPr="00AF1F77" w:rsidRDefault="004A4F56" w:rsidP="008300AC">
      <w:pPr>
        <w:pStyle w:val="HR"/>
        <w:spacing w:after="0"/>
        <w:ind w:firstLineChars="0" w:firstLine="0"/>
        <w:jc w:val="both"/>
        <w:rPr>
          <w:rFonts w:cs="Times New Roman"/>
          <w:iCs/>
          <w:lang w:val="en-US" w:eastAsia="zh-CN"/>
        </w:rPr>
      </w:pPr>
      <w:r w:rsidRPr="00AF1F77">
        <w:rPr>
          <w:rFonts w:eastAsia="Times New Roman" w:cs="Times New Roman"/>
          <w:color w:val="333333"/>
          <w:lang w:val="en-US" w:eastAsia="zh-CN"/>
        </w:rPr>
        <w:t>Clinical chemistry: blood urea nitrogen (or urea), creatinine, sodium, potassium, magnesium, chloride, calcium, phosphorus, fasting blood glucose, total bilirubin, ALT, AST, ALP, lactate dehydrogenase, total cholesterol, triglycerides, total protein, albumin, blood uric acid and serum amylase, etc.;</w:t>
      </w:r>
      <w:r w:rsidRPr="00AF1F77">
        <w:rPr>
          <w:rFonts w:eastAsia="Times New Roman" w:cs="Times New Roman"/>
          <w:lang w:val="en-US" w:eastAsia="zh-CN"/>
        </w:rPr>
        <w:t xml:space="preserve"> </w:t>
      </w:r>
    </w:p>
    <w:p w14:paraId="2B0B2084" w14:textId="77777777" w:rsidR="00DE4AFD" w:rsidRPr="00AF1F77" w:rsidRDefault="004A4F56" w:rsidP="008300AC">
      <w:pPr>
        <w:pStyle w:val="HR"/>
        <w:spacing w:after="0"/>
        <w:ind w:firstLineChars="0" w:firstLine="0"/>
        <w:jc w:val="both"/>
        <w:rPr>
          <w:rFonts w:cs="Times New Roman"/>
          <w:iCs/>
          <w:lang w:val="en-US" w:eastAsia="zh-CN"/>
        </w:rPr>
      </w:pPr>
      <w:r w:rsidRPr="00AF1F77">
        <w:rPr>
          <w:rFonts w:eastAsia="Times New Roman" w:cs="Times New Roman"/>
          <w:color w:val="333333"/>
          <w:lang w:val="en-US" w:eastAsia="zh-CN"/>
        </w:rPr>
        <w:t>Urinalysis: routine urine (urine protein, occult blood, glucose, ketones) and 24-hour urine protein quantification;</w:t>
      </w:r>
      <w:r w:rsidRPr="00AF1F77">
        <w:rPr>
          <w:rFonts w:eastAsia="Times New Roman" w:cs="Times New Roman"/>
          <w:lang w:val="en-US" w:eastAsia="zh-CN"/>
        </w:rPr>
        <w:t xml:space="preserve"> </w:t>
      </w:r>
    </w:p>
    <w:p w14:paraId="64EB338E" w14:textId="77777777" w:rsidR="00DE4AFD" w:rsidRPr="00AF1F77" w:rsidRDefault="004A4F56" w:rsidP="008300AC">
      <w:pPr>
        <w:pStyle w:val="HR"/>
        <w:spacing w:after="0"/>
        <w:ind w:firstLineChars="0" w:firstLine="0"/>
        <w:jc w:val="both"/>
        <w:rPr>
          <w:rFonts w:cs="Times New Roman"/>
          <w:iCs/>
          <w:lang w:val="en-US" w:eastAsia="zh-CN"/>
        </w:rPr>
      </w:pPr>
      <w:r w:rsidRPr="00AF1F77">
        <w:rPr>
          <w:rFonts w:eastAsia="Times New Roman" w:cs="Times New Roman"/>
          <w:lang w:val="en-US" w:eastAsia="zh-CN"/>
        </w:rPr>
        <w:t xml:space="preserve">Fecal occult blood test; </w:t>
      </w:r>
    </w:p>
    <w:p w14:paraId="2E25B2FE"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lang w:val="en-US" w:eastAsia="zh-CN"/>
        </w:rPr>
        <w:lastRenderedPageBreak/>
        <w:t xml:space="preserve">Thyroid function test, including FT3, FT4, and TSH; </w:t>
      </w:r>
    </w:p>
    <w:p w14:paraId="77507D08"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Hepatitis B and C serology: screening for hepatitis B (hepatitis B surface antigen [HBs Ag], hepatitis B surface antibody, hepatitis B e antigen [</w:t>
      </w:r>
      <w:proofErr w:type="spellStart"/>
      <w:r w:rsidRPr="00303844">
        <w:rPr>
          <w:rFonts w:eastAsia="Times New Roman" w:cs="Times New Roman"/>
          <w:color w:val="333333"/>
          <w:lang w:val="en-US" w:eastAsia="zh-CN"/>
        </w:rPr>
        <w:t>HBe</w:t>
      </w:r>
      <w:proofErr w:type="spellEnd"/>
      <w:r w:rsidRPr="00303844">
        <w:rPr>
          <w:rFonts w:eastAsia="Times New Roman" w:cs="Times New Roman"/>
          <w:color w:val="333333"/>
          <w:lang w:val="en-US" w:eastAsia="zh-CN"/>
        </w:rPr>
        <w:t xml:space="preserve"> Ag], hepatitis B e antibody, hepatitis B core antibody) and hepatitis C antibody (HCV Ab) will be performed at screening. The tests performed before screening period are also acceptable, and it is not necessary to be repeated at screening.</w:t>
      </w:r>
      <w:r w:rsidRPr="00303844">
        <w:rPr>
          <w:rFonts w:eastAsia="Times New Roman" w:cs="Times New Roman"/>
          <w:lang w:val="en-US" w:eastAsia="zh-CN"/>
        </w:rPr>
        <w:t xml:space="preserve"> </w:t>
      </w:r>
    </w:p>
    <w:p w14:paraId="65D9960A"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Blood pregnancy test: female subjects of childbearing potential (within 2 years of natural menopause) should have a blood pregnancy test performed at screening and within 30 days after the end of study treatment. A pregnancy test should be performed when the subject is suspected to be pregnant.</w:t>
      </w:r>
      <w:r w:rsidRPr="00303844">
        <w:rPr>
          <w:rFonts w:eastAsia="Times New Roman" w:cs="Times New Roman"/>
          <w:lang w:val="en-US" w:eastAsia="zh-CN"/>
        </w:rPr>
        <w:t xml:space="preserve"> </w:t>
      </w:r>
    </w:p>
    <w:p w14:paraId="675DDA78"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Normal ranges for laboratory parameters will be collected for each site prior to study initiation.</w:t>
      </w:r>
      <w:r w:rsidRPr="00303844">
        <w:rPr>
          <w:rFonts w:eastAsia="Times New Roman" w:cs="Times New Roman"/>
          <w:lang w:val="en-US" w:eastAsia="zh-CN"/>
        </w:rPr>
        <w:t xml:space="preserve"> </w:t>
      </w:r>
    </w:p>
    <w:p w14:paraId="16930975" w14:textId="77777777" w:rsidR="00DE4AFD" w:rsidRPr="00303844" w:rsidRDefault="004A4F56" w:rsidP="008300AC">
      <w:pPr>
        <w:pStyle w:val="HR"/>
        <w:spacing w:after="0"/>
        <w:ind w:firstLineChars="0" w:firstLine="0"/>
        <w:jc w:val="both"/>
        <w:rPr>
          <w:rFonts w:cs="Times New Roman"/>
          <w:b/>
          <w:lang w:val="en-US" w:eastAsia="zh-CN"/>
        </w:rPr>
      </w:pPr>
      <w:r w:rsidRPr="00303844">
        <w:rPr>
          <w:rFonts w:eastAsia="Times New Roman" w:cs="Times New Roman"/>
          <w:b/>
          <w:bCs/>
          <w:lang w:val="en-US" w:eastAsia="zh-CN"/>
        </w:rPr>
        <w:t>Cardiac Monitoring</w:t>
      </w:r>
    </w:p>
    <w:p w14:paraId="21DE9B82"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lang w:val="en-US" w:eastAsia="zh-CN"/>
        </w:rPr>
        <w:t xml:space="preserve">Left ventricular ejection fraction (LVEF) will be evaluated by echocardiography at screening, every 6 weeks ± 2 days after the start of treatment, and within 30 days after the end of treatment; 12-lead electrocardiogram will be performed at screening, within 2 days prior to dosing on Day 1 of each treatment cycle starting from Cycle 2, and within 30 days after the end of treatment. </w:t>
      </w:r>
    </w:p>
    <w:p w14:paraId="74008112" w14:textId="77777777" w:rsidR="00DE4AFD" w:rsidRPr="00303844" w:rsidRDefault="004A4F56" w:rsidP="000C622D">
      <w:pPr>
        <w:pStyle w:val="21"/>
        <w:spacing w:before="0" w:after="0" w:line="360" w:lineRule="auto"/>
        <w:rPr>
          <w:rFonts w:eastAsia="宋体" w:cs="Times New Roman"/>
        </w:rPr>
      </w:pPr>
      <w:bookmarkStart w:id="82" w:name="_Toc184889647"/>
      <w:r w:rsidRPr="00303844">
        <w:rPr>
          <w:rFonts w:eastAsia="Times New Roman" w:cs="Times New Roman"/>
          <w:kern w:val="0"/>
          <w:szCs w:val="24"/>
        </w:rPr>
        <w:t xml:space="preserve">European </w:t>
      </w:r>
      <w:proofErr w:type="spellStart"/>
      <w:r w:rsidRPr="00303844">
        <w:rPr>
          <w:rFonts w:eastAsia="Times New Roman" w:cs="Times New Roman"/>
          <w:kern w:val="0"/>
          <w:szCs w:val="24"/>
        </w:rPr>
        <w:t>Organisation</w:t>
      </w:r>
      <w:proofErr w:type="spellEnd"/>
      <w:r w:rsidRPr="00303844">
        <w:rPr>
          <w:rFonts w:eastAsia="Times New Roman" w:cs="Times New Roman"/>
          <w:kern w:val="0"/>
          <w:szCs w:val="24"/>
        </w:rPr>
        <w:t xml:space="preserve"> for Research and Treatment of Cancer (EORTC) Quality of Life Questionnaire</w:t>
      </w:r>
      <w:bookmarkEnd w:id="82"/>
    </w:p>
    <w:p w14:paraId="52648E3E"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color w:val="333333"/>
          <w:lang w:val="en-US" w:eastAsia="zh-CN"/>
        </w:rPr>
        <w:t>EORTC QLQ-C30 questionnaire: the EORTC QLQ-C30 questionnaire consists of 30 questions of 5 domains of patient functional assessment (physical, emotional, role, cognitive, and social), 3 symptom scales (fatigue; nausea, vomiting, and pain; and general health/quality of life [</w:t>
      </w:r>
      <w:proofErr w:type="spellStart"/>
      <w:r w:rsidRPr="00AF1F77">
        <w:rPr>
          <w:rFonts w:eastAsia="Times New Roman" w:cs="Times New Roman"/>
          <w:color w:val="333333"/>
          <w:lang w:val="en-US" w:eastAsia="zh-CN"/>
        </w:rPr>
        <w:t>HRQoL</w:t>
      </w:r>
      <w:proofErr w:type="spellEnd"/>
      <w:r w:rsidRPr="00AF1F77">
        <w:rPr>
          <w:rFonts w:eastAsia="Times New Roman" w:cs="Times New Roman"/>
          <w:color w:val="333333"/>
          <w:lang w:val="en-US" w:eastAsia="zh-CN"/>
        </w:rPr>
        <w:t>]); and 6 items (dyspnea, insomnia, decreased appetite, constipation, diarrhea, and financial difficulties) describing the patient's status during a recall period termed "recent week".</w:t>
      </w:r>
      <w:r w:rsidRPr="00AF1F77">
        <w:rPr>
          <w:rFonts w:eastAsia="Times New Roman" w:cs="Times New Roman"/>
          <w:lang w:val="en-US" w:eastAsia="zh-CN"/>
        </w:rPr>
        <w:t xml:space="preserve"> </w:t>
      </w:r>
    </w:p>
    <w:p w14:paraId="76B1C05B"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EORTCQLQ-C30 is self-administered and completed by patients at the study site. The questionnaire should be completed within 7 days before the patient's study treatment, at the Day 1 visit of each treatment cycle starting from Cycle 2, and should be completed before conducting various clinical examinations and clinical evaluations, before being informed of </w:t>
      </w:r>
      <w:r w:rsidRPr="00AF1F77">
        <w:rPr>
          <w:rFonts w:eastAsia="Times New Roman" w:cs="Times New Roman"/>
          <w:lang w:val="en-US" w:eastAsia="zh-CN"/>
        </w:rPr>
        <w:lastRenderedPageBreak/>
        <w:t xml:space="preserve">any new disease information, and before initiating any new treatments, until the end of treatment. </w:t>
      </w:r>
    </w:p>
    <w:p w14:paraId="1C2D491D" w14:textId="77777777" w:rsidR="00DE4AFD" w:rsidRPr="00303844" w:rsidRDefault="004A4F56" w:rsidP="000C622D">
      <w:pPr>
        <w:pStyle w:val="10"/>
        <w:spacing w:before="0" w:after="0" w:line="360" w:lineRule="auto"/>
        <w:jc w:val="both"/>
        <w:rPr>
          <w:rFonts w:cs="Times New Roman"/>
        </w:rPr>
      </w:pPr>
      <w:bookmarkStart w:id="83" w:name="_Toc184889648"/>
      <w:r w:rsidRPr="00303844">
        <w:rPr>
          <w:rFonts w:eastAsia="Times New Roman" w:cs="Times New Roman"/>
        </w:rPr>
        <w:t>AE Report</w:t>
      </w:r>
      <w:bookmarkEnd w:id="83"/>
    </w:p>
    <w:p w14:paraId="105AA04D" w14:textId="77777777" w:rsidR="00DE4AFD" w:rsidRPr="00303844" w:rsidRDefault="004A4F56" w:rsidP="000C622D">
      <w:pPr>
        <w:pStyle w:val="21"/>
        <w:spacing w:before="0" w:after="0" w:line="360" w:lineRule="auto"/>
        <w:rPr>
          <w:rFonts w:eastAsia="宋体" w:cs="Times New Roman"/>
        </w:rPr>
      </w:pPr>
      <w:bookmarkStart w:id="84" w:name="_Toc184889649"/>
      <w:r w:rsidRPr="00303844">
        <w:rPr>
          <w:rFonts w:eastAsia="Times New Roman" w:cs="Times New Roman"/>
        </w:rPr>
        <w:t>AE</w:t>
      </w:r>
      <w:bookmarkEnd w:id="84"/>
    </w:p>
    <w:p w14:paraId="7FC45760"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color w:val="333333"/>
          <w:lang w:val="en-US" w:eastAsia="zh-CN"/>
        </w:rPr>
        <w:t>AEs will be collected from the time when the subject signs the informed consent form until the end of the safety follow-up period (30 days after the last dose).</w:t>
      </w:r>
      <w:r w:rsidRPr="00AF1F77">
        <w:rPr>
          <w:rFonts w:eastAsia="Times New Roman" w:cs="Times New Roman"/>
          <w:lang w:val="en-US" w:eastAsia="zh-CN"/>
        </w:rPr>
        <w:t xml:space="preserve"> </w:t>
      </w:r>
    </w:p>
    <w:p w14:paraId="2A5900ED" w14:textId="77777777" w:rsidR="00DE4AFD" w:rsidRPr="00303844" w:rsidRDefault="004A4F56" w:rsidP="000C622D">
      <w:pPr>
        <w:pStyle w:val="30"/>
        <w:spacing w:before="0" w:after="0" w:line="360" w:lineRule="auto"/>
        <w:rPr>
          <w:rFonts w:cs="Times New Roman"/>
        </w:rPr>
      </w:pPr>
      <w:bookmarkStart w:id="85" w:name="_Toc184889650"/>
      <w:r w:rsidRPr="00303844">
        <w:rPr>
          <w:rFonts w:eastAsia="Times New Roman" w:cs="Times New Roman"/>
        </w:rPr>
        <w:t>Definition of AE</w:t>
      </w:r>
      <w:bookmarkEnd w:id="85"/>
    </w:p>
    <w:p w14:paraId="33855219"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color w:val="333333"/>
          <w:lang w:val="en-US" w:eastAsia="zh-CN"/>
        </w:rPr>
        <w:t xml:space="preserve">An AE is defined as any untoward medical event that occurs after receiving a drug or treatment or any deterioration of a disease or symptom that existed before receiving the </w:t>
      </w:r>
      <w:r w:rsidRPr="00AF1F77">
        <w:rPr>
          <w:rFonts w:eastAsia="Times New Roman" w:cs="Times New Roman"/>
          <w:lang w:val="en-US" w:eastAsia="zh-CN"/>
        </w:rPr>
        <w:t>investigational product</w:t>
      </w:r>
      <w:r w:rsidRPr="00AF1F77">
        <w:rPr>
          <w:rFonts w:eastAsia="Times New Roman" w:cs="Times New Roman"/>
          <w:color w:val="333333"/>
          <w:lang w:val="en-US" w:eastAsia="zh-CN"/>
        </w:rPr>
        <w:t xml:space="preserve"> or treatment (excluding the disease studied in this study) in a patient or a clinical study subject, whether or not considered related to the </w:t>
      </w:r>
      <w:r w:rsidRPr="00AF1F77">
        <w:rPr>
          <w:rFonts w:eastAsia="Times New Roman" w:cs="Times New Roman"/>
          <w:lang w:val="en-US" w:eastAsia="zh-CN"/>
        </w:rPr>
        <w:t>investigational product</w:t>
      </w:r>
      <w:r w:rsidRPr="00AF1F77">
        <w:rPr>
          <w:rFonts w:eastAsia="Times New Roman" w:cs="Times New Roman"/>
          <w:color w:val="333333"/>
          <w:lang w:val="en-US" w:eastAsia="zh-CN"/>
        </w:rPr>
        <w:t xml:space="preserve"> or treatment.</w:t>
      </w:r>
      <w:r w:rsidRPr="00AF1F77">
        <w:rPr>
          <w:rFonts w:eastAsia="Times New Roman" w:cs="Times New Roman"/>
          <w:lang w:val="en-US" w:eastAsia="zh-CN"/>
        </w:rPr>
        <w:t xml:space="preserve"> </w:t>
      </w:r>
      <w:r w:rsidRPr="00AF1F77">
        <w:rPr>
          <w:rFonts w:eastAsia="Times New Roman" w:cs="Times New Roman"/>
          <w:color w:val="333333"/>
          <w:lang w:val="en-US" w:eastAsia="zh-CN"/>
        </w:rPr>
        <w:t>AEs can be any unfavorable and unexpected symptoms, signs, laboratory abnormalities, or diseases, including the following situations:</w:t>
      </w:r>
    </w:p>
    <w:p w14:paraId="1CAB664C"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1) </w:t>
      </w:r>
      <w:r w:rsidRPr="00AF1F77">
        <w:rPr>
          <w:rFonts w:eastAsia="Times New Roman" w:cs="Times New Roman"/>
          <w:color w:val="333333"/>
          <w:lang w:val="en-US" w:eastAsia="zh-CN"/>
        </w:rPr>
        <w:t>Worsening of pre-existing (before enrollment) medical conditions/diseases (including worsening of symptoms, signs, laboratory abnormalities);</w:t>
      </w:r>
      <w:r w:rsidRPr="00AF1F77">
        <w:rPr>
          <w:rFonts w:eastAsia="Times New Roman" w:cs="Times New Roman"/>
          <w:lang w:val="en-US" w:eastAsia="zh-CN"/>
        </w:rPr>
        <w:t xml:space="preserve"> </w:t>
      </w:r>
    </w:p>
    <w:p w14:paraId="76802395"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2) </w:t>
      </w:r>
      <w:r w:rsidRPr="00AF1F77">
        <w:rPr>
          <w:rFonts w:eastAsia="Times New Roman" w:cs="Times New Roman"/>
          <w:color w:val="333333"/>
          <w:lang w:val="en-US" w:eastAsia="zh-CN"/>
        </w:rPr>
        <w:t>Any new AEs: any new adverse medical conditions (including symptoms, signs, newly diagnosed diseases);</w:t>
      </w:r>
      <w:r w:rsidRPr="00AF1F77">
        <w:rPr>
          <w:rFonts w:eastAsia="Times New Roman" w:cs="Times New Roman"/>
          <w:lang w:val="en-US" w:eastAsia="zh-CN"/>
        </w:rPr>
        <w:t xml:space="preserve"> </w:t>
      </w:r>
    </w:p>
    <w:p w14:paraId="2CE21141"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lang w:val="en-US" w:eastAsia="zh-CN"/>
        </w:rPr>
        <w:t xml:space="preserve">3) </w:t>
      </w:r>
      <w:r w:rsidRPr="00AF1F77">
        <w:rPr>
          <w:rFonts w:eastAsia="Times New Roman" w:cs="Times New Roman"/>
          <w:color w:val="333333"/>
          <w:lang w:val="en-US" w:eastAsia="zh-CN"/>
        </w:rPr>
        <w:t>Abnormal and clinically significant laboratory values or results.</w:t>
      </w:r>
      <w:r w:rsidRPr="00AF1F77">
        <w:rPr>
          <w:rFonts w:eastAsia="Times New Roman" w:cs="Times New Roman"/>
          <w:lang w:val="en-US" w:eastAsia="zh-CN"/>
        </w:rPr>
        <w:t xml:space="preserve"> </w:t>
      </w:r>
    </w:p>
    <w:p w14:paraId="77BCA37B"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color w:val="333333"/>
          <w:kern w:val="0"/>
          <w:lang w:val="en-US" w:eastAsia="zh-CN"/>
        </w:rPr>
        <w:t xml:space="preserve">The investigator should record in detail any AEs that occur in the subjects, including: the name of the AE and a description of all related symptoms, the time of onset, severity, relationship to the </w:t>
      </w:r>
      <w:r w:rsidRPr="00AF1F77">
        <w:rPr>
          <w:rFonts w:eastAsia="Times New Roman" w:cs="Times New Roman"/>
          <w:kern w:val="0"/>
          <w:lang w:val="en-US" w:eastAsia="zh-CN"/>
        </w:rPr>
        <w:t>investigational product</w:t>
      </w:r>
      <w:r w:rsidRPr="00AF1F77">
        <w:rPr>
          <w:rFonts w:eastAsia="Times New Roman" w:cs="Times New Roman"/>
          <w:color w:val="333333"/>
          <w:kern w:val="0"/>
          <w:lang w:val="en-US" w:eastAsia="zh-CN"/>
        </w:rPr>
        <w:t xml:space="preserve">, duration, measures taken, final results and outcome. </w:t>
      </w:r>
    </w:p>
    <w:p w14:paraId="1AD8A0B8" w14:textId="77777777" w:rsidR="00DE4AFD" w:rsidRPr="00303844" w:rsidRDefault="004A4F56" w:rsidP="000C622D">
      <w:pPr>
        <w:pStyle w:val="30"/>
        <w:spacing w:before="0" w:after="0" w:line="360" w:lineRule="auto"/>
        <w:rPr>
          <w:rFonts w:cs="Times New Roman"/>
        </w:rPr>
      </w:pPr>
      <w:bookmarkStart w:id="86" w:name="_Toc184889651"/>
      <w:r w:rsidRPr="00303844">
        <w:rPr>
          <w:rFonts w:eastAsia="Times New Roman" w:cs="Times New Roman"/>
          <w:color w:val="333333"/>
        </w:rPr>
        <w:t>Criteria for AE Severity</w:t>
      </w:r>
      <w:bookmarkEnd w:id="86"/>
    </w:p>
    <w:p w14:paraId="039A7037" w14:textId="003AC2AB" w:rsidR="00453C5E" w:rsidRDefault="004A4F56" w:rsidP="008300AC">
      <w:pPr>
        <w:pStyle w:val="HR"/>
        <w:spacing w:after="0"/>
        <w:ind w:firstLineChars="0" w:firstLine="0"/>
        <w:jc w:val="both"/>
        <w:rPr>
          <w:rFonts w:eastAsia="Times New Roman" w:cs="Times New Roman"/>
          <w:color w:val="333333"/>
          <w:lang w:val="en-US" w:eastAsia="zh-CN"/>
        </w:rPr>
      </w:pPr>
      <w:r w:rsidRPr="00AF1F77">
        <w:rPr>
          <w:rFonts w:eastAsia="Times New Roman" w:cs="Times New Roman"/>
          <w:color w:val="333333"/>
          <w:lang w:val="en-US" w:eastAsia="zh-CN"/>
        </w:rPr>
        <w:t>AEs will be graded per NCI-CTCAE v5.0. The following criteria should be used for AEs not listed in the NCI CTCAE v 5.0:</w:t>
      </w:r>
    </w:p>
    <w:p w14:paraId="694AC2CE" w14:textId="77777777" w:rsidR="00453C5E" w:rsidRDefault="00453C5E">
      <w:pPr>
        <w:widowControl/>
        <w:jc w:val="left"/>
        <w:rPr>
          <w:rFonts w:ascii="Times New Roman" w:eastAsia="Times New Roman" w:hAnsi="Times New Roman" w:cs="Times New Roman"/>
          <w:color w:val="333333"/>
          <w:sz w:val="24"/>
          <w:szCs w:val="24"/>
        </w:rPr>
      </w:pPr>
      <w:r>
        <w:rPr>
          <w:rFonts w:eastAsia="Times New Roman" w:cs="Times New Roman"/>
          <w:color w:val="333333"/>
        </w:rPr>
        <w:br w:type="page"/>
      </w:r>
    </w:p>
    <w:p w14:paraId="56CF9864" w14:textId="77777777" w:rsidR="00DE4AFD" w:rsidRPr="00453C5E" w:rsidRDefault="004A4F56" w:rsidP="008300AC">
      <w:pPr>
        <w:pStyle w:val="HR"/>
        <w:spacing w:after="0"/>
        <w:ind w:firstLineChars="0" w:firstLine="0"/>
        <w:jc w:val="both"/>
        <w:rPr>
          <w:rFonts w:cs="Times New Roman"/>
          <w:b/>
          <w:lang w:val="en-US" w:eastAsia="zh-CN"/>
        </w:rPr>
      </w:pPr>
      <w:r w:rsidRPr="00453C5E">
        <w:rPr>
          <w:rFonts w:eastAsia="Times New Roman" w:cs="Times New Roman"/>
          <w:b/>
          <w:bCs/>
          <w:lang w:val="en-US" w:eastAsia="zh-CN"/>
        </w:rPr>
        <w:lastRenderedPageBreak/>
        <w:t>Table 8 Criteria for AE Severity</w:t>
      </w:r>
    </w:p>
    <w:tbl>
      <w:tblPr>
        <w:tblW w:w="5000" w:type="pct"/>
        <w:jc w:val="center"/>
        <w:tblBorders>
          <w:top w:val="single" w:sz="4" w:space="0" w:color="auto"/>
          <w:bottom w:val="single" w:sz="4" w:space="0" w:color="auto"/>
          <w:insideH w:val="single" w:sz="4" w:space="0" w:color="auto"/>
          <w:insideV w:val="single" w:sz="4" w:space="0" w:color="C0C0C0"/>
        </w:tblBorders>
        <w:tblCellMar>
          <w:left w:w="57" w:type="dxa"/>
          <w:right w:w="57" w:type="dxa"/>
        </w:tblCellMar>
        <w:tblLook w:val="04A0" w:firstRow="1" w:lastRow="0" w:firstColumn="1" w:lastColumn="0" w:noHBand="0" w:noVBand="1"/>
      </w:tblPr>
      <w:tblGrid>
        <w:gridCol w:w="926"/>
        <w:gridCol w:w="8100"/>
      </w:tblGrid>
      <w:tr w:rsidR="00DE4AFD" w:rsidRPr="00227F09" w14:paraId="3EBBE25A" w14:textId="77777777" w:rsidTr="003F7776">
        <w:trPr>
          <w:jc w:val="center"/>
        </w:trPr>
        <w:tc>
          <w:tcPr>
            <w:tcW w:w="513" w:type="pct"/>
          </w:tcPr>
          <w:p w14:paraId="751606D2" w14:textId="77777777" w:rsidR="00DE4AFD" w:rsidRPr="00227F09" w:rsidRDefault="004A4F56" w:rsidP="003F7776">
            <w:pPr>
              <w:keepNext/>
              <w:widowControl/>
              <w:rPr>
                <w:rFonts w:ascii="Times New Roman" w:eastAsia="宋体" w:hAnsi="Times New Roman" w:cs="Times New Roman"/>
                <w:b/>
                <w:kern w:val="0"/>
              </w:rPr>
            </w:pPr>
            <w:r w:rsidRPr="00227F09">
              <w:rPr>
                <w:rFonts w:ascii="Times New Roman" w:eastAsia="Times New Roman" w:hAnsi="Times New Roman" w:cs="Times New Roman"/>
                <w:b/>
                <w:bCs/>
                <w:kern w:val="0"/>
              </w:rPr>
              <w:t>Grade</w:t>
            </w:r>
          </w:p>
        </w:tc>
        <w:tc>
          <w:tcPr>
            <w:tcW w:w="4487" w:type="pct"/>
          </w:tcPr>
          <w:p w14:paraId="6910A5F7" w14:textId="77777777" w:rsidR="00DE4AFD" w:rsidRPr="00227F09" w:rsidRDefault="004A4F56" w:rsidP="003F7776">
            <w:pPr>
              <w:keepNext/>
              <w:widowControl/>
              <w:ind w:firstLine="482"/>
              <w:rPr>
                <w:rFonts w:ascii="Times New Roman" w:eastAsia="宋体" w:hAnsi="Times New Roman" w:cs="Times New Roman"/>
                <w:b/>
                <w:kern w:val="0"/>
              </w:rPr>
            </w:pPr>
            <w:r w:rsidRPr="00227F09">
              <w:rPr>
                <w:rFonts w:ascii="Times New Roman" w:eastAsia="Times New Roman" w:hAnsi="Times New Roman" w:cs="Times New Roman"/>
                <w:b/>
                <w:bCs/>
                <w:kern w:val="0"/>
              </w:rPr>
              <w:t>Clinical Description of Severity</w:t>
            </w:r>
          </w:p>
        </w:tc>
      </w:tr>
      <w:tr w:rsidR="00DE4AFD" w:rsidRPr="00227F09" w14:paraId="4A4309FB" w14:textId="77777777" w:rsidTr="003F7776">
        <w:trPr>
          <w:jc w:val="center"/>
        </w:trPr>
        <w:tc>
          <w:tcPr>
            <w:tcW w:w="513" w:type="pct"/>
          </w:tcPr>
          <w:p w14:paraId="48E76692" w14:textId="77777777" w:rsidR="00DE4AFD" w:rsidRPr="00227F09" w:rsidRDefault="004A4F56" w:rsidP="003F7776">
            <w:pPr>
              <w:keepNext/>
              <w:widowControl/>
              <w:ind w:firstLine="29"/>
              <w:rPr>
                <w:rFonts w:ascii="Times New Roman" w:eastAsia="宋体" w:hAnsi="Times New Roman" w:cs="Times New Roman"/>
                <w:kern w:val="0"/>
                <w:lang w:eastAsia="en-US"/>
              </w:rPr>
            </w:pPr>
            <w:r w:rsidRPr="00227F09">
              <w:rPr>
                <w:rFonts w:ascii="Times New Roman" w:eastAsia="Times New Roman" w:hAnsi="Times New Roman" w:cs="Times New Roman"/>
                <w:kern w:val="0"/>
                <w:lang w:eastAsia="en-US"/>
              </w:rPr>
              <w:t>1</w:t>
            </w:r>
          </w:p>
        </w:tc>
        <w:tc>
          <w:tcPr>
            <w:tcW w:w="4487" w:type="pct"/>
          </w:tcPr>
          <w:p w14:paraId="7056BAA4" w14:textId="77777777" w:rsidR="00DE4AFD" w:rsidRPr="00227F09" w:rsidRDefault="004A4F56" w:rsidP="003F7776">
            <w:pPr>
              <w:keepNext/>
              <w:widowControl/>
              <w:rPr>
                <w:rFonts w:ascii="Times New Roman" w:eastAsia="宋体" w:hAnsi="Times New Roman" w:cs="Times New Roman"/>
                <w:kern w:val="0"/>
              </w:rPr>
            </w:pPr>
            <w:r w:rsidRPr="00227F09">
              <w:rPr>
                <w:rFonts w:ascii="Times New Roman" w:eastAsia="Times New Roman" w:hAnsi="Times New Roman" w:cs="Times New Roman"/>
                <w:color w:val="333333"/>
                <w:kern w:val="0"/>
              </w:rPr>
              <w:t>Mild; with no symptoms or minor clinical symptoms; only clinical or laboratory abnormalities; no treatment required.</w:t>
            </w:r>
          </w:p>
        </w:tc>
      </w:tr>
      <w:tr w:rsidR="00DE4AFD" w:rsidRPr="00227F09" w14:paraId="7B40FD47" w14:textId="77777777" w:rsidTr="003F7776">
        <w:trPr>
          <w:jc w:val="center"/>
        </w:trPr>
        <w:tc>
          <w:tcPr>
            <w:tcW w:w="513" w:type="pct"/>
          </w:tcPr>
          <w:p w14:paraId="08E2CB50" w14:textId="77777777" w:rsidR="00DE4AFD" w:rsidRPr="00227F09" w:rsidRDefault="004A4F56" w:rsidP="003F7776">
            <w:pPr>
              <w:keepNext/>
              <w:widowControl/>
              <w:ind w:firstLine="29"/>
              <w:rPr>
                <w:rFonts w:ascii="Times New Roman" w:eastAsia="宋体" w:hAnsi="Times New Roman" w:cs="Times New Roman"/>
                <w:kern w:val="0"/>
                <w:lang w:eastAsia="en-US"/>
              </w:rPr>
            </w:pPr>
            <w:r w:rsidRPr="00227F09">
              <w:rPr>
                <w:rFonts w:ascii="Times New Roman" w:eastAsia="Times New Roman" w:hAnsi="Times New Roman" w:cs="Times New Roman"/>
                <w:kern w:val="0"/>
                <w:lang w:eastAsia="en-US"/>
              </w:rPr>
              <w:t>2</w:t>
            </w:r>
          </w:p>
        </w:tc>
        <w:tc>
          <w:tcPr>
            <w:tcW w:w="4487" w:type="pct"/>
          </w:tcPr>
          <w:p w14:paraId="7F9E6977" w14:textId="77777777" w:rsidR="00DE4AFD" w:rsidRPr="00227F09" w:rsidRDefault="004A4F56" w:rsidP="003F7776">
            <w:pPr>
              <w:keepNext/>
              <w:widowControl/>
              <w:rPr>
                <w:rFonts w:ascii="Times New Roman" w:eastAsia="宋体" w:hAnsi="Times New Roman" w:cs="Times New Roman"/>
                <w:kern w:val="0"/>
              </w:rPr>
            </w:pPr>
            <w:r w:rsidRPr="00227F09">
              <w:rPr>
                <w:rFonts w:ascii="Times New Roman" w:eastAsia="Times New Roman" w:hAnsi="Times New Roman" w:cs="Times New Roman"/>
                <w:color w:val="333333"/>
                <w:kern w:val="0"/>
              </w:rPr>
              <w:t>Moderate; requiring minor, local, or non-invasive treatment; limitations in age-appropriate instrumental activities of daily living (ADL); instrumental ADL refer to cooking, shopping, making phone calls, and counting money, etc.</w:t>
            </w:r>
            <w:r w:rsidRPr="00227F09">
              <w:rPr>
                <w:rFonts w:ascii="Times New Roman" w:eastAsia="Times New Roman" w:hAnsi="Times New Roman" w:cs="Times New Roman"/>
                <w:kern w:val="0"/>
              </w:rPr>
              <w:t xml:space="preserve"> </w:t>
            </w:r>
          </w:p>
        </w:tc>
      </w:tr>
      <w:tr w:rsidR="00DE4AFD" w:rsidRPr="00227F09" w14:paraId="0B33093D" w14:textId="77777777" w:rsidTr="003F7776">
        <w:trPr>
          <w:jc w:val="center"/>
        </w:trPr>
        <w:tc>
          <w:tcPr>
            <w:tcW w:w="513" w:type="pct"/>
          </w:tcPr>
          <w:p w14:paraId="07418129" w14:textId="77777777" w:rsidR="00DE4AFD" w:rsidRPr="00227F09" w:rsidRDefault="004A4F56" w:rsidP="003F7776">
            <w:pPr>
              <w:keepNext/>
              <w:widowControl/>
              <w:ind w:firstLine="29"/>
              <w:rPr>
                <w:rFonts w:ascii="Times New Roman" w:eastAsia="宋体" w:hAnsi="Times New Roman" w:cs="Times New Roman"/>
                <w:kern w:val="0"/>
                <w:lang w:eastAsia="en-US"/>
              </w:rPr>
            </w:pPr>
            <w:r w:rsidRPr="00227F09">
              <w:rPr>
                <w:rFonts w:ascii="Times New Roman" w:eastAsia="Times New Roman" w:hAnsi="Times New Roman" w:cs="Times New Roman"/>
                <w:kern w:val="0"/>
                <w:lang w:eastAsia="en-US"/>
              </w:rPr>
              <w:t>3</w:t>
            </w:r>
          </w:p>
        </w:tc>
        <w:tc>
          <w:tcPr>
            <w:tcW w:w="4487" w:type="pct"/>
          </w:tcPr>
          <w:p w14:paraId="7704B8D0" w14:textId="7CC13D48" w:rsidR="00DE4AFD" w:rsidRPr="00227F09" w:rsidRDefault="004A4F56" w:rsidP="003F7776">
            <w:pPr>
              <w:keepNext/>
              <w:widowControl/>
              <w:rPr>
                <w:rFonts w:ascii="Times New Roman" w:eastAsia="宋体" w:hAnsi="Times New Roman" w:cs="Times New Roman"/>
                <w:kern w:val="0"/>
              </w:rPr>
            </w:pPr>
            <w:r w:rsidRPr="00227F09">
              <w:rPr>
                <w:rFonts w:ascii="Times New Roman" w:eastAsia="Times New Roman" w:hAnsi="Times New Roman" w:cs="Times New Roman"/>
                <w:color w:val="333333"/>
                <w:kern w:val="0"/>
              </w:rPr>
              <w:t xml:space="preserve">Severe or medically significant but not immediately life-threatening; hospitalization or prolongation of hospitalization indicated; disabling; limiting </w:t>
            </w:r>
            <w:r w:rsidR="00C6522E" w:rsidRPr="00227F09">
              <w:rPr>
                <w:rFonts w:ascii="Times New Roman" w:eastAsia="Times New Roman" w:hAnsi="Times New Roman" w:cs="Times New Roman"/>
                <w:color w:val="333333"/>
                <w:kern w:val="0"/>
              </w:rPr>
              <w:t>self-care</w:t>
            </w:r>
            <w:r w:rsidRPr="00227F09">
              <w:rPr>
                <w:rFonts w:ascii="Times New Roman" w:eastAsia="Times New Roman" w:hAnsi="Times New Roman" w:cs="Times New Roman"/>
                <w:color w:val="333333"/>
                <w:kern w:val="0"/>
              </w:rPr>
              <w:t xml:space="preserve"> ADL.</w:t>
            </w:r>
            <w:r w:rsidRPr="00227F09">
              <w:rPr>
                <w:rFonts w:ascii="Times New Roman" w:eastAsia="Times New Roman" w:hAnsi="Times New Roman" w:cs="Times New Roman"/>
                <w:kern w:val="0"/>
              </w:rPr>
              <w:t xml:space="preserve"> </w:t>
            </w:r>
            <w:r w:rsidRPr="00227F09">
              <w:rPr>
                <w:rFonts w:ascii="Times New Roman" w:eastAsia="Times New Roman" w:hAnsi="Times New Roman" w:cs="Times New Roman"/>
                <w:color w:val="333333"/>
                <w:kern w:val="0"/>
              </w:rPr>
              <w:t>Self-care ADL refers to bathing, dressing and undressing, feeding self, using the toilet, taking medicine, etc., and not bedridden.</w:t>
            </w:r>
          </w:p>
        </w:tc>
      </w:tr>
      <w:tr w:rsidR="00DE4AFD" w:rsidRPr="00227F09" w14:paraId="246C4D3B" w14:textId="77777777" w:rsidTr="003F7776">
        <w:trPr>
          <w:trHeight w:val="374"/>
          <w:jc w:val="center"/>
        </w:trPr>
        <w:tc>
          <w:tcPr>
            <w:tcW w:w="513" w:type="pct"/>
          </w:tcPr>
          <w:p w14:paraId="3FF61E6F" w14:textId="77777777" w:rsidR="00DE4AFD" w:rsidRPr="00227F09" w:rsidRDefault="004A4F56" w:rsidP="003F7776">
            <w:pPr>
              <w:keepNext/>
              <w:widowControl/>
              <w:ind w:firstLine="29"/>
              <w:rPr>
                <w:rFonts w:ascii="Times New Roman" w:eastAsia="宋体" w:hAnsi="Times New Roman" w:cs="Times New Roman"/>
                <w:kern w:val="0"/>
                <w:lang w:eastAsia="en-US"/>
              </w:rPr>
            </w:pPr>
            <w:r w:rsidRPr="00227F09">
              <w:rPr>
                <w:rFonts w:ascii="Times New Roman" w:eastAsia="Times New Roman" w:hAnsi="Times New Roman" w:cs="Times New Roman"/>
                <w:kern w:val="0"/>
                <w:lang w:eastAsia="en-US"/>
              </w:rPr>
              <w:t>4</w:t>
            </w:r>
          </w:p>
        </w:tc>
        <w:tc>
          <w:tcPr>
            <w:tcW w:w="4487" w:type="pct"/>
          </w:tcPr>
          <w:p w14:paraId="5FFA67C8" w14:textId="77777777" w:rsidR="00DE4AFD" w:rsidRPr="00227F09" w:rsidRDefault="004A4F56" w:rsidP="003F7776">
            <w:pPr>
              <w:widowControl/>
              <w:rPr>
                <w:rFonts w:ascii="Times New Roman" w:eastAsia="宋体" w:hAnsi="Times New Roman" w:cs="Times New Roman"/>
                <w:kern w:val="0"/>
              </w:rPr>
            </w:pPr>
            <w:r w:rsidRPr="00227F09">
              <w:rPr>
                <w:rFonts w:ascii="Times New Roman" w:eastAsia="Times New Roman" w:hAnsi="Times New Roman" w:cs="Times New Roman"/>
                <w:color w:val="333333"/>
                <w:kern w:val="0"/>
              </w:rPr>
              <w:t>Life-threatening; urgent intervention indicated.</w:t>
            </w:r>
          </w:p>
        </w:tc>
      </w:tr>
      <w:tr w:rsidR="00DE4AFD" w:rsidRPr="00227F09" w14:paraId="749C71A9" w14:textId="77777777" w:rsidTr="003F7776">
        <w:trPr>
          <w:jc w:val="center"/>
        </w:trPr>
        <w:tc>
          <w:tcPr>
            <w:tcW w:w="513" w:type="pct"/>
          </w:tcPr>
          <w:p w14:paraId="69DBA7A6" w14:textId="77777777" w:rsidR="00DE4AFD" w:rsidRPr="00227F09" w:rsidRDefault="004A4F56" w:rsidP="003F7776">
            <w:pPr>
              <w:keepNext/>
              <w:widowControl/>
              <w:ind w:firstLine="29"/>
              <w:rPr>
                <w:rFonts w:ascii="Times New Roman" w:eastAsia="宋体" w:hAnsi="Times New Roman" w:cs="Times New Roman"/>
                <w:kern w:val="0"/>
                <w:lang w:eastAsia="en-US"/>
              </w:rPr>
            </w:pPr>
            <w:r w:rsidRPr="00227F09">
              <w:rPr>
                <w:rFonts w:ascii="Times New Roman" w:eastAsia="Times New Roman" w:hAnsi="Times New Roman" w:cs="Times New Roman"/>
                <w:kern w:val="0"/>
                <w:lang w:eastAsia="en-US"/>
              </w:rPr>
              <w:t>5</w:t>
            </w:r>
          </w:p>
        </w:tc>
        <w:tc>
          <w:tcPr>
            <w:tcW w:w="4487" w:type="pct"/>
          </w:tcPr>
          <w:p w14:paraId="2ABB75A1" w14:textId="77777777" w:rsidR="00DE4AFD" w:rsidRPr="00227F09" w:rsidRDefault="004A4F56" w:rsidP="003F7776">
            <w:pPr>
              <w:keepNext/>
              <w:widowControl/>
              <w:rPr>
                <w:rFonts w:ascii="Times New Roman" w:eastAsia="宋体" w:hAnsi="Times New Roman" w:cs="Times New Roman"/>
                <w:kern w:val="0"/>
              </w:rPr>
            </w:pPr>
            <w:r w:rsidRPr="00227F09">
              <w:rPr>
                <w:rFonts w:ascii="Times New Roman" w:eastAsia="Times New Roman" w:hAnsi="Times New Roman" w:cs="Times New Roman"/>
                <w:kern w:val="0"/>
              </w:rPr>
              <w:t>Resulting in death</w:t>
            </w:r>
          </w:p>
        </w:tc>
      </w:tr>
    </w:tbl>
    <w:p w14:paraId="30C147DF" w14:textId="77777777" w:rsidR="00DE4AFD" w:rsidRPr="00303844" w:rsidRDefault="004A4F56" w:rsidP="000C622D">
      <w:pPr>
        <w:pStyle w:val="30"/>
        <w:spacing w:before="0" w:after="0" w:line="360" w:lineRule="auto"/>
        <w:rPr>
          <w:rFonts w:cs="Times New Roman"/>
        </w:rPr>
      </w:pPr>
      <w:bookmarkStart w:id="87" w:name="_Toc184889652"/>
      <w:r w:rsidRPr="00303844">
        <w:rPr>
          <w:rFonts w:eastAsia="Times New Roman" w:cs="Times New Roman"/>
          <w:color w:val="333333"/>
        </w:rPr>
        <w:t>Determination of Causality between AE and Investigational Product</w:t>
      </w:r>
      <w:bookmarkEnd w:id="87"/>
    </w:p>
    <w:p w14:paraId="01EF0A03" w14:textId="77777777" w:rsidR="00DE4AFD" w:rsidRPr="00AF1F77" w:rsidRDefault="004A4F56" w:rsidP="008300AC">
      <w:pPr>
        <w:pStyle w:val="HR"/>
        <w:spacing w:after="0"/>
        <w:ind w:firstLineChars="0" w:firstLine="0"/>
        <w:jc w:val="both"/>
        <w:rPr>
          <w:rStyle w:val="Instructions"/>
          <w:rFonts w:cs="Times New Roman"/>
          <w:i w:val="0"/>
          <w:iCs w:val="0"/>
          <w:color w:val="auto"/>
          <w:lang w:val="en-US" w:eastAsia="zh-CN"/>
        </w:rPr>
      </w:pPr>
      <w:r w:rsidRPr="00303844">
        <w:rPr>
          <w:rFonts w:eastAsia="Times New Roman" w:cs="Times New Roman"/>
          <w:color w:val="333333"/>
          <w:lang w:val="en-US" w:eastAsia="zh-CN"/>
        </w:rPr>
        <w:t>AEs will be collected from signing the informed consent form until the end of the safety follow-up period, regardless of whether the event is related to the investigational product, whether or not the subject is assigned to the investigational product group, or even whether or not the drug is used.</w:t>
      </w:r>
      <w:r w:rsidRPr="00303844">
        <w:rPr>
          <w:rFonts w:eastAsia="Times New Roman" w:cs="Times New Roman"/>
          <w:lang w:val="en-US" w:eastAsia="zh-CN"/>
        </w:rPr>
        <w:t xml:space="preserve"> </w:t>
      </w:r>
      <w:r w:rsidRPr="00AF1F77">
        <w:rPr>
          <w:rFonts w:eastAsia="Times New Roman" w:cs="Times New Roman"/>
          <w:color w:val="333333"/>
          <w:lang w:val="en-US" w:eastAsia="zh-CN"/>
        </w:rPr>
        <w:t xml:space="preserve">Any discomfort reactions reported by the subjects during the treatment period or any abnormal changes in objective laboratory indicators should be accurately recorded, along with the severity, duration, management measures, and outcome of the AE. The investigator should comprehensively assess the relationship between the AE and the </w:t>
      </w:r>
      <w:r w:rsidRPr="00AF1F77">
        <w:rPr>
          <w:rFonts w:eastAsia="Times New Roman" w:cs="Times New Roman"/>
          <w:lang w:val="en-US" w:eastAsia="zh-CN"/>
        </w:rPr>
        <w:t>investigational product</w:t>
      </w:r>
      <w:r w:rsidRPr="00AF1F77">
        <w:rPr>
          <w:rFonts w:eastAsia="Times New Roman" w:cs="Times New Roman"/>
          <w:color w:val="333333"/>
          <w:lang w:val="en-US" w:eastAsia="zh-CN"/>
        </w:rPr>
        <w:t xml:space="preserve">, for example. whether there is a reasonable temporal sequence between the occurrence of the AE and drug administration, the characteristics as well as toxicological and pharmacological effects of the </w:t>
      </w:r>
      <w:r w:rsidRPr="00AF1F77">
        <w:rPr>
          <w:rFonts w:eastAsia="Times New Roman" w:cs="Times New Roman"/>
          <w:lang w:val="en-US" w:eastAsia="zh-CN"/>
        </w:rPr>
        <w:t>investigational product</w:t>
      </w:r>
      <w:r w:rsidRPr="00AF1F77">
        <w:rPr>
          <w:rFonts w:eastAsia="Times New Roman" w:cs="Times New Roman"/>
          <w:color w:val="333333"/>
          <w:lang w:val="en-US" w:eastAsia="zh-CN"/>
        </w:rPr>
        <w:t xml:space="preserve">, whether the subject is using other concomitant medications, the subject’s underlying diseases, medical history, family history, provocation and rechallenge reactions, etc. The possible causality between the AE and the </w:t>
      </w:r>
      <w:r w:rsidRPr="00AF1F77">
        <w:rPr>
          <w:rFonts w:eastAsia="Times New Roman" w:cs="Times New Roman"/>
          <w:lang w:val="en-US" w:eastAsia="zh-CN"/>
        </w:rPr>
        <w:t>investigational product</w:t>
      </w:r>
      <w:r w:rsidRPr="00AF1F77">
        <w:rPr>
          <w:rFonts w:eastAsia="Times New Roman" w:cs="Times New Roman"/>
          <w:color w:val="333333"/>
          <w:lang w:val="en-US" w:eastAsia="zh-CN"/>
        </w:rPr>
        <w:t xml:space="preserve"> should be assessed as "definitely related, possibly related, unlikely related, not related, and unable to determine" using a five-level classification method.</w:t>
      </w:r>
    </w:p>
    <w:p w14:paraId="4A5FB9F4" w14:textId="77777777" w:rsidR="00DE4AFD" w:rsidRPr="00303844" w:rsidRDefault="004A4F56" w:rsidP="000C622D">
      <w:pPr>
        <w:pStyle w:val="21"/>
        <w:spacing w:before="0" w:after="0" w:line="360" w:lineRule="auto"/>
        <w:rPr>
          <w:rFonts w:eastAsia="宋体" w:cs="Times New Roman"/>
        </w:rPr>
      </w:pPr>
      <w:bookmarkStart w:id="88" w:name="_Toc184889653"/>
      <w:r w:rsidRPr="00303844">
        <w:rPr>
          <w:rFonts w:eastAsia="Times New Roman" w:cs="Times New Roman"/>
        </w:rPr>
        <w:t>SAE</w:t>
      </w:r>
      <w:bookmarkEnd w:id="88"/>
    </w:p>
    <w:p w14:paraId="556DAD91" w14:textId="77777777" w:rsidR="00DE4AFD" w:rsidRPr="00303844" w:rsidRDefault="004A4F56" w:rsidP="000C622D">
      <w:pPr>
        <w:pStyle w:val="30"/>
        <w:spacing w:before="0" w:after="0" w:line="360" w:lineRule="auto"/>
        <w:rPr>
          <w:rFonts w:cs="Times New Roman"/>
        </w:rPr>
      </w:pPr>
      <w:bookmarkStart w:id="89" w:name="_Toc184889654"/>
      <w:r w:rsidRPr="00303844">
        <w:rPr>
          <w:rFonts w:eastAsia="Times New Roman" w:cs="Times New Roman"/>
        </w:rPr>
        <w:t>Definition of SAE</w:t>
      </w:r>
      <w:bookmarkEnd w:id="89"/>
    </w:p>
    <w:p w14:paraId="6BA8820B" w14:textId="1C58DF94" w:rsidR="00DE4AFD" w:rsidRPr="00303844" w:rsidRDefault="004A4F56" w:rsidP="008300AC">
      <w:pPr>
        <w:pStyle w:val="HR"/>
        <w:spacing w:after="0"/>
        <w:ind w:firstLineChars="0" w:firstLine="0"/>
        <w:jc w:val="both"/>
        <w:rPr>
          <w:rFonts w:cs="Times New Roman"/>
          <w:lang w:eastAsia="zh-CN"/>
        </w:rPr>
      </w:pPr>
      <w:r w:rsidRPr="00AF1F77">
        <w:rPr>
          <w:rFonts w:eastAsia="Times New Roman" w:cs="Times New Roman"/>
          <w:color w:val="333333"/>
          <w:lang w:val="en-US" w:eastAsia="zh-CN"/>
        </w:rPr>
        <w:t xml:space="preserve">SAEs refer to adverse medical events occurring during the course of a clinical study that require hospitalization or prolongation of hospitalization, result in disability, affect work ability, </w:t>
      </w:r>
      <w:r w:rsidRPr="00AF1F77">
        <w:rPr>
          <w:rFonts w:eastAsia="Times New Roman" w:cs="Times New Roman"/>
          <w:color w:val="333333"/>
          <w:lang w:val="en-US" w:eastAsia="zh-CN"/>
        </w:rPr>
        <w:lastRenderedPageBreak/>
        <w:t xml:space="preserve">endanger life or death, or lead to congenital malformations. </w:t>
      </w:r>
      <w:r w:rsidRPr="00303844">
        <w:rPr>
          <w:rFonts w:eastAsia="Times New Roman" w:cs="Times New Roman"/>
          <w:color w:val="333333"/>
          <w:lang w:eastAsia="zh-CN"/>
        </w:rPr>
        <w:t>SAEs include the following medical events:</w:t>
      </w:r>
    </w:p>
    <w:p w14:paraId="3A91CF31" w14:textId="77777777" w:rsidR="00DE4AFD" w:rsidRPr="00303844" w:rsidRDefault="004A4F56" w:rsidP="00453C5E">
      <w:pPr>
        <w:pStyle w:val="HR"/>
        <w:numPr>
          <w:ilvl w:val="0"/>
          <w:numId w:val="24"/>
        </w:numPr>
        <w:spacing w:after="0"/>
        <w:ind w:leftChars="200" w:hangingChars="200" w:hanging="480"/>
        <w:jc w:val="both"/>
        <w:rPr>
          <w:rFonts w:cs="Times New Roman"/>
          <w:lang w:eastAsia="zh-CN"/>
        </w:rPr>
      </w:pPr>
      <w:r w:rsidRPr="00303844">
        <w:rPr>
          <w:rFonts w:eastAsia="Times New Roman" w:cs="Times New Roman"/>
          <w:lang w:eastAsia="zh-CN"/>
        </w:rPr>
        <w:t>Events leading to death;</w:t>
      </w:r>
    </w:p>
    <w:p w14:paraId="06C6538F" w14:textId="77777777" w:rsidR="00DE4AFD" w:rsidRPr="00AF1F77" w:rsidRDefault="004A4F56" w:rsidP="00453C5E">
      <w:pPr>
        <w:pStyle w:val="HR"/>
        <w:spacing w:after="0"/>
        <w:ind w:leftChars="200" w:left="900" w:hangingChars="200" w:hanging="480"/>
        <w:jc w:val="both"/>
        <w:rPr>
          <w:rFonts w:cs="Times New Roman"/>
          <w:lang w:val="en-US" w:eastAsia="zh-CN"/>
        </w:rPr>
      </w:pPr>
      <w:r w:rsidRPr="00AF1F77">
        <w:rPr>
          <w:rFonts w:eastAsia="Times New Roman" w:cs="Times New Roman"/>
          <w:lang w:val="en-US" w:eastAsia="zh-CN"/>
        </w:rPr>
        <w:t>•</w:t>
      </w:r>
      <w:r w:rsidRPr="00AF1F77">
        <w:rPr>
          <w:rFonts w:cs="Times New Roman"/>
          <w:lang w:val="en-US" w:eastAsia="zh-CN"/>
        </w:rPr>
        <w:tab/>
      </w:r>
      <w:r w:rsidRPr="00AF1F77">
        <w:rPr>
          <w:rFonts w:eastAsia="Times New Roman" w:cs="Times New Roman"/>
          <w:color w:val="333333"/>
          <w:lang w:val="en-US" w:eastAsia="zh-CN"/>
        </w:rPr>
        <w:t>Life-threatening events (defined as a situation where the subject is at immediate risk of death when the event occurs);</w:t>
      </w:r>
      <w:r w:rsidRPr="00AF1F77">
        <w:rPr>
          <w:rFonts w:eastAsia="Times New Roman" w:cs="Times New Roman"/>
          <w:lang w:val="en-US" w:eastAsia="zh-CN"/>
        </w:rPr>
        <w:t xml:space="preserve"> </w:t>
      </w:r>
    </w:p>
    <w:p w14:paraId="018056BE" w14:textId="77777777" w:rsidR="00DE4AFD" w:rsidRPr="00AF1F77" w:rsidRDefault="004A4F56" w:rsidP="00453C5E">
      <w:pPr>
        <w:pStyle w:val="HR"/>
        <w:spacing w:after="0"/>
        <w:ind w:leftChars="200" w:left="900" w:hangingChars="200" w:hanging="480"/>
        <w:jc w:val="both"/>
        <w:rPr>
          <w:rFonts w:cs="Times New Roman"/>
          <w:lang w:val="en-US" w:eastAsia="zh-CN"/>
        </w:rPr>
      </w:pPr>
      <w:r w:rsidRPr="00AF1F77">
        <w:rPr>
          <w:rFonts w:eastAsia="Times New Roman" w:cs="Times New Roman"/>
          <w:lang w:val="en-US" w:eastAsia="zh-CN"/>
        </w:rPr>
        <w:t>•</w:t>
      </w:r>
      <w:r w:rsidRPr="00AF1F77">
        <w:rPr>
          <w:rFonts w:cs="Times New Roman"/>
          <w:lang w:val="en-US" w:eastAsia="zh-CN"/>
        </w:rPr>
        <w:tab/>
      </w:r>
      <w:r w:rsidRPr="00AF1F77">
        <w:rPr>
          <w:rFonts w:eastAsia="Times New Roman" w:cs="Times New Roman"/>
          <w:color w:val="333333"/>
          <w:lang w:val="en-US" w:eastAsia="zh-CN"/>
        </w:rPr>
        <w:t>Events requiring hospitalization or prolongation of hospitalization;</w:t>
      </w:r>
      <w:r w:rsidRPr="00AF1F77">
        <w:rPr>
          <w:rFonts w:eastAsia="Times New Roman" w:cs="Times New Roman"/>
          <w:lang w:val="en-US" w:eastAsia="zh-CN"/>
        </w:rPr>
        <w:t xml:space="preserve"> </w:t>
      </w:r>
    </w:p>
    <w:p w14:paraId="338C5692" w14:textId="77777777" w:rsidR="00DE4AFD" w:rsidRPr="00AF1F77" w:rsidRDefault="004A4F56" w:rsidP="00453C5E">
      <w:pPr>
        <w:pStyle w:val="HR"/>
        <w:spacing w:after="0"/>
        <w:ind w:leftChars="200" w:left="900" w:hangingChars="200" w:hanging="480"/>
        <w:jc w:val="both"/>
        <w:rPr>
          <w:rFonts w:cs="Times New Roman"/>
          <w:lang w:val="en-US" w:eastAsia="zh-CN"/>
        </w:rPr>
      </w:pPr>
      <w:r w:rsidRPr="00AF1F77">
        <w:rPr>
          <w:rFonts w:eastAsia="Times New Roman" w:cs="Times New Roman"/>
          <w:lang w:val="en-US" w:eastAsia="zh-CN"/>
        </w:rPr>
        <w:t>•</w:t>
      </w:r>
      <w:r w:rsidRPr="00AF1F77">
        <w:rPr>
          <w:rFonts w:cs="Times New Roman"/>
          <w:lang w:val="en-US" w:eastAsia="zh-CN"/>
        </w:rPr>
        <w:tab/>
      </w:r>
      <w:r w:rsidRPr="00AF1F77">
        <w:rPr>
          <w:rFonts w:eastAsia="Times New Roman" w:cs="Times New Roman"/>
          <w:color w:val="333333"/>
          <w:lang w:val="en-US" w:eastAsia="zh-CN"/>
        </w:rPr>
        <w:t>Events that may lead to permanent or serious disability/functional impairment/impact on work capacity;</w:t>
      </w:r>
      <w:r w:rsidRPr="00AF1F77">
        <w:rPr>
          <w:rFonts w:eastAsia="Times New Roman" w:cs="Times New Roman"/>
          <w:lang w:val="en-US" w:eastAsia="zh-CN"/>
        </w:rPr>
        <w:t xml:space="preserve"> </w:t>
      </w:r>
    </w:p>
    <w:p w14:paraId="29E1E493" w14:textId="77777777" w:rsidR="00DE4AFD" w:rsidRPr="00AF1F77" w:rsidRDefault="004A4F56" w:rsidP="00453C5E">
      <w:pPr>
        <w:pStyle w:val="HR"/>
        <w:spacing w:after="0"/>
        <w:ind w:leftChars="200" w:left="900" w:hangingChars="200" w:hanging="480"/>
        <w:jc w:val="both"/>
        <w:rPr>
          <w:rFonts w:cs="Times New Roman"/>
          <w:lang w:val="en-US" w:eastAsia="zh-CN"/>
        </w:rPr>
      </w:pPr>
      <w:r w:rsidRPr="00AF1F77">
        <w:rPr>
          <w:rFonts w:eastAsia="Times New Roman" w:cs="Times New Roman"/>
          <w:lang w:val="en-US" w:eastAsia="zh-CN"/>
        </w:rPr>
        <w:t>•</w:t>
      </w:r>
      <w:r w:rsidRPr="00AF1F77">
        <w:rPr>
          <w:rFonts w:cs="Times New Roman"/>
          <w:lang w:val="en-US" w:eastAsia="zh-CN"/>
        </w:rPr>
        <w:tab/>
      </w:r>
      <w:r w:rsidRPr="00AF1F77">
        <w:rPr>
          <w:rFonts w:eastAsia="Times New Roman" w:cs="Times New Roman"/>
          <w:color w:val="333333"/>
          <w:lang w:val="en-US" w:eastAsia="zh-CN"/>
        </w:rPr>
        <w:t>Congenital anomalies or birth defects;</w:t>
      </w:r>
      <w:r w:rsidRPr="00AF1F77">
        <w:rPr>
          <w:rFonts w:eastAsia="Times New Roman" w:cs="Times New Roman"/>
          <w:lang w:val="en-US" w:eastAsia="zh-CN"/>
        </w:rPr>
        <w:t xml:space="preserve"> </w:t>
      </w:r>
    </w:p>
    <w:p w14:paraId="5A0AAFF5" w14:textId="77777777" w:rsidR="00DE4AFD" w:rsidRPr="00AF1F77" w:rsidRDefault="004A4F56" w:rsidP="00453C5E">
      <w:pPr>
        <w:pStyle w:val="HR"/>
        <w:spacing w:after="0"/>
        <w:ind w:leftChars="200" w:left="900" w:hangingChars="200" w:hanging="480"/>
        <w:jc w:val="both"/>
        <w:rPr>
          <w:rFonts w:cs="Times New Roman"/>
          <w:kern w:val="0"/>
          <w:lang w:val="en-US" w:eastAsia="zh-CN"/>
        </w:rPr>
      </w:pPr>
      <w:r w:rsidRPr="00AF1F77">
        <w:rPr>
          <w:rFonts w:eastAsia="Times New Roman" w:cs="Times New Roman"/>
          <w:kern w:val="0"/>
          <w:lang w:val="en-US" w:eastAsia="zh-CN"/>
        </w:rPr>
        <w:t>•</w:t>
      </w:r>
      <w:r w:rsidRPr="00AF1F77">
        <w:rPr>
          <w:rFonts w:cs="Times New Roman"/>
          <w:kern w:val="0"/>
          <w:lang w:val="en-US" w:eastAsia="zh-CN"/>
        </w:rPr>
        <w:tab/>
      </w:r>
      <w:r w:rsidRPr="00AF1F77">
        <w:rPr>
          <w:rFonts w:eastAsia="Times New Roman" w:cs="Times New Roman"/>
          <w:color w:val="333333"/>
          <w:kern w:val="0"/>
          <w:lang w:val="en-US" w:eastAsia="zh-CN"/>
        </w:rPr>
        <w:t>Other medically significant events (defined as events that harm the subject or require intervention to prevent any of the above situations from occurring).</w:t>
      </w:r>
      <w:r w:rsidRPr="00AF1F77">
        <w:rPr>
          <w:rFonts w:eastAsia="Times New Roman" w:cs="Times New Roman"/>
          <w:kern w:val="0"/>
          <w:lang w:val="en-US" w:eastAsia="zh-CN"/>
        </w:rPr>
        <w:t xml:space="preserve"> </w:t>
      </w:r>
    </w:p>
    <w:p w14:paraId="670D3650" w14:textId="77777777" w:rsidR="00DE4AFD" w:rsidRPr="00303844" w:rsidRDefault="004A4F56" w:rsidP="000C622D">
      <w:pPr>
        <w:pStyle w:val="30"/>
        <w:spacing w:before="0" w:after="0" w:line="360" w:lineRule="auto"/>
        <w:rPr>
          <w:rFonts w:cs="Times New Roman"/>
        </w:rPr>
      </w:pPr>
      <w:bookmarkStart w:id="90" w:name="_Toc184889655"/>
      <w:proofErr w:type="spellStart"/>
      <w:r w:rsidRPr="00303844">
        <w:rPr>
          <w:rFonts w:eastAsia="Times New Roman" w:cs="Times New Roman"/>
        </w:rPr>
        <w:t>Hospitalisation</w:t>
      </w:r>
      <w:bookmarkEnd w:id="90"/>
      <w:proofErr w:type="spellEnd"/>
    </w:p>
    <w:p w14:paraId="00E9773A"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color w:val="333333"/>
          <w:lang w:val="en-US" w:eastAsia="zh-CN"/>
        </w:rPr>
        <w:t>AEs in clinical studies that lead to hospitalization (even if less than 24 hours) or prolongation of existing hospitalization should be considered as SAEs.</w:t>
      </w:r>
    </w:p>
    <w:p w14:paraId="178FAF95"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color w:val="333333"/>
          <w:lang w:val="en-US" w:eastAsia="zh-CN"/>
        </w:rPr>
        <w:t>However, hospitalization or prolongation of hospitalization for the following reasons should not be reported as an SAE:</w:t>
      </w:r>
    </w:p>
    <w:p w14:paraId="7E4FB3DA" w14:textId="77777777" w:rsidR="00DE4AFD" w:rsidRPr="00303844" w:rsidRDefault="004A4F56" w:rsidP="000C622D">
      <w:pPr>
        <w:pStyle w:val="HR"/>
        <w:numPr>
          <w:ilvl w:val="0"/>
          <w:numId w:val="25"/>
        </w:numPr>
        <w:spacing w:after="0"/>
        <w:ind w:firstLineChars="0"/>
        <w:jc w:val="both"/>
        <w:rPr>
          <w:rFonts w:cs="Times New Roman"/>
          <w:lang w:eastAsia="zh-CN"/>
        </w:rPr>
      </w:pPr>
      <w:r w:rsidRPr="00303844">
        <w:rPr>
          <w:rFonts w:eastAsia="Times New Roman" w:cs="Times New Roman"/>
          <w:color w:val="333333"/>
          <w:lang w:eastAsia="zh-CN"/>
        </w:rPr>
        <w:t>Rehabilitation facility</w:t>
      </w:r>
    </w:p>
    <w:p w14:paraId="52B3BDE6" w14:textId="77777777" w:rsidR="00DE4AFD" w:rsidRPr="00303844" w:rsidRDefault="004A4F56" w:rsidP="000C622D">
      <w:pPr>
        <w:pStyle w:val="HR"/>
        <w:numPr>
          <w:ilvl w:val="0"/>
          <w:numId w:val="25"/>
        </w:numPr>
        <w:spacing w:after="0"/>
        <w:ind w:firstLineChars="0"/>
        <w:jc w:val="both"/>
        <w:rPr>
          <w:rFonts w:cs="Times New Roman"/>
          <w:lang w:eastAsia="zh-CN"/>
        </w:rPr>
      </w:pPr>
      <w:r w:rsidRPr="00303844">
        <w:rPr>
          <w:rFonts w:eastAsia="Times New Roman" w:cs="Times New Roman"/>
          <w:lang w:eastAsia="zh-CN"/>
        </w:rPr>
        <w:t>Sanatorium</w:t>
      </w:r>
    </w:p>
    <w:p w14:paraId="548900FD" w14:textId="77777777" w:rsidR="00DE4AFD" w:rsidRPr="00AF1F77" w:rsidRDefault="004A4F56" w:rsidP="000C622D">
      <w:pPr>
        <w:pStyle w:val="HR"/>
        <w:numPr>
          <w:ilvl w:val="0"/>
          <w:numId w:val="25"/>
        </w:numPr>
        <w:spacing w:after="0"/>
        <w:ind w:firstLineChars="0"/>
        <w:jc w:val="both"/>
        <w:rPr>
          <w:rFonts w:cs="Times New Roman"/>
          <w:lang w:val="en-US" w:eastAsia="zh-CN"/>
        </w:rPr>
      </w:pPr>
      <w:r w:rsidRPr="00AF1F77">
        <w:rPr>
          <w:rFonts w:eastAsia="Times New Roman" w:cs="Times New Roman"/>
          <w:color w:val="333333"/>
          <w:lang w:val="en-US" w:eastAsia="zh-CN"/>
        </w:rPr>
        <w:t>Routine emergency room treatment (less than 24 hours)</w:t>
      </w:r>
    </w:p>
    <w:p w14:paraId="26F7BAFC" w14:textId="77777777" w:rsidR="00DE4AFD" w:rsidRPr="00AF1F77" w:rsidRDefault="004A4F56" w:rsidP="000C622D">
      <w:pPr>
        <w:pStyle w:val="HR"/>
        <w:numPr>
          <w:ilvl w:val="0"/>
          <w:numId w:val="25"/>
        </w:numPr>
        <w:spacing w:after="0"/>
        <w:ind w:firstLineChars="0"/>
        <w:jc w:val="both"/>
        <w:rPr>
          <w:rFonts w:cs="Times New Roman"/>
          <w:lang w:val="en-US" w:eastAsia="zh-CN"/>
        </w:rPr>
      </w:pPr>
      <w:r w:rsidRPr="00AF1F77">
        <w:rPr>
          <w:rFonts w:eastAsia="Times New Roman" w:cs="Times New Roman"/>
          <w:color w:val="333333"/>
          <w:lang w:val="en-US" w:eastAsia="zh-CN"/>
        </w:rPr>
        <w:t>Day surgery (such as outpatient/day/ambulatory surgery)</w:t>
      </w:r>
    </w:p>
    <w:p w14:paraId="08CD1D8F" w14:textId="77777777" w:rsidR="00DE4AFD" w:rsidRPr="00AF1F77" w:rsidRDefault="004A4F56" w:rsidP="000C622D">
      <w:pPr>
        <w:pStyle w:val="HR"/>
        <w:numPr>
          <w:ilvl w:val="0"/>
          <w:numId w:val="25"/>
        </w:numPr>
        <w:spacing w:after="0"/>
        <w:ind w:firstLineChars="0"/>
        <w:jc w:val="both"/>
        <w:rPr>
          <w:rFonts w:cs="Times New Roman"/>
          <w:lang w:val="en-US" w:eastAsia="zh-CN"/>
        </w:rPr>
      </w:pPr>
      <w:r w:rsidRPr="00AF1F77">
        <w:rPr>
          <w:rFonts w:eastAsia="Times New Roman" w:cs="Times New Roman"/>
          <w:color w:val="333333"/>
          <w:lang w:val="en-US" w:eastAsia="zh-CN"/>
        </w:rPr>
        <w:t>Social reasons (medical insurance reimbursement, etc.)</w:t>
      </w:r>
    </w:p>
    <w:p w14:paraId="3FF3996B" w14:textId="4BE2A863"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color w:val="333333"/>
          <w:lang w:val="en-US" w:eastAsia="zh-CN"/>
        </w:rPr>
        <w:t>Any hospitalization or prolongation of hospitalization unrelated to the worsening of AEs is not considered as an SAE.</w:t>
      </w:r>
      <w:r w:rsidR="00C6522E">
        <w:rPr>
          <w:rFonts w:eastAsiaTheme="minorEastAsia" w:cs="Times New Roman" w:hint="eastAsia"/>
          <w:color w:val="333333"/>
          <w:lang w:val="en-US" w:eastAsia="zh-CN"/>
        </w:rPr>
        <w:t xml:space="preserve"> </w:t>
      </w:r>
      <w:r w:rsidRPr="00AF1F77">
        <w:rPr>
          <w:rFonts w:eastAsia="Times New Roman" w:cs="Times New Roman"/>
          <w:lang w:val="en-US" w:eastAsia="zh-CN"/>
        </w:rPr>
        <w:t xml:space="preserve">For example: </w:t>
      </w:r>
    </w:p>
    <w:p w14:paraId="7F51669F" w14:textId="77777777" w:rsidR="00DE4AFD" w:rsidRPr="00AF1F77" w:rsidRDefault="004A4F56" w:rsidP="000C622D">
      <w:pPr>
        <w:pStyle w:val="HR"/>
        <w:numPr>
          <w:ilvl w:val="0"/>
          <w:numId w:val="26"/>
        </w:numPr>
        <w:spacing w:after="0"/>
        <w:ind w:firstLineChars="0"/>
        <w:jc w:val="both"/>
        <w:rPr>
          <w:rFonts w:cs="Times New Roman"/>
          <w:lang w:val="en-US" w:eastAsia="zh-CN"/>
        </w:rPr>
      </w:pPr>
      <w:r w:rsidRPr="00AF1F77">
        <w:rPr>
          <w:rFonts w:eastAsia="Times New Roman" w:cs="Times New Roman"/>
          <w:color w:val="333333"/>
          <w:lang w:val="en-US" w:eastAsia="zh-CN"/>
        </w:rPr>
        <w:t>Hospitalization due to a pre-existing disease without a new AE or exacerbation of the pre-existing disease (such as hospitalization to check for laboratory abnormalities that occurred prior to the study and are still present);</w:t>
      </w:r>
    </w:p>
    <w:p w14:paraId="70DAF046" w14:textId="77777777" w:rsidR="00DE4AFD" w:rsidRPr="00AF1F77" w:rsidRDefault="004A4F56" w:rsidP="000C622D">
      <w:pPr>
        <w:pStyle w:val="HR"/>
        <w:numPr>
          <w:ilvl w:val="0"/>
          <w:numId w:val="26"/>
        </w:numPr>
        <w:spacing w:after="0"/>
        <w:ind w:firstLineChars="0"/>
        <w:jc w:val="both"/>
        <w:rPr>
          <w:rFonts w:cs="Times New Roman"/>
          <w:lang w:val="en-US" w:eastAsia="zh-CN"/>
        </w:rPr>
      </w:pPr>
      <w:r w:rsidRPr="00AF1F77">
        <w:rPr>
          <w:rFonts w:eastAsia="Times New Roman" w:cs="Times New Roman"/>
          <w:color w:val="333333"/>
          <w:lang w:val="en-US" w:eastAsia="zh-CN"/>
        </w:rPr>
        <w:t>Hospitalization due to administrative reasons (e.g., annual routine physical examination);</w:t>
      </w:r>
    </w:p>
    <w:p w14:paraId="1A4099DB" w14:textId="77777777" w:rsidR="00DE4AFD" w:rsidRPr="00AF1F77" w:rsidRDefault="004A4F56" w:rsidP="000C622D">
      <w:pPr>
        <w:pStyle w:val="HR"/>
        <w:numPr>
          <w:ilvl w:val="0"/>
          <w:numId w:val="26"/>
        </w:numPr>
        <w:spacing w:after="0"/>
        <w:ind w:firstLineChars="0"/>
        <w:jc w:val="both"/>
        <w:rPr>
          <w:rFonts w:cs="Times New Roman"/>
          <w:lang w:val="en-US" w:eastAsia="zh-CN"/>
        </w:rPr>
      </w:pPr>
      <w:r w:rsidRPr="00AF1F77">
        <w:rPr>
          <w:rFonts w:eastAsia="Times New Roman" w:cs="Times New Roman"/>
          <w:color w:val="333333"/>
          <w:lang w:val="en-US" w:eastAsia="zh-CN"/>
        </w:rPr>
        <w:lastRenderedPageBreak/>
        <w:t>On-study hospitalization as specified in the protocol (e.g., protocol-specified procedures);</w:t>
      </w:r>
    </w:p>
    <w:p w14:paraId="3B5B13BE" w14:textId="77777777" w:rsidR="00DE4AFD" w:rsidRPr="00AF1F77" w:rsidRDefault="004A4F56" w:rsidP="000C622D">
      <w:pPr>
        <w:pStyle w:val="HR"/>
        <w:numPr>
          <w:ilvl w:val="0"/>
          <w:numId w:val="26"/>
        </w:numPr>
        <w:spacing w:after="0"/>
        <w:ind w:firstLineChars="0"/>
        <w:jc w:val="both"/>
        <w:rPr>
          <w:rFonts w:cs="Times New Roman"/>
          <w:lang w:val="en-US" w:eastAsia="zh-CN"/>
        </w:rPr>
      </w:pPr>
      <w:r w:rsidRPr="00AF1F77">
        <w:rPr>
          <w:rFonts w:eastAsia="Times New Roman" w:cs="Times New Roman"/>
          <w:color w:val="333333"/>
          <w:lang w:val="en-US" w:eastAsia="zh-CN"/>
        </w:rPr>
        <w:t>Elective hospitalization for any cause other than the worsening of AEs (e.g., elective surgery);</w:t>
      </w:r>
    </w:p>
    <w:p w14:paraId="301127CE" w14:textId="77777777" w:rsidR="00DE4AFD" w:rsidRPr="00AF1F77" w:rsidRDefault="004A4F56" w:rsidP="000C622D">
      <w:pPr>
        <w:pStyle w:val="HR"/>
        <w:numPr>
          <w:ilvl w:val="0"/>
          <w:numId w:val="26"/>
        </w:numPr>
        <w:spacing w:after="0"/>
        <w:ind w:firstLineChars="0"/>
        <w:jc w:val="both"/>
        <w:rPr>
          <w:rFonts w:cs="Times New Roman"/>
          <w:lang w:val="en-US" w:eastAsia="zh-CN"/>
        </w:rPr>
      </w:pPr>
      <w:r w:rsidRPr="00AF1F77">
        <w:rPr>
          <w:rFonts w:eastAsia="Times New Roman" w:cs="Times New Roman"/>
          <w:color w:val="333333"/>
          <w:lang w:val="en-US" w:eastAsia="zh-CN"/>
        </w:rPr>
        <w:t>Pre-scheduled treatment or surgery, which should be documented in the study protocol and/or the subject’s baseline data;</w:t>
      </w:r>
    </w:p>
    <w:p w14:paraId="1D30E421" w14:textId="77777777" w:rsidR="00DE4AFD" w:rsidRPr="00AF1F77" w:rsidRDefault="004A4F56" w:rsidP="000C622D">
      <w:pPr>
        <w:pStyle w:val="HR"/>
        <w:numPr>
          <w:ilvl w:val="0"/>
          <w:numId w:val="26"/>
        </w:numPr>
        <w:spacing w:after="0"/>
        <w:ind w:firstLineChars="0"/>
        <w:jc w:val="both"/>
        <w:rPr>
          <w:rFonts w:cs="Times New Roman"/>
          <w:lang w:val="en-US" w:eastAsia="zh-CN"/>
        </w:rPr>
      </w:pPr>
      <w:r w:rsidRPr="00AF1F77">
        <w:rPr>
          <w:rFonts w:eastAsia="Times New Roman" w:cs="Times New Roman"/>
          <w:color w:val="333333"/>
          <w:lang w:val="en-US" w:eastAsia="zh-CN"/>
        </w:rPr>
        <w:t>Hospitalization for blood product use only.</w:t>
      </w:r>
    </w:p>
    <w:p w14:paraId="77AC74BE" w14:textId="77777777" w:rsidR="00DE4AFD" w:rsidRPr="00303844" w:rsidRDefault="004A4F56" w:rsidP="008300AC">
      <w:pPr>
        <w:pStyle w:val="HR"/>
        <w:spacing w:after="0"/>
        <w:ind w:firstLineChars="0" w:firstLine="0"/>
        <w:jc w:val="both"/>
        <w:rPr>
          <w:rFonts w:cs="Times New Roman"/>
          <w:lang w:val="en-US" w:eastAsia="zh-CN"/>
        </w:rPr>
      </w:pPr>
      <w:r w:rsidRPr="00AF1F77">
        <w:rPr>
          <w:rFonts w:eastAsia="Times New Roman" w:cs="Times New Roman"/>
          <w:color w:val="333333"/>
          <w:kern w:val="0"/>
          <w:lang w:val="en-US" w:eastAsia="zh-CN"/>
        </w:rPr>
        <w:t>Any invasive procedures (such as surgery) and non-invasive procedures for diagnosis or treatment should not be reported as an AE. However, if the medical condition leading to the procedure meets the definition of an AE, it should be reported as an AE. For example, acute appendicitis occurring during the AE reporting period should be reported as an AE, while the appendectomy performed as a result should be documented as the treatment of the AE.</w:t>
      </w:r>
    </w:p>
    <w:p w14:paraId="2E07840D" w14:textId="77777777" w:rsidR="00DE4AFD" w:rsidRPr="00303844" w:rsidRDefault="004A4F56" w:rsidP="000C622D">
      <w:pPr>
        <w:pStyle w:val="30"/>
        <w:spacing w:before="0" w:after="0" w:line="360" w:lineRule="auto"/>
        <w:rPr>
          <w:rFonts w:cs="Times New Roman"/>
        </w:rPr>
      </w:pPr>
      <w:bookmarkStart w:id="91" w:name="_Toc184889656"/>
      <w:r w:rsidRPr="00303844">
        <w:rPr>
          <w:rFonts w:eastAsia="Times New Roman" w:cs="Times New Roman"/>
        </w:rPr>
        <w:t>Disease Progression and Death</w:t>
      </w:r>
      <w:bookmarkEnd w:id="91"/>
    </w:p>
    <w:p w14:paraId="7161B745" w14:textId="18860450" w:rsidR="00DE4AFD" w:rsidRPr="00AF1F77" w:rsidRDefault="004A4F56" w:rsidP="008300AC">
      <w:pPr>
        <w:pStyle w:val="HR"/>
        <w:spacing w:after="0"/>
        <w:ind w:firstLineChars="0" w:firstLine="0"/>
        <w:jc w:val="both"/>
        <w:rPr>
          <w:rFonts w:cs="Times New Roman"/>
          <w:kern w:val="0"/>
          <w:lang w:val="en-US" w:eastAsia="zh-CN"/>
        </w:rPr>
      </w:pPr>
      <w:r w:rsidRPr="00AF1F77">
        <w:rPr>
          <w:rFonts w:eastAsia="Times New Roman" w:cs="Times New Roman"/>
          <w:color w:val="333333"/>
          <w:kern w:val="0"/>
          <w:lang w:val="en-US" w:eastAsia="zh-CN"/>
        </w:rPr>
        <w:t>Disease progression is defined as the worsening of the subject's condition caused by the indication of the study. It includes radiological progression and the progression of clinical symptoms and signs. A new lesion of the primary tumor or progression of an existing lesion will be considered disease progression. Events that are life-threatening or that require hospitalization or prolongation of hospitalization, or that result in permanent or significant disability/incapacity/impairment of work or congenital anomaly or birth defect will not be considered SAEs for reporting if they are due to symptoms and signs of disease progression. If there is any uncertainty as to whether an SAE is caused by disease progression, it should be reported as an SAE.</w:t>
      </w:r>
      <w:r w:rsidRPr="00AF1F77">
        <w:rPr>
          <w:rFonts w:eastAsia="Times New Roman" w:cs="Times New Roman"/>
          <w:kern w:val="0"/>
          <w:lang w:val="en-US" w:eastAsia="zh-CN"/>
        </w:rPr>
        <w:t xml:space="preserve"> </w:t>
      </w:r>
    </w:p>
    <w:p w14:paraId="4CC0B605" w14:textId="686038D7" w:rsidR="00DE4AFD" w:rsidRPr="00AF1F77" w:rsidRDefault="004A4F56" w:rsidP="008300AC">
      <w:pPr>
        <w:pStyle w:val="HR"/>
        <w:spacing w:after="0"/>
        <w:ind w:firstLineChars="0" w:firstLine="0"/>
        <w:jc w:val="both"/>
        <w:rPr>
          <w:rFonts w:cs="Times New Roman"/>
          <w:kern w:val="0"/>
          <w:lang w:val="en-US" w:eastAsia="zh-CN"/>
        </w:rPr>
      </w:pPr>
      <w:r w:rsidRPr="00AF1F77">
        <w:rPr>
          <w:rFonts w:eastAsia="Times New Roman" w:cs="Times New Roman"/>
          <w:color w:val="333333"/>
          <w:kern w:val="0"/>
          <w:lang w:val="en-US" w:eastAsia="zh-CN"/>
        </w:rPr>
        <w:t>In the study population of this study,</w:t>
      </w:r>
      <w:r w:rsidR="00C6522E">
        <w:rPr>
          <w:rFonts w:eastAsiaTheme="minorEastAsia" w:cs="Times New Roman" w:hint="eastAsia"/>
          <w:color w:val="333333"/>
          <w:kern w:val="0"/>
          <w:lang w:val="en-US" w:eastAsia="zh-CN"/>
        </w:rPr>
        <w:t xml:space="preserve"> </w:t>
      </w:r>
      <w:r w:rsidRPr="00AF1F77">
        <w:rPr>
          <w:rFonts w:eastAsia="Times New Roman" w:cs="Times New Roman"/>
          <w:color w:val="333333"/>
          <w:kern w:val="0"/>
          <w:lang w:val="en-US" w:eastAsia="zh-CN"/>
        </w:rPr>
        <w:t>“disease progression” is an expected occurrence and should not be reported as an AE term. When disease progression occurs, the event used to confirm disease progression should be reported as an AE.</w:t>
      </w:r>
      <w:r w:rsidRPr="00AF1F77">
        <w:rPr>
          <w:rFonts w:eastAsia="Times New Roman" w:cs="Times New Roman"/>
          <w:kern w:val="0"/>
          <w:lang w:val="en-US" w:eastAsia="zh-CN"/>
        </w:rPr>
        <w:t xml:space="preserve"> </w:t>
      </w:r>
      <w:r w:rsidRPr="00AF1F77">
        <w:rPr>
          <w:rFonts w:eastAsia="Times New Roman" w:cs="Times New Roman"/>
          <w:color w:val="333333"/>
          <w:kern w:val="0"/>
          <w:lang w:val="en-US" w:eastAsia="zh-CN"/>
        </w:rPr>
        <w:t xml:space="preserve">For example, if a subject has epilepsy that is determined to be related to brain metastasis, the AE term should be recorded as “epilepsy”, rather than </w:t>
      </w:r>
      <w:r w:rsidR="00C6522E" w:rsidRPr="00AF1F77">
        <w:rPr>
          <w:rFonts w:eastAsia="Times New Roman" w:cs="Times New Roman"/>
          <w:color w:val="333333"/>
          <w:kern w:val="0"/>
          <w:lang w:val="en-US" w:eastAsia="zh-CN"/>
        </w:rPr>
        <w:t>“</w:t>
      </w:r>
      <w:r w:rsidRPr="00AF1F77">
        <w:rPr>
          <w:rFonts w:eastAsia="Times New Roman" w:cs="Times New Roman"/>
          <w:color w:val="333333"/>
          <w:kern w:val="0"/>
          <w:lang w:val="en-US" w:eastAsia="zh-CN"/>
        </w:rPr>
        <w:t>disease progression” or “brain metastasis”.</w:t>
      </w:r>
      <w:r w:rsidRPr="00AF1F77">
        <w:rPr>
          <w:rFonts w:eastAsia="Times New Roman" w:cs="Times New Roman"/>
          <w:kern w:val="0"/>
          <w:lang w:val="en-US" w:eastAsia="zh-CN"/>
        </w:rPr>
        <w:t xml:space="preserve"> </w:t>
      </w:r>
    </w:p>
    <w:p w14:paraId="1813C3A6" w14:textId="4E7190C2" w:rsidR="00DE4AFD" w:rsidRPr="00AF1F77" w:rsidRDefault="004A4F56" w:rsidP="008300AC">
      <w:pPr>
        <w:pStyle w:val="HR"/>
        <w:spacing w:after="0"/>
        <w:ind w:firstLineChars="0" w:firstLine="0"/>
        <w:jc w:val="both"/>
        <w:rPr>
          <w:rFonts w:cs="Times New Roman"/>
          <w:kern w:val="0"/>
          <w:lang w:val="en-US" w:eastAsia="zh-CN"/>
        </w:rPr>
      </w:pPr>
      <w:r w:rsidRPr="00AF1F77">
        <w:rPr>
          <w:rFonts w:eastAsia="Times New Roman" w:cs="Times New Roman"/>
          <w:color w:val="333333"/>
          <w:kern w:val="0"/>
          <w:lang w:val="en-US" w:eastAsia="zh-CN"/>
        </w:rPr>
        <w:lastRenderedPageBreak/>
        <w:t>If a subject dies during the study, regardless of whether or not he/she has received new anti-tumor therapy, it must be reported as an SAE (refer to Section 7.4, Table 9 Principles for AE/SAE Collection and Follow-up Period).</w:t>
      </w:r>
      <w:r w:rsidRPr="00AF1F77">
        <w:rPr>
          <w:rFonts w:eastAsia="Times New Roman" w:cs="Times New Roman"/>
          <w:kern w:val="0"/>
          <w:lang w:val="en-US" w:eastAsia="zh-CN"/>
        </w:rPr>
        <w:t xml:space="preserve"> </w:t>
      </w:r>
      <w:r w:rsidRPr="00AF1F77">
        <w:rPr>
          <w:rFonts w:eastAsia="Times New Roman" w:cs="Times New Roman"/>
          <w:color w:val="333333"/>
          <w:kern w:val="0"/>
          <w:lang w:val="en-US" w:eastAsia="zh-CN"/>
        </w:rPr>
        <w:t>Deaths assessed by the investigator as possibly due to symptoms and signs of disease progression should be recorded on the eCRF and will not be reported as SAEs. However, the investigator should record the death in the CRF Death Report Form and promptly inform the sponsor.</w:t>
      </w:r>
      <w:r w:rsidRPr="00AF1F77">
        <w:rPr>
          <w:rFonts w:eastAsia="Times New Roman" w:cs="Times New Roman"/>
          <w:kern w:val="0"/>
          <w:lang w:val="en-US" w:eastAsia="zh-CN"/>
        </w:rPr>
        <w:t xml:space="preserve"> </w:t>
      </w:r>
      <w:r w:rsidRPr="00AF1F77">
        <w:rPr>
          <w:rFonts w:eastAsia="Times New Roman" w:cs="Times New Roman"/>
          <w:color w:val="333333"/>
          <w:kern w:val="0"/>
          <w:lang w:val="en-US" w:eastAsia="zh-CN"/>
        </w:rPr>
        <w:t>The term "death" should not be used as an AE or SAE term, but rather as the outcome of an event. The event that results in or leads to death should be recorded as an AE or SAE.</w:t>
      </w:r>
      <w:r w:rsidRPr="00AF1F77">
        <w:rPr>
          <w:rFonts w:eastAsia="Times New Roman" w:cs="Times New Roman"/>
          <w:kern w:val="0"/>
          <w:lang w:val="en-US" w:eastAsia="zh-CN"/>
        </w:rPr>
        <w:t xml:space="preserve"> </w:t>
      </w:r>
      <w:r w:rsidRPr="00AF1F77">
        <w:rPr>
          <w:rFonts w:eastAsia="Times New Roman" w:cs="Times New Roman"/>
          <w:color w:val="333333"/>
          <w:kern w:val="0"/>
          <w:lang w:val="en-US" w:eastAsia="zh-CN"/>
        </w:rPr>
        <w:t>If the cause of death is unknown and cannot be determined at the time of reporting, the AE or SAE term should be recorded as "death of unknown cause".</w:t>
      </w:r>
      <w:r w:rsidRPr="00AF1F77">
        <w:rPr>
          <w:rFonts w:eastAsia="Times New Roman" w:cs="Times New Roman"/>
          <w:kern w:val="0"/>
          <w:lang w:val="en-US" w:eastAsia="zh-CN"/>
        </w:rPr>
        <w:t xml:space="preserve"> </w:t>
      </w:r>
    </w:p>
    <w:p w14:paraId="49456503" w14:textId="77777777" w:rsidR="00DE4AFD" w:rsidRPr="00303844" w:rsidRDefault="004A4F56" w:rsidP="000C622D">
      <w:pPr>
        <w:pStyle w:val="30"/>
        <w:spacing w:before="0" w:after="0" w:line="360" w:lineRule="auto"/>
        <w:rPr>
          <w:rFonts w:cs="Times New Roman"/>
          <w:kern w:val="0"/>
        </w:rPr>
      </w:pPr>
      <w:bookmarkStart w:id="92" w:name="_Toc469321016"/>
      <w:bookmarkStart w:id="93" w:name="_Toc184889657"/>
      <w:bookmarkEnd w:id="92"/>
      <w:r w:rsidRPr="00303844">
        <w:rPr>
          <w:rFonts w:eastAsia="Times New Roman" w:cs="Times New Roman"/>
          <w:color w:val="333333"/>
          <w:kern w:val="0"/>
        </w:rPr>
        <w:t>Other Anti-tumor Therapies</w:t>
      </w:r>
      <w:bookmarkEnd w:id="93"/>
    </w:p>
    <w:p w14:paraId="0640F64A" w14:textId="77777777" w:rsidR="00DE4AFD" w:rsidRPr="00AF1F77" w:rsidRDefault="004A4F56" w:rsidP="008300AC">
      <w:pPr>
        <w:pStyle w:val="HR"/>
        <w:spacing w:after="0"/>
        <w:ind w:firstLineChars="0" w:firstLine="0"/>
        <w:jc w:val="both"/>
        <w:rPr>
          <w:rFonts w:cs="Times New Roman"/>
          <w:kern w:val="0"/>
          <w:lang w:val="en-US" w:eastAsia="zh-CN"/>
        </w:rPr>
      </w:pPr>
      <w:r w:rsidRPr="00AF1F77">
        <w:rPr>
          <w:rFonts w:eastAsia="Times New Roman" w:cs="Times New Roman"/>
          <w:color w:val="333333"/>
          <w:kern w:val="0"/>
          <w:lang w:val="en-US" w:eastAsia="zh-CN"/>
        </w:rPr>
        <w:t xml:space="preserve">SAEs will be recorded from the time the subject signs the informed consent form until the end of the safety follow-up period (30 days after the last dose of </w:t>
      </w:r>
      <w:r w:rsidRPr="00AF1F77">
        <w:rPr>
          <w:rFonts w:eastAsia="Times New Roman" w:cs="Times New Roman"/>
          <w:kern w:val="0"/>
          <w:lang w:val="en-US" w:eastAsia="zh-CN"/>
        </w:rPr>
        <w:t>investigational product</w:t>
      </w:r>
      <w:r w:rsidRPr="00AF1F77">
        <w:rPr>
          <w:rFonts w:eastAsia="Times New Roman" w:cs="Times New Roman"/>
          <w:color w:val="333333"/>
          <w:kern w:val="0"/>
          <w:lang w:val="en-US" w:eastAsia="zh-CN"/>
        </w:rPr>
        <w:t xml:space="preserve">). If a subject starts other anti-tumor therapy before the end of the safety follow-up period, for SAEs that are not fatal, unless suspected to be related to the </w:t>
      </w:r>
      <w:r w:rsidRPr="00AF1F77">
        <w:rPr>
          <w:rFonts w:eastAsia="Times New Roman" w:cs="Times New Roman"/>
          <w:kern w:val="0"/>
          <w:lang w:val="en-US" w:eastAsia="zh-CN"/>
        </w:rPr>
        <w:t>investigational product</w:t>
      </w:r>
      <w:r w:rsidRPr="00AF1F77">
        <w:rPr>
          <w:rFonts w:eastAsia="Times New Roman" w:cs="Times New Roman"/>
          <w:color w:val="333333"/>
          <w:kern w:val="0"/>
          <w:lang w:val="en-US" w:eastAsia="zh-CN"/>
        </w:rPr>
        <w:t>, the reporting period ends until the start of new anti-tumor therapy.</w:t>
      </w:r>
      <w:r w:rsidRPr="00AF1F77">
        <w:rPr>
          <w:rFonts w:eastAsia="Times New Roman" w:cs="Times New Roman"/>
          <w:kern w:val="0"/>
          <w:lang w:val="en-US" w:eastAsia="zh-CN"/>
        </w:rPr>
        <w:t xml:space="preserve"> </w:t>
      </w:r>
      <w:r w:rsidRPr="00AF1F77">
        <w:rPr>
          <w:rFonts w:eastAsia="Times New Roman" w:cs="Times New Roman"/>
          <w:color w:val="333333"/>
          <w:kern w:val="0"/>
          <w:lang w:val="en-US" w:eastAsia="zh-CN"/>
        </w:rPr>
        <w:t>Deaths occurring during the safety follow-up period must be reported as SAEs, regardless of whether or not there are other treatments.</w:t>
      </w:r>
      <w:r w:rsidRPr="00AF1F77">
        <w:rPr>
          <w:rFonts w:eastAsia="Times New Roman" w:cs="Times New Roman"/>
          <w:kern w:val="0"/>
          <w:lang w:val="en-US" w:eastAsia="zh-CN"/>
        </w:rPr>
        <w:t xml:space="preserve"> </w:t>
      </w:r>
    </w:p>
    <w:p w14:paraId="05353254" w14:textId="77777777" w:rsidR="00DE4AFD" w:rsidRPr="00A6528C" w:rsidRDefault="004A4F56" w:rsidP="008300AC">
      <w:pPr>
        <w:pStyle w:val="HR"/>
        <w:spacing w:after="0"/>
        <w:ind w:firstLineChars="0" w:firstLine="0"/>
        <w:jc w:val="both"/>
        <w:rPr>
          <w:rStyle w:val="Instructions"/>
          <w:rFonts w:cs="Times New Roman"/>
          <w:i w:val="0"/>
          <w:iCs w:val="0"/>
          <w:color w:val="auto"/>
          <w:lang w:val="en-US" w:eastAsia="zh-CN"/>
        </w:rPr>
      </w:pPr>
      <w:r w:rsidRPr="00A6528C">
        <w:rPr>
          <w:rStyle w:val="Instructions"/>
          <w:rFonts w:eastAsia="Times New Roman" w:cs="Times New Roman"/>
          <w:i w:val="0"/>
          <w:iCs w:val="0"/>
          <w:color w:val="000000" w:themeColor="text1"/>
          <w:lang w:val="en-US" w:eastAsia="zh-CN"/>
        </w:rPr>
        <w:t xml:space="preserve">For certain investigational products, such as </w:t>
      </w:r>
      <w:proofErr w:type="spellStart"/>
      <w:r w:rsidRPr="00A6528C">
        <w:rPr>
          <w:rStyle w:val="Instructions"/>
          <w:rFonts w:eastAsia="Times New Roman" w:cs="Times New Roman"/>
          <w:i w:val="0"/>
          <w:iCs w:val="0"/>
          <w:color w:val="000000" w:themeColor="text1"/>
          <w:lang w:val="en-US" w:eastAsia="zh-CN"/>
        </w:rPr>
        <w:t>camrelizumab</w:t>
      </w:r>
      <w:proofErr w:type="spellEnd"/>
      <w:r w:rsidRPr="00A6528C">
        <w:rPr>
          <w:rStyle w:val="Instructions"/>
          <w:rFonts w:eastAsia="Times New Roman" w:cs="Times New Roman"/>
          <w:i w:val="0"/>
          <w:iCs w:val="0"/>
          <w:color w:val="000000" w:themeColor="text1"/>
          <w:lang w:val="en-US" w:eastAsia="zh-CN"/>
        </w:rPr>
        <w:t>, investigational product-related</w:t>
      </w:r>
      <w:r w:rsidRPr="00A6528C">
        <w:rPr>
          <w:rStyle w:val="Instructions"/>
          <w:rFonts w:eastAsia="Times New Roman" w:cs="Times New Roman"/>
          <w:color w:val="000000" w:themeColor="text1"/>
          <w:lang w:val="en-US" w:eastAsia="zh-CN"/>
        </w:rPr>
        <w:t xml:space="preserve"> </w:t>
      </w:r>
      <w:r w:rsidRPr="00A6528C">
        <w:rPr>
          <w:rStyle w:val="Instructions"/>
          <w:rFonts w:eastAsia="Times New Roman" w:cs="Times New Roman"/>
          <w:i w:val="0"/>
          <w:iCs w:val="0"/>
          <w:color w:val="333333"/>
          <w:lang w:val="en-US" w:eastAsia="zh-CN"/>
        </w:rPr>
        <w:t xml:space="preserve">SAEs also need to be collected due to the possibility of a delayed immune response. </w:t>
      </w:r>
    </w:p>
    <w:p w14:paraId="64D871E4" w14:textId="77777777" w:rsidR="00DE4AFD" w:rsidRPr="00303844" w:rsidRDefault="004A4F56" w:rsidP="000C622D">
      <w:pPr>
        <w:pStyle w:val="30"/>
        <w:spacing w:before="0" w:after="0" w:line="360" w:lineRule="auto"/>
        <w:rPr>
          <w:rFonts w:cs="Times New Roman"/>
        </w:rPr>
      </w:pPr>
      <w:bookmarkStart w:id="94" w:name="_Toc184889658"/>
      <w:r w:rsidRPr="00303844">
        <w:rPr>
          <w:rFonts w:eastAsia="Times New Roman" w:cs="Times New Roman"/>
          <w:color w:val="333333"/>
        </w:rPr>
        <w:t>SAE Reporting System</w:t>
      </w:r>
      <w:bookmarkEnd w:id="94"/>
    </w:p>
    <w:p w14:paraId="5E962C91"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color w:val="333333"/>
          <w:lang w:val="en-US" w:eastAsia="zh-CN"/>
        </w:rPr>
        <w:t>SAEs should be collected from the time the subject signs the informed consent form until the end of the safety follow-up period.</w:t>
      </w:r>
      <w:r w:rsidRPr="00AF1F77">
        <w:rPr>
          <w:rFonts w:eastAsia="Times New Roman" w:cs="Times New Roman"/>
          <w:lang w:val="en-US" w:eastAsia="zh-CN"/>
        </w:rPr>
        <w:t xml:space="preserve"> </w:t>
      </w:r>
      <w:r w:rsidRPr="00AF1F77">
        <w:rPr>
          <w:rFonts w:eastAsia="Times New Roman" w:cs="Times New Roman"/>
          <w:color w:val="333333"/>
          <w:lang w:val="en-US" w:eastAsia="zh-CN"/>
        </w:rPr>
        <w:t xml:space="preserve">In the event of an SAE, whether the initial report or the follow-up report, the investigator must immediately fill in the Serious Adverse Event Report Form, sign and date, then send it to the pharmacovigilance department of the sponsor by telephone (4006586360), email or fax (021-20673186) within 24 h of learning of the SAE, and report to the National Bureau, Health Commission, </w:t>
      </w:r>
      <w:r w:rsidRPr="00AF1F77">
        <w:rPr>
          <w:rFonts w:eastAsia="Times New Roman" w:cs="Times New Roman"/>
          <w:lang w:val="en-US" w:eastAsia="zh-CN"/>
        </w:rPr>
        <w:t>EC</w:t>
      </w:r>
      <w:r w:rsidRPr="00AF1F77">
        <w:rPr>
          <w:rFonts w:eastAsia="Times New Roman" w:cs="Times New Roman"/>
          <w:color w:val="333333"/>
          <w:lang w:val="en-US" w:eastAsia="zh-CN"/>
        </w:rPr>
        <w:t xml:space="preserve"> and the Office of Clinical Trial Facility (if applicable) according to the corresponding requirements of the study site.</w:t>
      </w:r>
      <w:r w:rsidRPr="00AF1F77">
        <w:rPr>
          <w:rFonts w:eastAsia="Times New Roman" w:cs="Times New Roman"/>
          <w:lang w:val="en-US" w:eastAsia="zh-CN"/>
        </w:rPr>
        <w:t xml:space="preserve"> </w:t>
      </w:r>
      <w:r w:rsidRPr="00AF1F77">
        <w:rPr>
          <w:rFonts w:eastAsia="Times New Roman" w:cs="Times New Roman"/>
          <w:color w:val="333333"/>
          <w:lang w:val="en-US" w:eastAsia="zh-CN"/>
        </w:rPr>
        <w:t xml:space="preserve">The initial report should include, to the extent possible, the following: source of report, subject general information, </w:t>
      </w:r>
      <w:r w:rsidRPr="00AF1F77">
        <w:rPr>
          <w:rFonts w:eastAsia="Times New Roman" w:cs="Times New Roman"/>
          <w:lang w:val="en-US" w:eastAsia="zh-CN"/>
        </w:rPr>
        <w:t>investigational product</w:t>
      </w:r>
      <w:r w:rsidRPr="00AF1F77">
        <w:rPr>
          <w:rFonts w:eastAsia="Times New Roman" w:cs="Times New Roman"/>
          <w:color w:val="333333"/>
          <w:lang w:val="en-US" w:eastAsia="zh-CN"/>
        </w:rPr>
        <w:t xml:space="preserve"> name, SAE name, severity, relationship to the </w:t>
      </w:r>
      <w:r w:rsidRPr="00AF1F77">
        <w:rPr>
          <w:rFonts w:eastAsia="Times New Roman" w:cs="Times New Roman"/>
          <w:color w:val="333333"/>
          <w:lang w:val="en-US" w:eastAsia="zh-CN"/>
        </w:rPr>
        <w:lastRenderedPageBreak/>
        <w:t>investigational product, treatment, and outcome of the event.</w:t>
      </w:r>
      <w:r w:rsidRPr="00AF1F77">
        <w:rPr>
          <w:rFonts w:eastAsia="Times New Roman" w:cs="Times New Roman"/>
          <w:lang w:val="en-US" w:eastAsia="zh-CN"/>
        </w:rPr>
        <w:t xml:space="preserve"> </w:t>
      </w:r>
      <w:r w:rsidRPr="00AF1F77">
        <w:rPr>
          <w:rFonts w:eastAsia="Times New Roman" w:cs="Times New Roman"/>
          <w:color w:val="333333"/>
          <w:lang w:val="en-US" w:eastAsia="zh-CN"/>
        </w:rPr>
        <w:t xml:space="preserve">The initial SAE report, follow-up report and final report should indicate the unique identification code of the subject in the trial, rather than the identification information such as his/her real name, ID card number or address. </w:t>
      </w:r>
    </w:p>
    <w:p w14:paraId="4238905D"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color w:val="333333"/>
          <w:lang w:val="en-US" w:eastAsia="zh-CN"/>
        </w:rPr>
        <w:t xml:space="preserve">After the investigator becomes aware of the SAE, the SAE should be analyzed, assessed and judged promptly. If it is assessed as an SUSAR, it will be reported to relevant departments such as the National Medical Products Administration, National Health Commission, EC and office of the clinical study institution (if applicable) in accordance with the current Standards and Procedures for Expedited Reporting of Safety Data During Drug Clinical Studies and relevant requirements of the study site. SAEs that occur after the safety follow-up period and are suspected to be related to the </w:t>
      </w:r>
      <w:r w:rsidRPr="00AF1F77">
        <w:rPr>
          <w:rFonts w:eastAsia="Times New Roman" w:cs="Times New Roman"/>
          <w:lang w:val="en-US" w:eastAsia="zh-CN"/>
        </w:rPr>
        <w:t>investigational product</w:t>
      </w:r>
      <w:r w:rsidRPr="00AF1F77">
        <w:rPr>
          <w:rFonts w:eastAsia="Times New Roman" w:cs="Times New Roman"/>
          <w:color w:val="333333"/>
          <w:lang w:val="en-US" w:eastAsia="zh-CN"/>
        </w:rPr>
        <w:t xml:space="preserve"> should be collected. </w:t>
      </w:r>
    </w:p>
    <w:p w14:paraId="0F0729E3"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color w:val="333333"/>
          <w:lang w:val="en-US" w:eastAsia="zh-CN"/>
        </w:rPr>
        <w:t xml:space="preserve">For SAEs, the symptoms, severity, relationship to the </w:t>
      </w:r>
      <w:r w:rsidRPr="00AF1F77">
        <w:rPr>
          <w:rFonts w:eastAsia="Times New Roman" w:cs="Times New Roman"/>
          <w:lang w:val="en-US" w:eastAsia="zh-CN"/>
        </w:rPr>
        <w:t>investigational product</w:t>
      </w:r>
      <w:r w:rsidRPr="00AF1F77">
        <w:rPr>
          <w:rFonts w:eastAsia="Times New Roman" w:cs="Times New Roman"/>
          <w:color w:val="333333"/>
          <w:lang w:val="en-US" w:eastAsia="zh-CN"/>
        </w:rPr>
        <w:t>, time of occurrence, time of management, measures taken, follow-up time and manner, and outcome should be recorded in detail. If the investigator thinks that an SAE is unrelated to the investigational product but potentially related to the study conditions (e.g., discontinuation of the pre-existing treatment, or complications during the trial), details should be described in the narrative section of the SAE report.</w:t>
      </w:r>
      <w:r w:rsidRPr="00AF1F77">
        <w:rPr>
          <w:rFonts w:eastAsia="Times New Roman" w:cs="Times New Roman"/>
          <w:lang w:val="en-US" w:eastAsia="zh-CN"/>
        </w:rPr>
        <w:t xml:space="preserve"> </w:t>
      </w:r>
      <w:r w:rsidRPr="00AF1F77">
        <w:rPr>
          <w:rFonts w:eastAsia="Times New Roman" w:cs="Times New Roman"/>
          <w:color w:val="333333"/>
          <w:lang w:val="en-US" w:eastAsia="zh-CN"/>
        </w:rPr>
        <w:t>If the severity of an ongoing SAE or its relationship to the investigational product is changed, a follow-up report should be submitted immediately. If the investigator believes that previously reported SAE information was misreported, then correction, revocation or downgrading instructions may be made through a follow-up report, which should be submitted in accordance with the SAE reporting procedures.</w:t>
      </w:r>
      <w:r w:rsidRPr="00AF1F77">
        <w:rPr>
          <w:rFonts w:eastAsia="Times New Roman" w:cs="Times New Roman"/>
          <w:lang w:val="en-US" w:eastAsia="zh-CN"/>
        </w:rPr>
        <w:t xml:space="preserve"> </w:t>
      </w:r>
    </w:p>
    <w:p w14:paraId="20DEA4BC" w14:textId="77777777" w:rsidR="00DE4AFD" w:rsidRPr="00AF1F77" w:rsidRDefault="004A4F56" w:rsidP="008300AC">
      <w:pPr>
        <w:pStyle w:val="HR"/>
        <w:spacing w:after="0"/>
        <w:ind w:firstLineChars="0" w:firstLine="0"/>
        <w:jc w:val="both"/>
        <w:rPr>
          <w:rFonts w:cs="Times New Roman"/>
          <w:kern w:val="0"/>
          <w:lang w:val="en-US" w:eastAsia="zh-CN"/>
        </w:rPr>
      </w:pPr>
      <w:r w:rsidRPr="00AF1F77">
        <w:rPr>
          <w:rFonts w:eastAsia="Times New Roman" w:cs="Times New Roman"/>
          <w:color w:val="333333"/>
          <w:lang w:val="en-US" w:eastAsia="zh-CN"/>
        </w:rPr>
        <w:t>The sponsor of this project receives the SAE reports at</w:t>
      </w:r>
      <w:r w:rsidRPr="00AF1F77">
        <w:rPr>
          <w:rFonts w:eastAsia="Times New Roman" w:cs="Times New Roman"/>
          <w:lang w:val="en-US" w:eastAsia="zh-CN"/>
        </w:rPr>
        <w:t xml:space="preserve"> </w:t>
      </w:r>
      <w:r w:rsidRPr="005740FB">
        <w:rPr>
          <w:rFonts w:eastAsia="Times New Roman" w:cs="Times New Roman"/>
          <w:color w:val="0070C0"/>
          <w:u w:val="single"/>
          <w:lang w:val="en-US" w:eastAsia="zh-CN"/>
        </w:rPr>
        <w:t>safety@hmplglobal.com</w:t>
      </w:r>
      <w:r w:rsidRPr="00AF1F77">
        <w:rPr>
          <w:rFonts w:eastAsia="Times New Roman" w:cs="Times New Roman"/>
          <w:lang w:val="en-US" w:eastAsia="zh-CN"/>
        </w:rPr>
        <w:t xml:space="preserve">. </w:t>
      </w:r>
    </w:p>
    <w:p w14:paraId="18628DC7" w14:textId="77777777" w:rsidR="00DE4AFD" w:rsidRPr="00303844" w:rsidRDefault="004A4F56" w:rsidP="000C622D">
      <w:pPr>
        <w:pStyle w:val="21"/>
        <w:spacing w:before="0" w:after="0" w:line="360" w:lineRule="auto"/>
        <w:rPr>
          <w:rFonts w:eastAsia="宋体" w:cs="Times New Roman"/>
        </w:rPr>
      </w:pPr>
      <w:bookmarkStart w:id="95" w:name="_Toc63602260"/>
      <w:bookmarkStart w:id="96" w:name="_Toc63602270"/>
      <w:bookmarkStart w:id="97" w:name="_Toc63602271"/>
      <w:bookmarkStart w:id="98" w:name="_Toc63602269"/>
      <w:bookmarkStart w:id="99" w:name="_Toc63602268"/>
      <w:bookmarkStart w:id="100" w:name="_Toc63602262"/>
      <w:bookmarkStart w:id="101" w:name="_Toc63602266"/>
      <w:bookmarkStart w:id="102" w:name="_Toc63602272"/>
      <w:bookmarkStart w:id="103" w:name="_Toc63602261"/>
      <w:bookmarkStart w:id="104" w:name="_Toc63602273"/>
      <w:bookmarkStart w:id="105" w:name="_Toc63602267"/>
      <w:bookmarkStart w:id="106" w:name="_Toc63602264"/>
      <w:bookmarkStart w:id="107" w:name="_Toc63602265"/>
      <w:bookmarkStart w:id="108" w:name="_Toc63602277"/>
      <w:bookmarkStart w:id="109" w:name="_Toc63602263"/>
      <w:bookmarkStart w:id="110" w:name="_Toc63602275"/>
      <w:bookmarkStart w:id="111" w:name="_Toc63602274"/>
      <w:bookmarkStart w:id="112" w:name="_Toc63602276"/>
      <w:bookmarkStart w:id="113" w:name="_Toc184889659"/>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303844">
        <w:rPr>
          <w:rFonts w:eastAsia="Times New Roman" w:cs="Times New Roman"/>
        </w:rPr>
        <w:t>Pregnancy</w:t>
      </w:r>
      <w:bookmarkEnd w:id="113"/>
    </w:p>
    <w:p w14:paraId="17E5B7BA" w14:textId="77777777" w:rsidR="00DE4AFD" w:rsidRPr="00303844" w:rsidRDefault="004A4F56" w:rsidP="008300AC">
      <w:pPr>
        <w:pStyle w:val="HR"/>
        <w:spacing w:after="0"/>
        <w:ind w:firstLineChars="0" w:firstLine="0"/>
        <w:jc w:val="both"/>
        <w:rPr>
          <w:rFonts w:cs="Times New Roman"/>
          <w:lang w:val="en-US" w:eastAsia="zh-CN"/>
        </w:rPr>
      </w:pPr>
      <w:r w:rsidRPr="00AF1F77">
        <w:rPr>
          <w:rFonts w:eastAsia="Times New Roman" w:cs="Times New Roman"/>
          <w:color w:val="333333"/>
          <w:lang w:val="en-US" w:eastAsia="zh-CN"/>
        </w:rPr>
        <w:t>If a female subject becomes pregnant during the clinical study, the subject is discharged from the group; if the partner of a male subject becomes pregnant during the clinical study, the subject will continue the clinical study.</w:t>
      </w:r>
      <w:r w:rsidRPr="00AF1F77">
        <w:rPr>
          <w:rFonts w:eastAsia="Times New Roman" w:cs="Times New Roman"/>
          <w:lang w:val="en-US" w:eastAsia="zh-CN"/>
        </w:rPr>
        <w:t xml:space="preserve"> </w:t>
      </w:r>
      <w:r w:rsidRPr="00AF1F77">
        <w:rPr>
          <w:rFonts w:eastAsia="Times New Roman" w:cs="Times New Roman"/>
          <w:color w:val="333333"/>
          <w:lang w:val="en-US" w:eastAsia="zh-CN"/>
        </w:rPr>
        <w:t>The investigator should fill out the "Hutchison Whampoa Clinical Study Pregnancy Report/Follow-up Form" and report to the sponsor within 24 hours of becoming aware of the pregnancy event, as well as report to the EC in a timely manner.</w:t>
      </w:r>
      <w:r w:rsidRPr="00AF1F77">
        <w:rPr>
          <w:rFonts w:eastAsia="Times New Roman" w:cs="Times New Roman"/>
          <w:lang w:val="en-US" w:eastAsia="zh-CN"/>
        </w:rPr>
        <w:t xml:space="preserve"> </w:t>
      </w:r>
    </w:p>
    <w:p w14:paraId="62C62965"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lastRenderedPageBreak/>
        <w:t>The investigator should follow up the pregnancy outcome until 1 month after delivery, and report to the sponsor.</w:t>
      </w:r>
      <w:r w:rsidRPr="00303844">
        <w:rPr>
          <w:rFonts w:eastAsia="Times New Roman" w:cs="Times New Roman"/>
          <w:lang w:val="en-US" w:eastAsia="zh-CN"/>
        </w:rPr>
        <w:t xml:space="preserve"> </w:t>
      </w:r>
    </w:p>
    <w:p w14:paraId="672EE4D3"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Pregnancy outcomes stillbirth, spontaneous abortion or fetal malformation will be considered as SAEs, and should be reported within specified time limit for SAE reporting.</w:t>
      </w:r>
      <w:r w:rsidRPr="00303844">
        <w:rPr>
          <w:rFonts w:eastAsia="Times New Roman" w:cs="Times New Roman"/>
          <w:lang w:val="en-US" w:eastAsia="zh-CN"/>
        </w:rPr>
        <w:t xml:space="preserve"> </w:t>
      </w:r>
    </w:p>
    <w:p w14:paraId="0D0D6A64" w14:textId="77777777" w:rsidR="00DE4AFD" w:rsidRPr="00AF1F77"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 xml:space="preserve">If a subject also develops an SAE during pregnancy, the investigator should also fill out the "Serious Adverse Event Report Form", and report according to SAE reporting procedures. </w:t>
      </w:r>
    </w:p>
    <w:p w14:paraId="56B73BD8" w14:textId="77777777" w:rsidR="00DE4AFD" w:rsidRPr="00303844" w:rsidRDefault="004A4F56" w:rsidP="000C622D">
      <w:pPr>
        <w:pStyle w:val="21"/>
        <w:spacing w:before="0" w:after="0" w:line="360" w:lineRule="auto"/>
        <w:rPr>
          <w:rFonts w:eastAsia="宋体" w:cs="Times New Roman"/>
        </w:rPr>
      </w:pPr>
      <w:bookmarkStart w:id="114" w:name="_Ref1309788"/>
      <w:bookmarkStart w:id="115" w:name="_Toc184889660"/>
      <w:bookmarkEnd w:id="114"/>
      <w:r w:rsidRPr="00303844">
        <w:rPr>
          <w:rFonts w:eastAsia="Times New Roman" w:cs="Times New Roman"/>
          <w:color w:val="333333"/>
        </w:rPr>
        <w:t>Follow-up for AEs/SAEs</w:t>
      </w:r>
      <w:bookmarkEnd w:id="115"/>
    </w:p>
    <w:p w14:paraId="4E7FAC2D"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color w:val="333333"/>
          <w:lang w:val="en-US" w:eastAsia="zh-CN"/>
        </w:rPr>
        <w:t>All AE/SAEs should be followed up until the end of the safety follow-up period or they have disappeared, recovered to baseline level or ≤ Grade 1, reached a stable state, or been reasonably explained (such as lost to follow-up, death).</w:t>
      </w:r>
      <w:r w:rsidRPr="00AF1F77">
        <w:rPr>
          <w:rFonts w:eastAsia="Times New Roman" w:cs="Times New Roman"/>
          <w:lang w:val="en-US" w:eastAsia="zh-CN"/>
        </w:rPr>
        <w:t xml:space="preserve"> </w:t>
      </w:r>
    </w:p>
    <w:p w14:paraId="12FD2AF8" w14:textId="77777777" w:rsidR="00DE4AFD" w:rsidRPr="00AF1F77" w:rsidRDefault="004A4F56" w:rsidP="008300AC">
      <w:pPr>
        <w:pStyle w:val="HR"/>
        <w:spacing w:after="0"/>
        <w:ind w:firstLineChars="0" w:firstLine="0"/>
        <w:jc w:val="both"/>
        <w:rPr>
          <w:rFonts w:cs="Times New Roman"/>
          <w:kern w:val="0"/>
          <w:lang w:val="en-US" w:eastAsia="zh-CN"/>
        </w:rPr>
      </w:pPr>
      <w:r w:rsidRPr="00AF1F77">
        <w:rPr>
          <w:rFonts w:eastAsia="Times New Roman" w:cs="Times New Roman"/>
          <w:color w:val="333333"/>
          <w:kern w:val="0"/>
          <w:lang w:val="en-US" w:eastAsia="zh-CN"/>
        </w:rPr>
        <w:t>The investigator should inquire about the AE/SAEs that occurred after the last visit at each visit, and provide follow-up information in a timely manner according to the request of the sponsor.</w:t>
      </w:r>
      <w:r w:rsidRPr="00AF1F77">
        <w:rPr>
          <w:rFonts w:eastAsia="Times New Roman" w:cs="Times New Roman"/>
          <w:kern w:val="0"/>
          <w:lang w:val="en-US" w:eastAsia="zh-CN"/>
        </w:rPr>
        <w:t xml:space="preserve"> </w:t>
      </w:r>
      <w:r w:rsidRPr="00AF1F77">
        <w:rPr>
          <w:rFonts w:eastAsia="Times New Roman" w:cs="Times New Roman"/>
          <w:color w:val="333333"/>
          <w:kern w:val="0"/>
          <w:lang w:val="en-US" w:eastAsia="zh-CN"/>
        </w:rPr>
        <w:t>During the end-of-study period, the collection and follow-up period of AEs/SAEs occurring after the last dose of subjects can be found in the following table:</w:t>
      </w:r>
    </w:p>
    <w:p w14:paraId="15661FCC" w14:textId="77777777" w:rsidR="00DE4AFD" w:rsidRPr="00303844" w:rsidRDefault="004A4F56" w:rsidP="000C622D">
      <w:pPr>
        <w:pStyle w:val="HR2"/>
        <w:rPr>
          <w:rFonts w:cs="Times New Roman"/>
          <w:kern w:val="0"/>
          <w:sz w:val="22"/>
          <w:szCs w:val="22"/>
        </w:rPr>
      </w:pPr>
      <w:bookmarkStart w:id="116" w:name="_Ref517028680"/>
      <w:bookmarkStart w:id="117" w:name="_Toc469321082"/>
      <w:bookmarkStart w:id="118" w:name="_Toc468458043"/>
      <w:bookmarkStart w:id="119" w:name="_Toc515269472"/>
      <w:bookmarkEnd w:id="116"/>
      <w:bookmarkEnd w:id="117"/>
      <w:bookmarkEnd w:id="118"/>
      <w:bookmarkEnd w:id="119"/>
      <w:r w:rsidRPr="00303844">
        <w:rPr>
          <w:rFonts w:eastAsia="Times New Roman" w:cs="Times New Roman"/>
          <w:sz w:val="22"/>
          <w:szCs w:val="22"/>
        </w:rPr>
        <w:t>Table 9 Principles of AE/SAE Collection and Follow-up Period</w:t>
      </w:r>
    </w:p>
    <w:tbl>
      <w:tblPr>
        <w:tblStyle w:val="23"/>
        <w:tblW w:w="5000" w:type="pct"/>
        <w:tblCellMar>
          <w:left w:w="57" w:type="dxa"/>
          <w:right w:w="57" w:type="dxa"/>
        </w:tblCellMar>
        <w:tblLook w:val="04A0" w:firstRow="1" w:lastRow="0" w:firstColumn="1" w:lastColumn="0" w:noHBand="0" w:noVBand="1"/>
      </w:tblPr>
      <w:tblGrid>
        <w:gridCol w:w="2053"/>
        <w:gridCol w:w="2620"/>
        <w:gridCol w:w="4343"/>
      </w:tblGrid>
      <w:tr w:rsidR="00DE4AFD" w:rsidRPr="00227F09" w14:paraId="2E8A5900" w14:textId="77777777" w:rsidTr="00730317">
        <w:trPr>
          <w:trHeight w:val="426"/>
        </w:trPr>
        <w:tc>
          <w:tcPr>
            <w:tcW w:w="2053" w:type="dxa"/>
          </w:tcPr>
          <w:p w14:paraId="09DE9554" w14:textId="77777777" w:rsidR="00DE4AFD" w:rsidRPr="00227F09" w:rsidRDefault="004A4F56" w:rsidP="003F7776">
            <w:pPr>
              <w:pStyle w:val="HR"/>
              <w:spacing w:after="0" w:line="240" w:lineRule="auto"/>
              <w:ind w:firstLineChars="0" w:firstLine="0"/>
              <w:jc w:val="both"/>
              <w:rPr>
                <w:rFonts w:cs="Times New Roman"/>
                <w:b/>
                <w:kern w:val="0"/>
                <w:sz w:val="21"/>
                <w:szCs w:val="21"/>
                <w:lang w:eastAsia="zh-CN"/>
              </w:rPr>
            </w:pPr>
            <w:r w:rsidRPr="00227F09">
              <w:rPr>
                <w:rFonts w:eastAsia="Times New Roman" w:cs="Times New Roman"/>
                <w:b/>
                <w:bCs/>
                <w:kern w:val="0"/>
                <w:sz w:val="21"/>
                <w:szCs w:val="21"/>
                <w:lang w:eastAsia="zh-CN"/>
              </w:rPr>
              <w:t>Classification</w:t>
            </w:r>
          </w:p>
        </w:tc>
        <w:tc>
          <w:tcPr>
            <w:tcW w:w="2620" w:type="dxa"/>
          </w:tcPr>
          <w:p w14:paraId="3B135E2E" w14:textId="77777777" w:rsidR="00DE4AFD" w:rsidRPr="00227F09" w:rsidRDefault="004A4F56" w:rsidP="003F7776">
            <w:pPr>
              <w:pStyle w:val="HR"/>
              <w:spacing w:after="0" w:line="240" w:lineRule="auto"/>
              <w:ind w:firstLineChars="0" w:firstLine="0"/>
              <w:jc w:val="both"/>
              <w:rPr>
                <w:rFonts w:cs="Times New Roman"/>
                <w:b/>
                <w:kern w:val="0"/>
                <w:sz w:val="21"/>
                <w:szCs w:val="21"/>
                <w:lang w:eastAsia="zh-CN"/>
              </w:rPr>
            </w:pPr>
            <w:r w:rsidRPr="00227F09">
              <w:rPr>
                <w:rFonts w:eastAsia="Times New Roman" w:cs="Times New Roman"/>
                <w:b/>
                <w:bCs/>
                <w:kern w:val="0"/>
                <w:sz w:val="21"/>
                <w:szCs w:val="21"/>
                <w:lang w:eastAsia="zh-CN"/>
              </w:rPr>
              <w:t>Collection/Recording Requirements</w:t>
            </w:r>
          </w:p>
        </w:tc>
        <w:tc>
          <w:tcPr>
            <w:tcW w:w="4343" w:type="dxa"/>
          </w:tcPr>
          <w:p w14:paraId="7110DA0F" w14:textId="77777777" w:rsidR="00DE4AFD" w:rsidRPr="00227F09" w:rsidRDefault="004A4F56" w:rsidP="003F7776">
            <w:pPr>
              <w:pStyle w:val="HR"/>
              <w:spacing w:after="0" w:line="240" w:lineRule="auto"/>
              <w:ind w:firstLineChars="0" w:firstLine="0"/>
              <w:jc w:val="both"/>
              <w:rPr>
                <w:rFonts w:cs="Times New Roman"/>
                <w:b/>
                <w:kern w:val="0"/>
                <w:sz w:val="21"/>
                <w:szCs w:val="21"/>
                <w:lang w:eastAsia="zh-CN"/>
              </w:rPr>
            </w:pPr>
            <w:r w:rsidRPr="00227F09">
              <w:rPr>
                <w:rFonts w:eastAsia="Times New Roman" w:cs="Times New Roman"/>
                <w:b/>
                <w:bCs/>
                <w:kern w:val="0"/>
                <w:sz w:val="21"/>
                <w:szCs w:val="21"/>
                <w:lang w:eastAsia="zh-CN"/>
              </w:rPr>
              <w:t>Follow-up Requirements</w:t>
            </w:r>
          </w:p>
        </w:tc>
      </w:tr>
      <w:tr w:rsidR="00DE4AFD" w:rsidRPr="00227F09" w14:paraId="0559211F" w14:textId="77777777" w:rsidTr="00730317">
        <w:tc>
          <w:tcPr>
            <w:tcW w:w="2053" w:type="dxa"/>
          </w:tcPr>
          <w:p w14:paraId="0C85300B" w14:textId="77777777" w:rsidR="00DE4AFD" w:rsidRPr="00227F09" w:rsidRDefault="004A4F56" w:rsidP="003F7776">
            <w:pPr>
              <w:pStyle w:val="HR"/>
              <w:spacing w:after="0" w:line="240" w:lineRule="auto"/>
              <w:ind w:firstLineChars="0" w:firstLine="0"/>
              <w:jc w:val="both"/>
              <w:rPr>
                <w:rFonts w:cs="Times New Roman"/>
                <w:kern w:val="0"/>
                <w:sz w:val="21"/>
                <w:szCs w:val="21"/>
                <w:lang w:eastAsia="zh-CN"/>
              </w:rPr>
            </w:pPr>
            <w:r w:rsidRPr="00227F09">
              <w:rPr>
                <w:rFonts w:eastAsia="Times New Roman" w:cs="Times New Roman"/>
                <w:color w:val="333333"/>
                <w:kern w:val="0"/>
                <w:sz w:val="21"/>
                <w:szCs w:val="21"/>
                <w:lang w:eastAsia="zh-CN"/>
              </w:rPr>
              <w:t xml:space="preserve">AEs without drug-related </w:t>
            </w:r>
          </w:p>
        </w:tc>
        <w:tc>
          <w:tcPr>
            <w:tcW w:w="2620" w:type="dxa"/>
          </w:tcPr>
          <w:p w14:paraId="6C90BDB5" w14:textId="77777777" w:rsidR="00DE4AFD" w:rsidRPr="00227F09" w:rsidRDefault="004A4F56" w:rsidP="003F7776">
            <w:pPr>
              <w:pStyle w:val="HR"/>
              <w:spacing w:after="0" w:line="240" w:lineRule="auto"/>
              <w:ind w:firstLineChars="0" w:firstLine="0"/>
              <w:jc w:val="both"/>
              <w:rPr>
                <w:rFonts w:cs="Times New Roman"/>
                <w:kern w:val="0"/>
                <w:sz w:val="21"/>
                <w:szCs w:val="21"/>
                <w:lang w:val="en-US" w:eastAsia="zh-CN"/>
              </w:rPr>
            </w:pPr>
            <w:r w:rsidRPr="00227F09">
              <w:rPr>
                <w:rFonts w:eastAsia="Times New Roman" w:cs="Times New Roman"/>
                <w:kern w:val="0"/>
                <w:sz w:val="21"/>
                <w:szCs w:val="21"/>
                <w:lang w:val="en-US" w:eastAsia="zh-CN"/>
              </w:rPr>
              <w:t xml:space="preserve">Until </w:t>
            </w:r>
            <w:r w:rsidRPr="00227F09">
              <w:rPr>
                <w:rFonts w:eastAsia="Times New Roman" w:cs="Times New Roman"/>
                <w:color w:val="333333"/>
                <w:kern w:val="0"/>
                <w:sz w:val="21"/>
                <w:szCs w:val="21"/>
                <w:lang w:val="en-US" w:eastAsia="zh-CN"/>
              </w:rPr>
              <w:t>the end of the safety follow-up Period or start of new anti-tumor therapy, whichever comes first</w:t>
            </w:r>
          </w:p>
        </w:tc>
        <w:tc>
          <w:tcPr>
            <w:tcW w:w="4343" w:type="dxa"/>
          </w:tcPr>
          <w:p w14:paraId="07CAACF0" w14:textId="77777777" w:rsidR="00DE4AFD" w:rsidRPr="00227F09" w:rsidRDefault="004A4F56" w:rsidP="003F7776">
            <w:pPr>
              <w:pStyle w:val="HR"/>
              <w:spacing w:after="0" w:line="240" w:lineRule="auto"/>
              <w:ind w:firstLineChars="0" w:firstLine="0"/>
              <w:jc w:val="both"/>
              <w:rPr>
                <w:rFonts w:cs="Times New Roman"/>
                <w:kern w:val="0"/>
                <w:sz w:val="21"/>
                <w:szCs w:val="21"/>
                <w:lang w:val="en-US" w:eastAsia="zh-CN"/>
              </w:rPr>
            </w:pPr>
            <w:r w:rsidRPr="00227F09">
              <w:rPr>
                <w:rFonts w:eastAsia="Times New Roman" w:cs="Times New Roman"/>
                <w:kern w:val="0"/>
                <w:sz w:val="21"/>
                <w:szCs w:val="21"/>
                <w:lang w:val="en-US" w:eastAsia="zh-CN"/>
              </w:rPr>
              <w:t>Until the end of the safety follow-up period</w:t>
            </w:r>
          </w:p>
        </w:tc>
      </w:tr>
      <w:tr w:rsidR="00DE4AFD" w:rsidRPr="00227F09" w14:paraId="0C6D042F" w14:textId="77777777" w:rsidTr="00730317">
        <w:tc>
          <w:tcPr>
            <w:tcW w:w="2053" w:type="dxa"/>
          </w:tcPr>
          <w:p w14:paraId="47586300" w14:textId="77777777" w:rsidR="00DE4AFD" w:rsidRPr="00227F09" w:rsidRDefault="004A4F56" w:rsidP="003F7776">
            <w:pPr>
              <w:pStyle w:val="HR"/>
              <w:spacing w:after="0" w:line="240" w:lineRule="auto"/>
              <w:ind w:firstLineChars="0" w:firstLine="0"/>
              <w:jc w:val="both"/>
              <w:rPr>
                <w:rFonts w:cs="Times New Roman"/>
                <w:kern w:val="0"/>
                <w:sz w:val="21"/>
                <w:szCs w:val="21"/>
                <w:lang w:eastAsia="zh-CN"/>
              </w:rPr>
            </w:pPr>
            <w:r w:rsidRPr="00227F09">
              <w:rPr>
                <w:rFonts w:eastAsia="Times New Roman" w:cs="Times New Roman"/>
                <w:color w:val="333333"/>
                <w:kern w:val="0"/>
                <w:sz w:val="21"/>
                <w:szCs w:val="21"/>
                <w:lang w:eastAsia="zh-CN"/>
              </w:rPr>
              <w:t xml:space="preserve">AEs with drug-related </w:t>
            </w:r>
          </w:p>
        </w:tc>
        <w:tc>
          <w:tcPr>
            <w:tcW w:w="2620" w:type="dxa"/>
          </w:tcPr>
          <w:p w14:paraId="24DACE71" w14:textId="77777777" w:rsidR="00DE4AFD" w:rsidRPr="00227F09" w:rsidRDefault="004A4F56" w:rsidP="003F7776">
            <w:pPr>
              <w:pStyle w:val="HR"/>
              <w:spacing w:after="0" w:line="240" w:lineRule="auto"/>
              <w:ind w:firstLineChars="0" w:firstLine="0"/>
              <w:jc w:val="both"/>
              <w:rPr>
                <w:rFonts w:cs="Times New Roman"/>
                <w:kern w:val="0"/>
                <w:sz w:val="21"/>
                <w:szCs w:val="21"/>
                <w:lang w:val="en-US" w:eastAsia="zh-CN"/>
              </w:rPr>
            </w:pPr>
            <w:r w:rsidRPr="00227F09">
              <w:rPr>
                <w:rFonts w:eastAsia="Times New Roman" w:cs="Times New Roman"/>
                <w:kern w:val="0"/>
                <w:sz w:val="21"/>
                <w:szCs w:val="21"/>
                <w:lang w:val="en-US" w:eastAsia="zh-CN"/>
              </w:rPr>
              <w:t>Until the end of the safety follow-up period</w:t>
            </w:r>
          </w:p>
        </w:tc>
        <w:tc>
          <w:tcPr>
            <w:tcW w:w="4343" w:type="dxa"/>
          </w:tcPr>
          <w:p w14:paraId="792E9DEA" w14:textId="77777777" w:rsidR="00DE4AFD" w:rsidRPr="00227F09" w:rsidRDefault="004A4F56" w:rsidP="003F7776">
            <w:pPr>
              <w:pStyle w:val="HR"/>
              <w:spacing w:after="0" w:line="240" w:lineRule="auto"/>
              <w:ind w:firstLineChars="0" w:firstLine="0"/>
              <w:jc w:val="both"/>
              <w:rPr>
                <w:rFonts w:cs="Times New Roman"/>
                <w:kern w:val="0"/>
                <w:sz w:val="21"/>
                <w:szCs w:val="21"/>
                <w:lang w:val="en-US" w:eastAsia="zh-CN"/>
              </w:rPr>
            </w:pPr>
            <w:r w:rsidRPr="00227F09">
              <w:rPr>
                <w:rFonts w:eastAsia="Times New Roman" w:cs="Times New Roman"/>
                <w:kern w:val="0"/>
                <w:sz w:val="21"/>
                <w:szCs w:val="21"/>
                <w:lang w:val="en-US" w:eastAsia="zh-CN"/>
              </w:rPr>
              <w:t xml:space="preserve">Follow-up until disappearance, </w:t>
            </w:r>
            <w:r w:rsidRPr="00227F09">
              <w:rPr>
                <w:rFonts w:eastAsia="Times New Roman" w:cs="Times New Roman"/>
                <w:color w:val="333333"/>
                <w:kern w:val="0"/>
                <w:sz w:val="21"/>
                <w:szCs w:val="21"/>
                <w:lang w:val="en-US" w:eastAsia="zh-CN"/>
              </w:rPr>
              <w:t>response</w:t>
            </w:r>
            <w:r w:rsidRPr="00227F09">
              <w:rPr>
                <w:rFonts w:eastAsia="Times New Roman" w:cs="Times New Roman"/>
                <w:kern w:val="0"/>
                <w:sz w:val="21"/>
                <w:szCs w:val="21"/>
                <w:lang w:val="en-US" w:eastAsia="zh-CN"/>
              </w:rPr>
              <w:t xml:space="preserve">, or return to baseline levels, or ≤ Grade 1, or achieving a stable state, or obtaining a reasonable explanation (e.g., lost to follow-up, death). </w:t>
            </w:r>
          </w:p>
        </w:tc>
      </w:tr>
      <w:tr w:rsidR="00DE4AFD" w:rsidRPr="00227F09" w14:paraId="03476881" w14:textId="77777777" w:rsidTr="00730317">
        <w:tc>
          <w:tcPr>
            <w:tcW w:w="2053" w:type="dxa"/>
          </w:tcPr>
          <w:p w14:paraId="4D464163" w14:textId="77777777" w:rsidR="00DE4AFD" w:rsidRPr="00227F09" w:rsidRDefault="004A4F56" w:rsidP="003F7776">
            <w:pPr>
              <w:pStyle w:val="HR"/>
              <w:spacing w:after="0" w:line="240" w:lineRule="auto"/>
              <w:ind w:firstLineChars="0" w:firstLine="0"/>
              <w:jc w:val="both"/>
              <w:rPr>
                <w:rFonts w:cs="Times New Roman"/>
                <w:kern w:val="0"/>
                <w:sz w:val="21"/>
                <w:szCs w:val="21"/>
                <w:lang w:val="en-US" w:eastAsia="zh-CN"/>
              </w:rPr>
            </w:pPr>
            <w:r w:rsidRPr="00227F09">
              <w:rPr>
                <w:rFonts w:eastAsia="Times New Roman" w:cs="Times New Roman"/>
                <w:kern w:val="0"/>
                <w:sz w:val="21"/>
                <w:szCs w:val="21"/>
                <w:lang w:val="en-US" w:eastAsia="zh-CN"/>
              </w:rPr>
              <w:t>SAEs and SIEs without drug-related</w:t>
            </w:r>
          </w:p>
        </w:tc>
        <w:tc>
          <w:tcPr>
            <w:tcW w:w="2620" w:type="dxa"/>
          </w:tcPr>
          <w:p w14:paraId="1B47434A" w14:textId="77777777" w:rsidR="00DE4AFD" w:rsidRPr="00227F09" w:rsidRDefault="004A4F56" w:rsidP="003F7776">
            <w:pPr>
              <w:pStyle w:val="HR"/>
              <w:spacing w:after="0" w:line="240" w:lineRule="auto"/>
              <w:ind w:firstLineChars="0" w:firstLine="0"/>
              <w:jc w:val="both"/>
              <w:rPr>
                <w:rFonts w:cs="Times New Roman"/>
                <w:kern w:val="0"/>
                <w:sz w:val="21"/>
                <w:szCs w:val="21"/>
                <w:lang w:val="en-US" w:eastAsia="zh-CN"/>
              </w:rPr>
            </w:pPr>
            <w:r w:rsidRPr="00227F09">
              <w:rPr>
                <w:rFonts w:eastAsia="Times New Roman" w:cs="Times New Roman"/>
                <w:kern w:val="0"/>
                <w:sz w:val="21"/>
                <w:szCs w:val="21"/>
                <w:lang w:val="en-US" w:eastAsia="zh-CN"/>
              </w:rPr>
              <w:t xml:space="preserve">Until </w:t>
            </w:r>
            <w:r w:rsidRPr="00227F09">
              <w:rPr>
                <w:rFonts w:eastAsia="Times New Roman" w:cs="Times New Roman"/>
                <w:color w:val="333333"/>
                <w:kern w:val="0"/>
                <w:sz w:val="21"/>
                <w:szCs w:val="21"/>
                <w:lang w:val="en-US" w:eastAsia="zh-CN"/>
              </w:rPr>
              <w:t>the end of the safety follow-up Period or start of new anti-tumor therapy, whichever comes first</w:t>
            </w:r>
          </w:p>
        </w:tc>
        <w:tc>
          <w:tcPr>
            <w:tcW w:w="4343" w:type="dxa"/>
          </w:tcPr>
          <w:p w14:paraId="17ED3CEF" w14:textId="77777777" w:rsidR="00DE4AFD" w:rsidRPr="00227F09" w:rsidRDefault="004A4F56" w:rsidP="003F7776">
            <w:pPr>
              <w:pStyle w:val="HR"/>
              <w:spacing w:after="0" w:line="240" w:lineRule="auto"/>
              <w:ind w:firstLineChars="0" w:firstLine="0"/>
              <w:jc w:val="both"/>
              <w:rPr>
                <w:rFonts w:cs="Times New Roman"/>
                <w:kern w:val="0"/>
                <w:sz w:val="21"/>
                <w:szCs w:val="21"/>
                <w:lang w:val="en-US" w:eastAsia="zh-CN"/>
              </w:rPr>
            </w:pPr>
            <w:r w:rsidRPr="00227F09">
              <w:rPr>
                <w:rFonts w:eastAsia="Times New Roman" w:cs="Times New Roman"/>
                <w:kern w:val="0"/>
                <w:sz w:val="21"/>
                <w:szCs w:val="21"/>
                <w:lang w:val="en-US" w:eastAsia="zh-CN"/>
              </w:rPr>
              <w:t>Until the end of the safety follow-up period</w:t>
            </w:r>
          </w:p>
        </w:tc>
      </w:tr>
      <w:tr w:rsidR="00DE4AFD" w:rsidRPr="00227F09" w14:paraId="475E0D0B" w14:textId="77777777" w:rsidTr="00730317">
        <w:tc>
          <w:tcPr>
            <w:tcW w:w="2053" w:type="dxa"/>
            <w:tcBorders>
              <w:bottom w:val="single" w:sz="4" w:space="0" w:color="auto"/>
            </w:tcBorders>
          </w:tcPr>
          <w:p w14:paraId="6580E1DF" w14:textId="77777777" w:rsidR="00DE4AFD" w:rsidRPr="00227F09" w:rsidRDefault="004A4F56" w:rsidP="003F7776">
            <w:pPr>
              <w:pStyle w:val="HR"/>
              <w:spacing w:after="0" w:line="240" w:lineRule="auto"/>
              <w:ind w:firstLineChars="0" w:firstLine="0"/>
              <w:jc w:val="both"/>
              <w:rPr>
                <w:rFonts w:cs="Times New Roman"/>
                <w:kern w:val="0"/>
                <w:sz w:val="21"/>
                <w:szCs w:val="21"/>
                <w:lang w:val="en-US" w:eastAsia="zh-CN"/>
              </w:rPr>
            </w:pPr>
            <w:r w:rsidRPr="00227F09">
              <w:rPr>
                <w:rFonts w:eastAsia="Times New Roman" w:cs="Times New Roman"/>
                <w:kern w:val="0"/>
                <w:sz w:val="21"/>
                <w:szCs w:val="21"/>
                <w:lang w:val="en-US" w:eastAsia="zh-CN"/>
              </w:rPr>
              <w:t>SAEs and SIEs with drug-related</w:t>
            </w:r>
          </w:p>
        </w:tc>
        <w:tc>
          <w:tcPr>
            <w:tcW w:w="2620" w:type="dxa"/>
            <w:tcBorders>
              <w:bottom w:val="single" w:sz="4" w:space="0" w:color="auto"/>
            </w:tcBorders>
          </w:tcPr>
          <w:p w14:paraId="1C660D05" w14:textId="77777777" w:rsidR="00DE4AFD" w:rsidRPr="00227F09" w:rsidRDefault="004A4F56" w:rsidP="003F7776">
            <w:pPr>
              <w:pStyle w:val="HR"/>
              <w:spacing w:after="0" w:line="240" w:lineRule="auto"/>
              <w:ind w:firstLineChars="0" w:firstLine="0"/>
              <w:jc w:val="both"/>
              <w:rPr>
                <w:rFonts w:cs="Times New Roman"/>
                <w:kern w:val="0"/>
                <w:sz w:val="21"/>
                <w:szCs w:val="21"/>
                <w:lang w:eastAsia="zh-CN"/>
              </w:rPr>
            </w:pPr>
            <w:r w:rsidRPr="00227F09">
              <w:rPr>
                <w:rFonts w:eastAsia="Times New Roman" w:cs="Times New Roman"/>
                <w:color w:val="333333"/>
                <w:kern w:val="0"/>
                <w:sz w:val="21"/>
                <w:szCs w:val="21"/>
                <w:lang w:eastAsia="zh-CN"/>
              </w:rPr>
              <w:t>Indefinite</w:t>
            </w:r>
          </w:p>
        </w:tc>
        <w:tc>
          <w:tcPr>
            <w:tcW w:w="4343" w:type="dxa"/>
            <w:tcBorders>
              <w:bottom w:val="single" w:sz="4" w:space="0" w:color="auto"/>
            </w:tcBorders>
          </w:tcPr>
          <w:p w14:paraId="120E3D9B" w14:textId="77777777" w:rsidR="00DE4AFD" w:rsidRPr="00227F09" w:rsidRDefault="004A4F56" w:rsidP="003F7776">
            <w:pPr>
              <w:pStyle w:val="HR"/>
              <w:spacing w:after="0" w:line="240" w:lineRule="auto"/>
              <w:ind w:firstLineChars="0" w:firstLine="0"/>
              <w:jc w:val="both"/>
              <w:rPr>
                <w:rFonts w:cs="Times New Roman"/>
                <w:kern w:val="0"/>
                <w:sz w:val="21"/>
                <w:szCs w:val="21"/>
                <w:lang w:val="en-US" w:eastAsia="zh-CN"/>
              </w:rPr>
            </w:pPr>
            <w:r w:rsidRPr="00227F09">
              <w:rPr>
                <w:rFonts w:eastAsia="Times New Roman" w:cs="Times New Roman"/>
                <w:kern w:val="0"/>
                <w:sz w:val="21"/>
                <w:szCs w:val="21"/>
                <w:lang w:val="en-US" w:eastAsia="zh-CN"/>
              </w:rPr>
              <w:t xml:space="preserve">Follow-up until disappearance, </w:t>
            </w:r>
            <w:r w:rsidRPr="00227F09">
              <w:rPr>
                <w:rFonts w:eastAsia="Times New Roman" w:cs="Times New Roman"/>
                <w:color w:val="333333"/>
                <w:kern w:val="0"/>
                <w:sz w:val="21"/>
                <w:szCs w:val="21"/>
                <w:lang w:val="en-US" w:eastAsia="zh-CN"/>
              </w:rPr>
              <w:t>response</w:t>
            </w:r>
            <w:r w:rsidRPr="00227F09">
              <w:rPr>
                <w:rFonts w:eastAsia="Times New Roman" w:cs="Times New Roman"/>
                <w:kern w:val="0"/>
                <w:sz w:val="21"/>
                <w:szCs w:val="21"/>
                <w:lang w:val="en-US" w:eastAsia="zh-CN"/>
              </w:rPr>
              <w:t xml:space="preserve">, or return to baseline levels, or ≤ Grade 1, or achieving a stable state, or obtaining a reasonable explanation (e.g., lost to follow-up, death). </w:t>
            </w:r>
          </w:p>
        </w:tc>
      </w:tr>
      <w:tr w:rsidR="00DE4AFD" w:rsidRPr="00227F09" w14:paraId="42BC0FE7" w14:textId="77777777" w:rsidTr="003F7776">
        <w:tc>
          <w:tcPr>
            <w:tcW w:w="9016" w:type="dxa"/>
            <w:gridSpan w:val="3"/>
            <w:tcBorders>
              <w:left w:val="nil"/>
              <w:bottom w:val="nil"/>
              <w:right w:val="nil"/>
            </w:tcBorders>
          </w:tcPr>
          <w:p w14:paraId="7E273F80" w14:textId="77777777" w:rsidR="00DE4AFD" w:rsidRPr="00227F09" w:rsidRDefault="004A4F56" w:rsidP="003F7776">
            <w:pPr>
              <w:pStyle w:val="HR"/>
              <w:spacing w:after="0" w:line="240" w:lineRule="auto"/>
              <w:ind w:firstLineChars="0" w:firstLine="0"/>
              <w:jc w:val="both"/>
              <w:rPr>
                <w:rFonts w:cs="Times New Roman"/>
                <w:i/>
                <w:color w:val="008000"/>
                <w:sz w:val="21"/>
                <w:szCs w:val="21"/>
                <w:lang w:val="en-US" w:eastAsia="zh-CN"/>
              </w:rPr>
            </w:pPr>
            <w:r w:rsidRPr="00227F09">
              <w:rPr>
                <w:rFonts w:eastAsia="Times New Roman" w:cs="Times New Roman"/>
                <w:color w:val="333333"/>
                <w:kern w:val="0"/>
                <w:sz w:val="21"/>
                <w:szCs w:val="21"/>
                <w:lang w:val="en-US" w:eastAsia="zh-CN"/>
              </w:rPr>
              <w:t>AE: adverse event; SAE: serious adverse event; SIE: adverse event of special interest</w:t>
            </w:r>
          </w:p>
        </w:tc>
      </w:tr>
    </w:tbl>
    <w:p w14:paraId="43BAFB3E" w14:textId="77777777" w:rsidR="00DE4AFD" w:rsidRPr="00303844" w:rsidRDefault="004A4F56" w:rsidP="000C622D">
      <w:pPr>
        <w:pStyle w:val="10"/>
        <w:spacing w:before="0" w:after="0" w:line="360" w:lineRule="auto"/>
        <w:jc w:val="both"/>
        <w:rPr>
          <w:rFonts w:cs="Times New Roman"/>
        </w:rPr>
      </w:pPr>
      <w:bookmarkStart w:id="120" w:name="_Toc184889661"/>
      <w:r w:rsidRPr="00303844">
        <w:rPr>
          <w:rFonts w:eastAsia="Times New Roman" w:cs="Times New Roman"/>
        </w:rPr>
        <w:lastRenderedPageBreak/>
        <w:t>Statistical Methods and Analysis</w:t>
      </w:r>
      <w:bookmarkEnd w:id="120"/>
    </w:p>
    <w:p w14:paraId="774549B2" w14:textId="77777777" w:rsidR="00DE4AFD" w:rsidRPr="00303844" w:rsidRDefault="004A4F56" w:rsidP="000C622D">
      <w:pPr>
        <w:pStyle w:val="21"/>
        <w:spacing w:before="0" w:after="0" w:line="360" w:lineRule="auto"/>
        <w:rPr>
          <w:rFonts w:eastAsia="宋体" w:cs="Times New Roman"/>
        </w:rPr>
      </w:pPr>
      <w:bookmarkStart w:id="121" w:name="_Toc184889662"/>
      <w:bookmarkStart w:id="122" w:name="_Ref462840447"/>
      <w:r w:rsidRPr="00303844">
        <w:rPr>
          <w:rFonts w:eastAsia="Times New Roman" w:cs="Times New Roman"/>
        </w:rPr>
        <w:t>Analysis Population</w:t>
      </w:r>
      <w:bookmarkEnd w:id="121"/>
    </w:p>
    <w:p w14:paraId="38291924"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color w:val="333333"/>
          <w:lang w:val="en-US" w:eastAsia="zh-CN"/>
        </w:rPr>
        <w:t>Intent-to-Treat Population (ITT Population): all randomized patients will be included for analysis according to the intention-to-treat principle.</w:t>
      </w:r>
      <w:r w:rsidRPr="00AF1F77">
        <w:rPr>
          <w:rFonts w:eastAsia="Times New Roman" w:cs="Times New Roman"/>
          <w:lang w:val="en-US" w:eastAsia="zh-CN"/>
        </w:rPr>
        <w:t xml:space="preserve"> The ITT population is used for analyzing all efficacy endpoints. </w:t>
      </w:r>
    </w:p>
    <w:p w14:paraId="1BB64E13"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color w:val="333333"/>
          <w:lang w:val="en-US" w:eastAsia="zh-CN"/>
        </w:rPr>
        <w:t>Per-Protocol Analysis Population (PP Population): patients in the ITT Population who had no major protocol deviations affecting the efficacy assessment.</w:t>
      </w:r>
      <w:r w:rsidRPr="00AF1F77">
        <w:rPr>
          <w:rFonts w:eastAsia="Times New Roman" w:cs="Times New Roman"/>
          <w:lang w:val="en-US" w:eastAsia="zh-CN"/>
        </w:rPr>
        <w:t xml:space="preserve"> The PP population is used for sensitivity analyses of OS and PFS. </w:t>
      </w:r>
    </w:p>
    <w:p w14:paraId="3BDDFA22" w14:textId="77777777" w:rsidR="00DE4AFD" w:rsidRPr="00303844" w:rsidRDefault="004A4F56" w:rsidP="008300AC">
      <w:pPr>
        <w:pStyle w:val="HR"/>
        <w:spacing w:after="0"/>
        <w:ind w:firstLineChars="0" w:firstLine="0"/>
        <w:jc w:val="both"/>
        <w:rPr>
          <w:rFonts w:cs="Times New Roman"/>
          <w:lang w:eastAsia="zh-CN"/>
        </w:rPr>
      </w:pPr>
      <w:r w:rsidRPr="00AF1F77">
        <w:rPr>
          <w:rFonts w:eastAsia="Times New Roman" w:cs="Times New Roman"/>
          <w:color w:val="333333"/>
          <w:lang w:val="en-US" w:eastAsia="zh-CN"/>
        </w:rPr>
        <w:t xml:space="preserve">Safety Population (Safety Set, SS Population): includes all randomized patients who received at least one dose of </w:t>
      </w:r>
      <w:r w:rsidRPr="00AF1F77">
        <w:rPr>
          <w:rFonts w:eastAsia="Times New Roman" w:cs="Times New Roman"/>
          <w:lang w:val="en-US" w:eastAsia="zh-CN"/>
        </w:rPr>
        <w:t>investigational product</w:t>
      </w:r>
      <w:r w:rsidRPr="00AF1F77">
        <w:rPr>
          <w:rFonts w:eastAsia="Times New Roman" w:cs="Times New Roman"/>
          <w:color w:val="333333"/>
          <w:lang w:val="en-US" w:eastAsia="zh-CN"/>
        </w:rPr>
        <w:t xml:space="preserve">. </w:t>
      </w:r>
      <w:r w:rsidRPr="00303844">
        <w:rPr>
          <w:rFonts w:eastAsia="Times New Roman" w:cs="Times New Roman"/>
          <w:lang w:eastAsia="zh-CN"/>
        </w:rPr>
        <w:t xml:space="preserve">The SS population is used for analyzing safety endpoints. </w:t>
      </w:r>
    </w:p>
    <w:p w14:paraId="4DD1ABEA" w14:textId="77777777" w:rsidR="00DE4AFD" w:rsidRPr="00303844" w:rsidRDefault="004A4F56" w:rsidP="000C622D">
      <w:pPr>
        <w:pStyle w:val="21"/>
        <w:spacing w:before="0" w:after="0" w:line="360" w:lineRule="auto"/>
        <w:rPr>
          <w:rFonts w:eastAsia="宋体" w:cs="Times New Roman"/>
        </w:rPr>
      </w:pPr>
      <w:bookmarkStart w:id="123" w:name="_Toc184889663"/>
      <w:bookmarkEnd w:id="122"/>
      <w:r w:rsidRPr="00303844">
        <w:rPr>
          <w:rFonts w:eastAsia="Times New Roman" w:cs="Times New Roman"/>
        </w:rPr>
        <w:t>Efficacy Analysis</w:t>
      </w:r>
      <w:bookmarkEnd w:id="123"/>
    </w:p>
    <w:p w14:paraId="7FBD075F" w14:textId="77777777" w:rsidR="00DE4AFD" w:rsidRPr="00303844" w:rsidRDefault="004A4F56" w:rsidP="000C622D">
      <w:pPr>
        <w:pStyle w:val="30"/>
        <w:spacing w:before="0" w:after="0" w:line="360" w:lineRule="auto"/>
        <w:rPr>
          <w:rFonts w:cs="Times New Roman"/>
        </w:rPr>
      </w:pPr>
      <w:bookmarkStart w:id="124" w:name="_Toc184889664"/>
      <w:r w:rsidRPr="00303844">
        <w:rPr>
          <w:rFonts w:eastAsia="Times New Roman" w:cs="Times New Roman"/>
          <w:kern w:val="0"/>
          <w:szCs w:val="24"/>
        </w:rPr>
        <w:t>Primary Efficacy Analysis</w:t>
      </w:r>
      <w:bookmarkEnd w:id="124"/>
    </w:p>
    <w:p w14:paraId="5FB8282E" w14:textId="77777777" w:rsidR="00DE4AFD" w:rsidRPr="00303844" w:rsidRDefault="004A4F56" w:rsidP="000C622D">
      <w:pPr>
        <w:pStyle w:val="HR"/>
        <w:spacing w:after="0"/>
        <w:ind w:firstLineChars="0" w:firstLine="0"/>
        <w:jc w:val="both"/>
        <w:rPr>
          <w:rFonts w:cs="Times New Roman"/>
          <w:b/>
          <w:lang w:val="en-US" w:eastAsia="zh-CN"/>
        </w:rPr>
      </w:pPr>
      <w:r w:rsidRPr="00303844">
        <w:rPr>
          <w:rFonts w:eastAsia="Times New Roman" w:cs="Times New Roman"/>
          <w:b/>
          <w:bCs/>
          <w:lang w:val="en-US" w:eastAsia="zh-CN"/>
        </w:rPr>
        <w:t>Objective Response Rate (ORR)</w:t>
      </w:r>
    </w:p>
    <w:p w14:paraId="36EA4580"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Objective response rate is defined as the proportion of patients with a best overall assessment of complete response or partial response.</w:t>
      </w:r>
      <w:r w:rsidRPr="00303844">
        <w:rPr>
          <w:rFonts w:eastAsia="Times New Roman" w:cs="Times New Roman"/>
          <w:lang w:val="en-US" w:eastAsia="zh-CN"/>
        </w:rPr>
        <w:t xml:space="preserve"> </w:t>
      </w:r>
      <w:r w:rsidRPr="00303844">
        <w:rPr>
          <w:rFonts w:eastAsia="Times New Roman" w:cs="Times New Roman"/>
          <w:color w:val="333333"/>
          <w:lang w:val="en-US" w:eastAsia="zh-CN"/>
        </w:rPr>
        <w:t>Clopper-</w:t>
      </w:r>
      <w:proofErr w:type="spellStart"/>
      <w:r w:rsidRPr="00303844">
        <w:rPr>
          <w:rFonts w:eastAsia="Times New Roman" w:cs="Times New Roman"/>
          <w:color w:val="333333"/>
          <w:lang w:val="en-US" w:eastAsia="zh-CN"/>
        </w:rPr>
        <w:t>pearson</w:t>
      </w:r>
      <w:proofErr w:type="spellEnd"/>
      <w:r w:rsidRPr="00303844">
        <w:rPr>
          <w:rFonts w:eastAsia="Times New Roman" w:cs="Times New Roman"/>
          <w:color w:val="333333"/>
          <w:lang w:val="en-US" w:eastAsia="zh-CN"/>
        </w:rPr>
        <w:t xml:space="preserve"> method is used to calculate the 95% confidence intervals of the rates in each group.</w:t>
      </w:r>
      <w:r w:rsidRPr="00303844">
        <w:rPr>
          <w:rFonts w:eastAsia="Times New Roman" w:cs="Times New Roman"/>
          <w:lang w:val="en-US" w:eastAsia="zh-CN"/>
        </w:rPr>
        <w:t xml:space="preserve"> </w:t>
      </w:r>
      <w:r w:rsidRPr="00303844">
        <w:rPr>
          <w:rFonts w:eastAsia="Times New Roman" w:cs="Times New Roman"/>
          <w:color w:val="333333"/>
          <w:lang w:val="en-US" w:eastAsia="zh-CN"/>
        </w:rPr>
        <w:t xml:space="preserve">Depending on the characteristics of the data, rates between groups are compared using CMH test or chi-square test or Fisher exact probability method. </w:t>
      </w:r>
    </w:p>
    <w:p w14:paraId="40F85674" w14:textId="77777777" w:rsidR="00DE4AFD" w:rsidRPr="00303844" w:rsidRDefault="004A4F56" w:rsidP="000C622D">
      <w:pPr>
        <w:pStyle w:val="30"/>
        <w:spacing w:before="0" w:after="0" w:line="360" w:lineRule="auto"/>
        <w:rPr>
          <w:rFonts w:cs="Times New Roman"/>
        </w:rPr>
      </w:pPr>
      <w:bookmarkStart w:id="125" w:name="_Toc184889665"/>
      <w:r w:rsidRPr="00303844">
        <w:rPr>
          <w:rFonts w:eastAsia="Times New Roman" w:cs="Times New Roman"/>
        </w:rPr>
        <w:t>Secondary Efficacy Analysis</w:t>
      </w:r>
      <w:bookmarkEnd w:id="125"/>
    </w:p>
    <w:p w14:paraId="121983B9" w14:textId="77777777" w:rsidR="00DE4AFD" w:rsidRPr="00303844" w:rsidRDefault="004A4F56" w:rsidP="000C622D">
      <w:pPr>
        <w:pStyle w:val="HR"/>
        <w:spacing w:after="0"/>
        <w:ind w:firstLineChars="0" w:firstLine="0"/>
        <w:jc w:val="both"/>
        <w:rPr>
          <w:rFonts w:cs="Times New Roman"/>
          <w:b/>
          <w:lang w:val="en-US" w:eastAsia="zh-CN"/>
        </w:rPr>
      </w:pPr>
      <w:r w:rsidRPr="00303844">
        <w:rPr>
          <w:rFonts w:eastAsia="Times New Roman" w:cs="Times New Roman"/>
          <w:b/>
          <w:bCs/>
          <w:lang w:val="en-US" w:eastAsia="zh-CN"/>
        </w:rPr>
        <w:t>Progression-free Survival (PFS)</w:t>
      </w:r>
    </w:p>
    <w:p w14:paraId="5616BA5D"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PFS is defined as the time (in days) from randomization to disease progression or death.</w:t>
      </w:r>
      <w:r w:rsidRPr="00303844">
        <w:rPr>
          <w:rFonts w:eastAsia="Times New Roman" w:cs="Times New Roman"/>
          <w:lang w:val="en-US" w:eastAsia="zh-CN"/>
        </w:rPr>
        <w:t xml:space="preserve"> </w:t>
      </w:r>
      <w:r w:rsidRPr="00303844">
        <w:rPr>
          <w:rFonts w:eastAsia="Times New Roman" w:cs="Times New Roman"/>
          <w:color w:val="333333"/>
          <w:lang w:val="en-US" w:eastAsia="zh-CN"/>
        </w:rPr>
        <w:t>Overall survival is compared between the test group and the control group using a stratified log-rank test.</w:t>
      </w:r>
      <w:r w:rsidRPr="00303844">
        <w:rPr>
          <w:rFonts w:eastAsia="Times New Roman" w:cs="Times New Roman"/>
          <w:lang w:val="en-US" w:eastAsia="zh-CN"/>
        </w:rPr>
        <w:t xml:space="preserve"> The Kaplan-Meier method will be used to estimate the median survival time of both treatment groups, and Kaplan-Meier curves will be plotted to provide a visually intuitive description of the differences between treatment groups. </w:t>
      </w:r>
    </w:p>
    <w:p w14:paraId="0BCA4E93" w14:textId="77777777" w:rsidR="00DE4AFD" w:rsidRPr="00303844" w:rsidRDefault="004A4F56" w:rsidP="000C622D">
      <w:pPr>
        <w:pStyle w:val="HR"/>
        <w:spacing w:after="0"/>
        <w:ind w:firstLineChars="0" w:firstLine="0"/>
        <w:jc w:val="both"/>
        <w:rPr>
          <w:rFonts w:cs="Times New Roman"/>
          <w:b/>
          <w:lang w:val="en-US" w:eastAsia="zh-CN"/>
        </w:rPr>
      </w:pPr>
      <w:r w:rsidRPr="00303844">
        <w:rPr>
          <w:rFonts w:eastAsia="Times New Roman" w:cs="Times New Roman"/>
          <w:b/>
          <w:bCs/>
          <w:lang w:val="en-US" w:eastAsia="zh-CN"/>
        </w:rPr>
        <w:t>Overall Survival (OS)</w:t>
      </w:r>
    </w:p>
    <w:p w14:paraId="6B351F30"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lastRenderedPageBreak/>
        <w:t>Overall survival (OS) is defined as the time from randomization to death from any cause.</w:t>
      </w:r>
      <w:r w:rsidRPr="00303844">
        <w:rPr>
          <w:rFonts w:eastAsia="Times New Roman" w:cs="Times New Roman"/>
          <w:lang w:val="en-US" w:eastAsia="zh-CN"/>
        </w:rPr>
        <w:t xml:space="preserve"> For patients who have not reported death at the time of analysis, the date of their last known survival will be taken as the censoring date. The analysis method is the same as for PFS. </w:t>
      </w:r>
    </w:p>
    <w:p w14:paraId="4ECC0EAB" w14:textId="77777777" w:rsidR="00DE4AFD" w:rsidRPr="00303844" w:rsidRDefault="004A4F56" w:rsidP="000C622D">
      <w:pPr>
        <w:pStyle w:val="HR"/>
        <w:spacing w:after="0"/>
        <w:ind w:firstLineChars="0" w:firstLine="0"/>
        <w:jc w:val="both"/>
        <w:rPr>
          <w:rFonts w:cs="Times New Roman"/>
          <w:b/>
          <w:lang w:val="en-US" w:eastAsia="zh-CN"/>
        </w:rPr>
      </w:pPr>
      <w:r w:rsidRPr="00303844">
        <w:rPr>
          <w:rFonts w:eastAsia="Times New Roman" w:cs="Times New Roman"/>
          <w:b/>
          <w:bCs/>
          <w:lang w:val="en-US" w:eastAsia="zh-CN"/>
        </w:rPr>
        <w:t>Disease Control Rate (DCR)</w:t>
      </w:r>
    </w:p>
    <w:p w14:paraId="2B4EDBA6"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 xml:space="preserve">Disease control rate is defined as the proportion of patients with a best overall assessment of complete response, partial response, or stable disease. </w:t>
      </w:r>
      <w:r w:rsidRPr="00303844">
        <w:rPr>
          <w:rFonts w:eastAsia="Times New Roman" w:cs="Times New Roman"/>
          <w:lang w:val="en-US" w:eastAsia="zh-CN"/>
        </w:rPr>
        <w:t xml:space="preserve">For patients assessed as having stable disease, at least one lesion assessment meeting the SD criteria is required at least 6 weeks after starting medication. The analysis method is the same as that for ORR. </w:t>
      </w:r>
    </w:p>
    <w:p w14:paraId="717F90AB" w14:textId="7CD01E24" w:rsidR="00AD175B" w:rsidRPr="00303844" w:rsidRDefault="00C76A2B"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The comparison of ORR, PFS, OS, and DCR between treatment arms will be based on ITT.</w:t>
      </w:r>
      <w:r w:rsidRPr="00303844">
        <w:rPr>
          <w:rFonts w:eastAsia="Times New Roman" w:cs="Times New Roman"/>
          <w:lang w:val="en-US" w:eastAsia="zh-CN"/>
        </w:rPr>
        <w:t xml:space="preserve"> </w:t>
      </w:r>
    </w:p>
    <w:p w14:paraId="25B15667" w14:textId="77777777" w:rsidR="00DE4AFD" w:rsidRPr="00303844" w:rsidRDefault="004A4F56" w:rsidP="000C622D">
      <w:pPr>
        <w:pStyle w:val="30"/>
        <w:spacing w:before="0" w:after="0" w:line="360" w:lineRule="auto"/>
        <w:rPr>
          <w:rFonts w:cs="Times New Roman"/>
        </w:rPr>
      </w:pPr>
      <w:bookmarkStart w:id="126" w:name="_Toc63602286"/>
      <w:bookmarkStart w:id="127" w:name="_Toc184889666"/>
      <w:bookmarkEnd w:id="126"/>
      <w:r w:rsidRPr="00303844">
        <w:rPr>
          <w:rFonts w:eastAsia="Times New Roman" w:cs="Times New Roman"/>
        </w:rPr>
        <w:t>Quality of Life Scores and Tumor Biomarkers</w:t>
      </w:r>
      <w:bookmarkEnd w:id="127"/>
    </w:p>
    <w:p w14:paraId="1F4C6D2F"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Quality of life scores and tumor markers will be summarized mainly using descriptive statistical methods.</w:t>
      </w:r>
      <w:r w:rsidRPr="00303844">
        <w:rPr>
          <w:rFonts w:eastAsia="Times New Roman" w:cs="Times New Roman"/>
          <w:lang w:val="en-US" w:eastAsia="zh-CN"/>
        </w:rPr>
        <w:t xml:space="preserve"> </w:t>
      </w:r>
    </w:p>
    <w:p w14:paraId="52056DA7" w14:textId="77777777" w:rsidR="00DE4AFD" w:rsidRPr="00303844" w:rsidRDefault="004A4F56" w:rsidP="000C622D">
      <w:pPr>
        <w:pStyle w:val="21"/>
        <w:spacing w:before="0" w:after="0" w:line="360" w:lineRule="auto"/>
        <w:rPr>
          <w:rFonts w:eastAsia="宋体" w:cs="Times New Roman"/>
        </w:rPr>
      </w:pPr>
      <w:bookmarkStart w:id="128" w:name="_Toc184889667"/>
      <w:r w:rsidRPr="00303844">
        <w:rPr>
          <w:rFonts w:eastAsia="Times New Roman" w:cs="Times New Roman"/>
        </w:rPr>
        <w:t>Safety Analysis</w:t>
      </w:r>
      <w:bookmarkEnd w:id="128"/>
    </w:p>
    <w:p w14:paraId="354C87BF"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 xml:space="preserve">Safety will be evaluated by summaries of AEs, changes in laboratory results, and changes in vital signs. </w:t>
      </w:r>
    </w:p>
    <w:p w14:paraId="54006953"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lang w:val="en-US" w:eastAsia="zh-CN"/>
        </w:rPr>
        <w:t xml:space="preserve">All AEs will be graded according to NCI CTCAE (version 5.0). </w:t>
      </w:r>
      <w:r w:rsidRPr="00303844">
        <w:rPr>
          <w:rFonts w:eastAsia="Times New Roman" w:cs="Times New Roman"/>
          <w:color w:val="333333"/>
          <w:lang w:val="en-US" w:eastAsia="zh-CN"/>
        </w:rPr>
        <w:t>AEs will be coded using the Medical Dictionary for Regulatory Activities (MedDRA).</w:t>
      </w:r>
      <w:r w:rsidRPr="00303844">
        <w:rPr>
          <w:rFonts w:eastAsia="Times New Roman" w:cs="Times New Roman"/>
          <w:lang w:val="en-US" w:eastAsia="zh-CN"/>
        </w:rPr>
        <w:t xml:space="preserve"> </w:t>
      </w:r>
      <w:r w:rsidRPr="00303844">
        <w:rPr>
          <w:rFonts w:eastAsia="Times New Roman" w:cs="Times New Roman"/>
          <w:color w:val="333333"/>
          <w:lang w:val="en-US" w:eastAsia="zh-CN"/>
        </w:rPr>
        <w:t>The number and incidence of AEs will be summarized by human system organ class (SOC) with corresponding terms.</w:t>
      </w:r>
      <w:r w:rsidRPr="00303844">
        <w:rPr>
          <w:rFonts w:eastAsia="Times New Roman" w:cs="Times New Roman"/>
          <w:lang w:val="en-US" w:eastAsia="zh-CN"/>
        </w:rPr>
        <w:t xml:space="preserve"> </w:t>
      </w:r>
      <w:r w:rsidRPr="00303844">
        <w:rPr>
          <w:rFonts w:eastAsia="Times New Roman" w:cs="Times New Roman"/>
          <w:color w:val="333333"/>
          <w:lang w:val="en-US" w:eastAsia="zh-CN"/>
        </w:rPr>
        <w:t xml:space="preserve">All SAEs (including deaths) and AEs leading to dose reduction, dose interruption, and discontinuation of </w:t>
      </w:r>
      <w:r w:rsidRPr="00303844">
        <w:rPr>
          <w:rFonts w:eastAsia="Times New Roman" w:cs="Times New Roman"/>
          <w:lang w:val="en-US" w:eastAsia="zh-CN"/>
        </w:rPr>
        <w:t>investigational product</w:t>
      </w:r>
      <w:r w:rsidRPr="00303844">
        <w:rPr>
          <w:rFonts w:eastAsia="Times New Roman" w:cs="Times New Roman"/>
          <w:color w:val="333333"/>
          <w:lang w:val="en-US" w:eastAsia="zh-CN"/>
        </w:rPr>
        <w:t xml:space="preserve"> should be tabulated and summarized separately.</w:t>
      </w:r>
      <w:r w:rsidRPr="00303844">
        <w:rPr>
          <w:rFonts w:eastAsia="Times New Roman" w:cs="Times New Roman"/>
          <w:lang w:val="en-US" w:eastAsia="zh-CN"/>
        </w:rPr>
        <w:t xml:space="preserve"> </w:t>
      </w:r>
    </w:p>
    <w:p w14:paraId="2ED5852C"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All laboratory assessments will be summarized and tabulated.</w:t>
      </w:r>
      <w:r w:rsidRPr="00303844">
        <w:rPr>
          <w:rFonts w:eastAsia="Times New Roman" w:cs="Times New Roman"/>
          <w:lang w:val="en-US" w:eastAsia="zh-CN"/>
        </w:rPr>
        <w:t xml:space="preserve"> Changes in laboratory test results will be graded according to NCI CTCAE (version 5.0), and comparison of baseline and post-treatment maximum toxicity will be presented in shift tables. Patients with laboratory abnormalities of CTCAE grade 3 or 4 will be </w:t>
      </w:r>
      <w:r w:rsidRPr="00303844">
        <w:rPr>
          <w:rFonts w:eastAsia="Times New Roman" w:cs="Times New Roman"/>
          <w:color w:val="333333"/>
          <w:lang w:val="en-US" w:eastAsia="zh-CN"/>
        </w:rPr>
        <w:t>tabulated</w:t>
      </w:r>
      <w:r w:rsidRPr="00303844">
        <w:rPr>
          <w:rFonts w:eastAsia="Times New Roman" w:cs="Times New Roman"/>
          <w:lang w:val="en-US" w:eastAsia="zh-CN"/>
        </w:rPr>
        <w:t xml:space="preserve"> separately. </w:t>
      </w:r>
    </w:p>
    <w:p w14:paraId="5062B1AA"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lang w:val="en-US" w:eastAsia="zh-CN"/>
        </w:rPr>
        <w:t xml:space="preserve">Changes in physical examinations, vital signs, and ECOG Performance Status scores will be compared with baseline and will be analyzed descriptively. </w:t>
      </w:r>
    </w:p>
    <w:p w14:paraId="7546A7F0"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lang w:val="en-US" w:eastAsia="zh-CN"/>
        </w:rPr>
        <w:lastRenderedPageBreak/>
        <w:t xml:space="preserve">Patients exhibiting abnormalities in electrocardiogram and echocardiogram will be </w:t>
      </w:r>
      <w:r w:rsidRPr="00303844">
        <w:rPr>
          <w:rFonts w:eastAsia="Times New Roman" w:cs="Times New Roman"/>
          <w:color w:val="333333"/>
          <w:lang w:val="en-US" w:eastAsia="zh-CN"/>
        </w:rPr>
        <w:t>tabulated</w:t>
      </w:r>
      <w:r w:rsidRPr="00303844">
        <w:rPr>
          <w:rFonts w:eastAsia="Times New Roman" w:cs="Times New Roman"/>
          <w:lang w:val="en-US" w:eastAsia="zh-CN"/>
        </w:rPr>
        <w:t xml:space="preserve">. Shift tables will be used to summarize changes from baseline to abnormality for each treatment group. </w:t>
      </w:r>
    </w:p>
    <w:p w14:paraId="32A59295" w14:textId="77777777" w:rsidR="00DE4AFD" w:rsidRPr="00303844" w:rsidRDefault="004A4F56" w:rsidP="000C622D">
      <w:pPr>
        <w:pStyle w:val="21"/>
        <w:spacing w:before="0" w:after="0" w:line="360" w:lineRule="auto"/>
        <w:rPr>
          <w:rFonts w:eastAsia="宋体" w:cs="Times New Roman"/>
        </w:rPr>
      </w:pPr>
      <w:bookmarkStart w:id="129" w:name="_Toc184889668"/>
      <w:r w:rsidRPr="00303844">
        <w:rPr>
          <w:rFonts w:eastAsia="Times New Roman" w:cs="Times New Roman"/>
        </w:rPr>
        <w:t>Sample Size Determination</w:t>
      </w:r>
      <w:bookmarkEnd w:id="129"/>
    </w:p>
    <w:p w14:paraId="60F2F93A" w14:textId="1E443EB6" w:rsidR="00DE4AFD" w:rsidRPr="00303844" w:rsidRDefault="004A4F56" w:rsidP="00A00B16">
      <w:pPr>
        <w:pStyle w:val="HR"/>
        <w:spacing w:after="0"/>
        <w:ind w:firstLineChars="0" w:firstLine="0"/>
        <w:jc w:val="both"/>
        <w:rPr>
          <w:rFonts w:cs="Times New Roman"/>
          <w:lang w:val="en-US" w:eastAsia="zh-CN"/>
        </w:rPr>
      </w:pPr>
      <w:r w:rsidRPr="00A00B16">
        <w:rPr>
          <w:rFonts w:eastAsia="Times New Roman" w:cs="Times New Roman"/>
          <w:szCs w:val="21"/>
          <w:lang w:val="en-US"/>
        </w:rPr>
        <w:t xml:space="preserve">According to literature results, the rate in the test group is 0.49, and the rate in the control group is 0.23. With a superiority margin of 0, a one-sided alpha of 0.05, beta of 0.2, and a sample size ratio of 1 between the two groups (test group: control group), the calculated sample sizes are 40 cases in the test group and 40 cases in the control group, totaling 80 cases. Considering a 10% dropout rate, the total required sample size is 90 cases. </w:t>
      </w:r>
    </w:p>
    <w:p w14:paraId="76B7D4FB" w14:textId="77777777" w:rsidR="00DE4AFD" w:rsidRPr="00303844" w:rsidRDefault="004A4F56" w:rsidP="000C622D">
      <w:pPr>
        <w:pStyle w:val="10"/>
        <w:spacing w:before="0" w:after="0" w:line="360" w:lineRule="auto"/>
        <w:jc w:val="both"/>
        <w:rPr>
          <w:rFonts w:cs="Times New Roman"/>
        </w:rPr>
      </w:pPr>
      <w:bookmarkStart w:id="130" w:name="_Toc184889669"/>
      <w:r w:rsidRPr="00303844">
        <w:rPr>
          <w:rFonts w:eastAsia="Times New Roman" w:cs="Times New Roman"/>
        </w:rPr>
        <w:t>Data Management Methods</w:t>
      </w:r>
      <w:bookmarkEnd w:id="130"/>
    </w:p>
    <w:p w14:paraId="05729DB8" w14:textId="77777777" w:rsidR="00DE4AFD" w:rsidRPr="00303844" w:rsidRDefault="004A4F56" w:rsidP="000C622D">
      <w:pPr>
        <w:pStyle w:val="21"/>
        <w:spacing w:before="0" w:after="0" w:line="360" w:lineRule="auto"/>
        <w:rPr>
          <w:rFonts w:eastAsia="宋体" w:cs="Times New Roman"/>
        </w:rPr>
      </w:pPr>
      <w:bookmarkStart w:id="131" w:name="_Toc184889670"/>
      <w:r w:rsidRPr="00303844">
        <w:rPr>
          <w:rFonts w:eastAsia="Times New Roman" w:cs="Times New Roman"/>
        </w:rPr>
        <w:t>Data Recording</w:t>
      </w:r>
      <w:bookmarkEnd w:id="131"/>
    </w:p>
    <w:p w14:paraId="19194B20"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Electronic data capture (EDC) will be used for the collection and management of clinical data in this study.</w:t>
      </w:r>
      <w:r w:rsidRPr="00303844">
        <w:rPr>
          <w:rFonts w:eastAsia="Times New Roman" w:cs="Times New Roman"/>
          <w:lang w:val="en-US" w:eastAsia="zh-CN"/>
        </w:rPr>
        <w:t xml:space="preserve"> </w:t>
      </w:r>
    </w:p>
    <w:p w14:paraId="7A63D5B3" w14:textId="77777777" w:rsidR="00DE4AFD" w:rsidRPr="00303844" w:rsidRDefault="004A4F56" w:rsidP="000C622D">
      <w:pPr>
        <w:pStyle w:val="30"/>
        <w:spacing w:before="0" w:after="0" w:line="360" w:lineRule="auto"/>
        <w:rPr>
          <w:rFonts w:cs="Times New Roman"/>
        </w:rPr>
      </w:pPr>
      <w:bookmarkStart w:id="132" w:name="_Toc184889671"/>
      <w:r w:rsidRPr="00303844">
        <w:rPr>
          <w:rFonts w:eastAsia="Times New Roman" w:cs="Times New Roman"/>
          <w:color w:val="333333"/>
        </w:rPr>
        <w:t>Completion of Original Medical Records</w:t>
      </w:r>
      <w:bookmarkEnd w:id="132"/>
    </w:p>
    <w:p w14:paraId="630A3461"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The original medical records should be kept in their entirety as the original documents for the clinical study.</w:t>
      </w:r>
      <w:r w:rsidRPr="00303844">
        <w:rPr>
          <w:rFonts w:eastAsia="Times New Roman" w:cs="Times New Roman"/>
          <w:lang w:val="en-US" w:eastAsia="zh-CN"/>
        </w:rPr>
        <w:t xml:space="preserve"> </w:t>
      </w:r>
      <w:r w:rsidRPr="00303844">
        <w:rPr>
          <w:rFonts w:eastAsia="Times New Roman" w:cs="Times New Roman"/>
          <w:color w:val="333333"/>
          <w:lang w:val="en-US" w:eastAsia="zh-CN"/>
        </w:rPr>
        <w:t xml:space="preserve">The investigator is responsible for filling out and keeping the original medical records. Before each completion, the subject information on the cover of the medical records should be checked, and medical records should be completed in neat and legible handwriting to facilitate data reconciliation with the eCRF by the CRA of the sponsor during each monitoring. </w:t>
      </w:r>
    </w:p>
    <w:p w14:paraId="19884CED" w14:textId="77777777" w:rsidR="00DE4AFD" w:rsidRPr="00303844" w:rsidRDefault="004A4F56" w:rsidP="000C622D">
      <w:pPr>
        <w:pStyle w:val="30"/>
        <w:spacing w:before="0" w:after="0" w:line="360" w:lineRule="auto"/>
        <w:rPr>
          <w:rFonts w:cs="Times New Roman"/>
        </w:rPr>
      </w:pPr>
      <w:bookmarkStart w:id="133" w:name="_Toc184889672"/>
      <w:r w:rsidRPr="00303844">
        <w:rPr>
          <w:rFonts w:eastAsia="Times New Roman" w:cs="Times New Roman"/>
        </w:rPr>
        <w:t>eCRF Completion</w:t>
      </w:r>
      <w:bookmarkEnd w:id="133"/>
    </w:p>
    <w:p w14:paraId="1CFBD1DA" w14:textId="77777777" w:rsidR="00DE4AFD" w:rsidRPr="00AF1F77" w:rsidRDefault="004A4F56" w:rsidP="008300AC">
      <w:pPr>
        <w:pStyle w:val="HR"/>
        <w:spacing w:after="0"/>
        <w:ind w:firstLineChars="0" w:firstLine="0"/>
        <w:jc w:val="both"/>
        <w:rPr>
          <w:rFonts w:cs="Times New Roman"/>
          <w:lang w:val="en-US" w:eastAsia="zh-CN"/>
        </w:rPr>
      </w:pPr>
      <w:r w:rsidRPr="00AF1F77">
        <w:rPr>
          <w:rFonts w:eastAsia="Times New Roman" w:cs="Times New Roman"/>
          <w:color w:val="333333"/>
          <w:lang w:val="en-US" w:eastAsia="zh-CN"/>
        </w:rPr>
        <w:t>Data in the eCRF should come from original medical records such as study medical records and laboratory test reports and should be consistent with the original documents.</w:t>
      </w:r>
      <w:r w:rsidRPr="00AF1F77">
        <w:rPr>
          <w:rFonts w:eastAsia="Times New Roman" w:cs="Times New Roman"/>
          <w:lang w:val="en-US" w:eastAsia="zh-CN"/>
        </w:rPr>
        <w:t xml:space="preserve"> </w:t>
      </w:r>
      <w:r w:rsidRPr="00AF1F77">
        <w:rPr>
          <w:rFonts w:eastAsia="Times New Roman" w:cs="Times New Roman"/>
          <w:color w:val="333333"/>
          <w:lang w:val="en-US" w:eastAsia="zh-CN"/>
        </w:rPr>
        <w:t>Any observations and inspection results in the study should be recorded in the eCRF in a timely, accurate, complete, standardized, and truthful manner.</w:t>
      </w:r>
      <w:r w:rsidRPr="00AF1F77">
        <w:rPr>
          <w:rFonts w:eastAsia="Times New Roman" w:cs="Times New Roman"/>
          <w:lang w:val="en-US" w:eastAsia="zh-CN"/>
        </w:rPr>
        <w:t xml:space="preserve"> </w:t>
      </w:r>
    </w:p>
    <w:p w14:paraId="03AE630D" w14:textId="77777777" w:rsidR="00DE4AFD" w:rsidRPr="00303844" w:rsidRDefault="004A4F56" w:rsidP="008300AC">
      <w:pPr>
        <w:pStyle w:val="HR"/>
        <w:spacing w:after="0"/>
        <w:ind w:firstLineChars="0" w:firstLine="0"/>
        <w:jc w:val="both"/>
        <w:rPr>
          <w:rFonts w:cs="Times New Roman"/>
          <w:lang w:val="en-US" w:eastAsia="zh-CN"/>
        </w:rPr>
      </w:pPr>
      <w:r w:rsidRPr="00AF1F77">
        <w:rPr>
          <w:rFonts w:eastAsia="Times New Roman" w:cs="Times New Roman"/>
          <w:lang w:val="en-US" w:eastAsia="zh-CN"/>
        </w:rPr>
        <w:t>W</w:t>
      </w:r>
      <w:r w:rsidRPr="00AF1F77">
        <w:rPr>
          <w:rFonts w:eastAsia="Times New Roman" w:cs="Times New Roman"/>
          <w:color w:val="333333"/>
          <w:lang w:val="en-US" w:eastAsia="zh-CN"/>
        </w:rPr>
        <w:t>hen making data corrections in the eCRF, the reason for the data modification should be filled in according to the system prompts.</w:t>
      </w:r>
      <w:r w:rsidRPr="00AF1F77">
        <w:rPr>
          <w:rFonts w:eastAsia="Times New Roman" w:cs="Times New Roman"/>
          <w:lang w:val="en-US" w:eastAsia="zh-CN"/>
        </w:rPr>
        <w:t xml:space="preserve"> </w:t>
      </w:r>
    </w:p>
    <w:p w14:paraId="541AAECE" w14:textId="77777777" w:rsidR="00DE4AFD" w:rsidRPr="00303844" w:rsidRDefault="004A4F56" w:rsidP="000C622D">
      <w:pPr>
        <w:pStyle w:val="30"/>
        <w:spacing w:before="0" w:after="0" w:line="360" w:lineRule="auto"/>
        <w:rPr>
          <w:rFonts w:cs="Times New Roman"/>
        </w:rPr>
      </w:pPr>
      <w:bookmarkStart w:id="134" w:name="_Toc184889673"/>
      <w:r w:rsidRPr="00303844">
        <w:rPr>
          <w:rFonts w:eastAsia="Times New Roman" w:cs="Times New Roman"/>
        </w:rPr>
        <w:lastRenderedPageBreak/>
        <w:t>eCRF Review</w:t>
      </w:r>
      <w:bookmarkEnd w:id="134"/>
    </w:p>
    <w:p w14:paraId="1EB100CF"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 xml:space="preserve">The investigator </w:t>
      </w:r>
      <w:r w:rsidRPr="00303844">
        <w:rPr>
          <w:rFonts w:eastAsia="Times New Roman" w:cs="Times New Roman"/>
          <w:lang w:val="en-US" w:eastAsia="zh-CN"/>
        </w:rPr>
        <w:t xml:space="preserve">should complete, save, and submit the eCRF promptly after each visit of each subject. </w:t>
      </w:r>
      <w:r w:rsidRPr="00AF1F77">
        <w:rPr>
          <w:rFonts w:eastAsia="Times New Roman" w:cs="Times New Roman"/>
          <w:color w:val="333333"/>
          <w:lang w:val="en-US" w:eastAsia="zh-CN"/>
        </w:rPr>
        <w:t>The system's logic check program will check the integrity and logic of the data entered into the EDC system and raise queries for problematic data. The investigator or data entry personnel are allowed to modify or explain the problematic data. Queries can be raised multiple times until the problematic data is resolved.</w:t>
      </w:r>
      <w:r w:rsidRPr="00AF1F77">
        <w:rPr>
          <w:rFonts w:eastAsia="Times New Roman" w:cs="Times New Roman"/>
          <w:lang w:val="en-US" w:eastAsia="zh-CN"/>
        </w:rPr>
        <w:t xml:space="preserve"> </w:t>
      </w:r>
      <w:r w:rsidRPr="00303844">
        <w:rPr>
          <w:rFonts w:eastAsia="Times New Roman" w:cs="Times New Roman"/>
          <w:color w:val="333333"/>
          <w:lang w:val="en-US" w:eastAsia="zh-CN"/>
        </w:rPr>
        <w:t>The CRA, data manager, and medical reviewer may also review the eCRF data and raise queries for any problematic data.</w:t>
      </w:r>
      <w:r w:rsidRPr="00303844">
        <w:rPr>
          <w:rFonts w:eastAsia="Times New Roman" w:cs="Times New Roman"/>
          <w:lang w:val="en-US" w:eastAsia="zh-CN"/>
        </w:rPr>
        <w:t xml:space="preserve"> </w:t>
      </w:r>
      <w:r w:rsidRPr="00303844">
        <w:rPr>
          <w:rFonts w:eastAsia="Times New Roman" w:cs="Times New Roman"/>
          <w:color w:val="333333"/>
          <w:lang w:val="en-US" w:eastAsia="zh-CN"/>
        </w:rPr>
        <w:t>The investigator should respond promptly to queries from the system and data reviewer.</w:t>
      </w:r>
      <w:r w:rsidRPr="00303844">
        <w:rPr>
          <w:rFonts w:eastAsia="Times New Roman" w:cs="Times New Roman"/>
          <w:lang w:val="en-US" w:eastAsia="zh-CN"/>
        </w:rPr>
        <w:t xml:space="preserve"> </w:t>
      </w:r>
      <w:r w:rsidRPr="00303844">
        <w:rPr>
          <w:rFonts w:eastAsia="Times New Roman" w:cs="Times New Roman"/>
          <w:color w:val="333333"/>
          <w:lang w:val="en-US" w:eastAsia="zh-CN"/>
        </w:rPr>
        <w:t>After data cleaning is completed, the investigator electronically signs the completed eCRFs.</w:t>
      </w:r>
      <w:r w:rsidRPr="00303844">
        <w:rPr>
          <w:rFonts w:eastAsia="Times New Roman" w:cs="Times New Roman"/>
          <w:lang w:val="en-US" w:eastAsia="zh-CN"/>
        </w:rPr>
        <w:t xml:space="preserve"> </w:t>
      </w:r>
    </w:p>
    <w:p w14:paraId="0778D53A" w14:textId="77777777" w:rsidR="00DE4AFD" w:rsidRPr="00303844" w:rsidRDefault="004A4F56" w:rsidP="000C622D">
      <w:pPr>
        <w:pStyle w:val="21"/>
        <w:spacing w:before="0" w:after="0" w:line="360" w:lineRule="auto"/>
        <w:rPr>
          <w:rFonts w:eastAsia="宋体" w:cs="Times New Roman"/>
        </w:rPr>
      </w:pPr>
      <w:bookmarkStart w:id="135" w:name="_Toc184889674"/>
      <w:r w:rsidRPr="00303844">
        <w:rPr>
          <w:rFonts w:eastAsia="Times New Roman" w:cs="Times New Roman"/>
        </w:rPr>
        <w:t>Data Management</w:t>
      </w:r>
      <w:bookmarkEnd w:id="135"/>
    </w:p>
    <w:p w14:paraId="4198C53F" w14:textId="77777777" w:rsidR="00DE4AFD" w:rsidRPr="00303844" w:rsidRDefault="004A4F56" w:rsidP="000C622D">
      <w:pPr>
        <w:pStyle w:val="30"/>
        <w:spacing w:before="0" w:after="0" w:line="360" w:lineRule="auto"/>
        <w:rPr>
          <w:rFonts w:cs="Times New Roman"/>
        </w:rPr>
      </w:pPr>
      <w:bookmarkStart w:id="136" w:name="_Toc184889675"/>
      <w:r w:rsidRPr="00303844">
        <w:rPr>
          <w:rFonts w:eastAsia="Times New Roman" w:cs="Times New Roman"/>
          <w:color w:val="333333"/>
        </w:rPr>
        <w:t>Establishment of EDC Database</w:t>
      </w:r>
      <w:bookmarkEnd w:id="136"/>
    </w:p>
    <w:p w14:paraId="1CD3DE0D"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Data managers will establish a study data collection system and database according to the study protocol and provide it online before subject enrollment.</w:t>
      </w:r>
      <w:r w:rsidRPr="00303844">
        <w:rPr>
          <w:rFonts w:eastAsia="Times New Roman" w:cs="Times New Roman"/>
          <w:lang w:val="en-US" w:eastAsia="zh-CN"/>
        </w:rPr>
        <w:t xml:space="preserve"> </w:t>
      </w:r>
      <w:r w:rsidRPr="00303844">
        <w:rPr>
          <w:rFonts w:eastAsia="Times New Roman" w:cs="Times New Roman"/>
          <w:color w:val="333333"/>
          <w:lang w:val="en-US" w:eastAsia="zh-CN"/>
        </w:rPr>
        <w:t>All EDC users need to complete relevant training, and fill out training record and account application form in order to obtain the corresponding account to log in to the system.</w:t>
      </w:r>
      <w:r w:rsidRPr="00303844">
        <w:rPr>
          <w:rFonts w:eastAsia="Times New Roman" w:cs="Times New Roman"/>
          <w:lang w:val="en-US" w:eastAsia="zh-CN"/>
        </w:rPr>
        <w:t xml:space="preserve"> </w:t>
      </w:r>
    </w:p>
    <w:p w14:paraId="06FA5C3D" w14:textId="77777777" w:rsidR="00DE4AFD" w:rsidRPr="00303844" w:rsidRDefault="004A4F56" w:rsidP="000C622D">
      <w:pPr>
        <w:pStyle w:val="30"/>
        <w:spacing w:before="0" w:after="0" w:line="360" w:lineRule="auto"/>
        <w:rPr>
          <w:rFonts w:cs="Times New Roman"/>
        </w:rPr>
      </w:pPr>
      <w:bookmarkStart w:id="137" w:name="_Toc184889676"/>
      <w:r w:rsidRPr="00303844">
        <w:rPr>
          <w:rFonts w:eastAsia="Times New Roman" w:cs="Times New Roman"/>
        </w:rPr>
        <w:t>Data Review and Database Lock</w:t>
      </w:r>
      <w:bookmarkEnd w:id="137"/>
    </w:p>
    <w:p w14:paraId="4DB13686" w14:textId="77777777" w:rsidR="00DE4AFD" w:rsidRPr="00303844" w:rsidRDefault="004A4F56" w:rsidP="008300AC">
      <w:pPr>
        <w:pStyle w:val="HR"/>
        <w:spacing w:after="0"/>
        <w:ind w:firstLineChars="0" w:firstLine="0"/>
        <w:jc w:val="both"/>
        <w:rPr>
          <w:rFonts w:cs="Times New Roman"/>
          <w:lang w:val="en-US" w:eastAsia="zh-CN"/>
        </w:rPr>
      </w:pPr>
      <w:r w:rsidRPr="005338E4">
        <w:rPr>
          <w:rFonts w:eastAsia="Times New Roman" w:cs="Times New Roman"/>
          <w:color w:val="333333"/>
          <w:lang w:val="en-US" w:eastAsia="zh-CN"/>
        </w:rPr>
        <w:t>Prior to database lock, the project team needs to summarize all protocol deviations that occur during the conduct of the study and hold a data review meeting.</w:t>
      </w:r>
      <w:r w:rsidRPr="005338E4">
        <w:rPr>
          <w:rFonts w:eastAsia="Times New Roman" w:cs="Times New Roman"/>
          <w:lang w:val="en-US" w:eastAsia="zh-CN"/>
        </w:rPr>
        <w:t xml:space="preserve"> </w:t>
      </w:r>
      <w:r w:rsidRPr="00303844">
        <w:rPr>
          <w:rFonts w:eastAsia="Times New Roman" w:cs="Times New Roman"/>
          <w:color w:val="333333"/>
          <w:lang w:val="en-US" w:eastAsia="zh-CN"/>
        </w:rPr>
        <w:t>Decisions made at the data review meeting must be documented.</w:t>
      </w:r>
      <w:r w:rsidRPr="00303844">
        <w:rPr>
          <w:rFonts w:eastAsia="Times New Roman" w:cs="Times New Roman"/>
          <w:lang w:val="en-US" w:eastAsia="zh-CN"/>
        </w:rPr>
        <w:t xml:space="preserve"> </w:t>
      </w:r>
    </w:p>
    <w:p w14:paraId="22858C85" w14:textId="77777777" w:rsidR="00DE4AFD" w:rsidRPr="00303844" w:rsidRDefault="004A4F56" w:rsidP="008300AC">
      <w:pPr>
        <w:pStyle w:val="HR"/>
        <w:spacing w:after="0"/>
        <w:ind w:firstLineChars="0" w:firstLine="0"/>
        <w:jc w:val="both"/>
        <w:rPr>
          <w:rFonts w:cs="Times New Roman"/>
          <w:lang w:val="en-US" w:eastAsia="zh-CN"/>
        </w:rPr>
      </w:pPr>
      <w:r w:rsidRPr="005338E4">
        <w:rPr>
          <w:rFonts w:eastAsia="Times New Roman" w:cs="Times New Roman"/>
          <w:color w:val="333333"/>
          <w:lang w:val="en-US" w:eastAsia="zh-CN"/>
        </w:rPr>
        <w:t xml:space="preserve">After all data have been reviewed and approved, the database will be locked upon confirmation by the investigator, sponsor and statistician. After locking, the data files cannot be altered. </w:t>
      </w:r>
      <w:r w:rsidRPr="00303844">
        <w:rPr>
          <w:rFonts w:eastAsia="Times New Roman" w:cs="Times New Roman"/>
          <w:color w:val="333333"/>
          <w:lang w:val="en-US" w:eastAsia="zh-CN"/>
        </w:rPr>
        <w:t xml:space="preserve">The locked data should be properly preserved for future reference. </w:t>
      </w:r>
    </w:p>
    <w:p w14:paraId="786C9BFC" w14:textId="77777777" w:rsidR="00DE4AFD" w:rsidRPr="00303844" w:rsidRDefault="004A4F56" w:rsidP="000C622D">
      <w:pPr>
        <w:pStyle w:val="30"/>
        <w:spacing w:before="0" w:after="0" w:line="360" w:lineRule="auto"/>
        <w:rPr>
          <w:rFonts w:cs="Times New Roman"/>
        </w:rPr>
      </w:pPr>
      <w:bookmarkStart w:id="138" w:name="_Toc184889677"/>
      <w:r w:rsidRPr="00303844">
        <w:rPr>
          <w:rFonts w:eastAsia="Times New Roman" w:cs="Times New Roman"/>
        </w:rPr>
        <w:t>Data Archiving</w:t>
      </w:r>
      <w:bookmarkEnd w:id="138"/>
    </w:p>
    <w:p w14:paraId="79A9124C"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 xml:space="preserve">Upon completion of the study, eCRFs in PDF format will be generated in the EDC system, which will be stored on read-only CDs and submitted to the sponsor and study site for filing and future audits. </w:t>
      </w:r>
    </w:p>
    <w:p w14:paraId="662FE245" w14:textId="77777777" w:rsidR="00DE4AFD" w:rsidRPr="005338E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 xml:space="preserve">Upon completion of the study, eCRFs in PDF format will be generated in the EDC system, which will be stored on read-only CDs and submitted to the sponsor and study site for filing </w:t>
      </w:r>
      <w:r w:rsidRPr="00303844">
        <w:rPr>
          <w:rFonts w:eastAsia="Times New Roman" w:cs="Times New Roman"/>
          <w:color w:val="333333"/>
          <w:lang w:val="en-US" w:eastAsia="zh-CN"/>
        </w:rPr>
        <w:lastRenderedPageBreak/>
        <w:t>and future audits.</w:t>
      </w:r>
      <w:r w:rsidRPr="00303844">
        <w:rPr>
          <w:rFonts w:eastAsia="Times New Roman" w:cs="Times New Roman"/>
          <w:lang w:val="en-US" w:eastAsia="zh-CN"/>
        </w:rPr>
        <w:t xml:space="preserve"> </w:t>
      </w:r>
      <w:r w:rsidRPr="00303844">
        <w:rPr>
          <w:rFonts w:eastAsia="Times New Roman" w:cs="Times New Roman"/>
          <w:color w:val="333333"/>
          <w:lang w:val="en-US" w:eastAsia="zh-CN"/>
        </w:rPr>
        <w:t>After the investigational product is approved for marketing, or even if the clinical study is discontinued early, the sponsor should keep the clinical trial data for at least 10 years.</w:t>
      </w:r>
      <w:r w:rsidRPr="00303844">
        <w:rPr>
          <w:rFonts w:eastAsia="Times New Roman" w:cs="Times New Roman"/>
          <w:lang w:val="en-US" w:eastAsia="zh-CN"/>
        </w:rPr>
        <w:t xml:space="preserve"> </w:t>
      </w:r>
      <w:r w:rsidRPr="00303844">
        <w:rPr>
          <w:rFonts w:eastAsia="Times New Roman" w:cs="Times New Roman"/>
          <w:color w:val="333333"/>
          <w:lang w:val="en-US" w:eastAsia="zh-CN"/>
        </w:rPr>
        <w:t xml:space="preserve">All data of this clinical study belong to the principal investigator and his/her institution. Except as required by the National Medical Products Administration, no one may provide it to a third party in any form without the written consent of the principal investigator </w:t>
      </w:r>
      <w:r w:rsidRPr="00303844">
        <w:rPr>
          <w:rFonts w:eastAsia="Times New Roman" w:cs="Times New Roman"/>
          <w:lang w:val="en-US" w:eastAsia="zh-CN"/>
        </w:rPr>
        <w:t xml:space="preserve">(principal study unit). </w:t>
      </w:r>
    </w:p>
    <w:p w14:paraId="56086A39" w14:textId="77777777" w:rsidR="00DE4AFD" w:rsidRPr="00303844" w:rsidRDefault="004A4F56" w:rsidP="000C622D">
      <w:pPr>
        <w:pStyle w:val="10"/>
        <w:spacing w:before="0" w:after="0" w:line="360" w:lineRule="auto"/>
        <w:jc w:val="both"/>
        <w:rPr>
          <w:rFonts w:cs="Times New Roman"/>
        </w:rPr>
      </w:pPr>
      <w:bookmarkStart w:id="139" w:name="_Toc184889678"/>
      <w:r w:rsidRPr="00303844">
        <w:rPr>
          <w:rFonts w:eastAsia="Times New Roman" w:cs="Times New Roman"/>
          <w:color w:val="333333"/>
        </w:rPr>
        <w:t xml:space="preserve">Source </w:t>
      </w:r>
      <w:r w:rsidRPr="00303844">
        <w:rPr>
          <w:rFonts w:eastAsia="Times New Roman" w:cs="Times New Roman"/>
        </w:rPr>
        <w:t>Data and Source Documents</w:t>
      </w:r>
      <w:bookmarkEnd w:id="139"/>
    </w:p>
    <w:p w14:paraId="1BE001E6" w14:textId="77777777" w:rsidR="00DE4AFD" w:rsidRPr="00303844" w:rsidRDefault="004A4F56" w:rsidP="008300AC">
      <w:pPr>
        <w:pStyle w:val="HR"/>
        <w:spacing w:after="0"/>
        <w:ind w:firstLineChars="0" w:firstLine="0"/>
        <w:jc w:val="both"/>
        <w:rPr>
          <w:rFonts w:cs="Times New Roman"/>
          <w:lang w:val="en-US" w:eastAsia="zh-CN"/>
        </w:rPr>
      </w:pPr>
      <w:r w:rsidRPr="005338E4">
        <w:rPr>
          <w:rFonts w:eastAsia="Times New Roman" w:cs="Times New Roman"/>
          <w:color w:val="333333"/>
          <w:lang w:val="en-US" w:eastAsia="zh-CN"/>
        </w:rPr>
        <w:t>In accordance with ICH E6, relevant regulations, and the study institution's requirements for the protection of subject personal information, each study site must properly keep records related to this study.</w:t>
      </w:r>
      <w:r w:rsidRPr="005338E4">
        <w:rPr>
          <w:rFonts w:eastAsia="Times New Roman" w:cs="Times New Roman"/>
          <w:lang w:val="en-US" w:eastAsia="zh-CN"/>
        </w:rPr>
        <w:t xml:space="preserve"> </w:t>
      </w:r>
      <w:r w:rsidRPr="00303844">
        <w:rPr>
          <w:rFonts w:eastAsia="Times New Roman" w:cs="Times New Roman"/>
          <w:lang w:val="en-US" w:eastAsia="zh-CN"/>
        </w:rPr>
        <w:t>As part of the sponsor's participation in the study,</w:t>
      </w:r>
      <w:r w:rsidRPr="00303844">
        <w:rPr>
          <w:rFonts w:eastAsia="Times New Roman" w:cs="Times New Roman"/>
          <w:color w:val="333333"/>
          <w:lang w:val="en-US" w:eastAsia="zh-CN"/>
        </w:rPr>
        <w:t xml:space="preserve"> study site</w:t>
      </w:r>
      <w:r w:rsidRPr="00303844">
        <w:rPr>
          <w:rFonts w:eastAsia="Times New Roman" w:cs="Times New Roman"/>
          <w:lang w:val="en-US" w:eastAsia="zh-CN"/>
        </w:rPr>
        <w:t xml:space="preserve">s should allow sponsor-authorized representatives and regulatory agencies </w:t>
      </w:r>
      <w:r w:rsidRPr="00303844">
        <w:rPr>
          <w:rFonts w:eastAsia="Times New Roman" w:cs="Times New Roman"/>
          <w:color w:val="333333"/>
          <w:lang w:val="en-US" w:eastAsia="zh-CN"/>
        </w:rPr>
        <w:t>to inspect (and, if legally permitted, copy) clinical records for quality review, auditing, safety assessment, research progress evaluation, and data validity assessment.</w:t>
      </w:r>
      <w:r w:rsidRPr="00303844">
        <w:rPr>
          <w:rFonts w:eastAsia="Times New Roman" w:cs="Times New Roman"/>
          <w:lang w:val="en-US" w:eastAsia="zh-CN"/>
        </w:rPr>
        <w:t xml:space="preserve"> </w:t>
      </w:r>
    </w:p>
    <w:p w14:paraId="7BB58B53"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lang w:val="en-US" w:eastAsia="zh-CN"/>
        </w:rPr>
        <w:t xml:space="preserve">Source data </w:t>
      </w:r>
      <w:r w:rsidRPr="00303844">
        <w:rPr>
          <w:rFonts w:eastAsia="Times New Roman" w:cs="Times New Roman"/>
          <w:color w:val="333333"/>
          <w:lang w:val="en-US" w:eastAsia="zh-CN"/>
        </w:rPr>
        <w:t>represents all information essential for the reconstruction and evaluation of clinical studies, and it is the original record of clinical findings, observations, or other activities. Examples of these original documents and data records include, but are not limited to: hospital records, laboratory records, memos, subject diaries, pharmacy dispensing records, recorded consultations, data from automated instruments, copies or transcriptions that have been verified and deemed to be accurate and complete, microfiche, photographic plate, microfilm strip or disk, X-ray film, and files and records of subjects stored in participating pharmacies, laboratories, and medical technology departments.</w:t>
      </w:r>
      <w:r w:rsidRPr="00303844">
        <w:rPr>
          <w:rFonts w:eastAsia="Times New Roman" w:cs="Times New Roman"/>
          <w:lang w:val="en-US" w:eastAsia="zh-CN"/>
        </w:rPr>
        <w:t xml:space="preserve"> </w:t>
      </w:r>
    </w:p>
    <w:p w14:paraId="7EAEE6E2" w14:textId="77777777" w:rsidR="00DE4AFD" w:rsidRPr="00303844" w:rsidRDefault="004A4F56" w:rsidP="000C622D">
      <w:pPr>
        <w:pStyle w:val="10"/>
        <w:spacing w:before="0" w:after="0" w:line="360" w:lineRule="auto"/>
        <w:jc w:val="both"/>
        <w:rPr>
          <w:rFonts w:cs="Times New Roman"/>
        </w:rPr>
      </w:pPr>
      <w:bookmarkStart w:id="140" w:name="_Toc184889679"/>
      <w:r w:rsidRPr="00303844">
        <w:rPr>
          <w:rFonts w:eastAsia="Times New Roman" w:cs="Times New Roman"/>
          <w:color w:val="333333"/>
        </w:rPr>
        <w:t>Quality Assurance and Quality Control</w:t>
      </w:r>
      <w:bookmarkEnd w:id="140"/>
    </w:p>
    <w:p w14:paraId="16DC767F"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In order to ensure the quality of the trial, the sponsor and the investigator jointly discuss and develop a clinical study plan before the official start of the trial,</w:t>
      </w:r>
      <w:r w:rsidRPr="00303844">
        <w:rPr>
          <w:rFonts w:eastAsia="Times New Roman" w:cs="Times New Roman"/>
          <w:lang w:val="en-US" w:eastAsia="zh-CN"/>
        </w:rPr>
        <w:t xml:space="preserve"> </w:t>
      </w:r>
      <w:r w:rsidRPr="00303844">
        <w:rPr>
          <w:rFonts w:eastAsia="Times New Roman" w:cs="Times New Roman"/>
          <w:color w:val="333333"/>
          <w:lang w:val="en-US" w:eastAsia="zh-CN"/>
        </w:rPr>
        <w:t>and confirm whether the relevant study personnel involved in the trial have received appropriate GCP training.</w:t>
      </w:r>
      <w:r w:rsidRPr="00303844">
        <w:rPr>
          <w:rFonts w:eastAsia="Times New Roman" w:cs="Times New Roman"/>
          <w:lang w:val="en-US" w:eastAsia="zh-CN"/>
        </w:rPr>
        <w:t xml:space="preserve"> </w:t>
      </w:r>
    </w:p>
    <w:p w14:paraId="22BAAC7F"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Study medication must be managed by each site in accordance with SOPs, including receipt, storage, distribution, recovery, and destruction.</w:t>
      </w:r>
      <w:r w:rsidRPr="00303844">
        <w:rPr>
          <w:rFonts w:eastAsia="Times New Roman" w:cs="Times New Roman"/>
          <w:lang w:val="en-US" w:eastAsia="zh-CN"/>
        </w:rPr>
        <w:t xml:space="preserve"> </w:t>
      </w:r>
    </w:p>
    <w:p w14:paraId="6E784D1D"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lastRenderedPageBreak/>
        <w:t>According to GCP guidelines, necessary measures should be taken during the design and implementation phases of the study to ensure that the data collected is accurate, consistent, complete, and reliable.</w:t>
      </w:r>
      <w:r w:rsidRPr="00303844">
        <w:rPr>
          <w:rFonts w:eastAsia="Times New Roman" w:cs="Times New Roman"/>
          <w:lang w:val="en-US" w:eastAsia="zh-CN"/>
        </w:rPr>
        <w:t xml:space="preserve"> </w:t>
      </w:r>
      <w:r w:rsidRPr="00303844">
        <w:rPr>
          <w:rFonts w:eastAsia="Times New Roman" w:cs="Times New Roman"/>
          <w:color w:val="333333"/>
          <w:lang w:val="en-US" w:eastAsia="zh-CN"/>
        </w:rPr>
        <w:t>All observation results and abnormal findings in the clinical study should be carefully verified and documented in a timely manner to ensure the reliability of the data.</w:t>
      </w:r>
      <w:r w:rsidRPr="00303844">
        <w:rPr>
          <w:rFonts w:eastAsia="Times New Roman" w:cs="Times New Roman"/>
          <w:lang w:val="en-US" w:eastAsia="zh-CN"/>
        </w:rPr>
        <w:t xml:space="preserve"> </w:t>
      </w:r>
      <w:r w:rsidRPr="00303844">
        <w:rPr>
          <w:rFonts w:eastAsia="Times New Roman" w:cs="Times New Roman"/>
          <w:color w:val="333333"/>
          <w:lang w:val="en-US" w:eastAsia="zh-CN"/>
        </w:rPr>
        <w:t>Instruments, equipment, reagents, and standards used in various examinations in clinical study should follow strict quality standards and function normally.</w:t>
      </w:r>
      <w:r w:rsidRPr="00303844">
        <w:rPr>
          <w:rFonts w:eastAsia="Times New Roman" w:cs="Times New Roman"/>
          <w:lang w:val="en-US" w:eastAsia="zh-CN"/>
        </w:rPr>
        <w:t xml:space="preserve"> </w:t>
      </w:r>
    </w:p>
    <w:p w14:paraId="18334E98"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Information required by the protocol should be entered into eCRF by the investigator. The monitor should verify the integrity and accuracy of the entered information, and instruct the study site personnel to make necessary modifications and additions.</w:t>
      </w:r>
    </w:p>
    <w:p w14:paraId="035AD6D8"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Drug regulatory authority, EC, and monitors and/or auditors of the sponsor may conduct systematic checks on study-related activities and documents to assess whether the study is performed in accordance with the protocol, SOPs and applicable laws and regulations, as well as whether the study data is recorded timely, truthfully, accurately and completely.</w:t>
      </w:r>
      <w:r w:rsidRPr="00303844">
        <w:rPr>
          <w:rFonts w:eastAsia="Times New Roman" w:cs="Times New Roman"/>
          <w:lang w:val="en-US" w:eastAsia="zh-CN"/>
        </w:rPr>
        <w:t xml:space="preserve"> </w:t>
      </w:r>
      <w:r w:rsidRPr="00303844">
        <w:rPr>
          <w:rFonts w:eastAsia="Times New Roman" w:cs="Times New Roman"/>
          <w:color w:val="333333"/>
          <w:lang w:val="en-US" w:eastAsia="zh-CN"/>
        </w:rPr>
        <w:t>Audits should be conducted by personnel not directly involved in the clinical study.</w:t>
      </w:r>
      <w:r w:rsidRPr="00303844">
        <w:rPr>
          <w:rFonts w:eastAsia="Times New Roman" w:cs="Times New Roman"/>
          <w:lang w:val="en-US" w:eastAsia="zh-CN"/>
        </w:rPr>
        <w:t xml:space="preserve"> </w:t>
      </w:r>
    </w:p>
    <w:p w14:paraId="4EF0C3BB" w14:textId="77777777" w:rsidR="00DE4AFD" w:rsidRPr="00303844" w:rsidRDefault="004A4F56" w:rsidP="000C622D">
      <w:pPr>
        <w:pStyle w:val="10"/>
        <w:spacing w:before="0" w:after="0" w:line="360" w:lineRule="auto"/>
        <w:jc w:val="both"/>
        <w:rPr>
          <w:rFonts w:cs="Times New Roman"/>
        </w:rPr>
      </w:pPr>
      <w:bookmarkStart w:id="141" w:name="_Toc184889680"/>
      <w:r w:rsidRPr="00303844">
        <w:rPr>
          <w:rFonts w:eastAsia="Times New Roman" w:cs="Times New Roman"/>
        </w:rPr>
        <w:t>Ethics</w:t>
      </w:r>
      <w:bookmarkEnd w:id="141"/>
    </w:p>
    <w:p w14:paraId="0591BDAB" w14:textId="77777777" w:rsidR="00DE4AFD" w:rsidRPr="00303844" w:rsidRDefault="004A4F56" w:rsidP="000C622D">
      <w:pPr>
        <w:pStyle w:val="21"/>
        <w:spacing w:before="0" w:after="0" w:line="360" w:lineRule="auto"/>
        <w:rPr>
          <w:rFonts w:eastAsia="宋体" w:cs="Times New Roman"/>
        </w:rPr>
      </w:pPr>
      <w:bookmarkStart w:id="142" w:name="_Toc184889681"/>
      <w:r w:rsidRPr="00303844">
        <w:rPr>
          <w:rFonts w:eastAsia="Times New Roman" w:cs="Times New Roman"/>
          <w:color w:val="333333"/>
        </w:rPr>
        <w:t>Ethical Codes</w:t>
      </w:r>
      <w:bookmarkEnd w:id="142"/>
    </w:p>
    <w:p w14:paraId="43260FB4"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 xml:space="preserve">This clinical trial must comply with the International Ethical Guidelines for Biomedical Research in Humans (CIOMS, 2002), the current ICH-GCP, the Declaration of Helsinki, and relevant regulations. </w:t>
      </w:r>
      <w:r w:rsidRPr="00303844">
        <w:rPr>
          <w:rFonts w:eastAsia="Times New Roman" w:cs="Times New Roman"/>
          <w:lang w:val="en-US" w:eastAsia="zh-CN"/>
        </w:rPr>
        <w:t xml:space="preserve">Before the start of the study, the </w:t>
      </w:r>
      <w:r w:rsidRPr="00303844">
        <w:rPr>
          <w:rFonts w:eastAsia="Times New Roman" w:cs="Times New Roman"/>
          <w:color w:val="333333"/>
          <w:lang w:val="en-US" w:eastAsia="zh-CN"/>
        </w:rPr>
        <w:t>EC should be provided with the protocol, protocol amendments, ICF and other relevant documents, such as recruitment advertisements.</w:t>
      </w:r>
      <w:r w:rsidRPr="00303844">
        <w:rPr>
          <w:rFonts w:eastAsia="Times New Roman" w:cs="Times New Roman"/>
          <w:lang w:val="en-US" w:eastAsia="zh-CN"/>
        </w:rPr>
        <w:t xml:space="preserve"> </w:t>
      </w:r>
      <w:r w:rsidRPr="00303844">
        <w:rPr>
          <w:rFonts w:eastAsia="Times New Roman" w:cs="Times New Roman"/>
          <w:color w:val="333333"/>
          <w:lang w:val="en-US" w:eastAsia="zh-CN"/>
        </w:rPr>
        <w:t>This study must be approved by relevant regulatory departments and the Hospital EC before it can be conducted.</w:t>
      </w:r>
      <w:r w:rsidRPr="00303844">
        <w:rPr>
          <w:rFonts w:eastAsia="Times New Roman" w:cs="Times New Roman"/>
          <w:lang w:val="en-US" w:eastAsia="zh-CN"/>
        </w:rPr>
        <w:t xml:space="preserve"> </w:t>
      </w:r>
    </w:p>
    <w:p w14:paraId="26354A47"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Neither party may unilaterally modify this study protocol without the agreement of both the sponsor and the investigator. The modified protocol must be approved by the EC before implementation.</w:t>
      </w:r>
      <w:r w:rsidRPr="00303844">
        <w:rPr>
          <w:rFonts w:eastAsia="Times New Roman" w:cs="Times New Roman"/>
          <w:lang w:val="en-US" w:eastAsia="zh-CN"/>
        </w:rPr>
        <w:t xml:space="preserve"> If, in order to eliminate obvious direct harm to the subjects, the investigator must enter a process that deviates from the protocol, they must immediately notify the EC and the sponsor in writing after the deviation is implemented, and explain and record any deviations made from the protocol. </w:t>
      </w:r>
    </w:p>
    <w:p w14:paraId="656F501F"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lastRenderedPageBreak/>
        <w:t>During the clinical study, any modifications made to the protocol should be submitted to the EC, and, if necessary, other study documents should be revised accordingly at the same time, and submitted for approval according to the requirement of the EC.</w:t>
      </w:r>
      <w:r w:rsidRPr="00303844">
        <w:rPr>
          <w:rFonts w:eastAsia="Times New Roman" w:cs="Times New Roman"/>
          <w:lang w:val="en-US" w:eastAsia="zh-CN"/>
        </w:rPr>
        <w:t xml:space="preserve"> </w:t>
      </w:r>
      <w:r w:rsidRPr="00303844">
        <w:rPr>
          <w:rFonts w:eastAsia="Times New Roman" w:cs="Times New Roman"/>
          <w:color w:val="333333"/>
          <w:lang w:val="en-US" w:eastAsia="zh-CN"/>
        </w:rPr>
        <w:t>The investigator is responsible for submitting interim reports to the EC as required and must notify the EC when the study has ended.</w:t>
      </w:r>
      <w:r w:rsidRPr="00303844">
        <w:rPr>
          <w:rFonts w:eastAsia="Times New Roman" w:cs="Times New Roman"/>
          <w:lang w:val="en-US" w:eastAsia="zh-CN"/>
        </w:rPr>
        <w:t xml:space="preserve"> </w:t>
      </w:r>
    </w:p>
    <w:p w14:paraId="7A61964A" w14:textId="77777777" w:rsidR="00DE4AFD" w:rsidRPr="00303844" w:rsidRDefault="004A4F56" w:rsidP="000C622D">
      <w:pPr>
        <w:pStyle w:val="21"/>
        <w:spacing w:before="0" w:after="0" w:line="360" w:lineRule="auto"/>
        <w:rPr>
          <w:rFonts w:eastAsia="宋体" w:cs="Times New Roman"/>
        </w:rPr>
      </w:pPr>
      <w:bookmarkStart w:id="143" w:name="_Toc184889682"/>
      <w:r w:rsidRPr="00303844">
        <w:rPr>
          <w:rFonts w:eastAsia="Times New Roman" w:cs="Times New Roman"/>
        </w:rPr>
        <w:t>Independent EC</w:t>
      </w:r>
      <w:bookmarkEnd w:id="143"/>
    </w:p>
    <w:p w14:paraId="0CCF9DB5"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lang w:val="en-US" w:eastAsia="zh-CN"/>
        </w:rPr>
        <w:t xml:space="preserve">The protocol, informed consent form, </w:t>
      </w:r>
      <w:r w:rsidRPr="00303844">
        <w:rPr>
          <w:rFonts w:eastAsia="Times New Roman" w:cs="Times New Roman"/>
          <w:color w:val="333333"/>
          <w:lang w:val="en-US" w:eastAsia="zh-CN"/>
        </w:rPr>
        <w:t>recruitment materials, and all materials of subjects will be submitted to the EC for review and approval.</w:t>
      </w:r>
      <w:r w:rsidRPr="00303844">
        <w:rPr>
          <w:rFonts w:eastAsia="Times New Roman" w:cs="Times New Roman"/>
          <w:lang w:val="en-US" w:eastAsia="zh-CN"/>
        </w:rPr>
        <w:t xml:space="preserve"> </w:t>
      </w:r>
      <w:r w:rsidRPr="00303844">
        <w:rPr>
          <w:rFonts w:eastAsia="Times New Roman" w:cs="Times New Roman"/>
          <w:color w:val="333333"/>
          <w:lang w:val="en-US" w:eastAsia="zh-CN"/>
        </w:rPr>
        <w:t>Subject enrollment can be started only after the protocol and ICF are approved.</w:t>
      </w:r>
      <w:r w:rsidRPr="00303844">
        <w:rPr>
          <w:rFonts w:eastAsia="Times New Roman" w:cs="Times New Roman"/>
          <w:lang w:val="en-US" w:eastAsia="zh-CN"/>
        </w:rPr>
        <w:t xml:space="preserve"> </w:t>
      </w:r>
      <w:r w:rsidRPr="00303844">
        <w:rPr>
          <w:rFonts w:eastAsia="Times New Roman" w:cs="Times New Roman"/>
          <w:color w:val="333333"/>
          <w:lang w:val="en-US" w:eastAsia="zh-CN"/>
        </w:rPr>
        <w:t>Any amendments to the protocol must be reviewed and approved by the EC before implementation.</w:t>
      </w:r>
      <w:r w:rsidRPr="00303844">
        <w:rPr>
          <w:rFonts w:eastAsia="Times New Roman" w:cs="Times New Roman"/>
          <w:lang w:val="en-US" w:eastAsia="zh-CN"/>
        </w:rPr>
        <w:t xml:space="preserve"> All revisions to the informed consent form must also be approved by the EC, and it is up to the EC to decide whether subjects who have already signed previous versions of the informed consent form need to re-sign the new version. </w:t>
      </w:r>
    </w:p>
    <w:p w14:paraId="13E1CFF2" w14:textId="77777777" w:rsidR="00DE4AFD" w:rsidRPr="00303844" w:rsidRDefault="004A4F56" w:rsidP="000C622D">
      <w:pPr>
        <w:pStyle w:val="21"/>
        <w:spacing w:before="0" w:after="0" w:line="360" w:lineRule="auto"/>
        <w:rPr>
          <w:rFonts w:eastAsia="宋体" w:cs="Times New Roman"/>
        </w:rPr>
      </w:pPr>
      <w:bookmarkStart w:id="144" w:name="_Toc184889683"/>
      <w:r w:rsidRPr="00303844">
        <w:rPr>
          <w:rFonts w:eastAsia="Times New Roman" w:cs="Times New Roman"/>
        </w:rPr>
        <w:t>Informed Consent</w:t>
      </w:r>
      <w:bookmarkEnd w:id="144"/>
    </w:p>
    <w:p w14:paraId="58F32A50" w14:textId="77777777" w:rsidR="00DE4AFD" w:rsidRPr="00303844" w:rsidRDefault="004A4F56" w:rsidP="000C622D">
      <w:pPr>
        <w:pStyle w:val="30"/>
        <w:spacing w:before="0" w:after="0" w:line="360" w:lineRule="auto"/>
        <w:rPr>
          <w:rFonts w:cs="Times New Roman"/>
        </w:rPr>
      </w:pPr>
      <w:bookmarkStart w:id="145" w:name="_Toc184889684"/>
      <w:r w:rsidRPr="00303844">
        <w:rPr>
          <w:rFonts w:eastAsia="Times New Roman" w:cs="Times New Roman"/>
        </w:rPr>
        <w:t>Informed Consent Form and Other Written Information Required by Subjects</w:t>
      </w:r>
      <w:bookmarkEnd w:id="145"/>
    </w:p>
    <w:p w14:paraId="03AB3022"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lang w:val="en-US" w:eastAsia="zh-CN"/>
        </w:rPr>
        <w:t xml:space="preserve">The informed consent form </w:t>
      </w:r>
      <w:r w:rsidRPr="00303844">
        <w:rPr>
          <w:rFonts w:eastAsia="Times New Roman" w:cs="Times New Roman"/>
          <w:color w:val="333333"/>
          <w:lang w:val="en-US" w:eastAsia="zh-CN"/>
        </w:rPr>
        <w:t>provides a detailed description of the study treatment and procedures, and adequately explains the risks involved in the study. A written informed consent must be obtained before any study-related procedures are conducted on the subjects.</w:t>
      </w:r>
      <w:r w:rsidRPr="00303844">
        <w:rPr>
          <w:rFonts w:eastAsia="Times New Roman" w:cs="Times New Roman"/>
          <w:lang w:val="en-US" w:eastAsia="zh-CN"/>
        </w:rPr>
        <w:t xml:space="preserve"> </w:t>
      </w:r>
      <w:r w:rsidRPr="00303844">
        <w:rPr>
          <w:rFonts w:eastAsia="Times New Roman" w:cs="Times New Roman"/>
          <w:color w:val="333333"/>
          <w:lang w:val="en-US" w:eastAsia="zh-CN"/>
        </w:rPr>
        <w:t>The following informed consent materials will be submitted with the protocol.</w:t>
      </w:r>
      <w:r w:rsidRPr="00303844">
        <w:rPr>
          <w:rFonts w:eastAsia="Times New Roman" w:cs="Times New Roman"/>
          <w:lang w:val="en-US" w:eastAsia="zh-CN"/>
        </w:rPr>
        <w:t xml:space="preserve"> </w:t>
      </w:r>
    </w:p>
    <w:p w14:paraId="59623F7F" w14:textId="77777777" w:rsidR="00DE4AFD" w:rsidRPr="00303844" w:rsidRDefault="004A4F56" w:rsidP="000C622D">
      <w:pPr>
        <w:pStyle w:val="30"/>
        <w:spacing w:before="0" w:after="0" w:line="360" w:lineRule="auto"/>
        <w:rPr>
          <w:rFonts w:cs="Times New Roman"/>
        </w:rPr>
      </w:pPr>
      <w:bookmarkStart w:id="146" w:name="_Toc184889685"/>
      <w:r w:rsidRPr="00303844">
        <w:rPr>
          <w:rFonts w:eastAsia="Times New Roman" w:cs="Times New Roman"/>
        </w:rPr>
        <w:t>Informed Consent Process and Records</w:t>
      </w:r>
      <w:bookmarkEnd w:id="146"/>
    </w:p>
    <w:p w14:paraId="292ADF5A"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Informed consent process should begin before subjects agree to participate in the clinical study and continue throughout the entire process of the clinical study. The risks and potential benefits of participating in the study will be discussed in detail and thoroughly with subjects or their guardian.</w:t>
      </w:r>
      <w:r w:rsidRPr="00303844">
        <w:rPr>
          <w:rFonts w:eastAsia="Times New Roman" w:cs="Times New Roman"/>
          <w:lang w:val="en-US" w:eastAsia="zh-CN"/>
        </w:rPr>
        <w:t xml:space="preserve"> </w:t>
      </w:r>
      <w:r w:rsidRPr="00303844">
        <w:rPr>
          <w:rFonts w:eastAsia="Times New Roman" w:cs="Times New Roman"/>
          <w:color w:val="333333"/>
          <w:lang w:val="en-US" w:eastAsia="zh-CN"/>
        </w:rPr>
        <w:t>The subject will be asked to review the informed consent form approved by the EC.</w:t>
      </w:r>
      <w:r w:rsidRPr="00303844">
        <w:rPr>
          <w:rFonts w:eastAsia="Times New Roman" w:cs="Times New Roman"/>
          <w:lang w:val="en-US" w:eastAsia="zh-CN"/>
        </w:rPr>
        <w:t xml:space="preserve"> </w:t>
      </w:r>
      <w:r w:rsidRPr="00303844">
        <w:rPr>
          <w:rFonts w:eastAsia="Times New Roman" w:cs="Times New Roman"/>
          <w:color w:val="333333"/>
          <w:lang w:val="en-US" w:eastAsia="zh-CN"/>
        </w:rPr>
        <w:t>The investigator will explain the clinical study to the subjects and answer any questions they may have.</w:t>
      </w:r>
      <w:r w:rsidRPr="00303844">
        <w:rPr>
          <w:rFonts w:eastAsia="Times New Roman" w:cs="Times New Roman"/>
          <w:lang w:val="en-US" w:eastAsia="zh-CN"/>
        </w:rPr>
        <w:t xml:space="preserve"> </w:t>
      </w:r>
      <w:r w:rsidRPr="00303844">
        <w:rPr>
          <w:rFonts w:eastAsia="Times New Roman" w:cs="Times New Roman"/>
          <w:color w:val="333333"/>
          <w:lang w:val="en-US" w:eastAsia="zh-CN"/>
        </w:rPr>
        <w:t>Subjects can only begin participating in the study after signing the</w:t>
      </w:r>
      <w:r w:rsidRPr="00303844">
        <w:rPr>
          <w:rFonts w:eastAsia="Times New Roman" w:cs="Times New Roman"/>
          <w:lang w:val="en-US" w:eastAsia="zh-CN"/>
        </w:rPr>
        <w:t xml:space="preserve"> informed consent form. </w:t>
      </w:r>
      <w:r w:rsidRPr="00303844">
        <w:rPr>
          <w:rFonts w:eastAsia="Times New Roman" w:cs="Times New Roman"/>
          <w:color w:val="333333"/>
          <w:lang w:val="en-US" w:eastAsia="zh-CN"/>
        </w:rPr>
        <w:t>During the entire process of the clinical study, subjects may withdraw consent at any time.</w:t>
      </w:r>
      <w:r w:rsidRPr="00303844">
        <w:rPr>
          <w:rFonts w:eastAsia="Times New Roman" w:cs="Times New Roman"/>
          <w:lang w:val="en-US" w:eastAsia="zh-CN"/>
        </w:rPr>
        <w:t xml:space="preserve"> A copy of the informed consent form will be retained by the subject. </w:t>
      </w:r>
      <w:r w:rsidRPr="00303844">
        <w:rPr>
          <w:rFonts w:eastAsia="Times New Roman" w:cs="Times New Roman"/>
          <w:color w:val="333333"/>
          <w:lang w:val="en-US" w:eastAsia="zh-CN"/>
        </w:rPr>
        <w:t xml:space="preserve">Even if patients </w:t>
      </w:r>
      <w:r w:rsidRPr="00303844">
        <w:rPr>
          <w:rFonts w:eastAsia="Times New Roman" w:cs="Times New Roman"/>
          <w:color w:val="333333"/>
          <w:lang w:val="en-US" w:eastAsia="zh-CN"/>
        </w:rPr>
        <w:lastRenderedPageBreak/>
        <w:t>decline to participate in the study, their rights will be fully protected, and the quality of their medical care will not be affected in any way.</w:t>
      </w:r>
      <w:r w:rsidRPr="00303844">
        <w:rPr>
          <w:rFonts w:eastAsia="Times New Roman" w:cs="Times New Roman"/>
          <w:lang w:val="en-US" w:eastAsia="zh-CN"/>
        </w:rPr>
        <w:t xml:space="preserve"> </w:t>
      </w:r>
    </w:p>
    <w:p w14:paraId="6CC74EF8" w14:textId="77777777" w:rsidR="00DE4AFD" w:rsidRPr="00303844" w:rsidRDefault="004A4F56" w:rsidP="000C622D">
      <w:pPr>
        <w:pStyle w:val="21"/>
        <w:spacing w:before="0" w:after="0" w:line="360" w:lineRule="auto"/>
        <w:rPr>
          <w:rFonts w:eastAsia="宋体" w:cs="Times New Roman"/>
        </w:rPr>
      </w:pPr>
      <w:bookmarkStart w:id="147" w:name="_Toc184889686"/>
      <w:r w:rsidRPr="00303844">
        <w:rPr>
          <w:rFonts w:eastAsia="Times New Roman" w:cs="Times New Roman"/>
        </w:rPr>
        <w:t>Confidentiality of Subject Information</w:t>
      </w:r>
      <w:bookmarkEnd w:id="147"/>
    </w:p>
    <w:p w14:paraId="352D60AD"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The confidentiality of subject information is strictly kept by the investigator, study participants, the sponsor and its agent.</w:t>
      </w:r>
      <w:r w:rsidRPr="00303844">
        <w:rPr>
          <w:rFonts w:eastAsia="Times New Roman" w:cs="Times New Roman"/>
          <w:lang w:val="en-US" w:eastAsia="zh-CN"/>
        </w:rPr>
        <w:t xml:space="preserve"> </w:t>
      </w:r>
      <w:r w:rsidRPr="00303844">
        <w:rPr>
          <w:rFonts w:eastAsia="Times New Roman" w:cs="Times New Roman"/>
          <w:color w:val="333333"/>
          <w:lang w:val="en-US" w:eastAsia="zh-CN"/>
        </w:rPr>
        <w:t>Confidentiality also encompasses biological samples and genetic tests, in addition to the subject's clinical information.</w:t>
      </w:r>
      <w:r w:rsidRPr="00303844">
        <w:rPr>
          <w:rFonts w:eastAsia="Times New Roman" w:cs="Times New Roman"/>
          <w:lang w:val="en-US" w:eastAsia="zh-CN"/>
        </w:rPr>
        <w:t xml:space="preserve"> </w:t>
      </w:r>
      <w:r w:rsidRPr="00303844">
        <w:rPr>
          <w:rFonts w:eastAsia="Times New Roman" w:cs="Times New Roman"/>
          <w:color w:val="333333"/>
          <w:lang w:val="en-US" w:eastAsia="zh-CN"/>
        </w:rPr>
        <w:t>Therefore, the study protocol, documents, data, and all other information generated will be kept strictly confidential. No relevant study or data information should be disclosed to any unauthorized third party without the prior written approval of the sponsor.</w:t>
      </w:r>
      <w:r w:rsidRPr="00303844">
        <w:rPr>
          <w:rFonts w:eastAsia="Times New Roman" w:cs="Times New Roman"/>
          <w:lang w:val="en-US" w:eastAsia="zh-CN"/>
        </w:rPr>
        <w:t xml:space="preserve"> </w:t>
      </w:r>
    </w:p>
    <w:p w14:paraId="28E2ABEF"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Other authorized representatives of the sponsor, ECs, and regulatory authorities may inspect all documents and records that the investigator is required to maintain. These include, but are not limited to, medical records and subject treatment records.</w:t>
      </w:r>
      <w:r w:rsidRPr="00303844">
        <w:rPr>
          <w:rFonts w:eastAsia="Times New Roman" w:cs="Times New Roman"/>
          <w:lang w:val="en-US" w:eastAsia="zh-CN"/>
        </w:rPr>
        <w:t xml:space="preserve"> </w:t>
      </w:r>
      <w:r w:rsidRPr="00303844">
        <w:rPr>
          <w:rFonts w:eastAsia="Times New Roman" w:cs="Times New Roman"/>
          <w:color w:val="333333"/>
          <w:lang w:val="en-US" w:eastAsia="zh-CN"/>
        </w:rPr>
        <w:t xml:space="preserve">The study site should allow access to these records. </w:t>
      </w:r>
    </w:p>
    <w:p w14:paraId="1AEAB68F" w14:textId="77777777" w:rsidR="00DE4AFD" w:rsidRPr="00303844" w:rsidRDefault="004A4F56" w:rsidP="008300AC">
      <w:pPr>
        <w:pStyle w:val="HR"/>
        <w:spacing w:after="0"/>
        <w:ind w:firstLineChars="0" w:firstLine="0"/>
        <w:jc w:val="both"/>
        <w:rPr>
          <w:rFonts w:cs="Times New Roman"/>
          <w:lang w:val="en-US" w:eastAsia="zh-CN"/>
        </w:rPr>
      </w:pPr>
      <w:r w:rsidRPr="00303844">
        <w:rPr>
          <w:rFonts w:eastAsia="Times New Roman" w:cs="Times New Roman"/>
          <w:color w:val="333333"/>
          <w:lang w:val="en-US" w:eastAsia="zh-CN"/>
        </w:rPr>
        <w:t>The contact information of subjects will be securely stored at each study site and used internally only during the study process.</w:t>
      </w:r>
      <w:r w:rsidRPr="00303844">
        <w:rPr>
          <w:rFonts w:eastAsia="Times New Roman" w:cs="Times New Roman"/>
          <w:lang w:val="en-US" w:eastAsia="zh-CN"/>
        </w:rPr>
        <w:t xml:space="preserve"> </w:t>
      </w:r>
      <w:r w:rsidRPr="00303844">
        <w:rPr>
          <w:rFonts w:eastAsia="Times New Roman" w:cs="Times New Roman"/>
          <w:color w:val="333333"/>
          <w:lang w:val="en-US" w:eastAsia="zh-CN"/>
        </w:rPr>
        <w:t>At the end of the study, all records will continue to be stored securely according to the time limits specified by the local EC and regulations.</w:t>
      </w:r>
      <w:r w:rsidRPr="00303844">
        <w:rPr>
          <w:rFonts w:eastAsia="Times New Roman" w:cs="Times New Roman"/>
          <w:lang w:val="en-US" w:eastAsia="zh-CN"/>
        </w:rPr>
        <w:t xml:space="preserve"> </w:t>
      </w:r>
    </w:p>
    <w:p w14:paraId="396A5169" w14:textId="77777777" w:rsidR="00DE4AFD" w:rsidRPr="00303844" w:rsidRDefault="004A4F56" w:rsidP="000C622D">
      <w:pPr>
        <w:pStyle w:val="30"/>
        <w:spacing w:before="0" w:after="0" w:line="360" w:lineRule="auto"/>
        <w:rPr>
          <w:rFonts w:cs="Times New Roman"/>
        </w:rPr>
      </w:pPr>
      <w:bookmarkStart w:id="148" w:name="_Toc184889687"/>
      <w:r w:rsidRPr="00303844">
        <w:rPr>
          <w:rFonts w:eastAsia="Times New Roman" w:cs="Times New Roman"/>
          <w:color w:val="333333"/>
        </w:rPr>
        <w:t>Study Use of Samples, Specimens, or Data</w:t>
      </w:r>
      <w:bookmarkEnd w:id="148"/>
    </w:p>
    <w:p w14:paraId="3EC1EB3B" w14:textId="77777777" w:rsidR="00DE4AFD" w:rsidRPr="00303844" w:rsidRDefault="004A4F56" w:rsidP="000C622D">
      <w:pPr>
        <w:pStyle w:val="HR"/>
        <w:numPr>
          <w:ilvl w:val="0"/>
          <w:numId w:val="27"/>
        </w:numPr>
        <w:spacing w:after="0"/>
        <w:ind w:firstLineChars="0"/>
        <w:jc w:val="both"/>
        <w:rPr>
          <w:rFonts w:cs="Times New Roman"/>
          <w:lang w:val="en-US" w:eastAsia="zh-CN"/>
        </w:rPr>
      </w:pPr>
      <w:r w:rsidRPr="00303844">
        <w:rPr>
          <w:rFonts w:eastAsia="Times New Roman" w:cs="Times New Roman"/>
          <w:lang w:val="en-US" w:eastAsia="zh-CN"/>
        </w:rPr>
        <w:t xml:space="preserve">Planned Use: The samples and data collected according to this protocol will be used for the analysis and data publication of this study and will not be used for any unrelated purposes. </w:t>
      </w:r>
    </w:p>
    <w:p w14:paraId="306A1837" w14:textId="77777777" w:rsidR="00DE4AFD" w:rsidRPr="00303844" w:rsidRDefault="004A4F56" w:rsidP="000C622D">
      <w:pPr>
        <w:pStyle w:val="HR"/>
        <w:numPr>
          <w:ilvl w:val="0"/>
          <w:numId w:val="27"/>
        </w:numPr>
        <w:spacing w:after="0"/>
        <w:ind w:firstLineChars="0"/>
        <w:jc w:val="both"/>
        <w:rPr>
          <w:rFonts w:cs="Times New Roman"/>
          <w:lang w:val="en-US" w:eastAsia="zh-CN"/>
        </w:rPr>
      </w:pPr>
      <w:r w:rsidRPr="00303844">
        <w:rPr>
          <w:rFonts w:eastAsia="Times New Roman" w:cs="Times New Roman"/>
          <w:lang w:val="en-US" w:eastAsia="zh-CN"/>
        </w:rPr>
        <w:t xml:space="preserve">Storage: When storing samples and data, they will be numbered by the study. Data in computers will also be password protected. Only study personnel have the right to access these samples and data. </w:t>
      </w:r>
    </w:p>
    <w:p w14:paraId="712FD164" w14:textId="77777777" w:rsidR="00DE4AFD" w:rsidRPr="00303844" w:rsidRDefault="004A4F56" w:rsidP="000C622D">
      <w:pPr>
        <w:pStyle w:val="10"/>
        <w:spacing w:before="0" w:after="0" w:line="360" w:lineRule="auto"/>
        <w:jc w:val="both"/>
        <w:rPr>
          <w:rFonts w:cs="Times New Roman"/>
        </w:rPr>
      </w:pPr>
      <w:bookmarkStart w:id="149" w:name="_Toc184889688"/>
      <w:r w:rsidRPr="00303844">
        <w:rPr>
          <w:rFonts w:eastAsia="Times New Roman" w:cs="Times New Roman"/>
        </w:rPr>
        <w:t>Publication of Study Results</w:t>
      </w:r>
      <w:bookmarkEnd w:id="149"/>
    </w:p>
    <w:p w14:paraId="5280DA3F" w14:textId="77777777" w:rsidR="00DE4AFD" w:rsidRPr="00303844" w:rsidRDefault="004A4F56" w:rsidP="000C622D">
      <w:pPr>
        <w:pStyle w:val="21"/>
        <w:spacing w:before="0" w:after="0" w:line="360" w:lineRule="auto"/>
        <w:rPr>
          <w:rFonts w:eastAsia="宋体" w:cs="Times New Roman"/>
        </w:rPr>
      </w:pPr>
      <w:bookmarkStart w:id="150" w:name="_Toc184889689"/>
      <w:r w:rsidRPr="00303844">
        <w:rPr>
          <w:rFonts w:eastAsia="Times New Roman" w:cs="Times New Roman"/>
          <w:color w:val="333333"/>
        </w:rPr>
        <w:t>Utilization of Study Data</w:t>
      </w:r>
      <w:bookmarkEnd w:id="150"/>
    </w:p>
    <w:p w14:paraId="34417289" w14:textId="77777777" w:rsidR="00DE4AFD" w:rsidRPr="00303844" w:rsidRDefault="004A4F56" w:rsidP="008300AC">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t xml:space="preserve">All the study specific data concerning </w:t>
      </w:r>
      <w:proofErr w:type="spellStart"/>
      <w:r w:rsidRPr="00303844">
        <w:rPr>
          <w:rFonts w:eastAsia="Times New Roman" w:cs="Times New Roman"/>
          <w:color w:val="000000"/>
          <w:lang w:val="en-US" w:eastAsia="zh-CN"/>
        </w:rPr>
        <w:t>surufatinib</w:t>
      </w:r>
      <w:proofErr w:type="spellEnd"/>
      <w:r w:rsidRPr="00303844">
        <w:rPr>
          <w:rFonts w:eastAsia="Times New Roman" w:cs="Times New Roman"/>
          <w:color w:val="000000"/>
          <w:lang w:val="en-US" w:eastAsia="zh-CN"/>
        </w:rPr>
        <w:t>, such as patent application, dosage form, manufacturing process, and basic study data, should be regarded as confidential information as long as these data has not been published.</w:t>
      </w:r>
      <w:r w:rsidRPr="00303844">
        <w:rPr>
          <w:rFonts w:eastAsia="Times New Roman" w:cs="Times New Roman"/>
          <w:lang w:val="en-US" w:eastAsia="zh-CN"/>
        </w:rPr>
        <w:t xml:space="preserve"> </w:t>
      </w:r>
    </w:p>
    <w:p w14:paraId="4DD3CED4" w14:textId="77777777" w:rsidR="00DE4AFD" w:rsidRPr="00303844" w:rsidRDefault="004A4F56" w:rsidP="008300AC">
      <w:pPr>
        <w:pStyle w:val="HR"/>
        <w:spacing w:after="0"/>
        <w:ind w:firstLineChars="0" w:firstLine="0"/>
        <w:jc w:val="both"/>
        <w:rPr>
          <w:rFonts w:cs="Times New Roman"/>
          <w:iCs/>
          <w:color w:val="000000" w:themeColor="text1"/>
          <w:lang w:val="en-US" w:eastAsia="zh-CN"/>
        </w:rPr>
      </w:pPr>
      <w:r w:rsidRPr="00303844">
        <w:rPr>
          <w:rFonts w:eastAsia="Times New Roman" w:cs="Times New Roman"/>
          <w:color w:val="000000"/>
          <w:lang w:val="en-US" w:eastAsia="zh-CN"/>
        </w:rPr>
        <w:lastRenderedPageBreak/>
        <w:t>Study data obtained in this study will also be considered confidential.</w:t>
      </w:r>
      <w:r w:rsidRPr="00303844">
        <w:rPr>
          <w:rFonts w:eastAsia="Times New Roman" w:cs="Times New Roman"/>
          <w:lang w:val="en-US" w:eastAsia="zh-CN"/>
        </w:rPr>
        <w:t xml:space="preserve"> </w:t>
      </w:r>
      <w:r w:rsidRPr="00303844">
        <w:rPr>
          <w:rFonts w:eastAsia="Times New Roman" w:cs="Times New Roman"/>
          <w:color w:val="000000"/>
          <w:lang w:val="en-US" w:eastAsia="zh-CN"/>
        </w:rPr>
        <w:t>The sponsor and investigator shall make it publicly available to other clinical study personnel, NMPA, or other government agencies as appropriate.</w:t>
      </w:r>
      <w:r w:rsidRPr="00303844">
        <w:rPr>
          <w:rFonts w:eastAsia="Times New Roman" w:cs="Times New Roman"/>
          <w:lang w:val="en-US" w:eastAsia="zh-CN"/>
        </w:rPr>
        <w:t xml:space="preserve"> </w:t>
      </w:r>
      <w:r w:rsidRPr="00303844">
        <w:rPr>
          <w:rFonts w:eastAsia="Times New Roman" w:cs="Times New Roman"/>
          <w:color w:val="000000"/>
          <w:lang w:val="en-US" w:eastAsia="zh-CN"/>
        </w:rPr>
        <w:t>To ensure the integrity of the clinical data analysis, the study personnel are obliged to provide the complete study results and data to the sponsor.</w:t>
      </w:r>
      <w:r w:rsidRPr="00303844">
        <w:rPr>
          <w:rFonts w:eastAsia="Times New Roman" w:cs="Times New Roman"/>
          <w:lang w:val="en-US" w:eastAsia="zh-CN"/>
        </w:rPr>
        <w:t xml:space="preserve"> </w:t>
      </w:r>
    </w:p>
    <w:p w14:paraId="51B28BC8" w14:textId="77777777" w:rsidR="00DE4AFD" w:rsidRPr="005338E4" w:rsidRDefault="004A4F56" w:rsidP="008300AC">
      <w:pPr>
        <w:pStyle w:val="HR"/>
        <w:spacing w:after="0"/>
        <w:ind w:firstLineChars="0" w:firstLine="0"/>
        <w:jc w:val="both"/>
        <w:rPr>
          <w:rFonts w:cs="Times New Roman"/>
          <w:iCs/>
          <w:color w:val="000000" w:themeColor="text1"/>
          <w:kern w:val="0"/>
          <w:lang w:val="en-US" w:eastAsia="zh-CN"/>
        </w:rPr>
      </w:pPr>
      <w:r w:rsidRPr="00303844">
        <w:rPr>
          <w:rFonts w:eastAsia="Times New Roman" w:cs="Times New Roman"/>
          <w:color w:val="000000"/>
          <w:lang w:val="en-US" w:eastAsia="zh-CN"/>
        </w:rPr>
        <w:t>The investigator must ensure that the privacy of the subjects is not disclosed to any unauthorized third party.</w:t>
      </w:r>
      <w:r w:rsidRPr="00303844">
        <w:rPr>
          <w:rFonts w:eastAsia="Times New Roman" w:cs="Times New Roman"/>
          <w:lang w:val="en-US" w:eastAsia="zh-CN"/>
        </w:rPr>
        <w:t xml:space="preserve"> </w:t>
      </w:r>
      <w:r w:rsidRPr="00303844">
        <w:rPr>
          <w:rFonts w:eastAsia="Times New Roman" w:cs="Times New Roman"/>
          <w:color w:val="000000"/>
          <w:lang w:val="en-US" w:eastAsia="zh-CN"/>
        </w:rPr>
        <w:t>The names of the patients should not be included in submitted CRF and other documents, but only identified with codes.</w:t>
      </w:r>
      <w:r w:rsidRPr="00303844">
        <w:rPr>
          <w:rFonts w:eastAsia="Times New Roman" w:cs="Times New Roman"/>
          <w:lang w:val="en-US" w:eastAsia="zh-CN"/>
        </w:rPr>
        <w:t xml:space="preserve"> </w:t>
      </w:r>
      <w:r w:rsidRPr="00303844">
        <w:rPr>
          <w:rFonts w:eastAsia="Times New Roman" w:cs="Times New Roman"/>
          <w:color w:val="000000"/>
          <w:lang w:val="en-US" w:eastAsia="zh-CN"/>
        </w:rPr>
        <w:t>The investigator may retain an enrollment form containing the patient’s signature code, name, and address.</w:t>
      </w:r>
      <w:r w:rsidRPr="00303844">
        <w:rPr>
          <w:rFonts w:eastAsia="Times New Roman" w:cs="Times New Roman"/>
          <w:lang w:val="en-US" w:eastAsia="zh-CN"/>
        </w:rPr>
        <w:t xml:space="preserve"> </w:t>
      </w:r>
      <w:r w:rsidRPr="00303844">
        <w:rPr>
          <w:rFonts w:eastAsia="Times New Roman" w:cs="Times New Roman"/>
          <w:color w:val="000000"/>
          <w:lang w:val="en-US" w:eastAsia="zh-CN"/>
        </w:rPr>
        <w:t xml:space="preserve">Informed consent forms and other documents should be strictly confidential, and not be submitted to sponsor. </w:t>
      </w:r>
    </w:p>
    <w:p w14:paraId="49A95FA8" w14:textId="77777777" w:rsidR="00DE4AFD" w:rsidRPr="00303844" w:rsidRDefault="004A4F56" w:rsidP="000C622D">
      <w:pPr>
        <w:pStyle w:val="21"/>
        <w:spacing w:before="0" w:after="0" w:line="360" w:lineRule="auto"/>
        <w:rPr>
          <w:rFonts w:eastAsia="宋体" w:cs="Times New Roman"/>
        </w:rPr>
      </w:pPr>
      <w:bookmarkStart w:id="151" w:name="_Toc184889690"/>
      <w:r w:rsidRPr="00303844">
        <w:rPr>
          <w:rFonts w:eastAsia="Times New Roman" w:cs="Times New Roman"/>
        </w:rPr>
        <w:t>Publication</w:t>
      </w:r>
      <w:bookmarkEnd w:id="151"/>
    </w:p>
    <w:p w14:paraId="01C78E5F" w14:textId="77777777" w:rsidR="00DE4AFD" w:rsidRPr="00303844" w:rsidRDefault="004A4F56" w:rsidP="008300AC">
      <w:pPr>
        <w:pStyle w:val="HR"/>
        <w:spacing w:after="0"/>
        <w:ind w:firstLineChars="0" w:firstLine="0"/>
        <w:jc w:val="both"/>
        <w:rPr>
          <w:rFonts w:cs="Times New Roman"/>
          <w:color w:val="000000" w:themeColor="text1"/>
          <w:lang w:val="en-US" w:eastAsia="zh-CN"/>
        </w:rPr>
      </w:pPr>
      <w:r w:rsidRPr="00303844">
        <w:rPr>
          <w:rFonts w:eastAsia="Times New Roman" w:cs="Times New Roman"/>
          <w:color w:val="000000"/>
          <w:lang w:val="en-US" w:eastAsia="zh-CN"/>
        </w:rPr>
        <w:t>The results of this study may be published in core journals; the principal investigators who have made important contributions to the conduct and management of the study and staff members who have contributed substantially to the design, interpretation, or analysis of the study (e.g., staff or consultants of sponsor) may be listed.</w:t>
      </w:r>
      <w:r w:rsidRPr="00303844">
        <w:rPr>
          <w:rFonts w:eastAsia="Times New Roman" w:cs="Times New Roman"/>
          <w:lang w:val="en-US" w:eastAsia="zh-CN"/>
        </w:rPr>
        <w:t xml:space="preserve"> </w:t>
      </w:r>
    </w:p>
    <w:p w14:paraId="5FAD79EC" w14:textId="77777777" w:rsidR="00DE4AFD" w:rsidRPr="00303844" w:rsidRDefault="004A4F56" w:rsidP="008300AC">
      <w:pPr>
        <w:pStyle w:val="HR"/>
        <w:spacing w:after="0"/>
        <w:ind w:firstLineChars="0" w:firstLine="0"/>
        <w:jc w:val="both"/>
        <w:rPr>
          <w:rFonts w:cs="Times New Roman"/>
          <w:color w:val="000000" w:themeColor="text1"/>
          <w:lang w:val="en-US" w:eastAsia="zh-CN"/>
        </w:rPr>
      </w:pPr>
      <w:r w:rsidRPr="00303844">
        <w:rPr>
          <w:rFonts w:eastAsia="Times New Roman" w:cs="Times New Roman"/>
          <w:color w:val="000000"/>
          <w:lang w:val="en-US" w:eastAsia="zh-CN"/>
        </w:rPr>
        <w:t>The investigators must obtain the sponsor's consent before submitting academic articles or abstracts.</w:t>
      </w:r>
      <w:r w:rsidRPr="00303844">
        <w:rPr>
          <w:rFonts w:eastAsia="Times New Roman" w:cs="Times New Roman"/>
          <w:lang w:val="en-US" w:eastAsia="zh-CN"/>
        </w:rPr>
        <w:t xml:space="preserve"> </w:t>
      </w:r>
      <w:r w:rsidRPr="00303844">
        <w:rPr>
          <w:rFonts w:eastAsia="Times New Roman" w:cs="Times New Roman"/>
          <w:color w:val="000000"/>
          <w:lang w:val="en-US" w:eastAsia="zh-CN"/>
        </w:rPr>
        <w:t>The study personnel have the right to publish the study results provided that they shall comply with requirements for the protection of confidential information.</w:t>
      </w:r>
      <w:r w:rsidRPr="00303844">
        <w:rPr>
          <w:rFonts w:eastAsia="Times New Roman" w:cs="Times New Roman"/>
          <w:lang w:val="en-US" w:eastAsia="zh-CN"/>
        </w:rPr>
        <w:t xml:space="preserve"> </w:t>
      </w:r>
    </w:p>
    <w:p w14:paraId="1D2B4169" w14:textId="77777777" w:rsidR="00DE4AFD" w:rsidRPr="00303844" w:rsidRDefault="004A4F56" w:rsidP="008300AC">
      <w:pPr>
        <w:pStyle w:val="HR"/>
        <w:spacing w:after="0"/>
        <w:ind w:firstLineChars="0" w:firstLine="0"/>
        <w:jc w:val="both"/>
        <w:rPr>
          <w:rFonts w:cs="Times New Roman"/>
          <w:color w:val="000000" w:themeColor="text1"/>
          <w:lang w:val="en-US" w:eastAsia="zh-CN"/>
        </w:rPr>
      </w:pPr>
      <w:r w:rsidRPr="00303844">
        <w:rPr>
          <w:rFonts w:eastAsia="Times New Roman" w:cs="Times New Roman"/>
          <w:color w:val="000000"/>
          <w:lang w:val="en-US" w:eastAsia="zh-CN"/>
        </w:rPr>
        <w:t xml:space="preserve">The intellectual property rights of confidential materials are common to the sponsor and the research initiating institution, may not be disclosed to others without the written consent of the sponsor and the research initiating institution, and may not be used for other purposes other than this study. </w:t>
      </w:r>
    </w:p>
    <w:p w14:paraId="1F790820" w14:textId="77777777" w:rsidR="00DE4AFD" w:rsidRPr="00303844" w:rsidRDefault="004A4F56" w:rsidP="000C622D">
      <w:pPr>
        <w:pStyle w:val="10"/>
        <w:spacing w:before="0" w:after="0" w:line="360" w:lineRule="auto"/>
        <w:jc w:val="both"/>
        <w:rPr>
          <w:rFonts w:cs="Times New Roman"/>
        </w:rPr>
      </w:pPr>
      <w:bookmarkStart w:id="152" w:name="_Ref461026844"/>
      <w:bookmarkStart w:id="153" w:name="_Toc184889691"/>
      <w:bookmarkEnd w:id="152"/>
      <w:r w:rsidRPr="00303844">
        <w:rPr>
          <w:rFonts w:eastAsia="Times New Roman" w:cs="Times New Roman"/>
        </w:rPr>
        <w:t>References</w:t>
      </w:r>
      <w:bookmarkEnd w:id="153"/>
    </w:p>
    <w:p w14:paraId="01398933" w14:textId="77777777" w:rsidR="00DE4AFD" w:rsidRPr="00303844" w:rsidRDefault="004A4F56" w:rsidP="00DA6838">
      <w:pPr>
        <w:pStyle w:val="Paragraph"/>
        <w:widowControl w:val="0"/>
        <w:snapToGrid w:val="0"/>
        <w:spacing w:after="0" w:line="360" w:lineRule="auto"/>
        <w:jc w:val="both"/>
        <w:rPr>
          <w:iCs/>
        </w:rPr>
      </w:pPr>
      <w:r w:rsidRPr="00303844">
        <w:rPr>
          <w:rFonts w:eastAsia="Times New Roman"/>
          <w:iCs/>
        </w:rPr>
        <w:t>1. GLOBOCAN 2020</w:t>
      </w:r>
    </w:p>
    <w:p w14:paraId="17510747" w14:textId="77777777" w:rsidR="00DE4AFD" w:rsidRPr="00303844" w:rsidRDefault="004A4F56" w:rsidP="00DA6838">
      <w:pPr>
        <w:pStyle w:val="Paragraph"/>
        <w:widowControl w:val="0"/>
        <w:snapToGrid w:val="0"/>
        <w:spacing w:after="0" w:line="360" w:lineRule="auto"/>
        <w:jc w:val="both"/>
        <w:rPr>
          <w:iCs/>
        </w:rPr>
      </w:pPr>
      <w:r w:rsidRPr="00303844">
        <w:rPr>
          <w:rFonts w:eastAsia="Times New Roman"/>
          <w:iCs/>
        </w:rPr>
        <w:t>2. Zeng H, Chen W, Zheng R, et al. Changing cancer survival in China during 2003-15: a pooled analysis of 17 population-based cancer registries. Lancet Glob Health. 2018 May;6(5</w:t>
      </w:r>
      <w:proofErr w:type="gramStart"/>
      <w:r w:rsidRPr="00303844">
        <w:rPr>
          <w:rFonts w:eastAsia="Times New Roman"/>
          <w:iCs/>
        </w:rPr>
        <w:t>):e</w:t>
      </w:r>
      <w:proofErr w:type="gramEnd"/>
      <w:r w:rsidRPr="00303844">
        <w:rPr>
          <w:rFonts w:eastAsia="Times New Roman"/>
          <w:iCs/>
        </w:rPr>
        <w:t>555-e567.</w:t>
      </w:r>
    </w:p>
    <w:p w14:paraId="1A90E68B" w14:textId="77777777" w:rsidR="00DE4AFD" w:rsidRPr="00303844" w:rsidRDefault="004A4F56" w:rsidP="00DA6838">
      <w:pPr>
        <w:pStyle w:val="Paragraph"/>
        <w:widowControl w:val="0"/>
        <w:snapToGrid w:val="0"/>
        <w:spacing w:after="0" w:line="360" w:lineRule="auto"/>
        <w:jc w:val="both"/>
        <w:rPr>
          <w:iCs/>
        </w:rPr>
      </w:pPr>
      <w:r w:rsidRPr="00303844">
        <w:rPr>
          <w:rFonts w:eastAsia="Times New Roman"/>
          <w:iCs/>
        </w:rPr>
        <w:t xml:space="preserve">3. </w:t>
      </w:r>
      <w:r w:rsidRPr="00303844">
        <w:rPr>
          <w:rFonts w:eastAsia="Times New Roman"/>
          <w:iCs/>
          <w:color w:val="000000" w:themeColor="text1"/>
        </w:rPr>
        <w:t xml:space="preserve">Rahib L, Smith BD, Aizenberg R, Rosenzweig AB, Fleshman JM, </w:t>
      </w:r>
      <w:proofErr w:type="spellStart"/>
      <w:r w:rsidRPr="00303844">
        <w:rPr>
          <w:rFonts w:eastAsia="Times New Roman"/>
          <w:iCs/>
          <w:color w:val="000000" w:themeColor="text1"/>
        </w:rPr>
        <w:t>Matrisian</w:t>
      </w:r>
      <w:proofErr w:type="spellEnd"/>
      <w:r w:rsidRPr="00303844">
        <w:rPr>
          <w:rFonts w:eastAsia="Times New Roman"/>
          <w:iCs/>
          <w:color w:val="000000" w:themeColor="text1"/>
        </w:rPr>
        <w:t xml:space="preserve"> LM. Projecting cancer incidence and deaths to 2030: the unexpected burden of thyroid, liver, and pancreas cancers in the United States. Cancer Res. 2014 Jun 1;74(11):2913-21.</w:t>
      </w:r>
    </w:p>
    <w:p w14:paraId="43E926DE" w14:textId="77777777" w:rsidR="00DE4AFD" w:rsidRPr="00303844" w:rsidRDefault="004A4F56" w:rsidP="00DA6838">
      <w:pPr>
        <w:pStyle w:val="Paragraph"/>
        <w:widowControl w:val="0"/>
        <w:snapToGrid w:val="0"/>
        <w:spacing w:after="0" w:line="360" w:lineRule="auto"/>
        <w:jc w:val="both"/>
        <w:rPr>
          <w:iCs/>
        </w:rPr>
      </w:pPr>
      <w:r w:rsidRPr="00303844">
        <w:rPr>
          <w:rFonts w:eastAsia="Times New Roman"/>
          <w:iCs/>
        </w:rPr>
        <w:lastRenderedPageBreak/>
        <w:t>4. Von Hoff DD, Ervin T, Arena FP, et al. Increased survival in pancreatic cancer with nab-paclitaxel plus gemcitabine. N Engl J Med. 2013 Oct 31;369(18):1691-703.</w:t>
      </w:r>
    </w:p>
    <w:p w14:paraId="6284F5F7" w14:textId="77777777" w:rsidR="00DE4AFD" w:rsidRPr="00303844" w:rsidRDefault="004A4F56" w:rsidP="00DA6838">
      <w:pPr>
        <w:pStyle w:val="Paragraph"/>
        <w:widowControl w:val="0"/>
        <w:snapToGrid w:val="0"/>
        <w:spacing w:after="0" w:line="360" w:lineRule="auto"/>
        <w:jc w:val="both"/>
        <w:rPr>
          <w:iCs/>
        </w:rPr>
      </w:pPr>
      <w:r w:rsidRPr="00303844">
        <w:rPr>
          <w:rFonts w:eastAsia="Times New Roman"/>
          <w:iCs/>
        </w:rPr>
        <w:t xml:space="preserve">5. Conroy T, </w:t>
      </w:r>
      <w:proofErr w:type="spellStart"/>
      <w:r w:rsidRPr="00303844">
        <w:rPr>
          <w:rFonts w:eastAsia="Times New Roman"/>
          <w:iCs/>
        </w:rPr>
        <w:t>Desseigne</w:t>
      </w:r>
      <w:proofErr w:type="spellEnd"/>
      <w:r w:rsidRPr="00303844">
        <w:rPr>
          <w:rFonts w:eastAsia="Times New Roman"/>
          <w:iCs/>
        </w:rPr>
        <w:t xml:space="preserve"> F, </w:t>
      </w:r>
      <w:proofErr w:type="spellStart"/>
      <w:r w:rsidRPr="00303844">
        <w:rPr>
          <w:rFonts w:eastAsia="Times New Roman"/>
          <w:iCs/>
        </w:rPr>
        <w:t>Ychou</w:t>
      </w:r>
      <w:proofErr w:type="spellEnd"/>
      <w:r w:rsidRPr="00303844">
        <w:rPr>
          <w:rFonts w:eastAsia="Times New Roman"/>
          <w:iCs/>
        </w:rPr>
        <w:t xml:space="preserve"> M, et al. FOLFIRINOX versus gemcitabine for metastatic pancreatic cancer. N Engl J Med. 2011 May 12;364(19):1817-25.</w:t>
      </w:r>
    </w:p>
    <w:p w14:paraId="21DCE8B0" w14:textId="77777777" w:rsidR="00DE4AFD" w:rsidRPr="00303844" w:rsidRDefault="004A4F56" w:rsidP="00DA6838">
      <w:pPr>
        <w:pStyle w:val="Paragraph"/>
        <w:widowControl w:val="0"/>
        <w:snapToGrid w:val="0"/>
        <w:spacing w:after="0" w:line="360" w:lineRule="auto"/>
        <w:jc w:val="both"/>
        <w:rPr>
          <w:iCs/>
        </w:rPr>
      </w:pPr>
      <w:r w:rsidRPr="00303844">
        <w:rPr>
          <w:rFonts w:eastAsia="Times New Roman"/>
          <w:iCs/>
        </w:rPr>
        <w:t xml:space="preserve">6. Chiorean EG, Cheung WY, Giordano G, et al. Real-world comparative effectiveness of nab-paclitaxel plus gemcitabine versus FOLFIRINOX in advanced pancreatic cancer: a systematic review. Ther Adv Med Oncol. 2019 May </w:t>
      </w:r>
      <w:proofErr w:type="gramStart"/>
      <w:r w:rsidRPr="00303844">
        <w:rPr>
          <w:rFonts w:eastAsia="Times New Roman"/>
          <w:iCs/>
        </w:rPr>
        <w:t>19;11:1758835919850367</w:t>
      </w:r>
      <w:proofErr w:type="gramEnd"/>
      <w:r w:rsidRPr="00303844">
        <w:rPr>
          <w:rFonts w:eastAsia="Times New Roman"/>
          <w:iCs/>
        </w:rPr>
        <w:t>.</w:t>
      </w:r>
    </w:p>
    <w:p w14:paraId="32D76741" w14:textId="77777777" w:rsidR="00DE4AFD" w:rsidRPr="00303844" w:rsidRDefault="004A4F56" w:rsidP="00DA6838">
      <w:pPr>
        <w:pStyle w:val="Paragraph"/>
        <w:widowControl w:val="0"/>
        <w:snapToGrid w:val="0"/>
        <w:spacing w:after="0" w:line="360" w:lineRule="auto"/>
        <w:jc w:val="both"/>
        <w:rPr>
          <w:iCs/>
        </w:rPr>
      </w:pPr>
      <w:r w:rsidRPr="00303844">
        <w:rPr>
          <w:rFonts w:eastAsia="Times New Roman"/>
          <w:iCs/>
        </w:rPr>
        <w:t>7. Kang J, Hwang I, Yoo C, et al. Nab-paclitaxel plus gemcitabine versus FOLFIRINOX as the first-line chemotherapy for patients with metastatic pancreatic cancer: retrospective analysis. Invest New Drugs. 2018 Aug;36(4):732-741.</w:t>
      </w:r>
    </w:p>
    <w:p w14:paraId="0CA0EEC0" w14:textId="77777777" w:rsidR="00DE4AFD" w:rsidRPr="00303844" w:rsidRDefault="004A4F56" w:rsidP="00DA6838">
      <w:pPr>
        <w:pStyle w:val="Paragraph"/>
        <w:widowControl w:val="0"/>
        <w:snapToGrid w:val="0"/>
        <w:spacing w:after="0" w:line="360" w:lineRule="auto"/>
        <w:jc w:val="both"/>
        <w:rPr>
          <w:iCs/>
        </w:rPr>
      </w:pPr>
      <w:r w:rsidRPr="00303844">
        <w:rPr>
          <w:rFonts w:eastAsia="Times New Roman"/>
          <w:iCs/>
        </w:rPr>
        <w:t xml:space="preserve">8. Portal A, Pernot S, </w:t>
      </w:r>
      <w:proofErr w:type="spellStart"/>
      <w:r w:rsidRPr="00303844">
        <w:rPr>
          <w:rFonts w:eastAsia="Times New Roman"/>
          <w:iCs/>
        </w:rPr>
        <w:t>Tougeron</w:t>
      </w:r>
      <w:proofErr w:type="spellEnd"/>
      <w:r w:rsidRPr="00303844">
        <w:rPr>
          <w:rFonts w:eastAsia="Times New Roman"/>
          <w:iCs/>
        </w:rPr>
        <w:t xml:space="preserve"> </w:t>
      </w:r>
      <w:proofErr w:type="spellStart"/>
      <w:proofErr w:type="gramStart"/>
      <w:r w:rsidRPr="00303844">
        <w:rPr>
          <w:rFonts w:eastAsia="Times New Roman"/>
          <w:iCs/>
        </w:rPr>
        <w:t>D,et</w:t>
      </w:r>
      <w:proofErr w:type="spellEnd"/>
      <w:r w:rsidRPr="00303844">
        <w:rPr>
          <w:rFonts w:eastAsia="Times New Roman"/>
          <w:iCs/>
        </w:rPr>
        <w:t xml:space="preserve"> al.</w:t>
      </w:r>
      <w:proofErr w:type="gramEnd"/>
      <w:r w:rsidRPr="00303844">
        <w:rPr>
          <w:rFonts w:eastAsia="Times New Roman"/>
          <w:iCs/>
        </w:rPr>
        <w:t xml:space="preserve"> Nab-paclitaxel plus gemcitabine for metastatic pancreatic adenocarcinoma after </w:t>
      </w:r>
      <w:proofErr w:type="spellStart"/>
      <w:r w:rsidRPr="00303844">
        <w:rPr>
          <w:rFonts w:eastAsia="Times New Roman"/>
          <w:iCs/>
        </w:rPr>
        <w:t>Folfirinox</w:t>
      </w:r>
      <w:proofErr w:type="spellEnd"/>
      <w:r w:rsidRPr="00303844">
        <w:rPr>
          <w:rFonts w:eastAsia="Times New Roman"/>
          <w:iCs/>
        </w:rPr>
        <w:t xml:space="preserve"> failure: an AGEO prospective </w:t>
      </w:r>
      <w:proofErr w:type="spellStart"/>
      <w:r w:rsidRPr="00303844">
        <w:rPr>
          <w:rFonts w:eastAsia="Times New Roman"/>
          <w:iCs/>
        </w:rPr>
        <w:t>multicentre</w:t>
      </w:r>
      <w:proofErr w:type="spellEnd"/>
      <w:r w:rsidRPr="00303844">
        <w:rPr>
          <w:rFonts w:eastAsia="Times New Roman"/>
          <w:iCs/>
        </w:rPr>
        <w:t xml:space="preserve"> cohort. Br J Cancer. 2015 Sep 29;113(7):989-95.</w:t>
      </w:r>
    </w:p>
    <w:p w14:paraId="14F3EFD4" w14:textId="77777777" w:rsidR="00DE4AFD" w:rsidRPr="00303844" w:rsidRDefault="004A4F56" w:rsidP="00DA6838">
      <w:pPr>
        <w:pStyle w:val="Paragraph"/>
        <w:widowControl w:val="0"/>
        <w:snapToGrid w:val="0"/>
        <w:spacing w:after="0" w:line="360" w:lineRule="auto"/>
        <w:jc w:val="both"/>
        <w:rPr>
          <w:iCs/>
        </w:rPr>
      </w:pPr>
      <w:r w:rsidRPr="00303844">
        <w:rPr>
          <w:rFonts w:eastAsia="Times New Roman"/>
          <w:iCs/>
        </w:rPr>
        <w:t xml:space="preserve">9. J Clin Oncol 38, 2020 (suppl 4; </w:t>
      </w:r>
      <w:proofErr w:type="spellStart"/>
      <w:r w:rsidRPr="00303844">
        <w:rPr>
          <w:rFonts w:eastAsia="Times New Roman"/>
          <w:iCs/>
        </w:rPr>
        <w:t>abstr</w:t>
      </w:r>
      <w:proofErr w:type="spellEnd"/>
      <w:r w:rsidRPr="00303844">
        <w:rPr>
          <w:rFonts w:eastAsia="Times New Roman"/>
          <w:iCs/>
        </w:rPr>
        <w:t xml:space="preserve"> 717)</w:t>
      </w:r>
    </w:p>
    <w:p w14:paraId="6D4454B5" w14:textId="77777777" w:rsidR="00DE4AFD" w:rsidRPr="00303844" w:rsidRDefault="004A4F56" w:rsidP="00DA6838">
      <w:pPr>
        <w:pStyle w:val="Paragraph"/>
        <w:widowControl w:val="0"/>
        <w:snapToGrid w:val="0"/>
        <w:spacing w:after="0" w:line="360" w:lineRule="auto"/>
        <w:jc w:val="both"/>
        <w:rPr>
          <w:iCs/>
        </w:rPr>
      </w:pPr>
      <w:r w:rsidRPr="00303844">
        <w:rPr>
          <w:rFonts w:eastAsia="Times New Roman"/>
          <w:iCs/>
        </w:rPr>
        <w:t>10. Cui H, Guan J, Deng G, et al. A Chinese Retrospective Multicenter Study of First-Line Chemotherapy for Advanced Pancreatic Cancer. Med Sci Monit. 2020 Oct 26;</w:t>
      </w:r>
      <w:proofErr w:type="gramStart"/>
      <w:r w:rsidRPr="00303844">
        <w:rPr>
          <w:rFonts w:eastAsia="Times New Roman"/>
          <w:iCs/>
        </w:rPr>
        <w:t>26:e</w:t>
      </w:r>
      <w:proofErr w:type="gramEnd"/>
      <w:r w:rsidRPr="00303844">
        <w:rPr>
          <w:rFonts w:eastAsia="Times New Roman"/>
          <w:iCs/>
        </w:rPr>
        <w:t>927654.</w:t>
      </w:r>
    </w:p>
    <w:p w14:paraId="71728289" w14:textId="77777777" w:rsidR="00DE4AFD" w:rsidRPr="00303844" w:rsidRDefault="004A4F56" w:rsidP="00DA6838">
      <w:pPr>
        <w:pStyle w:val="Paragraph"/>
        <w:widowControl w:val="0"/>
        <w:snapToGrid w:val="0"/>
        <w:spacing w:after="0" w:line="360" w:lineRule="auto"/>
        <w:jc w:val="both"/>
        <w:rPr>
          <w:iCs/>
        </w:rPr>
      </w:pPr>
      <w:r w:rsidRPr="00303844">
        <w:rPr>
          <w:rFonts w:eastAsia="Times New Roman"/>
          <w:iCs/>
        </w:rPr>
        <w:t>11. Henriksen A, Dyhl-Polk A, Chen I, et al. Checkpoint inhibitors in pancreatic cancer[J]. Cancer treatment reviews, 2019, 78: 17-30.</w:t>
      </w:r>
    </w:p>
    <w:p w14:paraId="5106B96E" w14:textId="77777777" w:rsidR="00DE4AFD" w:rsidRPr="00303844" w:rsidRDefault="004A4F56" w:rsidP="00DA6838">
      <w:pPr>
        <w:pStyle w:val="Paragraph"/>
        <w:widowControl w:val="0"/>
        <w:snapToGrid w:val="0"/>
        <w:spacing w:after="0" w:line="360" w:lineRule="auto"/>
        <w:jc w:val="both"/>
        <w:rPr>
          <w:iCs/>
        </w:rPr>
      </w:pPr>
      <w:r w:rsidRPr="00303844">
        <w:rPr>
          <w:rFonts w:eastAsia="Times New Roman"/>
          <w:iCs/>
        </w:rPr>
        <w:t xml:space="preserve">12. Kamath SD, Kalyan A, Kircher S, et al. Ipilimumab and Gemcitabine for Advanced Pancreatic Cancer: A Phase </w:t>
      </w:r>
      <w:proofErr w:type="spellStart"/>
      <w:r w:rsidRPr="00303844">
        <w:rPr>
          <w:rFonts w:eastAsia="Times New Roman"/>
          <w:iCs/>
        </w:rPr>
        <w:t>Ib</w:t>
      </w:r>
      <w:proofErr w:type="spellEnd"/>
      <w:r w:rsidRPr="00303844">
        <w:rPr>
          <w:rFonts w:eastAsia="Times New Roman"/>
          <w:iCs/>
        </w:rPr>
        <w:t xml:space="preserve"> Study. Oncologist. 2020 May;25(5</w:t>
      </w:r>
      <w:proofErr w:type="gramStart"/>
      <w:r w:rsidRPr="00303844">
        <w:rPr>
          <w:rFonts w:eastAsia="Times New Roman"/>
          <w:iCs/>
        </w:rPr>
        <w:t>):e</w:t>
      </w:r>
      <w:proofErr w:type="gramEnd"/>
      <w:r w:rsidRPr="00303844">
        <w:rPr>
          <w:rFonts w:eastAsia="Times New Roman"/>
          <w:iCs/>
        </w:rPr>
        <w:t>808-e815.</w:t>
      </w:r>
    </w:p>
    <w:p w14:paraId="0A048DF3" w14:textId="77777777" w:rsidR="00DE4AFD" w:rsidRPr="00303844" w:rsidRDefault="004A4F56" w:rsidP="00DA6838">
      <w:pPr>
        <w:pStyle w:val="Paragraph"/>
        <w:widowControl w:val="0"/>
        <w:snapToGrid w:val="0"/>
        <w:spacing w:after="0" w:line="360" w:lineRule="auto"/>
        <w:jc w:val="both"/>
        <w:rPr>
          <w:iCs/>
        </w:rPr>
      </w:pPr>
      <w:r w:rsidRPr="00303844">
        <w:rPr>
          <w:rFonts w:eastAsia="Times New Roman"/>
          <w:iCs/>
        </w:rPr>
        <w:t xml:space="preserve">13. </w:t>
      </w:r>
      <w:proofErr w:type="spellStart"/>
      <w:r w:rsidRPr="00303844">
        <w:rPr>
          <w:rFonts w:eastAsia="Times New Roman"/>
          <w:iCs/>
        </w:rPr>
        <w:t>Aglietta</w:t>
      </w:r>
      <w:proofErr w:type="spellEnd"/>
      <w:r w:rsidRPr="00303844">
        <w:rPr>
          <w:rFonts w:eastAsia="Times New Roman"/>
          <w:iCs/>
        </w:rPr>
        <w:t xml:space="preserve"> M, Barone C, Sawyer MB, et al F. A phase I dose escalation trial of </w:t>
      </w:r>
      <w:proofErr w:type="spellStart"/>
      <w:r w:rsidRPr="00303844">
        <w:rPr>
          <w:rFonts w:eastAsia="Times New Roman"/>
          <w:iCs/>
        </w:rPr>
        <w:t>tremelimumab</w:t>
      </w:r>
      <w:proofErr w:type="spellEnd"/>
      <w:r w:rsidRPr="00303844">
        <w:rPr>
          <w:rFonts w:eastAsia="Times New Roman"/>
          <w:iCs/>
        </w:rPr>
        <w:t xml:space="preserve"> (CP-675,206) in combination with gemcitabine in chemotherapy-naive patients with metastatic pancreatic cancer. Ann Oncol. 2014 Sep;25(9):1750-1755.</w:t>
      </w:r>
    </w:p>
    <w:p w14:paraId="6BC666B6" w14:textId="77777777" w:rsidR="00DE4AFD" w:rsidRPr="00303844" w:rsidRDefault="004A4F56" w:rsidP="00DA6838">
      <w:pPr>
        <w:pStyle w:val="Paragraph"/>
        <w:widowControl w:val="0"/>
        <w:snapToGrid w:val="0"/>
        <w:spacing w:after="0" w:line="360" w:lineRule="auto"/>
        <w:jc w:val="both"/>
        <w:rPr>
          <w:iCs/>
        </w:rPr>
      </w:pPr>
      <w:r w:rsidRPr="00303844">
        <w:rPr>
          <w:rFonts w:eastAsia="Times New Roman"/>
          <w:iCs/>
        </w:rPr>
        <w:t xml:space="preserve">14. Weiss GJ, </w:t>
      </w:r>
      <w:proofErr w:type="spellStart"/>
      <w:r w:rsidRPr="00303844">
        <w:rPr>
          <w:rFonts w:eastAsia="Times New Roman"/>
          <w:iCs/>
        </w:rPr>
        <w:t>Blaydorn</w:t>
      </w:r>
      <w:proofErr w:type="spellEnd"/>
      <w:r w:rsidRPr="00303844">
        <w:rPr>
          <w:rFonts w:eastAsia="Times New Roman"/>
          <w:iCs/>
        </w:rPr>
        <w:t xml:space="preserve"> L, Beck J, et al: Phase </w:t>
      </w:r>
      <w:proofErr w:type="spellStart"/>
      <w:r w:rsidRPr="00303844">
        <w:rPr>
          <w:rFonts w:eastAsia="Times New Roman"/>
          <w:iCs/>
        </w:rPr>
        <w:t>Ib</w:t>
      </w:r>
      <w:proofErr w:type="spellEnd"/>
      <w:r w:rsidRPr="00303844">
        <w:rPr>
          <w:rFonts w:eastAsia="Times New Roman"/>
          <w:iCs/>
        </w:rPr>
        <w:t>/II study of gemcitabine, nab-paclitaxel, and pembrolizumab in metastatic pancreatic adenocarcinoma. Invest New Drugs. 2019 Aug;37(4):797.</w:t>
      </w:r>
    </w:p>
    <w:p w14:paraId="355F403D" w14:textId="77777777" w:rsidR="00DE4AFD" w:rsidRPr="00303844" w:rsidRDefault="004A4F56" w:rsidP="00DA6838">
      <w:pPr>
        <w:pStyle w:val="Paragraph"/>
        <w:widowControl w:val="0"/>
        <w:snapToGrid w:val="0"/>
        <w:spacing w:after="0" w:line="360" w:lineRule="auto"/>
        <w:jc w:val="both"/>
        <w:rPr>
          <w:iCs/>
        </w:rPr>
      </w:pPr>
      <w:r w:rsidRPr="00303844">
        <w:rPr>
          <w:rFonts w:eastAsia="Times New Roman"/>
          <w:iCs/>
        </w:rPr>
        <w:t>15. Wainberg ZA, Hochster HS, Kim EJ, et al. Open-label, Phase I Study of Nivolumab Combined with nab-Paclitaxel Plus Gemcitabine in Advanced Pancreatic Cancer. Clin Cancer Res. 2020 Sep 15;26(18):4814-4822.</w:t>
      </w:r>
    </w:p>
    <w:p w14:paraId="22304233" w14:textId="77777777" w:rsidR="00DE4AFD" w:rsidRPr="00303844" w:rsidRDefault="004A4F56" w:rsidP="00DA6838">
      <w:pPr>
        <w:pStyle w:val="Paragraph"/>
        <w:widowControl w:val="0"/>
        <w:snapToGrid w:val="0"/>
        <w:spacing w:after="0" w:line="360" w:lineRule="auto"/>
        <w:jc w:val="both"/>
        <w:rPr>
          <w:iCs/>
        </w:rPr>
      </w:pPr>
      <w:r w:rsidRPr="00303844">
        <w:rPr>
          <w:rFonts w:eastAsia="Times New Roman"/>
          <w:iCs/>
        </w:rPr>
        <w:t xml:space="preserve">16. The Canadian Cancer Trials Group PA. 7 trial: Results of a randomized phase II study of gemcitabine (GEM) and nab-paclitaxel (Nab-P) vs GEM, nab-P, durvalumab (D) and </w:t>
      </w:r>
      <w:proofErr w:type="spellStart"/>
      <w:r w:rsidRPr="00303844">
        <w:rPr>
          <w:rFonts w:eastAsia="Times New Roman"/>
          <w:iCs/>
        </w:rPr>
        <w:t>tremelimumab</w:t>
      </w:r>
      <w:proofErr w:type="spellEnd"/>
      <w:r w:rsidRPr="00303844">
        <w:rPr>
          <w:rFonts w:eastAsia="Times New Roman"/>
          <w:iCs/>
        </w:rPr>
        <w:t xml:space="preserve"> (T) as first line therapy in metastatic pancreatic ductal adenocarcinoma </w:t>
      </w:r>
      <w:r w:rsidRPr="00303844">
        <w:rPr>
          <w:rFonts w:eastAsia="Times New Roman"/>
          <w:iCs/>
        </w:rPr>
        <w:lastRenderedPageBreak/>
        <w:t>(</w:t>
      </w:r>
      <w:proofErr w:type="spellStart"/>
      <w:r w:rsidRPr="00303844">
        <w:rPr>
          <w:rFonts w:eastAsia="Times New Roman"/>
          <w:iCs/>
        </w:rPr>
        <w:t>mPDAC</w:t>
      </w:r>
      <w:proofErr w:type="spellEnd"/>
      <w:r w:rsidRPr="00303844">
        <w:rPr>
          <w:rFonts w:eastAsia="Times New Roman"/>
          <w:iCs/>
        </w:rPr>
        <w:t>). 2020 ESMO. Abs #LBA65.</w:t>
      </w:r>
    </w:p>
    <w:p w14:paraId="3068506E" w14:textId="75CB3798" w:rsidR="00DE4AFD" w:rsidRPr="00303844" w:rsidRDefault="004A4F56" w:rsidP="00DA6838">
      <w:pPr>
        <w:pStyle w:val="Paragraph"/>
        <w:widowControl w:val="0"/>
        <w:snapToGrid w:val="0"/>
        <w:spacing w:after="0" w:line="360" w:lineRule="auto"/>
        <w:jc w:val="both"/>
        <w:rPr>
          <w:iCs/>
        </w:rPr>
      </w:pPr>
      <w:r w:rsidRPr="00303844">
        <w:rPr>
          <w:rFonts w:eastAsia="Times New Roman"/>
          <w:color w:val="333333"/>
        </w:rPr>
        <w:t xml:space="preserve">17. Yang Haiyan, Cui </w:t>
      </w:r>
      <w:proofErr w:type="spellStart"/>
      <w:r w:rsidRPr="00303844">
        <w:rPr>
          <w:rFonts w:eastAsia="Times New Roman"/>
          <w:color w:val="333333"/>
        </w:rPr>
        <w:t>Jiujie</w:t>
      </w:r>
      <w:proofErr w:type="spellEnd"/>
      <w:r w:rsidRPr="00303844">
        <w:rPr>
          <w:rFonts w:eastAsia="Times New Roman"/>
          <w:color w:val="333333"/>
        </w:rPr>
        <w:t xml:space="preserve">, Wang Liwei et al. Prospective Single-arm Exploratory Clinical Study on Efficacy and Safety of SHR-1210 in Combination with Nab-paclitaxel and Gemcitabine as First-line Treatment for Pancreatic Carcinoma Metastatic. </w:t>
      </w:r>
      <w:r w:rsidRPr="00303844">
        <w:rPr>
          <w:rFonts w:eastAsia="Times New Roman"/>
          <w:iCs/>
        </w:rPr>
        <w:t xml:space="preserve">2020 CSCO Paper ID:7698. </w:t>
      </w:r>
    </w:p>
    <w:p w14:paraId="2CE264C1" w14:textId="77777777" w:rsidR="00DE4AFD" w:rsidRPr="00303844" w:rsidRDefault="004A4F56" w:rsidP="00DA6838">
      <w:pPr>
        <w:pStyle w:val="Paragraph"/>
        <w:widowControl w:val="0"/>
        <w:snapToGrid w:val="0"/>
        <w:spacing w:after="0" w:line="360" w:lineRule="auto"/>
        <w:jc w:val="both"/>
        <w:rPr>
          <w:iCs/>
        </w:rPr>
      </w:pPr>
      <w:r w:rsidRPr="00303844">
        <w:rPr>
          <w:rFonts w:eastAsia="Times New Roman"/>
          <w:iCs/>
        </w:rPr>
        <w:t>18. ASCO 2020 Abstract #9563</w:t>
      </w:r>
    </w:p>
    <w:p w14:paraId="043FFCF6" w14:textId="77777777" w:rsidR="00DE4AFD" w:rsidRPr="00303844" w:rsidRDefault="004A4F56" w:rsidP="00DA6838">
      <w:pPr>
        <w:pStyle w:val="Paragraph"/>
        <w:widowControl w:val="0"/>
        <w:snapToGrid w:val="0"/>
        <w:spacing w:after="0" w:line="360" w:lineRule="auto"/>
        <w:jc w:val="both"/>
        <w:rPr>
          <w:szCs w:val="22"/>
        </w:rPr>
      </w:pPr>
      <w:r w:rsidRPr="00303844">
        <w:rPr>
          <w:rFonts w:eastAsia="Times New Roman"/>
          <w:iCs/>
        </w:rPr>
        <w:t xml:space="preserve">19. </w:t>
      </w:r>
      <w:proofErr w:type="spellStart"/>
      <w:r w:rsidRPr="00303844">
        <w:rPr>
          <w:rFonts w:eastAsia="Times New Roman"/>
          <w:iCs/>
        </w:rPr>
        <w:t>Momeny</w:t>
      </w:r>
      <w:proofErr w:type="spellEnd"/>
      <w:r w:rsidRPr="00303844">
        <w:rPr>
          <w:rFonts w:eastAsia="Times New Roman"/>
          <w:iCs/>
        </w:rPr>
        <w:t xml:space="preserve"> M, </w:t>
      </w:r>
      <w:proofErr w:type="spellStart"/>
      <w:r w:rsidRPr="00303844">
        <w:rPr>
          <w:rFonts w:eastAsia="Times New Roman"/>
          <w:iCs/>
        </w:rPr>
        <w:t>Alishahi</w:t>
      </w:r>
      <w:proofErr w:type="spellEnd"/>
      <w:r w:rsidRPr="00303844">
        <w:rPr>
          <w:rFonts w:eastAsia="Times New Roman"/>
          <w:iCs/>
        </w:rPr>
        <w:t xml:space="preserve"> Z, </w:t>
      </w:r>
      <w:proofErr w:type="spellStart"/>
      <w:r w:rsidRPr="00303844">
        <w:rPr>
          <w:rFonts w:eastAsia="Times New Roman"/>
          <w:iCs/>
        </w:rPr>
        <w:t>Eyvani</w:t>
      </w:r>
      <w:proofErr w:type="spellEnd"/>
      <w:r w:rsidRPr="00303844">
        <w:rPr>
          <w:rFonts w:eastAsia="Times New Roman"/>
          <w:iCs/>
        </w:rPr>
        <w:t xml:space="preserve"> H, et al. Anti-tumor activity of </w:t>
      </w:r>
      <w:proofErr w:type="spellStart"/>
      <w:r w:rsidRPr="00303844">
        <w:rPr>
          <w:rFonts w:eastAsia="Times New Roman"/>
          <w:iCs/>
        </w:rPr>
        <w:t>cediranib</w:t>
      </w:r>
      <w:proofErr w:type="spellEnd"/>
      <w:r w:rsidRPr="00303844">
        <w:rPr>
          <w:rFonts w:eastAsia="Times New Roman"/>
          <w:iCs/>
        </w:rPr>
        <w:t>, a pan-vascular endothelial growth factor receptor inhibitor, in pancreatic ductal adenocarcinoma cells. Cell Oncol (</w:t>
      </w:r>
      <w:proofErr w:type="spellStart"/>
      <w:r w:rsidRPr="00303844">
        <w:rPr>
          <w:rFonts w:eastAsia="Times New Roman"/>
          <w:iCs/>
        </w:rPr>
        <w:t>Dordr</w:t>
      </w:r>
      <w:proofErr w:type="spellEnd"/>
      <w:r w:rsidRPr="00303844">
        <w:rPr>
          <w:rFonts w:eastAsia="Times New Roman"/>
          <w:iCs/>
        </w:rPr>
        <w:t>). 2020 Feb;43(1):81-93.</w:t>
      </w:r>
      <w:r w:rsidRPr="00303844">
        <w:rPr>
          <w:rFonts w:eastAsia="Times New Roman"/>
          <w:szCs w:val="22"/>
        </w:rPr>
        <w:t xml:space="preserve"> </w:t>
      </w:r>
    </w:p>
    <w:p w14:paraId="25D8095D" w14:textId="77777777" w:rsidR="00DE4AFD" w:rsidRPr="00303844" w:rsidRDefault="004A4F56" w:rsidP="00DA6838">
      <w:pPr>
        <w:pStyle w:val="Paragraph"/>
        <w:widowControl w:val="0"/>
        <w:snapToGrid w:val="0"/>
        <w:spacing w:after="0" w:line="360" w:lineRule="auto"/>
        <w:jc w:val="both"/>
      </w:pPr>
      <w:r w:rsidRPr="00303844">
        <w:rPr>
          <w:rFonts w:eastAsia="Times New Roman"/>
          <w:szCs w:val="22"/>
        </w:rPr>
        <w:t xml:space="preserve">20. </w:t>
      </w:r>
      <w:r w:rsidRPr="00303844">
        <w:rPr>
          <w:rFonts w:eastAsia="Times New Roman"/>
        </w:rPr>
        <w:t>Candido JB, Morton JP, Bailey P, et al. CSF1R+ Macrophages Sustain Pancreatic Tumor Growth through T Cell Suppression and Maintenance of Key Gene Programs that Define the Squamous Subtype. Cell Rep. 2018 May 1;23(5):1448-1460.</w:t>
      </w:r>
    </w:p>
    <w:p w14:paraId="6BEBFDC3" w14:textId="77777777" w:rsidR="00DE4AFD" w:rsidRPr="00303844" w:rsidRDefault="00DE4AFD" w:rsidP="000C622D">
      <w:pPr>
        <w:pStyle w:val="RefText"/>
        <w:numPr>
          <w:ilvl w:val="0"/>
          <w:numId w:val="0"/>
        </w:numPr>
        <w:spacing w:after="0" w:line="360" w:lineRule="auto"/>
        <w:ind w:left="501" w:hanging="501"/>
        <w:jc w:val="both"/>
        <w:rPr>
          <w:lang w:eastAsia="zh-CN"/>
        </w:rPr>
      </w:pPr>
    </w:p>
    <w:p w14:paraId="57731EE5" w14:textId="77777777" w:rsidR="00DE4AFD" w:rsidRPr="00303844" w:rsidRDefault="00DE4AFD" w:rsidP="000C622D">
      <w:pPr>
        <w:pStyle w:val="RefText"/>
        <w:numPr>
          <w:ilvl w:val="0"/>
          <w:numId w:val="0"/>
        </w:numPr>
        <w:spacing w:after="0" w:line="360" w:lineRule="auto"/>
        <w:ind w:left="501" w:hanging="501"/>
        <w:jc w:val="both"/>
        <w:rPr>
          <w:lang w:eastAsia="zh-CN"/>
        </w:rPr>
      </w:pPr>
    </w:p>
    <w:p w14:paraId="7675172C" w14:textId="77777777" w:rsidR="00DE4AFD" w:rsidRPr="00303844" w:rsidRDefault="00DE4AFD" w:rsidP="000C622D">
      <w:pPr>
        <w:pStyle w:val="RefText"/>
        <w:numPr>
          <w:ilvl w:val="0"/>
          <w:numId w:val="0"/>
        </w:numPr>
        <w:spacing w:after="0" w:line="360" w:lineRule="auto"/>
        <w:ind w:left="501" w:hanging="501"/>
        <w:jc w:val="both"/>
        <w:rPr>
          <w:lang w:eastAsia="zh-CN"/>
        </w:rPr>
      </w:pPr>
    </w:p>
    <w:p w14:paraId="0506E6FA" w14:textId="77777777" w:rsidR="00DE4AFD" w:rsidRPr="00303844" w:rsidRDefault="00DE4AFD" w:rsidP="000C622D">
      <w:pPr>
        <w:pStyle w:val="RefText"/>
        <w:numPr>
          <w:ilvl w:val="0"/>
          <w:numId w:val="0"/>
        </w:numPr>
        <w:spacing w:after="0" w:line="360" w:lineRule="auto"/>
        <w:ind w:left="501" w:hanging="501"/>
        <w:jc w:val="both"/>
        <w:rPr>
          <w:lang w:eastAsia="zh-CN"/>
        </w:rPr>
      </w:pPr>
    </w:p>
    <w:p w14:paraId="74D7BF30" w14:textId="77777777" w:rsidR="00DE4AFD" w:rsidRPr="00303844" w:rsidRDefault="00DE4AFD" w:rsidP="000C622D">
      <w:pPr>
        <w:pStyle w:val="RefText"/>
        <w:numPr>
          <w:ilvl w:val="0"/>
          <w:numId w:val="0"/>
        </w:numPr>
        <w:spacing w:after="0" w:line="360" w:lineRule="auto"/>
        <w:ind w:left="501" w:hanging="501"/>
        <w:jc w:val="both"/>
        <w:rPr>
          <w:lang w:eastAsia="zh-CN"/>
        </w:rPr>
      </w:pPr>
    </w:p>
    <w:p w14:paraId="13CE8163" w14:textId="77777777" w:rsidR="00DE4AFD" w:rsidRPr="00303844" w:rsidRDefault="00DE4AFD" w:rsidP="000C622D">
      <w:pPr>
        <w:pStyle w:val="RefText"/>
        <w:numPr>
          <w:ilvl w:val="0"/>
          <w:numId w:val="0"/>
        </w:numPr>
        <w:spacing w:after="0" w:line="360" w:lineRule="auto"/>
        <w:ind w:left="501" w:hanging="501"/>
        <w:jc w:val="both"/>
        <w:rPr>
          <w:lang w:eastAsia="zh-CN"/>
        </w:rPr>
      </w:pPr>
    </w:p>
    <w:p w14:paraId="74466AA2" w14:textId="77777777" w:rsidR="00DE4AFD" w:rsidRPr="00303844" w:rsidRDefault="00DE4AFD" w:rsidP="000C622D">
      <w:pPr>
        <w:pStyle w:val="RefText"/>
        <w:numPr>
          <w:ilvl w:val="0"/>
          <w:numId w:val="0"/>
        </w:numPr>
        <w:spacing w:after="0" w:line="360" w:lineRule="auto"/>
        <w:ind w:left="501" w:hanging="501"/>
        <w:jc w:val="both"/>
        <w:rPr>
          <w:lang w:eastAsia="zh-CN"/>
        </w:rPr>
      </w:pPr>
    </w:p>
    <w:p w14:paraId="4C75C77B" w14:textId="77777777" w:rsidR="00DE4AFD" w:rsidRPr="00303844" w:rsidRDefault="00DE4AFD" w:rsidP="000C622D">
      <w:pPr>
        <w:pStyle w:val="RefText"/>
        <w:numPr>
          <w:ilvl w:val="0"/>
          <w:numId w:val="0"/>
        </w:numPr>
        <w:spacing w:after="0" w:line="360" w:lineRule="auto"/>
        <w:ind w:left="501" w:hanging="501"/>
        <w:jc w:val="both"/>
        <w:rPr>
          <w:lang w:eastAsia="zh-CN"/>
        </w:rPr>
      </w:pPr>
    </w:p>
    <w:p w14:paraId="5D72929F" w14:textId="77777777" w:rsidR="00DE4AFD" w:rsidRPr="00303844" w:rsidRDefault="00DE4AFD" w:rsidP="000C622D">
      <w:pPr>
        <w:pStyle w:val="RefText"/>
        <w:numPr>
          <w:ilvl w:val="0"/>
          <w:numId w:val="0"/>
        </w:numPr>
        <w:spacing w:after="0" w:line="360" w:lineRule="auto"/>
        <w:ind w:left="501" w:hanging="501"/>
        <w:jc w:val="both"/>
        <w:rPr>
          <w:lang w:eastAsia="zh-CN"/>
        </w:rPr>
      </w:pPr>
    </w:p>
    <w:p w14:paraId="0F6FCEE8" w14:textId="77777777" w:rsidR="00DE4AFD" w:rsidRPr="00303844" w:rsidRDefault="00DE4AFD" w:rsidP="000C622D">
      <w:pPr>
        <w:pStyle w:val="RefText"/>
        <w:numPr>
          <w:ilvl w:val="0"/>
          <w:numId w:val="0"/>
        </w:numPr>
        <w:spacing w:after="0" w:line="360" w:lineRule="auto"/>
        <w:ind w:left="501" w:hanging="501"/>
        <w:jc w:val="both"/>
        <w:rPr>
          <w:lang w:eastAsia="zh-CN"/>
        </w:rPr>
      </w:pPr>
    </w:p>
    <w:p w14:paraId="4F615865" w14:textId="77777777" w:rsidR="00DE4AFD" w:rsidRPr="00303844" w:rsidRDefault="00DE4AFD" w:rsidP="000C622D">
      <w:pPr>
        <w:pStyle w:val="RefText"/>
        <w:numPr>
          <w:ilvl w:val="0"/>
          <w:numId w:val="0"/>
        </w:numPr>
        <w:spacing w:after="0" w:line="360" w:lineRule="auto"/>
        <w:ind w:left="501" w:hanging="501"/>
        <w:jc w:val="both"/>
        <w:rPr>
          <w:lang w:eastAsia="zh-CN"/>
        </w:rPr>
      </w:pPr>
    </w:p>
    <w:p w14:paraId="64890AC8" w14:textId="77777777" w:rsidR="00DE4AFD" w:rsidRPr="00303844" w:rsidRDefault="00DE4AFD" w:rsidP="000C622D">
      <w:pPr>
        <w:pStyle w:val="RefText"/>
        <w:numPr>
          <w:ilvl w:val="0"/>
          <w:numId w:val="0"/>
        </w:numPr>
        <w:spacing w:after="0" w:line="360" w:lineRule="auto"/>
        <w:ind w:left="501" w:hanging="501"/>
        <w:jc w:val="both"/>
        <w:rPr>
          <w:lang w:eastAsia="zh-CN"/>
        </w:rPr>
      </w:pPr>
    </w:p>
    <w:p w14:paraId="786F90AA" w14:textId="521367D2" w:rsidR="008300AC" w:rsidRPr="00303844" w:rsidRDefault="008300AC" w:rsidP="00DC03A8">
      <w:pPr>
        <w:widowControl/>
        <w:rPr>
          <w:rFonts w:ascii="Times New Roman" w:eastAsia="宋体" w:hAnsi="Times New Roman" w:cs="Times New Roman"/>
          <w:kern w:val="0"/>
          <w:sz w:val="24"/>
          <w:szCs w:val="24"/>
        </w:rPr>
      </w:pPr>
      <w:r w:rsidRPr="00303844">
        <w:rPr>
          <w:rFonts w:ascii="Times New Roman" w:hAnsi="Times New Roman" w:cs="Times New Roman"/>
        </w:rPr>
        <w:br w:type="page"/>
      </w:r>
    </w:p>
    <w:p w14:paraId="6B0DCD2E" w14:textId="77777777" w:rsidR="00DE4AFD" w:rsidRPr="00303844" w:rsidRDefault="004A4F56" w:rsidP="000C622D">
      <w:pPr>
        <w:pStyle w:val="10"/>
        <w:spacing w:before="0" w:after="0" w:line="360" w:lineRule="auto"/>
        <w:jc w:val="both"/>
        <w:rPr>
          <w:rFonts w:cs="Times New Roman"/>
        </w:rPr>
      </w:pPr>
      <w:bookmarkStart w:id="154" w:name="_Toc184889692"/>
      <w:r w:rsidRPr="00303844">
        <w:rPr>
          <w:rFonts w:eastAsia="Times New Roman" w:cs="Times New Roman"/>
        </w:rPr>
        <w:lastRenderedPageBreak/>
        <w:t>Appendix</w:t>
      </w:r>
      <w:bookmarkEnd w:id="154"/>
    </w:p>
    <w:p w14:paraId="05AD524A" w14:textId="2F585D25" w:rsidR="00DE4AFD" w:rsidRPr="00303844" w:rsidRDefault="004A4F56" w:rsidP="000C622D">
      <w:pPr>
        <w:keepNext/>
        <w:adjustRightInd w:val="0"/>
        <w:snapToGrid w:val="0"/>
        <w:spacing w:line="360" w:lineRule="auto"/>
        <w:textAlignment w:val="baseline"/>
        <w:outlineLvl w:val="1"/>
        <w:rPr>
          <w:rFonts w:ascii="Times New Roman" w:eastAsia="宋体" w:hAnsi="Times New Roman" w:cs="Times New Roman"/>
          <w:sz w:val="24"/>
          <w:szCs w:val="24"/>
        </w:rPr>
      </w:pPr>
      <w:bookmarkStart w:id="155" w:name="_Toc483750667"/>
      <w:bookmarkStart w:id="156" w:name="_Toc23884477"/>
      <w:bookmarkStart w:id="157" w:name="_Toc61906482"/>
      <w:bookmarkStart w:id="158" w:name="_Toc61884609"/>
      <w:bookmarkStart w:id="159" w:name="_Toc184889693"/>
      <w:bookmarkEnd w:id="155"/>
      <w:bookmarkEnd w:id="156"/>
      <w:bookmarkEnd w:id="157"/>
      <w:bookmarkEnd w:id="158"/>
      <w:r w:rsidRPr="005338E4">
        <w:rPr>
          <w:rFonts w:ascii="Times New Roman" w:eastAsia="Times New Roman" w:hAnsi="Times New Roman" w:cs="Times New Roman"/>
          <w:b/>
          <w:bCs/>
          <w:color w:val="333333"/>
          <w:sz w:val="28"/>
          <w:szCs w:val="28"/>
        </w:rPr>
        <w:t xml:space="preserve">Appendix 1: Guideline on Potential Interactions of </w:t>
      </w:r>
      <w:proofErr w:type="spellStart"/>
      <w:r w:rsidRPr="005338E4">
        <w:rPr>
          <w:rFonts w:ascii="Times New Roman" w:eastAsia="Times New Roman" w:hAnsi="Times New Roman" w:cs="Times New Roman"/>
          <w:b/>
          <w:bCs/>
          <w:color w:val="333333"/>
          <w:sz w:val="28"/>
          <w:szCs w:val="28"/>
        </w:rPr>
        <w:t>Surufatinib</w:t>
      </w:r>
      <w:proofErr w:type="spellEnd"/>
      <w:r w:rsidRPr="005338E4">
        <w:rPr>
          <w:rFonts w:ascii="Times New Roman" w:eastAsia="Times New Roman" w:hAnsi="Times New Roman" w:cs="Times New Roman"/>
          <w:b/>
          <w:bCs/>
          <w:color w:val="333333"/>
          <w:sz w:val="28"/>
          <w:szCs w:val="28"/>
        </w:rPr>
        <w:t xml:space="preserve"> with Concomitant Medications</w:t>
      </w:r>
      <w:bookmarkEnd w:id="159"/>
    </w:p>
    <w:p w14:paraId="653A866C" w14:textId="77777777" w:rsidR="00DE4AFD" w:rsidRPr="00303844" w:rsidRDefault="004A4F56" w:rsidP="00DA6838">
      <w:pPr>
        <w:snapToGrid w:val="0"/>
        <w:spacing w:line="360" w:lineRule="auto"/>
        <w:rPr>
          <w:rFonts w:ascii="Times New Roman" w:eastAsia="宋体" w:hAnsi="Times New Roman" w:cs="Times New Roman"/>
          <w:sz w:val="24"/>
        </w:rPr>
      </w:pPr>
      <w:r w:rsidRPr="00303844">
        <w:rPr>
          <w:rFonts w:ascii="Times New Roman" w:eastAsia="Times New Roman" w:hAnsi="Times New Roman" w:cs="Times New Roman"/>
          <w:sz w:val="24"/>
          <w:szCs w:val="24"/>
        </w:rPr>
        <w:t xml:space="preserve">Currently, there is no data indicating pharmacokinetic interactions between </w:t>
      </w:r>
      <w:proofErr w:type="spellStart"/>
      <w:r w:rsidRPr="00303844">
        <w:rPr>
          <w:rFonts w:ascii="Times New Roman" w:eastAsia="Times New Roman" w:hAnsi="Times New Roman" w:cs="Times New Roman"/>
          <w:sz w:val="24"/>
          <w:szCs w:val="24"/>
        </w:rPr>
        <w:t>surufatinib</w:t>
      </w:r>
      <w:proofErr w:type="spellEnd"/>
      <w:r w:rsidRPr="00303844">
        <w:rPr>
          <w:rFonts w:ascii="Times New Roman" w:eastAsia="Times New Roman" w:hAnsi="Times New Roman" w:cs="Times New Roman"/>
          <w:sz w:val="24"/>
          <w:szCs w:val="24"/>
        </w:rPr>
        <w:t xml:space="preserve"> and certain concomitant medications. </w:t>
      </w:r>
    </w:p>
    <w:p w14:paraId="1143B727" w14:textId="77777777" w:rsidR="00DE4AFD" w:rsidRPr="00303844" w:rsidRDefault="004A4F56" w:rsidP="00DA6838">
      <w:pPr>
        <w:snapToGrid w:val="0"/>
        <w:spacing w:line="360" w:lineRule="auto"/>
        <w:rPr>
          <w:rFonts w:ascii="Times New Roman" w:eastAsia="宋体" w:hAnsi="Times New Roman" w:cs="Times New Roman"/>
          <w:sz w:val="24"/>
        </w:rPr>
      </w:pPr>
      <w:r w:rsidRPr="00303844">
        <w:rPr>
          <w:rFonts w:ascii="Times New Roman" w:eastAsia="Times New Roman" w:hAnsi="Times New Roman" w:cs="Times New Roman"/>
          <w:sz w:val="24"/>
          <w:szCs w:val="24"/>
        </w:rPr>
        <w:t xml:space="preserve">In the in vitro liver microsomal incubation studies, the primary Phase I metabolic enzymes mediating the metabolism of </w:t>
      </w:r>
      <w:proofErr w:type="spellStart"/>
      <w:r w:rsidRPr="00303844">
        <w:rPr>
          <w:rFonts w:ascii="Times New Roman" w:eastAsia="Times New Roman" w:hAnsi="Times New Roman" w:cs="Times New Roman"/>
          <w:sz w:val="24"/>
          <w:szCs w:val="24"/>
        </w:rPr>
        <w:t>surufatinib</w:t>
      </w:r>
      <w:proofErr w:type="spellEnd"/>
      <w:r w:rsidRPr="00303844">
        <w:rPr>
          <w:rFonts w:ascii="Times New Roman" w:eastAsia="Times New Roman" w:hAnsi="Times New Roman" w:cs="Times New Roman"/>
          <w:sz w:val="24"/>
          <w:szCs w:val="24"/>
        </w:rPr>
        <w:t xml:space="preserve"> include CYP3A4/5 and CYP2C8 (dehydrogenation, N-demethylation), CYP2E1 (mono-oxygenation), and FMO. </w:t>
      </w:r>
      <w:proofErr w:type="spellStart"/>
      <w:r w:rsidRPr="00303844">
        <w:rPr>
          <w:rFonts w:ascii="Times New Roman" w:eastAsia="Times New Roman" w:hAnsi="Times New Roman" w:cs="Times New Roman"/>
          <w:sz w:val="24"/>
          <w:szCs w:val="24"/>
        </w:rPr>
        <w:t>Surufatinib</w:t>
      </w:r>
      <w:proofErr w:type="spellEnd"/>
      <w:r w:rsidRPr="00303844">
        <w:rPr>
          <w:rFonts w:ascii="Times New Roman" w:eastAsia="Times New Roman" w:hAnsi="Times New Roman" w:cs="Times New Roman"/>
          <w:sz w:val="24"/>
          <w:szCs w:val="24"/>
        </w:rPr>
        <w:t xml:space="preserve"> has no significant inhibitory effect on P450 enzymes. Results from induction studies in human primary hepatocytes showed that </w:t>
      </w:r>
      <w:proofErr w:type="spellStart"/>
      <w:r w:rsidRPr="00303844">
        <w:rPr>
          <w:rFonts w:ascii="Times New Roman" w:eastAsia="Times New Roman" w:hAnsi="Times New Roman" w:cs="Times New Roman"/>
          <w:sz w:val="24"/>
          <w:szCs w:val="24"/>
        </w:rPr>
        <w:t>surufatinib</w:t>
      </w:r>
      <w:proofErr w:type="spellEnd"/>
      <w:r w:rsidRPr="00303844">
        <w:rPr>
          <w:rFonts w:ascii="Times New Roman" w:eastAsia="Times New Roman" w:hAnsi="Times New Roman" w:cs="Times New Roman"/>
          <w:sz w:val="24"/>
          <w:szCs w:val="24"/>
        </w:rPr>
        <w:t xml:space="preserve"> did not have significant induction effects on CYP1A2 at a concentration of 10 </w:t>
      </w:r>
      <w:proofErr w:type="spellStart"/>
      <w:r w:rsidRPr="00303844">
        <w:rPr>
          <w:rFonts w:ascii="Times New Roman" w:eastAsia="Times New Roman" w:hAnsi="Times New Roman" w:cs="Times New Roman"/>
          <w:sz w:val="24"/>
          <w:szCs w:val="24"/>
        </w:rPr>
        <w:t>μM</w:t>
      </w:r>
      <w:proofErr w:type="spellEnd"/>
      <w:r w:rsidRPr="00303844">
        <w:rPr>
          <w:rFonts w:ascii="Times New Roman" w:eastAsia="Times New Roman" w:hAnsi="Times New Roman" w:cs="Times New Roman"/>
          <w:sz w:val="24"/>
          <w:szCs w:val="24"/>
        </w:rPr>
        <w:t xml:space="preserve"> and on CYP3A4 at a concentration of 2 </w:t>
      </w:r>
      <w:proofErr w:type="spellStart"/>
      <w:r w:rsidRPr="00303844">
        <w:rPr>
          <w:rFonts w:ascii="Times New Roman" w:eastAsia="Times New Roman" w:hAnsi="Times New Roman" w:cs="Times New Roman"/>
          <w:sz w:val="24"/>
          <w:szCs w:val="24"/>
        </w:rPr>
        <w:t>μM</w:t>
      </w:r>
      <w:proofErr w:type="spellEnd"/>
      <w:r w:rsidRPr="00303844">
        <w:rPr>
          <w:rFonts w:ascii="Times New Roman" w:eastAsia="Times New Roman" w:hAnsi="Times New Roman" w:cs="Times New Roman"/>
          <w:sz w:val="24"/>
          <w:szCs w:val="24"/>
        </w:rPr>
        <w:t xml:space="preserve">. In vitro permeability and efflux transport studies using Caco-2 cells suggested that </w:t>
      </w:r>
      <w:proofErr w:type="spellStart"/>
      <w:r w:rsidRPr="00303844">
        <w:rPr>
          <w:rFonts w:ascii="Times New Roman" w:eastAsia="Times New Roman" w:hAnsi="Times New Roman" w:cs="Times New Roman"/>
          <w:sz w:val="24"/>
          <w:szCs w:val="24"/>
        </w:rPr>
        <w:t>surufatinib</w:t>
      </w:r>
      <w:proofErr w:type="spellEnd"/>
      <w:r w:rsidRPr="00303844">
        <w:rPr>
          <w:rFonts w:ascii="Times New Roman" w:eastAsia="Times New Roman" w:hAnsi="Times New Roman" w:cs="Times New Roman"/>
          <w:sz w:val="24"/>
          <w:szCs w:val="24"/>
        </w:rPr>
        <w:t xml:space="preserve"> may be a substrate of the efflux transporter P-</w:t>
      </w:r>
      <w:proofErr w:type="spellStart"/>
      <w:r w:rsidRPr="00303844">
        <w:rPr>
          <w:rFonts w:ascii="Times New Roman" w:eastAsia="Times New Roman" w:hAnsi="Times New Roman" w:cs="Times New Roman"/>
          <w:sz w:val="24"/>
          <w:szCs w:val="24"/>
        </w:rPr>
        <w:t>gp</w:t>
      </w:r>
      <w:proofErr w:type="spellEnd"/>
      <w:r w:rsidRPr="00303844">
        <w:rPr>
          <w:rFonts w:ascii="Times New Roman" w:eastAsia="Times New Roman" w:hAnsi="Times New Roman" w:cs="Times New Roman"/>
          <w:sz w:val="24"/>
          <w:szCs w:val="24"/>
        </w:rPr>
        <w:t xml:space="preserve">. </w:t>
      </w:r>
    </w:p>
    <w:p w14:paraId="6DD60571" w14:textId="77777777" w:rsidR="00DE4AFD" w:rsidRPr="00303844" w:rsidRDefault="004A4F56" w:rsidP="00DA6838">
      <w:pPr>
        <w:snapToGrid w:val="0"/>
        <w:spacing w:line="360" w:lineRule="auto"/>
        <w:rPr>
          <w:rFonts w:ascii="Times New Roman" w:eastAsia="宋体" w:hAnsi="Times New Roman" w:cs="Times New Roman"/>
          <w:sz w:val="24"/>
        </w:rPr>
      </w:pPr>
      <w:r w:rsidRPr="00303844">
        <w:rPr>
          <w:rFonts w:ascii="Times New Roman" w:eastAsia="Times New Roman" w:hAnsi="Times New Roman" w:cs="Times New Roman"/>
          <w:sz w:val="24"/>
          <w:szCs w:val="24"/>
        </w:rPr>
        <w:t xml:space="preserve">According to in vitro tests, </w:t>
      </w:r>
      <w:proofErr w:type="spellStart"/>
      <w:r w:rsidRPr="00303844">
        <w:rPr>
          <w:rFonts w:ascii="Times New Roman" w:eastAsia="Times New Roman" w:hAnsi="Times New Roman" w:cs="Times New Roman"/>
          <w:sz w:val="24"/>
          <w:szCs w:val="24"/>
        </w:rPr>
        <w:t>surufatinib</w:t>
      </w:r>
      <w:proofErr w:type="spellEnd"/>
      <w:r w:rsidRPr="00303844">
        <w:rPr>
          <w:rFonts w:ascii="Times New Roman" w:eastAsia="Times New Roman" w:hAnsi="Times New Roman" w:cs="Times New Roman"/>
          <w:sz w:val="24"/>
          <w:szCs w:val="24"/>
        </w:rPr>
        <w:t xml:space="preserve"> shows time-dependent inhibition of the metabolic enzymes CYP3A4/5, with </w:t>
      </w:r>
      <w:proofErr w:type="spellStart"/>
      <w:r w:rsidRPr="00303844">
        <w:rPr>
          <w:rFonts w:ascii="Times New Roman" w:eastAsia="Times New Roman" w:hAnsi="Times New Roman" w:cs="Times New Roman"/>
          <w:sz w:val="24"/>
          <w:szCs w:val="24"/>
        </w:rPr>
        <w:t>k</w:t>
      </w:r>
      <w:r w:rsidRPr="00303844">
        <w:rPr>
          <w:rFonts w:ascii="Times New Roman" w:eastAsia="Times New Roman" w:hAnsi="Times New Roman" w:cs="Times New Roman"/>
          <w:sz w:val="24"/>
          <w:szCs w:val="24"/>
          <w:vertAlign w:val="subscript"/>
        </w:rPr>
        <w:t>inact</w:t>
      </w:r>
      <w:proofErr w:type="spellEnd"/>
      <w:r w:rsidRPr="00303844">
        <w:rPr>
          <w:rFonts w:ascii="Times New Roman" w:eastAsia="Times New Roman" w:hAnsi="Times New Roman" w:cs="Times New Roman"/>
          <w:sz w:val="24"/>
          <w:szCs w:val="24"/>
        </w:rPr>
        <w:t xml:space="preserve"> of 0.73 min</w:t>
      </w:r>
      <w:r w:rsidRPr="00303844">
        <w:rPr>
          <w:rFonts w:ascii="Times New Roman" w:eastAsia="Times New Roman" w:hAnsi="Times New Roman" w:cs="Times New Roman"/>
          <w:sz w:val="24"/>
          <w:szCs w:val="24"/>
          <w:vertAlign w:val="superscript"/>
        </w:rPr>
        <w:t>-1</w:t>
      </w:r>
      <w:r w:rsidRPr="00303844">
        <w:rPr>
          <w:rFonts w:ascii="Times New Roman" w:eastAsia="Times New Roman" w:hAnsi="Times New Roman" w:cs="Times New Roman"/>
          <w:sz w:val="24"/>
          <w:szCs w:val="24"/>
        </w:rPr>
        <w:t xml:space="preserve"> and KI of 163 </w:t>
      </w:r>
      <w:proofErr w:type="spellStart"/>
      <w:r w:rsidRPr="00303844">
        <w:rPr>
          <w:rFonts w:ascii="Times New Roman" w:eastAsia="Times New Roman" w:hAnsi="Times New Roman" w:cs="Times New Roman"/>
          <w:sz w:val="24"/>
          <w:szCs w:val="24"/>
        </w:rPr>
        <w:t>μM</w:t>
      </w:r>
      <w:proofErr w:type="spellEnd"/>
      <w:r w:rsidRPr="00303844">
        <w:rPr>
          <w:rFonts w:ascii="Times New Roman" w:eastAsia="Times New Roman" w:hAnsi="Times New Roman" w:cs="Times New Roman"/>
          <w:sz w:val="24"/>
          <w:szCs w:val="24"/>
        </w:rPr>
        <w:t xml:space="preserve">. Tables 1-3 in this Appendix provide a series of strong CYP3A4 inducers, strong inhibitors, and substrates. Patients who have received Hypericum perforatum therapy within 3 weeks prior to receiving the first dose of investigational product therapy or have received other strong CYP3A4 inducers or strong inhibitors within 2 weeks cannot participate in this study. </w:t>
      </w:r>
    </w:p>
    <w:p w14:paraId="469BBBAF" w14:textId="77777777" w:rsidR="00DE4AFD" w:rsidRPr="00303844" w:rsidRDefault="004A4F56" w:rsidP="00DA6838">
      <w:pPr>
        <w:snapToGrid w:val="0"/>
        <w:spacing w:line="360" w:lineRule="auto"/>
        <w:rPr>
          <w:rFonts w:ascii="Times New Roman" w:eastAsia="宋体" w:hAnsi="Times New Roman" w:cs="Times New Roman"/>
          <w:sz w:val="24"/>
        </w:rPr>
      </w:pPr>
      <w:r w:rsidRPr="00303844">
        <w:rPr>
          <w:rFonts w:ascii="Times New Roman" w:eastAsia="Times New Roman" w:hAnsi="Times New Roman" w:cs="Times New Roman"/>
          <w:color w:val="333333"/>
          <w:sz w:val="24"/>
          <w:szCs w:val="24"/>
        </w:rPr>
        <w:t>Concomitant use of strong inducers, strong inhibitors, or substrates of CYP3A4 should be avoided during the trial unless deemed necessary by the investigator, but in such cases, patients must be closely monitored for decreased efficacy or increased toxicity of the investigational product due to drug interactions.</w:t>
      </w:r>
      <w:r w:rsidRPr="00303844">
        <w:rPr>
          <w:rFonts w:ascii="Times New Roman" w:eastAsia="Times New Roman" w:hAnsi="Times New Roman" w:cs="Times New Roman"/>
          <w:sz w:val="24"/>
          <w:szCs w:val="24"/>
        </w:rPr>
        <w:t xml:space="preserve"> </w:t>
      </w:r>
    </w:p>
    <w:p w14:paraId="5F7BF752" w14:textId="77777777" w:rsidR="00DE4AFD" w:rsidRPr="00303844" w:rsidRDefault="004A4F56" w:rsidP="00DA6838">
      <w:pPr>
        <w:snapToGrid w:val="0"/>
        <w:spacing w:line="360" w:lineRule="auto"/>
        <w:rPr>
          <w:rFonts w:ascii="Times New Roman" w:eastAsia="宋体" w:hAnsi="Times New Roman" w:cs="Times New Roman"/>
          <w:sz w:val="24"/>
        </w:rPr>
      </w:pPr>
      <w:r w:rsidRPr="00303844">
        <w:rPr>
          <w:rFonts w:ascii="Times New Roman" w:eastAsia="Times New Roman" w:hAnsi="Times New Roman" w:cs="Times New Roman"/>
          <w:color w:val="333333"/>
          <w:sz w:val="24"/>
          <w:szCs w:val="24"/>
        </w:rPr>
        <w:t>These listings are limited, and similar restrictions should be applied to other drugs known to have strong modulation of CYP3A4 activity, or drugs that are primarily metabolized by CYP3A4.</w:t>
      </w:r>
      <w:r w:rsidRPr="00303844">
        <w:rPr>
          <w:rFonts w:ascii="Times New Roman" w:eastAsia="Times New Roman" w:hAnsi="Times New Roman" w:cs="Times New Roman"/>
          <w:sz w:val="24"/>
          <w:szCs w:val="24"/>
        </w:rPr>
        <w:t xml:space="preserve"> </w:t>
      </w:r>
      <w:r w:rsidRPr="00303844">
        <w:rPr>
          <w:rFonts w:ascii="Times New Roman" w:eastAsia="Times New Roman" w:hAnsi="Times New Roman" w:cs="Times New Roman"/>
          <w:color w:val="333333"/>
          <w:sz w:val="24"/>
          <w:szCs w:val="24"/>
        </w:rPr>
        <w:t xml:space="preserve">If necessary, complete prescribing information for all combination medications should be consulted before coadministration with </w:t>
      </w:r>
      <w:proofErr w:type="spellStart"/>
      <w:r w:rsidRPr="00303844">
        <w:rPr>
          <w:rFonts w:ascii="Times New Roman" w:eastAsia="Times New Roman" w:hAnsi="Times New Roman" w:cs="Times New Roman"/>
          <w:sz w:val="24"/>
          <w:szCs w:val="24"/>
        </w:rPr>
        <w:t>surufatinib</w:t>
      </w:r>
      <w:proofErr w:type="spellEnd"/>
      <w:r w:rsidRPr="00303844">
        <w:rPr>
          <w:rFonts w:ascii="Times New Roman" w:eastAsia="Times New Roman" w:hAnsi="Times New Roman" w:cs="Times New Roman"/>
          <w:sz w:val="24"/>
          <w:szCs w:val="24"/>
        </w:rPr>
        <w:t xml:space="preserve">. </w:t>
      </w:r>
    </w:p>
    <w:p w14:paraId="31CC0152" w14:textId="7BE43C0B" w:rsidR="003313D1" w:rsidRDefault="003313D1">
      <w:pPr>
        <w:widowControl/>
        <w:jc w:val="left"/>
        <w:rPr>
          <w:rFonts w:ascii="Times New Roman" w:eastAsia="宋体" w:hAnsi="Times New Roman" w:cs="Times New Roman"/>
          <w:sz w:val="24"/>
        </w:rPr>
      </w:pPr>
      <w:r>
        <w:rPr>
          <w:rFonts w:ascii="Times New Roman" w:eastAsia="宋体" w:hAnsi="Times New Roman" w:cs="Times New Roman"/>
          <w:sz w:val="24"/>
        </w:rPr>
        <w:br w:type="page"/>
      </w:r>
    </w:p>
    <w:p w14:paraId="7A5B7C47" w14:textId="77777777" w:rsidR="00DE4AFD" w:rsidRPr="003313D1" w:rsidRDefault="004A4F56" w:rsidP="003313D1">
      <w:pPr>
        <w:spacing w:line="360" w:lineRule="auto"/>
        <w:rPr>
          <w:rFonts w:ascii="Times New Roman" w:eastAsia="宋体" w:hAnsi="Times New Roman" w:cs="Times New Roman"/>
          <w:b/>
          <w:sz w:val="24"/>
          <w:szCs w:val="24"/>
        </w:rPr>
      </w:pPr>
      <w:r w:rsidRPr="003313D1">
        <w:rPr>
          <w:rFonts w:ascii="Times New Roman" w:eastAsia="Times New Roman" w:hAnsi="Times New Roman" w:cs="Times New Roman"/>
          <w:b/>
          <w:bCs/>
          <w:sz w:val="24"/>
          <w:szCs w:val="24"/>
        </w:rPr>
        <w:lastRenderedPageBreak/>
        <w:t>Table 1 Strong Inhibitors of CYP3A4 Enzyme</w:t>
      </w:r>
    </w:p>
    <w:tbl>
      <w:tblPr>
        <w:tblStyle w:val="af6"/>
        <w:tblW w:w="5000" w:type="pct"/>
        <w:tblCellMar>
          <w:left w:w="57" w:type="dxa"/>
          <w:right w:w="57" w:type="dxa"/>
        </w:tblCellMar>
        <w:tblLook w:val="04A0" w:firstRow="1" w:lastRow="0" w:firstColumn="1" w:lastColumn="0" w:noHBand="0" w:noVBand="1"/>
      </w:tblPr>
      <w:tblGrid>
        <w:gridCol w:w="9016"/>
      </w:tblGrid>
      <w:tr w:rsidR="00DE4AFD" w:rsidRPr="00227F09" w14:paraId="16CE6AA1" w14:textId="77777777" w:rsidTr="003F7776">
        <w:tc>
          <w:tcPr>
            <w:tcW w:w="9242" w:type="dxa"/>
          </w:tcPr>
          <w:p w14:paraId="22BBB9AA"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rPr>
              <w:t xml:space="preserve">Strong CYP3A4 inhibitors that may increase </w:t>
            </w:r>
            <w:proofErr w:type="spellStart"/>
            <w:r w:rsidRPr="00227F09">
              <w:rPr>
                <w:rFonts w:ascii="Times New Roman" w:eastAsia="Times New Roman" w:hAnsi="Times New Roman" w:cs="Times New Roman"/>
              </w:rPr>
              <w:t>s</w:t>
            </w:r>
            <w:r w:rsidRPr="00227F09">
              <w:rPr>
                <w:rFonts w:ascii="Times New Roman" w:eastAsia="Times New Roman" w:hAnsi="Times New Roman" w:cs="Times New Roman"/>
                <w:color w:val="333333"/>
              </w:rPr>
              <w:t>urufatinib</w:t>
            </w:r>
            <w:proofErr w:type="spellEnd"/>
            <w:r w:rsidRPr="00227F09">
              <w:rPr>
                <w:rFonts w:ascii="Times New Roman" w:eastAsia="Times New Roman" w:hAnsi="Times New Roman" w:cs="Times New Roman"/>
              </w:rPr>
              <w:t xml:space="preserve"> exposure</w:t>
            </w:r>
          </w:p>
        </w:tc>
      </w:tr>
      <w:tr w:rsidR="00DE4AFD" w:rsidRPr="00227F09" w14:paraId="33CA75D2" w14:textId="77777777" w:rsidTr="003F7776">
        <w:tc>
          <w:tcPr>
            <w:tcW w:w="9242" w:type="dxa"/>
          </w:tcPr>
          <w:p w14:paraId="07DD5AFD"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Boceprevir</w:t>
            </w:r>
          </w:p>
          <w:p w14:paraId="51F84DBD"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Clarithromycin</w:t>
            </w:r>
          </w:p>
          <w:p w14:paraId="3DCB1D7B"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Conivaptan</w:t>
            </w:r>
          </w:p>
          <w:p w14:paraId="3436DF03"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Elvitegravir/Ritonavir</w:t>
            </w:r>
          </w:p>
          <w:p w14:paraId="38163C13"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rPr>
              <w:t>Fluconazole</w:t>
            </w:r>
          </w:p>
          <w:p w14:paraId="480B7167"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rPr>
              <w:t xml:space="preserve">Grapefruit </w:t>
            </w:r>
            <w:proofErr w:type="spellStart"/>
            <w:r w:rsidRPr="00227F09">
              <w:rPr>
                <w:rFonts w:ascii="Times New Roman" w:eastAsia="Times New Roman" w:hAnsi="Times New Roman" w:cs="Times New Roman"/>
              </w:rPr>
              <w:t>juice</w:t>
            </w:r>
            <w:r w:rsidRPr="00227F09">
              <w:rPr>
                <w:rFonts w:ascii="Times New Roman" w:eastAsia="Times New Roman" w:hAnsi="Times New Roman" w:cs="Times New Roman"/>
                <w:vertAlign w:val="superscript"/>
              </w:rPr>
              <w:t>ab</w:t>
            </w:r>
            <w:proofErr w:type="spellEnd"/>
          </w:p>
          <w:p w14:paraId="7A0A67B6"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Indinavir</w:t>
            </w:r>
          </w:p>
          <w:p w14:paraId="7C39B583"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Itraconazole</w:t>
            </w:r>
          </w:p>
          <w:p w14:paraId="4CF5614B"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rPr>
              <w:t>K</w:t>
            </w:r>
            <w:r w:rsidRPr="00227F09">
              <w:rPr>
                <w:rFonts w:ascii="Times New Roman" w:eastAsia="Times New Roman" w:hAnsi="Times New Roman" w:cs="Times New Roman"/>
                <w:color w:val="333333"/>
              </w:rPr>
              <w:t>etoconazole</w:t>
            </w:r>
          </w:p>
          <w:p w14:paraId="7CA25A13"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Lopinavir/Ritonavir</w:t>
            </w:r>
          </w:p>
          <w:p w14:paraId="7B669751"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Mibefradil</w:t>
            </w:r>
          </w:p>
          <w:p w14:paraId="29C7E78D"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Nelfinavir</w:t>
            </w:r>
          </w:p>
          <w:p w14:paraId="750AE011"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Posaconazole</w:t>
            </w:r>
          </w:p>
          <w:p w14:paraId="3D42CFD5"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rPr>
              <w:t>Ritonavir</w:t>
            </w:r>
          </w:p>
          <w:p w14:paraId="472BE855"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rPr>
              <w:t>Saquinavir</w:t>
            </w:r>
          </w:p>
          <w:p w14:paraId="7A7CE96E"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rPr>
              <w:t>Telaprevir</w:t>
            </w:r>
          </w:p>
          <w:p w14:paraId="25141806"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Telithromycin</w:t>
            </w:r>
          </w:p>
          <w:p w14:paraId="0EEA69C9"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Tipranavir</w:t>
            </w:r>
          </w:p>
          <w:p w14:paraId="51E9020F"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rPr>
              <w:t>Ritonavir</w:t>
            </w:r>
          </w:p>
          <w:p w14:paraId="7300E292" w14:textId="77777777" w:rsidR="00DE4AFD" w:rsidRPr="00227F09" w:rsidRDefault="004A4F56" w:rsidP="003F7776">
            <w:pPr>
              <w:rPr>
                <w:rFonts w:ascii="Times New Roman" w:eastAsia="宋体" w:hAnsi="Times New Roman" w:cs="Times New Roman"/>
              </w:rPr>
            </w:pPr>
            <w:proofErr w:type="spellStart"/>
            <w:r w:rsidRPr="00227F09">
              <w:rPr>
                <w:rFonts w:ascii="Times New Roman" w:eastAsia="Times New Roman" w:hAnsi="Times New Roman" w:cs="Times New Roman"/>
                <w:color w:val="333333"/>
              </w:rPr>
              <w:t>Troleandomycin</w:t>
            </w:r>
            <w:proofErr w:type="spellEnd"/>
          </w:p>
          <w:p w14:paraId="0400F52D"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Voriconazole</w:t>
            </w:r>
          </w:p>
        </w:tc>
      </w:tr>
    </w:tbl>
    <w:p w14:paraId="7916D526" w14:textId="77777777" w:rsidR="00DE4AFD" w:rsidRPr="00303844" w:rsidRDefault="004A4F56" w:rsidP="00253A8A">
      <w:pPr>
        <w:rPr>
          <w:rFonts w:ascii="Times New Roman" w:eastAsia="宋体" w:hAnsi="Times New Roman" w:cs="Times New Roman"/>
        </w:rPr>
      </w:pPr>
      <w:r w:rsidRPr="00303844">
        <w:rPr>
          <w:rFonts w:ascii="Times New Roman" w:eastAsia="Times New Roman" w:hAnsi="Times New Roman" w:cs="Times New Roman"/>
        </w:rPr>
        <w:t xml:space="preserve">RIT = </w:t>
      </w:r>
      <w:proofErr w:type="spellStart"/>
      <w:r w:rsidRPr="00303844">
        <w:rPr>
          <w:rFonts w:ascii="Times New Roman" w:eastAsia="Times New Roman" w:hAnsi="Times New Roman" w:cs="Times New Roman"/>
        </w:rPr>
        <w:t>Ritonavir.Ritonavir</w:t>
      </w:r>
      <w:proofErr w:type="spellEnd"/>
    </w:p>
    <w:p w14:paraId="7BFC072A" w14:textId="77777777" w:rsidR="00DE4AFD" w:rsidRPr="00303844" w:rsidRDefault="004A4F56" w:rsidP="00253A8A">
      <w:pPr>
        <w:rPr>
          <w:rFonts w:ascii="Times New Roman" w:eastAsia="宋体" w:hAnsi="Times New Roman" w:cs="Times New Roman"/>
        </w:rPr>
      </w:pPr>
      <w:r w:rsidRPr="00303844">
        <w:rPr>
          <w:rFonts w:ascii="Times New Roman" w:eastAsia="Times New Roman" w:hAnsi="Times New Roman" w:cs="Times New Roman"/>
        </w:rPr>
        <w:t xml:space="preserve">a </w:t>
      </w:r>
      <w:proofErr w:type="gramStart"/>
      <w:r w:rsidRPr="00303844">
        <w:rPr>
          <w:rFonts w:ascii="Times New Roman" w:eastAsia="Times New Roman" w:hAnsi="Times New Roman" w:cs="Times New Roman"/>
        </w:rPr>
        <w:t>High</w:t>
      </w:r>
      <w:proofErr w:type="gramEnd"/>
      <w:r w:rsidRPr="00303844">
        <w:rPr>
          <w:rFonts w:ascii="Times New Roman" w:eastAsia="Times New Roman" w:hAnsi="Times New Roman" w:cs="Times New Roman"/>
        </w:rPr>
        <w:t xml:space="preserve"> concentrations of grapefruit juice</w:t>
      </w:r>
    </w:p>
    <w:p w14:paraId="0EABD9E9" w14:textId="77777777" w:rsidR="00DE4AFD" w:rsidRPr="00303844" w:rsidRDefault="004A4F56" w:rsidP="00253A8A">
      <w:pPr>
        <w:rPr>
          <w:rFonts w:ascii="Times New Roman" w:eastAsia="宋体" w:hAnsi="Times New Roman" w:cs="Times New Roman"/>
        </w:rPr>
      </w:pPr>
      <w:r w:rsidRPr="00303844">
        <w:rPr>
          <w:rFonts w:ascii="Times New Roman" w:eastAsia="Times New Roman" w:hAnsi="Times New Roman" w:cs="Times New Roman"/>
          <w:color w:val="333333"/>
        </w:rPr>
        <w:t xml:space="preserve">b During the study, subjects should not consume large amounts of grapefruit and </w:t>
      </w:r>
      <w:r w:rsidRPr="00303844">
        <w:rPr>
          <w:rFonts w:ascii="Times New Roman" w:eastAsia="Times New Roman" w:hAnsi="Times New Roman" w:cs="Times New Roman"/>
          <w:color w:val="6F6F6F"/>
        </w:rPr>
        <w:t xml:space="preserve">lime </w:t>
      </w:r>
      <w:r w:rsidRPr="00303844">
        <w:rPr>
          <w:rFonts w:ascii="Times New Roman" w:eastAsia="Times New Roman" w:hAnsi="Times New Roman" w:cs="Times New Roman"/>
          <w:color w:val="333333"/>
        </w:rPr>
        <w:t>(and other products containing such fruits, e.g., grapefruit juice or marmalade), e.g. no more than a small glass of grapefruit juice (120 mL) or half a grapefruit or 1 to 2 teaspoons (15 g) of marmalade daily.</w:t>
      </w:r>
      <w:r w:rsidRPr="00303844">
        <w:rPr>
          <w:rFonts w:ascii="Times New Roman" w:eastAsia="Times New Roman" w:hAnsi="Times New Roman" w:cs="Times New Roman"/>
        </w:rPr>
        <w:t xml:space="preserve"> </w:t>
      </w:r>
    </w:p>
    <w:p w14:paraId="71D378AA" w14:textId="77777777" w:rsidR="00DE4AFD" w:rsidRPr="00303844" w:rsidRDefault="00DE4AFD" w:rsidP="00253A8A">
      <w:pPr>
        <w:rPr>
          <w:rFonts w:ascii="Times New Roman" w:eastAsia="宋体" w:hAnsi="Times New Roman" w:cs="Times New Roman"/>
        </w:rPr>
      </w:pPr>
    </w:p>
    <w:p w14:paraId="58C8F45D" w14:textId="77777777" w:rsidR="00DE4AFD" w:rsidRPr="00D32177" w:rsidRDefault="004A4F56" w:rsidP="00D32177">
      <w:pPr>
        <w:spacing w:line="360" w:lineRule="auto"/>
        <w:rPr>
          <w:rFonts w:ascii="Times New Roman" w:eastAsia="宋体" w:hAnsi="Times New Roman" w:cs="Times New Roman"/>
          <w:b/>
          <w:sz w:val="24"/>
          <w:szCs w:val="24"/>
        </w:rPr>
      </w:pPr>
      <w:r w:rsidRPr="00D32177">
        <w:rPr>
          <w:rFonts w:ascii="Times New Roman" w:eastAsia="Times New Roman" w:hAnsi="Times New Roman" w:cs="Times New Roman"/>
          <w:b/>
          <w:bCs/>
          <w:sz w:val="24"/>
          <w:szCs w:val="24"/>
        </w:rPr>
        <w:t>Table 2 Strong Inducers of CYP3A4 Enzyme</w:t>
      </w:r>
    </w:p>
    <w:tbl>
      <w:tblPr>
        <w:tblStyle w:val="af6"/>
        <w:tblW w:w="5000" w:type="pct"/>
        <w:tblCellMar>
          <w:left w:w="57" w:type="dxa"/>
          <w:right w:w="57" w:type="dxa"/>
        </w:tblCellMar>
        <w:tblLook w:val="04A0" w:firstRow="1" w:lastRow="0" w:firstColumn="1" w:lastColumn="0" w:noHBand="0" w:noVBand="1"/>
      </w:tblPr>
      <w:tblGrid>
        <w:gridCol w:w="9016"/>
      </w:tblGrid>
      <w:tr w:rsidR="00DE4AFD" w:rsidRPr="00227F09" w14:paraId="0BDAE237" w14:textId="77777777" w:rsidTr="003F7776">
        <w:tc>
          <w:tcPr>
            <w:tcW w:w="9242" w:type="dxa"/>
          </w:tcPr>
          <w:p w14:paraId="30536F20"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rPr>
              <w:t>Strong inducers of CYP3A4 enzyme</w:t>
            </w:r>
          </w:p>
        </w:tc>
      </w:tr>
      <w:tr w:rsidR="00DE4AFD" w:rsidRPr="00227F09" w14:paraId="36BA8A52" w14:textId="77777777" w:rsidTr="003F7776">
        <w:tc>
          <w:tcPr>
            <w:tcW w:w="9242" w:type="dxa"/>
          </w:tcPr>
          <w:p w14:paraId="6725054F" w14:textId="77777777" w:rsidR="00DE4AFD" w:rsidRPr="00227F09" w:rsidRDefault="004A4F56" w:rsidP="003F7776">
            <w:pPr>
              <w:rPr>
                <w:rFonts w:ascii="Times New Roman" w:eastAsia="宋体" w:hAnsi="Times New Roman" w:cs="Times New Roman"/>
              </w:rPr>
            </w:pPr>
            <w:proofErr w:type="spellStart"/>
            <w:r w:rsidRPr="00227F09">
              <w:rPr>
                <w:rFonts w:ascii="Times New Roman" w:eastAsia="Times New Roman" w:hAnsi="Times New Roman" w:cs="Times New Roman"/>
                <w:color w:val="333333"/>
              </w:rPr>
              <w:t>Avasimibe</w:t>
            </w:r>
            <w:proofErr w:type="spellEnd"/>
          </w:p>
          <w:p w14:paraId="1249A3C9"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Carbamazepine</w:t>
            </w:r>
          </w:p>
          <w:p w14:paraId="2E1D01B4"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Enzalutamide</w:t>
            </w:r>
          </w:p>
          <w:p w14:paraId="29D72C43"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Mitotane</w:t>
            </w:r>
          </w:p>
          <w:p w14:paraId="3EC9BFF6"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Phenobarbital</w:t>
            </w:r>
          </w:p>
          <w:p w14:paraId="5CD60DFE"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Phenytoin</w:t>
            </w:r>
          </w:p>
          <w:p w14:paraId="1AE3AA02"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Rifabutin</w:t>
            </w:r>
          </w:p>
          <w:p w14:paraId="2AFDD550"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Rifampicin</w:t>
            </w:r>
          </w:p>
          <w:p w14:paraId="66ED1595"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Hypericum perforatum</w:t>
            </w:r>
          </w:p>
          <w:p w14:paraId="3061E5D3"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Enzalutamide</w:t>
            </w:r>
          </w:p>
        </w:tc>
      </w:tr>
    </w:tbl>
    <w:p w14:paraId="561B9449" w14:textId="77777777" w:rsidR="00DE4AFD" w:rsidRPr="00E15948" w:rsidRDefault="004A4F56" w:rsidP="00E15948">
      <w:pPr>
        <w:spacing w:line="360" w:lineRule="auto"/>
        <w:rPr>
          <w:rFonts w:ascii="Times New Roman" w:eastAsia="宋体" w:hAnsi="Times New Roman" w:cs="Times New Roman"/>
          <w:b/>
          <w:sz w:val="24"/>
          <w:szCs w:val="24"/>
        </w:rPr>
      </w:pPr>
      <w:r w:rsidRPr="00E15948">
        <w:rPr>
          <w:rFonts w:ascii="Times New Roman" w:eastAsia="Times New Roman" w:hAnsi="Times New Roman" w:cs="Times New Roman"/>
          <w:b/>
          <w:bCs/>
          <w:sz w:val="24"/>
          <w:szCs w:val="24"/>
        </w:rPr>
        <w:lastRenderedPageBreak/>
        <w:t>Table 3 Substrates of CYP3A4 Enzyme</w:t>
      </w:r>
    </w:p>
    <w:tbl>
      <w:tblPr>
        <w:tblStyle w:val="af6"/>
        <w:tblW w:w="5000" w:type="pct"/>
        <w:tblCellMar>
          <w:left w:w="57" w:type="dxa"/>
          <w:right w:w="57" w:type="dxa"/>
        </w:tblCellMar>
        <w:tblLook w:val="04A0" w:firstRow="1" w:lastRow="0" w:firstColumn="1" w:lastColumn="0" w:noHBand="0" w:noVBand="1"/>
      </w:tblPr>
      <w:tblGrid>
        <w:gridCol w:w="9016"/>
      </w:tblGrid>
      <w:tr w:rsidR="00DE4AFD" w:rsidRPr="00227F09" w14:paraId="624C6710" w14:textId="77777777" w:rsidTr="003F7776">
        <w:tc>
          <w:tcPr>
            <w:tcW w:w="9242" w:type="dxa"/>
          </w:tcPr>
          <w:p w14:paraId="7B14A6B5"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rPr>
              <w:t xml:space="preserve">Substrates of CYP3A4 enzyme </w:t>
            </w:r>
          </w:p>
        </w:tc>
      </w:tr>
      <w:tr w:rsidR="00DE4AFD" w:rsidRPr="00227F09" w14:paraId="006FE29D" w14:textId="77777777" w:rsidTr="003F7776">
        <w:tc>
          <w:tcPr>
            <w:tcW w:w="9242" w:type="dxa"/>
          </w:tcPr>
          <w:p w14:paraId="281AADA7"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Alfentanil</w:t>
            </w:r>
          </w:p>
          <w:p w14:paraId="2284952B"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Aprepitant</w:t>
            </w:r>
          </w:p>
          <w:p w14:paraId="535B609F"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Budesonide</w:t>
            </w:r>
          </w:p>
          <w:p w14:paraId="739690F8"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Buspirone</w:t>
            </w:r>
          </w:p>
          <w:p w14:paraId="724478CB"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Conivaptan</w:t>
            </w:r>
          </w:p>
          <w:p w14:paraId="47DB09F1"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Darifenacin</w:t>
            </w:r>
          </w:p>
          <w:p w14:paraId="391948AE"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Darunavir</w:t>
            </w:r>
          </w:p>
          <w:p w14:paraId="1A0604CB"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proofErr w:type="spellStart"/>
            <w:r w:rsidRPr="00227F09">
              <w:rPr>
                <w:rFonts w:ascii="Times New Roman" w:eastAsia="Times New Roman" w:hAnsi="Times New Roman" w:cs="Times New Roman"/>
              </w:rPr>
              <w:t>Dasatinib</w:t>
            </w:r>
            <w:proofErr w:type="spellEnd"/>
          </w:p>
          <w:p w14:paraId="73F2A175"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rPr>
              <w:t>Dronedarone</w:t>
            </w:r>
          </w:p>
          <w:p w14:paraId="3E28EACF"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proofErr w:type="spellStart"/>
            <w:r w:rsidRPr="00227F09">
              <w:rPr>
                <w:rFonts w:ascii="Times New Roman" w:eastAsia="Times New Roman" w:hAnsi="Times New Roman" w:cs="Times New Roman"/>
                <w:color w:val="333333"/>
              </w:rPr>
              <w:t>Eletriptan</w:t>
            </w:r>
            <w:proofErr w:type="spellEnd"/>
          </w:p>
          <w:p w14:paraId="42C4D0DB"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Eplerenone</w:t>
            </w:r>
          </w:p>
          <w:p w14:paraId="138D2A3E"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proofErr w:type="spellStart"/>
            <w:r w:rsidRPr="00227F09">
              <w:rPr>
                <w:rFonts w:ascii="Times New Roman" w:eastAsia="Times New Roman" w:hAnsi="Times New Roman" w:cs="Times New Roman"/>
                <w:color w:val="333333"/>
              </w:rPr>
              <w:t>Everolimus</w:t>
            </w:r>
            <w:proofErr w:type="spellEnd"/>
          </w:p>
          <w:p w14:paraId="299A4758"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Felodipine</w:t>
            </w:r>
          </w:p>
          <w:p w14:paraId="1EAFC500"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Indinavir</w:t>
            </w:r>
          </w:p>
          <w:p w14:paraId="58255628"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Fluticasone</w:t>
            </w:r>
          </w:p>
          <w:p w14:paraId="2B672F79"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Lopinavir</w:t>
            </w:r>
          </w:p>
          <w:p w14:paraId="309500DC"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rPr>
              <w:t>Lovastatin</w:t>
            </w:r>
          </w:p>
          <w:p w14:paraId="5F4ED1D6"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Lurasidone</w:t>
            </w:r>
          </w:p>
          <w:p w14:paraId="6DD4D761"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Maraviroc</w:t>
            </w:r>
          </w:p>
          <w:p w14:paraId="19579FDF"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rPr>
              <w:t>Midazolam</w:t>
            </w:r>
          </w:p>
          <w:p w14:paraId="519CFCC3"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proofErr w:type="spellStart"/>
            <w:r w:rsidRPr="00227F09">
              <w:rPr>
                <w:rFonts w:ascii="Times New Roman" w:eastAsia="Times New Roman" w:hAnsi="Times New Roman" w:cs="Times New Roman"/>
                <w:color w:val="333333"/>
              </w:rPr>
              <w:t>Nisoldipine</w:t>
            </w:r>
            <w:proofErr w:type="spellEnd"/>
          </w:p>
          <w:p w14:paraId="0E999B03"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Quetiapine</w:t>
            </w:r>
          </w:p>
          <w:p w14:paraId="35DC7138"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rPr>
              <w:t>Saquinavir</w:t>
            </w:r>
          </w:p>
          <w:p w14:paraId="64F054D9"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Sildenafil</w:t>
            </w:r>
          </w:p>
          <w:p w14:paraId="72F3EB0F"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rPr>
              <w:t>Simvastatin</w:t>
            </w:r>
          </w:p>
          <w:p w14:paraId="128DA3AD"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Sirolimus</w:t>
            </w:r>
          </w:p>
          <w:p w14:paraId="5ECCD5D3"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Tolvaptan</w:t>
            </w:r>
          </w:p>
          <w:p w14:paraId="7333DF68"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Tipranavir</w:t>
            </w:r>
          </w:p>
          <w:p w14:paraId="280E9E3B"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Triazolam</w:t>
            </w:r>
          </w:p>
          <w:p w14:paraId="53D9043D"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Ticagrelor</w:t>
            </w:r>
          </w:p>
          <w:p w14:paraId="47848AF3"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Vardenafil</w:t>
            </w:r>
          </w:p>
          <w:p w14:paraId="42D3709B"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proofErr w:type="spellStart"/>
            <w:r w:rsidRPr="00227F09">
              <w:rPr>
                <w:rFonts w:ascii="Times New Roman" w:eastAsia="Times New Roman" w:hAnsi="Times New Roman" w:cs="Times New Roman"/>
                <w:color w:val="333333"/>
              </w:rPr>
              <w:t>Astemizole</w:t>
            </w:r>
            <w:proofErr w:type="spellEnd"/>
          </w:p>
          <w:p w14:paraId="4493CC77"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proofErr w:type="spellStart"/>
            <w:r w:rsidRPr="00227F09">
              <w:rPr>
                <w:rFonts w:ascii="Times New Roman" w:eastAsia="Times New Roman" w:hAnsi="Times New Roman" w:cs="Times New Roman"/>
                <w:color w:val="333333"/>
              </w:rPr>
              <w:t>Cisapride</w:t>
            </w:r>
            <w:proofErr w:type="spellEnd"/>
          </w:p>
          <w:p w14:paraId="7517C91E" w14:textId="1020A940"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Cyclosporine</w:t>
            </w:r>
          </w:p>
          <w:p w14:paraId="2C8B8693"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Dihydroergotamine</w:t>
            </w:r>
          </w:p>
          <w:p w14:paraId="7FB686D9"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Ergotamine</w:t>
            </w:r>
          </w:p>
          <w:p w14:paraId="18601DAF"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rPr>
              <w:t>Fentanyl</w:t>
            </w:r>
          </w:p>
          <w:p w14:paraId="3A5F76F3"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Pimozide</w:t>
            </w:r>
          </w:p>
          <w:p w14:paraId="7B6320D7"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Quinidine</w:t>
            </w:r>
          </w:p>
          <w:p w14:paraId="24EFCCC5"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rPr>
              <w:t>T</w:t>
            </w:r>
            <w:r w:rsidRPr="00227F09">
              <w:rPr>
                <w:rFonts w:ascii="Times New Roman" w:eastAsia="Times New Roman" w:hAnsi="Times New Roman" w:cs="Times New Roman"/>
                <w:color w:val="333333"/>
              </w:rPr>
              <w:t>acrolimus</w:t>
            </w:r>
          </w:p>
          <w:p w14:paraId="1E8F745D" w14:textId="77777777" w:rsidR="00DE4AFD" w:rsidRPr="00227F09" w:rsidRDefault="004A4F56" w:rsidP="00895F80">
            <w:pPr>
              <w:adjustRightInd w:val="0"/>
              <w:snapToGrid w:val="0"/>
              <w:spacing w:beforeLines="10" w:before="31" w:afterLines="10" w:after="31"/>
              <w:rPr>
                <w:rFonts w:ascii="Times New Roman" w:eastAsia="宋体" w:hAnsi="Times New Roman" w:cs="Times New Roman"/>
              </w:rPr>
            </w:pPr>
            <w:r w:rsidRPr="00227F09">
              <w:rPr>
                <w:rFonts w:ascii="Times New Roman" w:eastAsia="Times New Roman" w:hAnsi="Times New Roman" w:cs="Times New Roman"/>
                <w:color w:val="333333"/>
              </w:rPr>
              <w:t>Terfenadine</w:t>
            </w:r>
          </w:p>
        </w:tc>
      </w:tr>
    </w:tbl>
    <w:p w14:paraId="5F5557CE" w14:textId="77777777" w:rsidR="00DE4AFD" w:rsidRPr="00303844" w:rsidRDefault="00DE4AFD" w:rsidP="000C622D">
      <w:pPr>
        <w:pStyle w:val="afc"/>
        <w:ind w:firstLineChars="0" w:firstLine="0"/>
      </w:pPr>
    </w:p>
    <w:p w14:paraId="68167192" w14:textId="77777777" w:rsidR="00DE4AFD" w:rsidRPr="00303844" w:rsidRDefault="004A4F56" w:rsidP="000C622D">
      <w:pPr>
        <w:widowControl/>
        <w:spacing w:line="360" w:lineRule="auto"/>
        <w:rPr>
          <w:rFonts w:ascii="Times New Roman" w:eastAsia="宋体" w:hAnsi="Times New Roman" w:cs="Times New Roman"/>
          <w:b/>
          <w:sz w:val="24"/>
        </w:rPr>
      </w:pPr>
      <w:r w:rsidRPr="00303844">
        <w:rPr>
          <w:rFonts w:ascii="Times New Roman" w:eastAsia="宋体" w:hAnsi="Times New Roman" w:cs="Times New Roman"/>
          <w:b/>
          <w:sz w:val="24"/>
        </w:rPr>
        <w:br w:type="page"/>
      </w:r>
    </w:p>
    <w:p w14:paraId="400FDD62" w14:textId="4723EB90" w:rsidR="00DE4AFD" w:rsidRPr="00303844" w:rsidRDefault="004A4F56" w:rsidP="000C622D">
      <w:pPr>
        <w:keepNext/>
        <w:adjustRightInd w:val="0"/>
        <w:snapToGrid w:val="0"/>
        <w:spacing w:line="360" w:lineRule="auto"/>
        <w:textAlignment w:val="baseline"/>
        <w:outlineLvl w:val="1"/>
        <w:rPr>
          <w:rFonts w:ascii="Times New Roman" w:eastAsia="宋体" w:hAnsi="Times New Roman" w:cs="Times New Roman"/>
          <w:b/>
          <w:bCs/>
          <w:iCs/>
          <w:sz w:val="28"/>
          <w:szCs w:val="28"/>
        </w:rPr>
      </w:pPr>
      <w:bookmarkStart w:id="160" w:name="_Toc61906483"/>
      <w:bookmarkStart w:id="161" w:name="_Toc184889694"/>
      <w:bookmarkEnd w:id="160"/>
      <w:r w:rsidRPr="00303844">
        <w:rPr>
          <w:rFonts w:ascii="Times New Roman" w:eastAsia="Times New Roman" w:hAnsi="Times New Roman" w:cs="Times New Roman"/>
          <w:b/>
          <w:bCs/>
          <w:color w:val="333333"/>
          <w:sz w:val="28"/>
          <w:szCs w:val="28"/>
        </w:rPr>
        <w:lastRenderedPageBreak/>
        <w:t>Appendix 2 Traditional Chinese Medicines Prohibited During the Study</w:t>
      </w:r>
      <w:bookmarkEnd w:id="161"/>
    </w:p>
    <w:tbl>
      <w:tblPr>
        <w:tblStyle w:val="af6"/>
        <w:tblW w:w="5000" w:type="pct"/>
        <w:tblCellMar>
          <w:left w:w="57" w:type="dxa"/>
          <w:right w:w="57" w:type="dxa"/>
        </w:tblCellMar>
        <w:tblLook w:val="04A0" w:firstRow="1" w:lastRow="0" w:firstColumn="1" w:lastColumn="0" w:noHBand="0" w:noVBand="1"/>
      </w:tblPr>
      <w:tblGrid>
        <w:gridCol w:w="9016"/>
      </w:tblGrid>
      <w:tr w:rsidR="00DE4AFD" w:rsidRPr="00227F09" w14:paraId="6F995027" w14:textId="77777777" w:rsidTr="003F7776">
        <w:tc>
          <w:tcPr>
            <w:tcW w:w="9016" w:type="dxa"/>
          </w:tcPr>
          <w:p w14:paraId="3BACCF4B" w14:textId="77777777" w:rsidR="00DE4AFD" w:rsidRPr="00227F09" w:rsidRDefault="004A4F56" w:rsidP="003F7776">
            <w:pPr>
              <w:rPr>
                <w:rFonts w:ascii="Times New Roman" w:eastAsia="宋体" w:hAnsi="Times New Roman" w:cs="Times New Roman"/>
              </w:rPr>
            </w:pPr>
            <w:r w:rsidRPr="00227F09">
              <w:rPr>
                <w:rFonts w:ascii="Times New Roman" w:eastAsia="Times New Roman" w:hAnsi="Times New Roman" w:cs="Times New Roman"/>
                <w:color w:val="333333"/>
              </w:rPr>
              <w:t>Prohibited traditional Chinese medicines during the study include, but are not limited to:</w:t>
            </w:r>
          </w:p>
        </w:tc>
      </w:tr>
      <w:tr w:rsidR="00DE4AFD" w:rsidRPr="00227F09" w14:paraId="6D691562" w14:textId="77777777" w:rsidTr="003F7776">
        <w:tc>
          <w:tcPr>
            <w:tcW w:w="9016" w:type="dxa"/>
          </w:tcPr>
          <w:p w14:paraId="67A4D530" w14:textId="77777777" w:rsidR="00DE4AFD" w:rsidRPr="00227F09" w:rsidRDefault="004A4F56" w:rsidP="003F7776">
            <w:pPr>
              <w:widowControl/>
              <w:autoSpaceDE w:val="0"/>
              <w:autoSpaceDN w:val="0"/>
              <w:adjustRightInd w:val="0"/>
              <w:rPr>
                <w:rFonts w:ascii="Times New Roman" w:eastAsia="宋体" w:hAnsi="Times New Roman" w:cs="Times New Roman"/>
                <w:color w:val="000000"/>
                <w:kern w:val="0"/>
              </w:rPr>
            </w:pPr>
            <w:proofErr w:type="spellStart"/>
            <w:r w:rsidRPr="00227F09">
              <w:rPr>
                <w:rFonts w:ascii="Times New Roman" w:eastAsia="Times New Roman" w:hAnsi="Times New Roman" w:cs="Times New Roman"/>
                <w:color w:val="000000"/>
                <w:kern w:val="0"/>
              </w:rPr>
              <w:t>Huatan</w:t>
            </w:r>
            <w:proofErr w:type="spellEnd"/>
            <w:r w:rsidRPr="00227F09">
              <w:rPr>
                <w:rFonts w:ascii="Times New Roman" w:eastAsia="Times New Roman" w:hAnsi="Times New Roman" w:cs="Times New Roman"/>
                <w:color w:val="000000"/>
                <w:kern w:val="0"/>
              </w:rPr>
              <w:t xml:space="preserve"> </w:t>
            </w:r>
            <w:proofErr w:type="spellStart"/>
            <w:r w:rsidRPr="00227F09">
              <w:rPr>
                <w:rFonts w:ascii="Times New Roman" w:eastAsia="Times New Roman" w:hAnsi="Times New Roman" w:cs="Times New Roman"/>
                <w:color w:val="000000"/>
                <w:kern w:val="0"/>
              </w:rPr>
              <w:t>Huisheng</w:t>
            </w:r>
            <w:proofErr w:type="spellEnd"/>
            <w:r w:rsidRPr="00227F09">
              <w:rPr>
                <w:rFonts w:ascii="Times New Roman" w:eastAsia="Times New Roman" w:hAnsi="Times New Roman" w:cs="Times New Roman"/>
                <w:color w:val="000000"/>
                <w:kern w:val="0"/>
              </w:rPr>
              <w:t xml:space="preserve"> Tablets</w:t>
            </w:r>
          </w:p>
          <w:p w14:paraId="3993775E" w14:textId="77777777" w:rsidR="00DE4AFD" w:rsidRPr="00227F09" w:rsidRDefault="004A4F56" w:rsidP="003F7776">
            <w:pPr>
              <w:widowControl/>
              <w:autoSpaceDE w:val="0"/>
              <w:autoSpaceDN w:val="0"/>
              <w:adjustRightInd w:val="0"/>
              <w:rPr>
                <w:rFonts w:ascii="Times New Roman" w:eastAsia="宋体" w:hAnsi="Times New Roman" w:cs="Times New Roman"/>
                <w:color w:val="000000"/>
                <w:kern w:val="0"/>
              </w:rPr>
            </w:pPr>
            <w:proofErr w:type="spellStart"/>
            <w:r w:rsidRPr="00227F09">
              <w:rPr>
                <w:rFonts w:ascii="Times New Roman" w:eastAsia="Times New Roman" w:hAnsi="Times New Roman" w:cs="Times New Roman"/>
                <w:color w:val="000000"/>
                <w:kern w:val="0"/>
              </w:rPr>
              <w:t>Yadanziyou</w:t>
            </w:r>
            <w:proofErr w:type="spellEnd"/>
            <w:r w:rsidRPr="00227F09">
              <w:rPr>
                <w:rFonts w:ascii="Times New Roman" w:eastAsia="Times New Roman" w:hAnsi="Times New Roman" w:cs="Times New Roman"/>
                <w:color w:val="000000"/>
                <w:kern w:val="0"/>
              </w:rPr>
              <w:t xml:space="preserve"> Soft Capsules</w:t>
            </w:r>
          </w:p>
          <w:p w14:paraId="69571E53" w14:textId="77777777" w:rsidR="00DE4AFD" w:rsidRPr="00227F09" w:rsidRDefault="004A4F56" w:rsidP="003F7776">
            <w:pPr>
              <w:widowControl/>
              <w:autoSpaceDE w:val="0"/>
              <w:autoSpaceDN w:val="0"/>
              <w:adjustRightInd w:val="0"/>
              <w:rPr>
                <w:rFonts w:ascii="Times New Roman" w:eastAsia="宋体" w:hAnsi="Times New Roman" w:cs="Times New Roman"/>
                <w:color w:val="000000"/>
                <w:kern w:val="0"/>
              </w:rPr>
            </w:pPr>
            <w:proofErr w:type="spellStart"/>
            <w:r w:rsidRPr="00227F09">
              <w:rPr>
                <w:rFonts w:ascii="Times New Roman" w:eastAsia="Times New Roman" w:hAnsi="Times New Roman" w:cs="Times New Roman"/>
                <w:color w:val="000000"/>
                <w:kern w:val="0"/>
              </w:rPr>
              <w:t>Zhemu</w:t>
            </w:r>
            <w:proofErr w:type="spellEnd"/>
            <w:r w:rsidRPr="00227F09">
              <w:rPr>
                <w:rFonts w:ascii="Times New Roman" w:eastAsia="Times New Roman" w:hAnsi="Times New Roman" w:cs="Times New Roman"/>
                <w:color w:val="000000"/>
                <w:kern w:val="0"/>
              </w:rPr>
              <w:t xml:space="preserve"> Syrup</w:t>
            </w:r>
          </w:p>
          <w:p w14:paraId="4E333370" w14:textId="77777777" w:rsidR="00DE4AFD" w:rsidRPr="00227F09" w:rsidRDefault="004A4F56" w:rsidP="003F7776">
            <w:pPr>
              <w:widowControl/>
              <w:autoSpaceDE w:val="0"/>
              <w:autoSpaceDN w:val="0"/>
              <w:adjustRightInd w:val="0"/>
              <w:rPr>
                <w:rFonts w:ascii="Times New Roman" w:eastAsia="宋体" w:hAnsi="Times New Roman" w:cs="Times New Roman"/>
                <w:color w:val="000000"/>
                <w:kern w:val="0"/>
              </w:rPr>
            </w:pPr>
            <w:r w:rsidRPr="00227F09">
              <w:rPr>
                <w:rFonts w:ascii="Times New Roman" w:eastAsia="Times New Roman" w:hAnsi="Times New Roman" w:cs="Times New Roman"/>
                <w:color w:val="000000"/>
                <w:kern w:val="0"/>
              </w:rPr>
              <w:t>Cantharidin</w:t>
            </w:r>
          </w:p>
          <w:p w14:paraId="1D492F00" w14:textId="77777777" w:rsidR="00DE4AFD" w:rsidRPr="00227F09" w:rsidRDefault="004A4F56" w:rsidP="003F7776">
            <w:pPr>
              <w:widowControl/>
              <w:autoSpaceDE w:val="0"/>
              <w:autoSpaceDN w:val="0"/>
              <w:adjustRightInd w:val="0"/>
              <w:rPr>
                <w:rFonts w:ascii="Times New Roman" w:eastAsia="宋体" w:hAnsi="Times New Roman" w:cs="Times New Roman"/>
                <w:color w:val="000000"/>
                <w:kern w:val="0"/>
              </w:rPr>
            </w:pPr>
            <w:proofErr w:type="spellStart"/>
            <w:r w:rsidRPr="00227F09">
              <w:rPr>
                <w:rFonts w:ascii="Times New Roman" w:eastAsia="Times New Roman" w:hAnsi="Times New Roman" w:cs="Times New Roman"/>
                <w:color w:val="000000"/>
                <w:kern w:val="0"/>
              </w:rPr>
              <w:t>Cinobufotalin</w:t>
            </w:r>
            <w:proofErr w:type="spellEnd"/>
          </w:p>
          <w:p w14:paraId="1B9CC847" w14:textId="77777777" w:rsidR="00DE4AFD" w:rsidRPr="00227F09" w:rsidRDefault="004A4F56" w:rsidP="003F7776">
            <w:pPr>
              <w:widowControl/>
              <w:autoSpaceDE w:val="0"/>
              <w:autoSpaceDN w:val="0"/>
              <w:adjustRightInd w:val="0"/>
              <w:rPr>
                <w:rFonts w:ascii="Times New Roman" w:eastAsia="宋体" w:hAnsi="Times New Roman" w:cs="Times New Roman"/>
                <w:color w:val="000000"/>
                <w:kern w:val="0"/>
              </w:rPr>
            </w:pPr>
            <w:proofErr w:type="spellStart"/>
            <w:r w:rsidRPr="00227F09">
              <w:rPr>
                <w:rFonts w:ascii="Times New Roman" w:eastAsia="Times New Roman" w:hAnsi="Times New Roman" w:cs="Times New Roman"/>
                <w:color w:val="000000"/>
                <w:kern w:val="0"/>
              </w:rPr>
              <w:t>Chansu</w:t>
            </w:r>
            <w:proofErr w:type="spellEnd"/>
          </w:p>
          <w:p w14:paraId="68BC04E3" w14:textId="77777777" w:rsidR="00DE4AFD" w:rsidRPr="00227F09" w:rsidRDefault="004A4F56" w:rsidP="003F7776">
            <w:pPr>
              <w:widowControl/>
              <w:tabs>
                <w:tab w:val="left" w:pos="5557"/>
              </w:tabs>
              <w:autoSpaceDE w:val="0"/>
              <w:autoSpaceDN w:val="0"/>
              <w:adjustRightInd w:val="0"/>
              <w:rPr>
                <w:rFonts w:ascii="Times New Roman" w:eastAsia="宋体" w:hAnsi="Times New Roman" w:cs="Times New Roman"/>
                <w:color w:val="000000"/>
                <w:kern w:val="0"/>
              </w:rPr>
            </w:pPr>
            <w:proofErr w:type="spellStart"/>
            <w:r w:rsidRPr="00227F09">
              <w:rPr>
                <w:rFonts w:ascii="Times New Roman" w:eastAsia="Times New Roman" w:hAnsi="Times New Roman" w:cs="Times New Roman"/>
                <w:color w:val="000000"/>
                <w:kern w:val="0"/>
              </w:rPr>
              <w:t>Kang'ai</w:t>
            </w:r>
            <w:proofErr w:type="spellEnd"/>
            <w:r w:rsidRPr="00227F09">
              <w:rPr>
                <w:rFonts w:ascii="Times New Roman" w:eastAsia="Times New Roman" w:hAnsi="Times New Roman" w:cs="Times New Roman"/>
                <w:color w:val="000000"/>
                <w:kern w:val="0"/>
              </w:rPr>
              <w:t xml:space="preserve"> Injection</w:t>
            </w:r>
            <w:r w:rsidRPr="00227F09">
              <w:rPr>
                <w:rFonts w:ascii="Times New Roman" w:eastAsia="宋体" w:hAnsi="Times New Roman" w:cs="Times New Roman"/>
                <w:color w:val="000000"/>
                <w:kern w:val="0"/>
              </w:rPr>
              <w:tab/>
            </w:r>
          </w:p>
          <w:p w14:paraId="1014620B" w14:textId="77777777" w:rsidR="00DE4AFD" w:rsidRPr="00227F09" w:rsidRDefault="004A4F56" w:rsidP="003F7776">
            <w:pPr>
              <w:widowControl/>
              <w:autoSpaceDE w:val="0"/>
              <w:autoSpaceDN w:val="0"/>
              <w:adjustRightInd w:val="0"/>
              <w:rPr>
                <w:rFonts w:ascii="Times New Roman" w:eastAsia="宋体" w:hAnsi="Times New Roman" w:cs="Times New Roman"/>
                <w:color w:val="000000"/>
                <w:kern w:val="0"/>
              </w:rPr>
            </w:pPr>
            <w:proofErr w:type="spellStart"/>
            <w:r w:rsidRPr="00227F09">
              <w:rPr>
                <w:rFonts w:ascii="Times New Roman" w:eastAsia="Times New Roman" w:hAnsi="Times New Roman" w:cs="Times New Roman"/>
                <w:color w:val="000000"/>
                <w:kern w:val="0"/>
              </w:rPr>
              <w:t>Kanglaite</w:t>
            </w:r>
            <w:proofErr w:type="spellEnd"/>
          </w:p>
          <w:p w14:paraId="7901F0D9" w14:textId="77777777" w:rsidR="00DE4AFD" w:rsidRPr="00227F09" w:rsidRDefault="004A4F56" w:rsidP="003F7776">
            <w:pPr>
              <w:widowControl/>
              <w:autoSpaceDE w:val="0"/>
              <w:autoSpaceDN w:val="0"/>
              <w:adjustRightInd w:val="0"/>
              <w:rPr>
                <w:rFonts w:ascii="Times New Roman" w:eastAsia="宋体" w:hAnsi="Times New Roman" w:cs="Times New Roman"/>
                <w:color w:val="000000"/>
                <w:kern w:val="0"/>
              </w:rPr>
            </w:pPr>
            <w:proofErr w:type="spellStart"/>
            <w:r w:rsidRPr="00227F09">
              <w:rPr>
                <w:rFonts w:ascii="Times New Roman" w:eastAsia="Times New Roman" w:hAnsi="Times New Roman" w:cs="Times New Roman"/>
                <w:color w:val="000000"/>
                <w:kern w:val="0"/>
              </w:rPr>
              <w:t>Zhongjiefeng</w:t>
            </w:r>
            <w:proofErr w:type="spellEnd"/>
            <w:r w:rsidRPr="00227F09">
              <w:rPr>
                <w:rFonts w:ascii="Times New Roman" w:eastAsia="Times New Roman" w:hAnsi="Times New Roman" w:cs="Times New Roman"/>
                <w:color w:val="000000"/>
                <w:kern w:val="0"/>
              </w:rPr>
              <w:t xml:space="preserve"> Injection</w:t>
            </w:r>
          </w:p>
          <w:p w14:paraId="5A819F27" w14:textId="77777777" w:rsidR="00DE4AFD" w:rsidRPr="00227F09" w:rsidRDefault="004A4F56" w:rsidP="003F7776">
            <w:pPr>
              <w:widowControl/>
              <w:autoSpaceDE w:val="0"/>
              <w:autoSpaceDN w:val="0"/>
              <w:adjustRightInd w:val="0"/>
              <w:rPr>
                <w:rFonts w:ascii="Times New Roman" w:eastAsia="宋体" w:hAnsi="Times New Roman" w:cs="Times New Roman"/>
                <w:color w:val="000000"/>
                <w:kern w:val="0"/>
              </w:rPr>
            </w:pPr>
            <w:r w:rsidRPr="00227F09">
              <w:rPr>
                <w:rFonts w:ascii="Times New Roman" w:eastAsia="Times New Roman" w:hAnsi="Times New Roman" w:cs="Times New Roman"/>
                <w:color w:val="000000"/>
                <w:kern w:val="0"/>
              </w:rPr>
              <w:t>Aidi Injection</w:t>
            </w:r>
          </w:p>
          <w:p w14:paraId="39C391C8" w14:textId="77777777" w:rsidR="00DE4AFD" w:rsidRPr="00227F09" w:rsidRDefault="004A4F56" w:rsidP="003F7776">
            <w:pPr>
              <w:widowControl/>
              <w:autoSpaceDE w:val="0"/>
              <w:autoSpaceDN w:val="0"/>
              <w:adjustRightInd w:val="0"/>
              <w:rPr>
                <w:rFonts w:ascii="Times New Roman" w:eastAsia="宋体" w:hAnsi="Times New Roman" w:cs="Times New Roman"/>
                <w:color w:val="000000"/>
                <w:kern w:val="0"/>
              </w:rPr>
            </w:pPr>
            <w:proofErr w:type="spellStart"/>
            <w:r w:rsidRPr="00227F09">
              <w:rPr>
                <w:rFonts w:ascii="Times New Roman" w:eastAsia="Times New Roman" w:hAnsi="Times New Roman" w:cs="Times New Roman"/>
                <w:color w:val="000000"/>
                <w:kern w:val="0"/>
              </w:rPr>
              <w:t>Aweihuapi</w:t>
            </w:r>
            <w:proofErr w:type="spellEnd"/>
            <w:r w:rsidRPr="00227F09">
              <w:rPr>
                <w:rFonts w:ascii="Times New Roman" w:eastAsia="Times New Roman" w:hAnsi="Times New Roman" w:cs="Times New Roman"/>
                <w:color w:val="000000"/>
                <w:kern w:val="0"/>
              </w:rPr>
              <w:t xml:space="preserve"> Plaster</w:t>
            </w:r>
          </w:p>
          <w:p w14:paraId="1EBC6DBD" w14:textId="77777777" w:rsidR="00DE4AFD" w:rsidRPr="00227F09" w:rsidRDefault="004A4F56" w:rsidP="003F7776">
            <w:pPr>
              <w:widowControl/>
              <w:autoSpaceDE w:val="0"/>
              <w:autoSpaceDN w:val="0"/>
              <w:adjustRightInd w:val="0"/>
              <w:rPr>
                <w:rFonts w:ascii="Times New Roman" w:eastAsia="宋体" w:hAnsi="Times New Roman" w:cs="Times New Roman"/>
                <w:color w:val="000000"/>
                <w:kern w:val="0"/>
              </w:rPr>
            </w:pPr>
            <w:proofErr w:type="spellStart"/>
            <w:r w:rsidRPr="00227F09">
              <w:rPr>
                <w:rFonts w:ascii="Times New Roman" w:eastAsia="Times New Roman" w:hAnsi="Times New Roman" w:cs="Times New Roman"/>
                <w:color w:val="000000"/>
                <w:kern w:val="0"/>
              </w:rPr>
              <w:t>Kangaiping</w:t>
            </w:r>
            <w:proofErr w:type="spellEnd"/>
            <w:r w:rsidRPr="00227F09">
              <w:rPr>
                <w:rFonts w:ascii="Times New Roman" w:eastAsia="Times New Roman" w:hAnsi="Times New Roman" w:cs="Times New Roman"/>
                <w:color w:val="000000"/>
                <w:kern w:val="0"/>
              </w:rPr>
              <w:t xml:space="preserve"> Pills</w:t>
            </w:r>
          </w:p>
          <w:p w14:paraId="3DCABB76" w14:textId="77777777" w:rsidR="00DE4AFD" w:rsidRPr="00227F09" w:rsidRDefault="004A4F56" w:rsidP="003F7776">
            <w:pPr>
              <w:widowControl/>
              <w:autoSpaceDE w:val="0"/>
              <w:autoSpaceDN w:val="0"/>
              <w:adjustRightInd w:val="0"/>
              <w:rPr>
                <w:rFonts w:ascii="Times New Roman" w:eastAsia="宋体" w:hAnsi="Times New Roman" w:cs="Times New Roman"/>
                <w:color w:val="000000"/>
                <w:kern w:val="0"/>
              </w:rPr>
            </w:pPr>
            <w:proofErr w:type="spellStart"/>
            <w:r w:rsidRPr="00227F09">
              <w:rPr>
                <w:rFonts w:ascii="Times New Roman" w:eastAsia="Times New Roman" w:hAnsi="Times New Roman" w:cs="Times New Roman"/>
                <w:color w:val="000000"/>
                <w:kern w:val="0"/>
              </w:rPr>
              <w:t>Fukang</w:t>
            </w:r>
            <w:proofErr w:type="spellEnd"/>
            <w:r w:rsidRPr="00227F09">
              <w:rPr>
                <w:rFonts w:ascii="Times New Roman" w:eastAsia="Times New Roman" w:hAnsi="Times New Roman" w:cs="Times New Roman"/>
                <w:color w:val="000000"/>
                <w:kern w:val="0"/>
              </w:rPr>
              <w:t xml:space="preserve"> Capsules</w:t>
            </w:r>
          </w:p>
          <w:p w14:paraId="25866281" w14:textId="77777777" w:rsidR="00DE4AFD" w:rsidRPr="00227F09" w:rsidRDefault="004A4F56" w:rsidP="003F7776">
            <w:pPr>
              <w:widowControl/>
              <w:autoSpaceDE w:val="0"/>
              <w:autoSpaceDN w:val="0"/>
              <w:adjustRightInd w:val="0"/>
              <w:rPr>
                <w:rFonts w:ascii="Times New Roman" w:eastAsia="宋体" w:hAnsi="Times New Roman" w:cs="Times New Roman"/>
                <w:color w:val="000000"/>
                <w:kern w:val="0"/>
              </w:rPr>
            </w:pPr>
            <w:proofErr w:type="spellStart"/>
            <w:r w:rsidRPr="00227F09">
              <w:rPr>
                <w:rFonts w:ascii="Times New Roman" w:eastAsia="Times New Roman" w:hAnsi="Times New Roman" w:cs="Times New Roman"/>
                <w:color w:val="000000"/>
                <w:kern w:val="0"/>
              </w:rPr>
              <w:t>Xiaoaiping</w:t>
            </w:r>
            <w:proofErr w:type="spellEnd"/>
          </w:p>
          <w:p w14:paraId="2F7DB107" w14:textId="77777777" w:rsidR="00DE4AFD" w:rsidRPr="00227F09" w:rsidRDefault="004A4F56" w:rsidP="003F7776">
            <w:pPr>
              <w:widowControl/>
              <w:autoSpaceDE w:val="0"/>
              <w:autoSpaceDN w:val="0"/>
              <w:adjustRightInd w:val="0"/>
              <w:rPr>
                <w:rFonts w:ascii="Times New Roman" w:eastAsia="宋体" w:hAnsi="Times New Roman" w:cs="Times New Roman"/>
                <w:color w:val="000000"/>
                <w:kern w:val="0"/>
              </w:rPr>
            </w:pPr>
            <w:r w:rsidRPr="00227F09">
              <w:rPr>
                <w:rFonts w:ascii="Times New Roman" w:eastAsia="Times New Roman" w:hAnsi="Times New Roman" w:cs="Times New Roman"/>
                <w:color w:val="000000"/>
                <w:kern w:val="0"/>
              </w:rPr>
              <w:t>Ping Xiao Capsules</w:t>
            </w:r>
          </w:p>
          <w:p w14:paraId="03FD1BEF" w14:textId="77777777" w:rsidR="00DE4AFD" w:rsidRPr="00227F09" w:rsidRDefault="004A4F56" w:rsidP="003F7776">
            <w:pPr>
              <w:widowControl/>
              <w:autoSpaceDE w:val="0"/>
              <w:autoSpaceDN w:val="0"/>
              <w:adjustRightInd w:val="0"/>
              <w:rPr>
                <w:rFonts w:ascii="Times New Roman" w:eastAsia="宋体" w:hAnsi="Times New Roman" w:cs="Times New Roman"/>
                <w:color w:val="000000"/>
                <w:kern w:val="0"/>
              </w:rPr>
            </w:pPr>
            <w:r w:rsidRPr="00227F09">
              <w:rPr>
                <w:rFonts w:ascii="Times New Roman" w:eastAsia="Times New Roman" w:hAnsi="Times New Roman" w:cs="Times New Roman"/>
                <w:color w:val="000000"/>
                <w:kern w:val="0"/>
              </w:rPr>
              <w:t>Ping Xiao Tablets</w:t>
            </w:r>
          </w:p>
          <w:p w14:paraId="202550C1" w14:textId="77777777" w:rsidR="00DE4AFD" w:rsidRPr="00227F09" w:rsidRDefault="004A4F56" w:rsidP="003F7776">
            <w:pPr>
              <w:widowControl/>
              <w:autoSpaceDE w:val="0"/>
              <w:autoSpaceDN w:val="0"/>
              <w:adjustRightInd w:val="0"/>
              <w:rPr>
                <w:rFonts w:ascii="Times New Roman" w:eastAsia="宋体" w:hAnsi="Times New Roman" w:cs="Times New Roman"/>
                <w:color w:val="000000"/>
                <w:kern w:val="0"/>
              </w:rPr>
            </w:pPr>
            <w:proofErr w:type="spellStart"/>
            <w:r w:rsidRPr="00227F09">
              <w:rPr>
                <w:rFonts w:ascii="Times New Roman" w:eastAsia="Times New Roman" w:hAnsi="Times New Roman" w:cs="Times New Roman"/>
                <w:color w:val="000000"/>
                <w:kern w:val="0"/>
              </w:rPr>
              <w:t>Shendan</w:t>
            </w:r>
            <w:proofErr w:type="spellEnd"/>
            <w:r w:rsidRPr="00227F09">
              <w:rPr>
                <w:rFonts w:ascii="Times New Roman" w:eastAsia="Times New Roman" w:hAnsi="Times New Roman" w:cs="Times New Roman"/>
                <w:color w:val="000000"/>
                <w:kern w:val="0"/>
              </w:rPr>
              <w:t xml:space="preserve"> Sanjie Capsules</w:t>
            </w:r>
          </w:p>
          <w:p w14:paraId="5297C70A" w14:textId="77777777" w:rsidR="00DE4AFD" w:rsidRPr="00227F09" w:rsidRDefault="004A4F56" w:rsidP="003F7776">
            <w:pPr>
              <w:widowControl/>
              <w:autoSpaceDE w:val="0"/>
              <w:autoSpaceDN w:val="0"/>
              <w:adjustRightInd w:val="0"/>
              <w:rPr>
                <w:rFonts w:ascii="Times New Roman" w:eastAsia="宋体" w:hAnsi="Times New Roman" w:cs="Times New Roman"/>
                <w:color w:val="000000"/>
                <w:kern w:val="0"/>
              </w:rPr>
            </w:pPr>
            <w:proofErr w:type="spellStart"/>
            <w:r w:rsidRPr="00227F09">
              <w:rPr>
                <w:rFonts w:ascii="Times New Roman" w:eastAsia="Times New Roman" w:hAnsi="Times New Roman" w:cs="Times New Roman"/>
                <w:color w:val="000000"/>
                <w:kern w:val="0"/>
              </w:rPr>
              <w:t>Ankangxin</w:t>
            </w:r>
            <w:proofErr w:type="spellEnd"/>
            <w:r w:rsidRPr="00227F09">
              <w:rPr>
                <w:rFonts w:ascii="Times New Roman" w:eastAsia="Times New Roman" w:hAnsi="Times New Roman" w:cs="Times New Roman"/>
                <w:color w:val="000000"/>
                <w:kern w:val="0"/>
              </w:rPr>
              <w:t xml:space="preserve"> Capsules</w:t>
            </w:r>
          </w:p>
          <w:p w14:paraId="23BBBD0D" w14:textId="77777777" w:rsidR="00DE4AFD" w:rsidRPr="00227F09" w:rsidRDefault="004A4F56" w:rsidP="003F7776">
            <w:pPr>
              <w:widowControl/>
              <w:autoSpaceDE w:val="0"/>
              <w:autoSpaceDN w:val="0"/>
              <w:adjustRightInd w:val="0"/>
              <w:rPr>
                <w:rFonts w:ascii="Times New Roman" w:eastAsia="宋体" w:hAnsi="Times New Roman" w:cs="Times New Roman"/>
                <w:color w:val="000000"/>
                <w:kern w:val="0"/>
              </w:rPr>
            </w:pPr>
            <w:proofErr w:type="spellStart"/>
            <w:r w:rsidRPr="00227F09">
              <w:rPr>
                <w:rFonts w:ascii="Times New Roman" w:eastAsia="Times New Roman" w:hAnsi="Times New Roman" w:cs="Times New Roman"/>
                <w:color w:val="000000"/>
                <w:kern w:val="0"/>
              </w:rPr>
              <w:t>Bosheng</w:t>
            </w:r>
            <w:proofErr w:type="spellEnd"/>
            <w:r w:rsidRPr="00227F09">
              <w:rPr>
                <w:rFonts w:ascii="Times New Roman" w:eastAsia="Times New Roman" w:hAnsi="Times New Roman" w:cs="Times New Roman"/>
                <w:color w:val="000000"/>
                <w:kern w:val="0"/>
              </w:rPr>
              <w:t xml:space="preserve"> </w:t>
            </w:r>
            <w:proofErr w:type="spellStart"/>
            <w:r w:rsidRPr="00227F09">
              <w:rPr>
                <w:rFonts w:ascii="Times New Roman" w:eastAsia="Times New Roman" w:hAnsi="Times New Roman" w:cs="Times New Roman"/>
                <w:color w:val="000000"/>
                <w:kern w:val="0"/>
              </w:rPr>
              <w:t>Aining</w:t>
            </w:r>
            <w:proofErr w:type="spellEnd"/>
          </w:p>
          <w:p w14:paraId="74505D35" w14:textId="77777777" w:rsidR="00DE4AFD" w:rsidRPr="00227F09" w:rsidRDefault="004A4F56" w:rsidP="003F7776">
            <w:pPr>
              <w:widowControl/>
              <w:autoSpaceDE w:val="0"/>
              <w:autoSpaceDN w:val="0"/>
              <w:adjustRightInd w:val="0"/>
              <w:rPr>
                <w:rFonts w:ascii="Times New Roman" w:eastAsia="宋体" w:hAnsi="Times New Roman" w:cs="Times New Roman"/>
                <w:color w:val="000000"/>
                <w:kern w:val="0"/>
              </w:rPr>
            </w:pPr>
            <w:r w:rsidRPr="00227F09">
              <w:rPr>
                <w:rFonts w:ascii="Times New Roman" w:eastAsia="Times New Roman" w:hAnsi="Times New Roman" w:cs="Times New Roman"/>
                <w:color w:val="000000"/>
                <w:kern w:val="0"/>
              </w:rPr>
              <w:t>Zedoary Turmeric Oil and Glucose Injection</w:t>
            </w:r>
          </w:p>
          <w:p w14:paraId="4A14B104" w14:textId="77777777" w:rsidR="00DE4AFD" w:rsidRPr="00227F09" w:rsidRDefault="004A4F56" w:rsidP="003F7776">
            <w:pPr>
              <w:widowControl/>
              <w:autoSpaceDE w:val="0"/>
              <w:autoSpaceDN w:val="0"/>
              <w:adjustRightInd w:val="0"/>
              <w:rPr>
                <w:rFonts w:ascii="Times New Roman" w:eastAsia="宋体" w:hAnsi="Times New Roman" w:cs="Times New Roman"/>
                <w:color w:val="000000"/>
                <w:kern w:val="0"/>
              </w:rPr>
            </w:pPr>
            <w:r w:rsidRPr="00227F09">
              <w:rPr>
                <w:rFonts w:ascii="Times New Roman" w:eastAsia="Times New Roman" w:hAnsi="Times New Roman" w:cs="Times New Roman"/>
                <w:color w:val="000000"/>
                <w:kern w:val="0"/>
              </w:rPr>
              <w:t>Kang Lixin Capsules</w:t>
            </w:r>
          </w:p>
          <w:p w14:paraId="16D7BC8C" w14:textId="77777777" w:rsidR="00DE4AFD" w:rsidRPr="00227F09" w:rsidRDefault="004A4F56" w:rsidP="003F7776">
            <w:pPr>
              <w:widowControl/>
              <w:autoSpaceDE w:val="0"/>
              <w:autoSpaceDN w:val="0"/>
              <w:adjustRightInd w:val="0"/>
              <w:rPr>
                <w:rFonts w:ascii="Times New Roman" w:eastAsia="宋体" w:hAnsi="Times New Roman" w:cs="Times New Roman"/>
                <w:color w:val="000000"/>
                <w:kern w:val="0"/>
              </w:rPr>
            </w:pPr>
            <w:proofErr w:type="spellStart"/>
            <w:r w:rsidRPr="00227F09">
              <w:rPr>
                <w:rFonts w:ascii="Times New Roman" w:eastAsia="Times New Roman" w:hAnsi="Times New Roman" w:cs="Times New Roman"/>
                <w:color w:val="000000"/>
                <w:kern w:val="0"/>
              </w:rPr>
              <w:t>Cidan</w:t>
            </w:r>
            <w:proofErr w:type="spellEnd"/>
            <w:r w:rsidRPr="00227F09">
              <w:rPr>
                <w:rFonts w:ascii="Times New Roman" w:eastAsia="Times New Roman" w:hAnsi="Times New Roman" w:cs="Times New Roman"/>
                <w:color w:val="000000"/>
                <w:kern w:val="0"/>
              </w:rPr>
              <w:t xml:space="preserve"> Capsules</w:t>
            </w:r>
          </w:p>
        </w:tc>
      </w:tr>
    </w:tbl>
    <w:p w14:paraId="73663839" w14:textId="77777777" w:rsidR="00DE4AFD" w:rsidRPr="00303844" w:rsidRDefault="00DE4AFD" w:rsidP="000C622D">
      <w:pPr>
        <w:pStyle w:val="HR"/>
        <w:spacing w:after="0"/>
        <w:ind w:firstLineChars="0" w:firstLine="0"/>
        <w:jc w:val="both"/>
        <w:rPr>
          <w:rFonts w:cs="Times New Roman"/>
          <w:color w:val="000000" w:themeColor="text1"/>
          <w:lang w:val="en-US" w:eastAsia="zh-CN"/>
        </w:rPr>
      </w:pPr>
    </w:p>
    <w:p w14:paraId="3387EB01" w14:textId="77777777" w:rsidR="00DE4AFD" w:rsidRPr="00303844" w:rsidRDefault="00DE4AFD" w:rsidP="000C622D">
      <w:pPr>
        <w:spacing w:line="360" w:lineRule="auto"/>
        <w:rPr>
          <w:rFonts w:ascii="Times New Roman" w:eastAsia="宋体" w:hAnsi="Times New Roman" w:cs="Times New Roman"/>
          <w:b/>
          <w:sz w:val="24"/>
          <w:szCs w:val="24"/>
        </w:rPr>
      </w:pPr>
    </w:p>
    <w:p w14:paraId="004F486E" w14:textId="77777777" w:rsidR="00DE4AFD" w:rsidRPr="00303844" w:rsidRDefault="00DE4AFD" w:rsidP="000C622D">
      <w:pPr>
        <w:pStyle w:val="HR"/>
        <w:spacing w:after="0"/>
        <w:ind w:firstLine="480"/>
        <w:jc w:val="both"/>
        <w:rPr>
          <w:rFonts w:cs="Times New Roman"/>
          <w:lang w:val="en-US" w:eastAsia="zh-CN"/>
        </w:rPr>
      </w:pPr>
    </w:p>
    <w:sectPr w:rsidR="00DE4AFD" w:rsidRPr="00303844" w:rsidSect="008C3018">
      <w:endnotePr>
        <w:numFmt w:val="decimal"/>
      </w:endnotePr>
      <w:pgSz w:w="11906" w:h="16838"/>
      <w:pgMar w:top="1440" w:right="1440" w:bottom="1440" w:left="1440" w:header="1020" w:footer="73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327A3" w14:textId="77777777" w:rsidR="00F97D8A" w:rsidRDefault="00F97D8A">
      <w:r>
        <w:separator/>
      </w:r>
    </w:p>
  </w:endnote>
  <w:endnote w:type="continuationSeparator" w:id="0">
    <w:p w14:paraId="6111CDEB" w14:textId="77777777" w:rsidR="00F97D8A" w:rsidRDefault="00F97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新宋体">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EB1D8" w14:textId="77777777" w:rsidR="004A4F56" w:rsidRPr="00303844" w:rsidRDefault="004A4F56">
    <w:pPr>
      <w:jc w:val="center"/>
      <w:rPr>
        <w:szCs w:val="20"/>
      </w:rPr>
    </w:pPr>
    <w:bookmarkStart w:id="3" w:name="OLE_LINK1"/>
    <w:bookmarkEnd w:id="3"/>
    <w:r w:rsidRPr="00303844">
      <w:rPr>
        <w:rFonts w:ascii="Times New Roman" w:eastAsia="Times New Roman" w:hAnsi="Times New Roman" w:cs="Times New Roman"/>
        <w:szCs w:val="20"/>
      </w:rPr>
      <w:t>Confidential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BF95E" w14:textId="77777777" w:rsidR="004A4F56" w:rsidRPr="00FC0F90" w:rsidRDefault="004A4F56">
    <w:pPr>
      <w:jc w:val="center"/>
      <w:rPr>
        <w:rFonts w:eastAsia="Calibri"/>
      </w:rPr>
    </w:pPr>
    <w:r w:rsidRPr="00303844">
      <w:rPr>
        <w:rFonts w:ascii="Times New Roman" w:eastAsia="Times New Roman" w:hAnsi="Times New Roman" w:cs="Times New Roman"/>
        <w:szCs w:val="20"/>
      </w:rPr>
      <w:t>Confidential</w:t>
    </w:r>
  </w:p>
  <w:p w14:paraId="45AA8AE7" w14:textId="63EF87D7" w:rsidR="004A4F56" w:rsidRPr="00FC0F90" w:rsidRDefault="004A4F56">
    <w:pPr>
      <w:jc w:val="center"/>
      <w:rPr>
        <w:rFonts w:ascii="Times New Roman" w:hAnsi="Times New Roman" w:cs="Times New Roman"/>
      </w:rPr>
    </w:pPr>
    <w:r>
      <w:rPr>
        <w:rFonts w:ascii="Times New Roman" w:eastAsia="Times New Roman" w:hAnsi="Times New Roman" w:cs="Times New Roman"/>
      </w:rPr>
      <w:t xml:space="preserve">Page </w:t>
    </w:r>
    <w:r w:rsidR="00AF1F77" w:rsidRPr="00FC0F90">
      <w:rPr>
        <w:rFonts w:ascii="Times New Roman" w:hAnsi="Times New Roman" w:cs="Times New Roman"/>
      </w:rPr>
      <w:fldChar w:fldCharType="begin"/>
    </w:r>
    <w:r w:rsidR="00AF1F77" w:rsidRPr="00FC0F90">
      <w:rPr>
        <w:rFonts w:ascii="Times New Roman" w:hAnsi="Times New Roman" w:cs="Times New Roman"/>
      </w:rPr>
      <w:instrText xml:space="preserve"> PAGE  \* MERGEFORMAT </w:instrText>
    </w:r>
    <w:r w:rsidR="00AF1F77" w:rsidRPr="00FC0F90">
      <w:rPr>
        <w:rFonts w:ascii="Times New Roman" w:hAnsi="Times New Roman" w:cs="Times New Roman"/>
      </w:rPr>
      <w:fldChar w:fldCharType="separate"/>
    </w:r>
    <w:r w:rsidR="00D7688B">
      <w:rPr>
        <w:rFonts w:ascii="Times New Roman" w:hAnsi="Times New Roman" w:cs="Times New Roman"/>
        <w:noProof/>
      </w:rPr>
      <w:t>5</w:t>
    </w:r>
    <w:r w:rsidR="00AF1F77" w:rsidRPr="00FC0F90">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BCD49" w14:textId="77777777" w:rsidR="00F97D8A" w:rsidRDefault="00F97D8A">
      <w:r>
        <w:separator/>
      </w:r>
    </w:p>
  </w:footnote>
  <w:footnote w:type="continuationSeparator" w:id="0">
    <w:p w14:paraId="3085529D" w14:textId="77777777" w:rsidR="00F97D8A" w:rsidRDefault="00F97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FA500" w14:textId="77777777" w:rsidR="004A4F56" w:rsidRPr="00FC0F90" w:rsidRDefault="004A4F56" w:rsidP="00FC0F90">
    <w:pPr>
      <w:rPr>
        <w:rFonts w:ascii="Times New Roman" w:eastAsia="宋体" w:hAnsi="Times New Roman" w:cs="Times New Roman"/>
      </w:rPr>
    </w:pPr>
    <w:proofErr w:type="spellStart"/>
    <w:r>
      <w:rPr>
        <w:rFonts w:ascii="Times New Roman" w:eastAsia="Times New Roman" w:hAnsi="Times New Roman" w:cs="Times New Roman"/>
        <w:color w:val="333333"/>
      </w:rPr>
      <w:t>Surufatinib</w:t>
    </w:r>
    <w:proofErr w:type="spellEnd"/>
  </w:p>
  <w:p w14:paraId="0729BF61" w14:textId="77777777" w:rsidR="004A4F56" w:rsidRPr="00FC0F90" w:rsidRDefault="004A4F56" w:rsidP="00FC0F90">
    <w:pPr>
      <w:rPr>
        <w:rFonts w:ascii="Times New Roman" w:eastAsia="宋体" w:hAnsi="Times New Roman" w:cs="Times New Roman"/>
      </w:rPr>
    </w:pPr>
    <w:r w:rsidRPr="00FC0F90">
      <w:rPr>
        <w:rFonts w:ascii="Times New Roman" w:eastAsia="Times New Roman" w:hAnsi="Times New Roman" w:cs="Times New Roman"/>
      </w:rPr>
      <w:t>HMPL-012-SPRING-P101</w:t>
    </w:r>
  </w:p>
  <w:p w14:paraId="679F9F90" w14:textId="77777777" w:rsidR="004A4F56" w:rsidRPr="00FC0F90" w:rsidRDefault="004A4F56" w:rsidP="00FC0F90">
    <w:pPr>
      <w:pBdr>
        <w:bottom w:val="single" w:sz="4" w:space="1" w:color="auto"/>
      </w:pBdr>
      <w:rPr>
        <w:rFonts w:ascii="Times New Roman" w:eastAsia="宋体" w:hAnsi="Times New Roman" w:cs="Times New Roman"/>
      </w:rPr>
    </w:pPr>
    <w:r>
      <w:rPr>
        <w:rFonts w:ascii="Times New Roman" w:eastAsia="Times New Roman" w:hAnsi="Times New Roman" w:cs="Times New Roman"/>
      </w:rPr>
      <w:t>Version 3.0, Version Date (March 7, 2022)</w:t>
    </w:r>
  </w:p>
  <w:p w14:paraId="71B94169" w14:textId="77777777" w:rsidR="004A4F56" w:rsidRPr="00FC0F90" w:rsidRDefault="004A4F56" w:rsidP="00FC0F90">
    <w:pPr>
      <w:rPr>
        <w:rFonts w:ascii="Times New Roman" w:eastAsia="宋体"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Chars="200" w:hanging="360"/>
      </w:pPr>
      <w:rPr>
        <w:rFonts w:ascii="Wingdings" w:hAnsi="Wingdings" w:hint="default"/>
      </w:rPr>
    </w:lvl>
  </w:abstractNum>
  <w:abstractNum w:abstractNumId="1" w15:restartNumberingAfterBreak="0">
    <w:nsid w:val="00000022"/>
    <w:multiLevelType w:val="multilevel"/>
    <w:tmpl w:val="00000022"/>
    <w:lvl w:ilvl="0">
      <w:start w:val="1"/>
      <w:numFmt w:val="decimal"/>
      <w:pStyle w:val="1"/>
      <w:isLgl/>
      <w:suff w:val="space"/>
      <w:lvlText w:val="%1"/>
      <w:lvlJc w:val="left"/>
      <w:pPr>
        <w:ind w:left="403" w:hanging="403"/>
      </w:pPr>
      <w:rPr>
        <w:rFonts w:ascii="Times New Roman Bold" w:hAnsi="Times New Roman Bold" w:hint="default"/>
        <w:b/>
        <w:bCs/>
        <w:i w:val="0"/>
        <w:iCs w:val="0"/>
        <w:sz w:val="28"/>
        <w:szCs w:val="28"/>
      </w:rPr>
    </w:lvl>
    <w:lvl w:ilvl="1">
      <w:start w:val="1"/>
      <w:numFmt w:val="decimal"/>
      <w:pStyle w:val="2"/>
      <w:suff w:val="space"/>
      <w:lvlText w:val="%1.%2"/>
      <w:lvlJc w:val="left"/>
      <w:pPr>
        <w:ind w:left="1918" w:hanging="500"/>
      </w:pPr>
      <w:rPr>
        <w:rFonts w:ascii="Times New Roman Bold" w:hAnsi="Times New Roman Bold" w:hint="default"/>
        <w:b/>
        <w:bCs/>
        <w:i w:val="0"/>
        <w:iCs w:val="0"/>
        <w:sz w:val="24"/>
        <w:szCs w:val="24"/>
      </w:rPr>
    </w:lvl>
    <w:lvl w:ilvl="2">
      <w:start w:val="1"/>
      <w:numFmt w:val="decimal"/>
      <w:pStyle w:val="3"/>
      <w:suff w:val="space"/>
      <w:lvlText w:val="%1.%2.%3"/>
      <w:lvlJc w:val="left"/>
      <w:pPr>
        <w:ind w:left="905" w:hanging="800"/>
      </w:pPr>
      <w:rPr>
        <w:rFonts w:ascii="Times New Roman Bold" w:hAnsi="Times New Roman Bold" w:hint="default"/>
        <w:b/>
        <w:bCs/>
        <w:i w:val="0"/>
        <w:iCs w:val="0"/>
        <w:sz w:val="24"/>
        <w:szCs w:val="24"/>
      </w:rPr>
    </w:lvl>
    <w:lvl w:ilvl="3">
      <w:start w:val="1"/>
      <w:numFmt w:val="decimal"/>
      <w:lvlText w:val="%1.%2.%3.%4"/>
      <w:lvlJc w:val="left"/>
      <w:pPr>
        <w:ind w:left="1133" w:hanging="708"/>
      </w:pPr>
      <w:rPr>
        <w:rFonts w:hint="default"/>
      </w:rPr>
    </w:lvl>
    <w:lvl w:ilvl="4">
      <w:start w:val="1"/>
      <w:numFmt w:val="decimal"/>
      <w:lvlText w:val="%1.%2.%3.%4.%5"/>
      <w:lvlJc w:val="left"/>
      <w:pPr>
        <w:ind w:left="1700" w:hanging="850"/>
      </w:pPr>
      <w:rPr>
        <w:rFonts w:hint="default"/>
      </w:rPr>
    </w:lvl>
    <w:lvl w:ilvl="5">
      <w:start w:val="1"/>
      <w:numFmt w:val="decimal"/>
      <w:lvlText w:val="%1.%2.%3.%4.%5.%6"/>
      <w:lvlJc w:val="left"/>
      <w:pPr>
        <w:ind w:left="2409" w:hanging="1134"/>
      </w:pPr>
      <w:rPr>
        <w:rFonts w:hint="default"/>
      </w:rPr>
    </w:lvl>
    <w:lvl w:ilvl="6">
      <w:start w:val="1"/>
      <w:numFmt w:val="decimal"/>
      <w:lvlText w:val="%1.%2.%3.%4.%5.%6.%7"/>
      <w:lvlJc w:val="left"/>
      <w:pPr>
        <w:ind w:left="2976" w:hanging="1276"/>
      </w:pPr>
      <w:rPr>
        <w:rFonts w:hint="default"/>
      </w:rPr>
    </w:lvl>
    <w:lvl w:ilvl="7">
      <w:start w:val="1"/>
      <w:numFmt w:val="decimal"/>
      <w:lvlText w:val="%1.%2.%3.%4.%5.%6.%7.%8"/>
      <w:lvlJc w:val="left"/>
      <w:pPr>
        <w:ind w:left="3543" w:hanging="1418"/>
      </w:pPr>
      <w:rPr>
        <w:rFonts w:hint="default"/>
      </w:rPr>
    </w:lvl>
    <w:lvl w:ilvl="8">
      <w:start w:val="1"/>
      <w:numFmt w:val="decimal"/>
      <w:lvlText w:val="%1.%2.%3.%4.%5.%6.%7.%8.%9"/>
      <w:lvlJc w:val="left"/>
      <w:pPr>
        <w:ind w:left="4251" w:hanging="1700"/>
      </w:pPr>
      <w:rPr>
        <w:rFonts w:hint="default"/>
      </w:rPr>
    </w:lvl>
  </w:abstractNum>
  <w:abstractNum w:abstractNumId="2" w15:restartNumberingAfterBreak="0">
    <w:nsid w:val="0C955CFA"/>
    <w:multiLevelType w:val="singleLevel"/>
    <w:tmpl w:val="0C955CFA"/>
    <w:lvl w:ilvl="0">
      <w:start w:val="1"/>
      <w:numFmt w:val="bullet"/>
      <w:pStyle w:val="20"/>
      <w:lvlText w:val=""/>
      <w:lvlJc w:val="left"/>
      <w:pPr>
        <w:tabs>
          <w:tab w:val="left" w:pos="720"/>
        </w:tabs>
        <w:ind w:left="720" w:hanging="360"/>
      </w:pPr>
      <w:rPr>
        <w:rFonts w:ascii="Symbol" w:hAnsi="Symbol" w:hint="default"/>
        <w:caps w:val="0"/>
        <w:u w:val="none"/>
      </w:rPr>
    </w:lvl>
  </w:abstractNum>
  <w:abstractNum w:abstractNumId="3" w15:restartNumberingAfterBreak="0">
    <w:nsid w:val="13293751"/>
    <w:multiLevelType w:val="multilevel"/>
    <w:tmpl w:val="1329375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 w15:restartNumberingAfterBreak="0">
    <w:nsid w:val="14813E43"/>
    <w:multiLevelType w:val="multilevel"/>
    <w:tmpl w:val="14813E43"/>
    <w:lvl w:ilvl="0">
      <w:numFmt w:val="bullet"/>
      <w:lvlText w:val="•"/>
      <w:lvlJc w:val="left"/>
      <w:pPr>
        <w:ind w:left="420" w:hanging="420"/>
      </w:pPr>
      <w:rPr>
        <w:rFonts w:ascii="新宋体" w:eastAsia="新宋体" w:hAnsi="新宋体" w:cs="Courier New"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185356E5"/>
    <w:multiLevelType w:val="multilevel"/>
    <w:tmpl w:val="185356E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8B254F"/>
    <w:multiLevelType w:val="multilevel"/>
    <w:tmpl w:val="5816A666"/>
    <w:lvl w:ilvl="0">
      <w:start w:val="1"/>
      <w:numFmt w:val="decimal"/>
      <w:lvlText w:val="%1."/>
      <w:lvlJc w:val="left"/>
      <w:pPr>
        <w:ind w:left="780" w:hanging="420"/>
      </w:pPr>
      <w:rPr>
        <w:rFonts w:hint="default"/>
        <w:i w:val="0"/>
        <w:color w:val="auto"/>
        <w:sz w:val="24"/>
        <w:szCs w:val="24"/>
      </w:rPr>
    </w:lvl>
    <w:lvl w:ilvl="1">
      <w:start w:val="1"/>
      <w:numFmt w:val="bullet"/>
      <w:lvlText w:val=""/>
      <w:lvlJc w:val="left"/>
      <w:pPr>
        <w:ind w:left="1299" w:hanging="420"/>
      </w:pPr>
      <w:rPr>
        <w:rFonts w:ascii="Wingdings" w:hAnsi="Wingdings" w:hint="default"/>
      </w:rPr>
    </w:lvl>
    <w:lvl w:ilvl="2">
      <w:start w:val="1"/>
      <w:numFmt w:val="bullet"/>
      <w:lvlText w:val=""/>
      <w:lvlJc w:val="left"/>
      <w:pPr>
        <w:ind w:left="1719" w:hanging="420"/>
      </w:pPr>
      <w:rPr>
        <w:rFonts w:ascii="Wingdings" w:hAnsi="Wingdings" w:hint="default"/>
      </w:rPr>
    </w:lvl>
    <w:lvl w:ilvl="3">
      <w:start w:val="1"/>
      <w:numFmt w:val="bullet"/>
      <w:lvlText w:val=""/>
      <w:lvlJc w:val="left"/>
      <w:pPr>
        <w:ind w:left="2139" w:hanging="420"/>
      </w:pPr>
      <w:rPr>
        <w:rFonts w:ascii="Wingdings" w:hAnsi="Wingdings" w:hint="default"/>
      </w:rPr>
    </w:lvl>
    <w:lvl w:ilvl="4">
      <w:start w:val="1"/>
      <w:numFmt w:val="bullet"/>
      <w:lvlText w:val=""/>
      <w:lvlJc w:val="left"/>
      <w:pPr>
        <w:ind w:left="2559" w:hanging="420"/>
      </w:pPr>
      <w:rPr>
        <w:rFonts w:ascii="Wingdings" w:hAnsi="Wingdings" w:hint="default"/>
      </w:rPr>
    </w:lvl>
    <w:lvl w:ilvl="5">
      <w:start w:val="1"/>
      <w:numFmt w:val="bullet"/>
      <w:lvlText w:val=""/>
      <w:lvlJc w:val="left"/>
      <w:pPr>
        <w:ind w:left="2979" w:hanging="420"/>
      </w:pPr>
      <w:rPr>
        <w:rFonts w:ascii="Wingdings" w:hAnsi="Wingdings" w:hint="default"/>
      </w:rPr>
    </w:lvl>
    <w:lvl w:ilvl="6">
      <w:start w:val="1"/>
      <w:numFmt w:val="bullet"/>
      <w:lvlText w:val=""/>
      <w:lvlJc w:val="left"/>
      <w:pPr>
        <w:ind w:left="3399" w:hanging="420"/>
      </w:pPr>
      <w:rPr>
        <w:rFonts w:ascii="Wingdings" w:hAnsi="Wingdings" w:hint="default"/>
      </w:rPr>
    </w:lvl>
    <w:lvl w:ilvl="7">
      <w:start w:val="1"/>
      <w:numFmt w:val="bullet"/>
      <w:lvlText w:val=""/>
      <w:lvlJc w:val="left"/>
      <w:pPr>
        <w:ind w:left="3819" w:hanging="420"/>
      </w:pPr>
      <w:rPr>
        <w:rFonts w:ascii="Wingdings" w:hAnsi="Wingdings" w:hint="default"/>
      </w:rPr>
    </w:lvl>
    <w:lvl w:ilvl="8">
      <w:start w:val="1"/>
      <w:numFmt w:val="bullet"/>
      <w:lvlText w:val=""/>
      <w:lvlJc w:val="left"/>
      <w:pPr>
        <w:ind w:left="4239" w:hanging="420"/>
      </w:pPr>
      <w:rPr>
        <w:rFonts w:ascii="Wingdings" w:hAnsi="Wingdings" w:hint="default"/>
      </w:rPr>
    </w:lvl>
  </w:abstractNum>
  <w:abstractNum w:abstractNumId="7" w15:restartNumberingAfterBreak="0">
    <w:nsid w:val="1B0D7B26"/>
    <w:multiLevelType w:val="multilevel"/>
    <w:tmpl w:val="1B0D7B26"/>
    <w:lvl w:ilvl="0">
      <w:start w:val="1"/>
      <w:numFmt w:val="bullet"/>
      <w:lvlText w:val=""/>
      <w:lvlJc w:val="left"/>
      <w:pPr>
        <w:ind w:left="900" w:hanging="420"/>
      </w:pPr>
      <w:rPr>
        <w:rFonts w:ascii="Symbol" w:hAnsi="Symbol"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8" w15:restartNumberingAfterBreak="0">
    <w:nsid w:val="209B1252"/>
    <w:multiLevelType w:val="multilevel"/>
    <w:tmpl w:val="209B1252"/>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9" w15:restartNumberingAfterBreak="0">
    <w:nsid w:val="292069D4"/>
    <w:multiLevelType w:val="multilevel"/>
    <w:tmpl w:val="292069D4"/>
    <w:lvl w:ilvl="0">
      <w:start w:val="1"/>
      <w:numFmt w:val="decimal"/>
      <w:lvlText w:val="%1."/>
      <w:lvlJc w:val="left"/>
      <w:pPr>
        <w:ind w:left="0" w:hanging="360"/>
      </w:pPr>
      <w:rPr>
        <w:rFonts w:ascii="Times New Roman" w:hAnsi="Times New Roman" w:cs="Times New Roman"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0" w15:restartNumberingAfterBreak="0">
    <w:nsid w:val="2D1E045D"/>
    <w:multiLevelType w:val="multilevel"/>
    <w:tmpl w:val="2D1E045D"/>
    <w:lvl w:ilvl="0">
      <w:start w:val="1"/>
      <w:numFmt w:val="decimal"/>
      <w:lvlText w:val="%1."/>
      <w:lvlJc w:val="left"/>
      <w:pPr>
        <w:ind w:left="720" w:hanging="360"/>
      </w:pPr>
      <w:rPr>
        <w:rFonts w:hint="eastAs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EFC44CE"/>
    <w:multiLevelType w:val="multilevel"/>
    <w:tmpl w:val="2EFC44CE"/>
    <w:lvl w:ilvl="0">
      <w:start w:val="1"/>
      <w:numFmt w:val="decimal"/>
      <w:lvlText w:val="%1."/>
      <w:lvlJc w:val="left"/>
      <w:pPr>
        <w:ind w:left="480" w:hanging="480"/>
      </w:pPr>
      <w:rPr>
        <w:i w:val="0"/>
        <w:color w:val="auto"/>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32CE3D57"/>
    <w:multiLevelType w:val="singleLevel"/>
    <w:tmpl w:val="32CE3D57"/>
    <w:lvl w:ilvl="0">
      <w:start w:val="1"/>
      <w:numFmt w:val="lowerLetter"/>
      <w:pStyle w:val="ListAlphaTable"/>
      <w:lvlText w:val="%1."/>
      <w:lvlJc w:val="left"/>
      <w:pPr>
        <w:tabs>
          <w:tab w:val="left" w:pos="360"/>
        </w:tabs>
        <w:ind w:left="360" w:hanging="360"/>
      </w:pPr>
      <w:rPr>
        <w:caps w:val="0"/>
        <w:u w:val="none"/>
      </w:rPr>
    </w:lvl>
  </w:abstractNum>
  <w:abstractNum w:abstractNumId="13" w15:restartNumberingAfterBreak="0">
    <w:nsid w:val="3A371041"/>
    <w:multiLevelType w:val="multilevel"/>
    <w:tmpl w:val="3A37104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AE344C1"/>
    <w:multiLevelType w:val="multilevel"/>
    <w:tmpl w:val="3AE344C1"/>
    <w:lvl w:ilvl="0">
      <w:start w:val="1"/>
      <w:numFmt w:val="decimal"/>
      <w:lvlText w:val="%1."/>
      <w:lvlJc w:val="left"/>
      <w:pPr>
        <w:ind w:left="879" w:hanging="420"/>
      </w:pPr>
      <w:rPr>
        <w:rFonts w:hint="default"/>
      </w:rPr>
    </w:lvl>
    <w:lvl w:ilvl="1">
      <w:start w:val="1"/>
      <w:numFmt w:val="bullet"/>
      <w:lvlText w:val=""/>
      <w:lvlJc w:val="left"/>
      <w:pPr>
        <w:ind w:left="1299" w:hanging="420"/>
      </w:pPr>
      <w:rPr>
        <w:rFonts w:ascii="Wingdings" w:hAnsi="Wingdings" w:hint="default"/>
      </w:rPr>
    </w:lvl>
    <w:lvl w:ilvl="2">
      <w:start w:val="1"/>
      <w:numFmt w:val="bullet"/>
      <w:lvlText w:val=""/>
      <w:lvlJc w:val="left"/>
      <w:pPr>
        <w:ind w:left="1719" w:hanging="420"/>
      </w:pPr>
      <w:rPr>
        <w:rFonts w:ascii="Wingdings" w:hAnsi="Wingdings" w:hint="default"/>
      </w:rPr>
    </w:lvl>
    <w:lvl w:ilvl="3">
      <w:start w:val="1"/>
      <w:numFmt w:val="bullet"/>
      <w:lvlText w:val=""/>
      <w:lvlJc w:val="left"/>
      <w:pPr>
        <w:ind w:left="2139" w:hanging="420"/>
      </w:pPr>
      <w:rPr>
        <w:rFonts w:ascii="Wingdings" w:hAnsi="Wingdings" w:hint="default"/>
      </w:rPr>
    </w:lvl>
    <w:lvl w:ilvl="4">
      <w:start w:val="1"/>
      <w:numFmt w:val="bullet"/>
      <w:lvlText w:val=""/>
      <w:lvlJc w:val="left"/>
      <w:pPr>
        <w:ind w:left="2559" w:hanging="420"/>
      </w:pPr>
      <w:rPr>
        <w:rFonts w:ascii="Wingdings" w:hAnsi="Wingdings" w:hint="default"/>
      </w:rPr>
    </w:lvl>
    <w:lvl w:ilvl="5">
      <w:start w:val="1"/>
      <w:numFmt w:val="bullet"/>
      <w:lvlText w:val=""/>
      <w:lvlJc w:val="left"/>
      <w:pPr>
        <w:ind w:left="2979" w:hanging="420"/>
      </w:pPr>
      <w:rPr>
        <w:rFonts w:ascii="Wingdings" w:hAnsi="Wingdings" w:hint="default"/>
      </w:rPr>
    </w:lvl>
    <w:lvl w:ilvl="6">
      <w:start w:val="1"/>
      <w:numFmt w:val="bullet"/>
      <w:lvlText w:val=""/>
      <w:lvlJc w:val="left"/>
      <w:pPr>
        <w:ind w:left="3399" w:hanging="420"/>
      </w:pPr>
      <w:rPr>
        <w:rFonts w:ascii="Wingdings" w:hAnsi="Wingdings" w:hint="default"/>
      </w:rPr>
    </w:lvl>
    <w:lvl w:ilvl="7">
      <w:start w:val="1"/>
      <w:numFmt w:val="bullet"/>
      <w:lvlText w:val=""/>
      <w:lvlJc w:val="left"/>
      <w:pPr>
        <w:ind w:left="3819" w:hanging="420"/>
      </w:pPr>
      <w:rPr>
        <w:rFonts w:ascii="Wingdings" w:hAnsi="Wingdings" w:hint="default"/>
      </w:rPr>
    </w:lvl>
    <w:lvl w:ilvl="8">
      <w:start w:val="1"/>
      <w:numFmt w:val="bullet"/>
      <w:lvlText w:val=""/>
      <w:lvlJc w:val="left"/>
      <w:pPr>
        <w:ind w:left="4239" w:hanging="420"/>
      </w:pPr>
      <w:rPr>
        <w:rFonts w:ascii="Wingdings" w:hAnsi="Wingdings" w:hint="default"/>
      </w:rPr>
    </w:lvl>
  </w:abstractNum>
  <w:abstractNum w:abstractNumId="15" w15:restartNumberingAfterBreak="0">
    <w:nsid w:val="40DD1AB9"/>
    <w:multiLevelType w:val="multilevel"/>
    <w:tmpl w:val="40DD1AB9"/>
    <w:lvl w:ilvl="0">
      <w:start w:val="1"/>
      <w:numFmt w:val="decimal"/>
      <w:pStyle w:val="10"/>
      <w:lvlText w:val="%1."/>
      <w:lvlJc w:val="left"/>
      <w:pPr>
        <w:ind w:left="340" w:hanging="340"/>
      </w:pPr>
      <w:rPr>
        <w:rFonts w:ascii="Times New Roman" w:eastAsia="宋体" w:hAnsi="Times New Roman" w:hint="default"/>
        <w:b/>
        <w:i w:val="0"/>
        <w:color w:val="auto"/>
        <w:sz w:val="30"/>
      </w:rPr>
    </w:lvl>
    <w:lvl w:ilvl="1">
      <w:start w:val="1"/>
      <w:numFmt w:val="decimal"/>
      <w:pStyle w:val="21"/>
      <w:lvlText w:val="%1.%2."/>
      <w:lvlJc w:val="left"/>
      <w:pPr>
        <w:ind w:left="624" w:hanging="624"/>
      </w:pPr>
      <w:rPr>
        <w:rFonts w:ascii="ti" w:eastAsia="宋体" w:hAnsi="ti" w:hint="default"/>
        <w:b/>
        <w:i w:val="0"/>
        <w:color w:val="auto"/>
        <w:sz w:val="24"/>
      </w:rPr>
    </w:lvl>
    <w:lvl w:ilvl="2">
      <w:start w:val="1"/>
      <w:numFmt w:val="decimal"/>
      <w:pStyle w:val="30"/>
      <w:lvlText w:val="%1.%2.%3."/>
      <w:lvlJc w:val="left"/>
      <w:pPr>
        <w:ind w:left="907" w:hanging="907"/>
      </w:pPr>
      <w:rPr>
        <w:rFonts w:ascii="Times New Roman" w:eastAsia="宋体" w:hAnsi="Times New Roman" w:hint="default"/>
        <w:b/>
        <w:i w:val="0"/>
        <w:color w:val="auto"/>
        <w:sz w:val="24"/>
      </w:rPr>
    </w:lvl>
    <w:lvl w:ilvl="3">
      <w:start w:val="1"/>
      <w:numFmt w:val="decimal"/>
      <w:pStyle w:val="4"/>
      <w:lvlText w:val="%1.%2.%3.%4."/>
      <w:lvlJc w:val="left"/>
      <w:pPr>
        <w:ind w:left="1304" w:hanging="1304"/>
      </w:pPr>
      <w:rPr>
        <w:rFonts w:ascii="Times New Roman" w:eastAsia="宋体" w:hAnsi="Times New Roman" w:hint="default"/>
        <w:b/>
        <w:i w:val="0"/>
        <w:sz w:val="24"/>
      </w:rPr>
    </w:lvl>
    <w:lvl w:ilvl="4">
      <w:start w:val="1"/>
      <w:numFmt w:val="decimal"/>
      <w:pStyle w:val="5"/>
      <w:lvlText w:val="%1.%2.%3.%4.%5."/>
      <w:lvlJc w:val="left"/>
      <w:pPr>
        <w:ind w:left="1701" w:hanging="1701"/>
      </w:pPr>
      <w:rPr>
        <w:rFonts w:ascii="Times New Roman" w:eastAsia="宋体" w:hAnsi="Times New Roman" w:hint="default"/>
        <w:b/>
        <w:i w:val="0"/>
        <w:sz w:val="24"/>
      </w:rPr>
    </w:lvl>
    <w:lvl w:ilvl="5">
      <w:start w:val="1"/>
      <w:numFmt w:val="decimal"/>
      <w:lvlText w:val="%1.%2.%3.%4.%5.%6"/>
      <w:lvlJc w:val="left"/>
      <w:pPr>
        <w:ind w:left="340" w:hanging="340"/>
      </w:pPr>
      <w:rPr>
        <w:rFonts w:hint="eastAsia"/>
      </w:rPr>
    </w:lvl>
    <w:lvl w:ilvl="6">
      <w:start w:val="1"/>
      <w:numFmt w:val="decimal"/>
      <w:lvlText w:val="%1.%2.%3.%4.%5.%6.%7"/>
      <w:lvlJc w:val="left"/>
      <w:pPr>
        <w:ind w:left="340" w:hanging="340"/>
      </w:pPr>
      <w:rPr>
        <w:rFonts w:hint="eastAsia"/>
      </w:rPr>
    </w:lvl>
    <w:lvl w:ilvl="7">
      <w:start w:val="1"/>
      <w:numFmt w:val="decimal"/>
      <w:lvlText w:val="%1.%2.%3.%4.%5.%6.%7.%8"/>
      <w:lvlJc w:val="left"/>
      <w:pPr>
        <w:ind w:left="340" w:hanging="340"/>
      </w:pPr>
      <w:rPr>
        <w:rFonts w:hint="eastAsia"/>
      </w:rPr>
    </w:lvl>
    <w:lvl w:ilvl="8">
      <w:start w:val="1"/>
      <w:numFmt w:val="decimal"/>
      <w:lvlText w:val="%1.%2.%3.%4.%5.%6.%7.%8.%9"/>
      <w:lvlJc w:val="left"/>
      <w:pPr>
        <w:ind w:left="340" w:hanging="340"/>
      </w:pPr>
      <w:rPr>
        <w:rFonts w:hint="eastAsia"/>
      </w:rPr>
    </w:lvl>
  </w:abstractNum>
  <w:abstractNum w:abstractNumId="16" w15:restartNumberingAfterBreak="0">
    <w:nsid w:val="421E34A9"/>
    <w:multiLevelType w:val="multilevel"/>
    <w:tmpl w:val="421E34A9"/>
    <w:lvl w:ilvl="0">
      <w:start w:val="1"/>
      <w:numFmt w:val="bullet"/>
      <w:lvlText w:val=""/>
      <w:lvlJc w:val="left"/>
      <w:pPr>
        <w:ind w:left="420" w:hanging="420"/>
      </w:pPr>
      <w:rPr>
        <w:rFonts w:ascii="Symbol" w:hAnsi="Symbol" w:hint="default"/>
        <w:color w:val="000000" w:themeColor="text1"/>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15:restartNumberingAfterBreak="0">
    <w:nsid w:val="432E6DA2"/>
    <w:multiLevelType w:val="multilevel"/>
    <w:tmpl w:val="432E6DA2"/>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8" w15:restartNumberingAfterBreak="0">
    <w:nsid w:val="44C44F0D"/>
    <w:multiLevelType w:val="multilevel"/>
    <w:tmpl w:val="44C44F0D"/>
    <w:lvl w:ilvl="0">
      <w:start w:val="1"/>
      <w:numFmt w:val="decimal"/>
      <w:lvlText w:val="%1."/>
      <w:lvlJc w:val="left"/>
      <w:pPr>
        <w:ind w:left="480" w:hanging="480"/>
      </w:pPr>
      <w:rPr>
        <w:i w:val="0"/>
        <w:color w:val="auto"/>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4644591C"/>
    <w:multiLevelType w:val="multilevel"/>
    <w:tmpl w:val="4644591C"/>
    <w:lvl w:ilvl="0">
      <w:start w:val="1"/>
      <w:numFmt w:val="decimal"/>
      <w:lvlText w:val="%1."/>
      <w:lvlJc w:val="left"/>
      <w:pPr>
        <w:ind w:left="720" w:hanging="360"/>
      </w:pPr>
      <w:rPr>
        <w:rFonts w:hint="eastAsia"/>
        <w:i w:val="0"/>
        <w:color w:val="auto"/>
        <w:u w:color="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B1E0C40"/>
    <w:multiLevelType w:val="singleLevel"/>
    <w:tmpl w:val="4B1E0C40"/>
    <w:lvl w:ilvl="0">
      <w:start w:val="1"/>
      <w:numFmt w:val="decimal"/>
      <w:pStyle w:val="RefText"/>
      <w:lvlText w:val="%1."/>
      <w:lvlJc w:val="left"/>
      <w:pPr>
        <w:tabs>
          <w:tab w:val="left" w:pos="501"/>
        </w:tabs>
        <w:ind w:left="501" w:hanging="501"/>
      </w:pPr>
      <w:rPr>
        <w:i w:val="0"/>
        <w:caps w:val="0"/>
        <w:color w:val="auto"/>
        <w:u w:val="none"/>
      </w:rPr>
    </w:lvl>
  </w:abstractNum>
  <w:abstractNum w:abstractNumId="21" w15:restartNumberingAfterBreak="0">
    <w:nsid w:val="507A2F95"/>
    <w:multiLevelType w:val="multilevel"/>
    <w:tmpl w:val="507A2F95"/>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2" w15:restartNumberingAfterBreak="0">
    <w:nsid w:val="57504F5F"/>
    <w:multiLevelType w:val="multilevel"/>
    <w:tmpl w:val="57504F5F"/>
    <w:lvl w:ilvl="0">
      <w:start w:val="1"/>
      <w:numFmt w:val="bullet"/>
      <w:lvlText w:val=""/>
      <w:lvlJc w:val="left"/>
      <w:pPr>
        <w:ind w:left="900" w:hanging="420"/>
      </w:pPr>
      <w:rPr>
        <w:rFonts w:ascii="Symbol" w:hAnsi="Symbol"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3" w15:restartNumberingAfterBreak="0">
    <w:nsid w:val="5906117D"/>
    <w:multiLevelType w:val="multilevel"/>
    <w:tmpl w:val="5906117D"/>
    <w:lvl w:ilvl="0">
      <w:start w:val="1"/>
      <w:numFmt w:val="bullet"/>
      <w:lvlText w:val=""/>
      <w:lvlJc w:val="left"/>
      <w:pPr>
        <w:ind w:left="900" w:hanging="420"/>
      </w:pPr>
      <w:rPr>
        <w:rFonts w:ascii="Symbol" w:hAnsi="Symbol"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4" w15:restartNumberingAfterBreak="0">
    <w:nsid w:val="5AED0287"/>
    <w:multiLevelType w:val="multilevel"/>
    <w:tmpl w:val="5AED0287"/>
    <w:lvl w:ilvl="0">
      <w:start w:val="1"/>
      <w:numFmt w:val="bullet"/>
      <w:lvlText w:val=""/>
      <w:lvlJc w:val="left"/>
      <w:pPr>
        <w:ind w:left="900" w:hanging="420"/>
      </w:pPr>
      <w:rPr>
        <w:rFonts w:ascii="Symbol" w:hAnsi="Symbol"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5" w15:restartNumberingAfterBreak="0">
    <w:nsid w:val="6EE77604"/>
    <w:multiLevelType w:val="multilevel"/>
    <w:tmpl w:val="6EE77604"/>
    <w:lvl w:ilvl="0">
      <w:start w:val="1"/>
      <w:numFmt w:val="bullet"/>
      <w:lvlText w:val=""/>
      <w:lvlJc w:val="left"/>
      <w:pPr>
        <w:ind w:left="900" w:hanging="420"/>
      </w:pPr>
      <w:rPr>
        <w:rFonts w:ascii="Symbol" w:hAnsi="Symbol" w:hint="default"/>
        <w:color w:val="000000" w:themeColor="text1"/>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6" w15:restartNumberingAfterBreak="0">
    <w:nsid w:val="6F4500E6"/>
    <w:multiLevelType w:val="multilevel"/>
    <w:tmpl w:val="6F4500E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767D7BAD"/>
    <w:multiLevelType w:val="multilevel"/>
    <w:tmpl w:val="767D7BAD"/>
    <w:lvl w:ilvl="0">
      <w:start w:val="1"/>
      <w:numFmt w:val="bullet"/>
      <w:lvlText w:val=""/>
      <w:lvlJc w:val="left"/>
      <w:pPr>
        <w:tabs>
          <w:tab w:val="left" w:pos="500"/>
        </w:tabs>
        <w:ind w:left="307" w:firstLine="113"/>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8" w15:restartNumberingAfterBreak="0">
    <w:nsid w:val="7EFC641B"/>
    <w:multiLevelType w:val="multilevel"/>
    <w:tmpl w:val="7EFC641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9218797">
    <w:abstractNumId w:val="15"/>
  </w:num>
  <w:num w:numId="2" w16cid:durableId="72700985">
    <w:abstractNumId w:val="0"/>
  </w:num>
  <w:num w:numId="3" w16cid:durableId="709842176">
    <w:abstractNumId w:val="2"/>
  </w:num>
  <w:num w:numId="4" w16cid:durableId="466167818">
    <w:abstractNumId w:val="1"/>
  </w:num>
  <w:num w:numId="5" w16cid:durableId="1346519591">
    <w:abstractNumId w:val="12"/>
  </w:num>
  <w:num w:numId="6" w16cid:durableId="478499382">
    <w:abstractNumId w:val="20"/>
  </w:num>
  <w:num w:numId="7" w16cid:durableId="249774884">
    <w:abstractNumId w:val="16"/>
  </w:num>
  <w:num w:numId="8" w16cid:durableId="360784485">
    <w:abstractNumId w:val="11"/>
  </w:num>
  <w:num w:numId="9" w16cid:durableId="1673333305">
    <w:abstractNumId w:val="18"/>
  </w:num>
  <w:num w:numId="10" w16cid:durableId="2058506589">
    <w:abstractNumId w:val="9"/>
  </w:num>
  <w:num w:numId="11" w16cid:durableId="1548907383">
    <w:abstractNumId w:val="19"/>
  </w:num>
  <w:num w:numId="12" w16cid:durableId="1726752400">
    <w:abstractNumId w:val="13"/>
  </w:num>
  <w:num w:numId="13" w16cid:durableId="517426690">
    <w:abstractNumId w:val="10"/>
  </w:num>
  <w:num w:numId="14" w16cid:durableId="280452771">
    <w:abstractNumId w:val="28"/>
  </w:num>
  <w:num w:numId="15" w16cid:durableId="1425958547">
    <w:abstractNumId w:val="26"/>
  </w:num>
  <w:num w:numId="16" w16cid:durableId="1941136202">
    <w:abstractNumId w:val="7"/>
  </w:num>
  <w:num w:numId="17" w16cid:durableId="46415452">
    <w:abstractNumId w:val="14"/>
  </w:num>
  <w:num w:numId="18" w16cid:durableId="1036780628">
    <w:abstractNumId w:val="6"/>
  </w:num>
  <w:num w:numId="19" w16cid:durableId="1632398440">
    <w:abstractNumId w:val="23"/>
  </w:num>
  <w:num w:numId="20" w16cid:durableId="329411647">
    <w:abstractNumId w:val="8"/>
  </w:num>
  <w:num w:numId="21" w16cid:durableId="60099931">
    <w:abstractNumId w:val="5"/>
  </w:num>
  <w:num w:numId="22" w16cid:durableId="31200312">
    <w:abstractNumId w:val="25"/>
  </w:num>
  <w:num w:numId="23" w16cid:durableId="249510056">
    <w:abstractNumId w:val="24"/>
  </w:num>
  <w:num w:numId="24" w16cid:durableId="1043675583">
    <w:abstractNumId w:val="21"/>
  </w:num>
  <w:num w:numId="25" w16cid:durableId="2008555427">
    <w:abstractNumId w:val="3"/>
  </w:num>
  <w:num w:numId="26" w16cid:durableId="705526626">
    <w:abstractNumId w:val="17"/>
  </w:num>
  <w:num w:numId="27" w16cid:durableId="1221017707">
    <w:abstractNumId w:val="22"/>
  </w:num>
  <w:num w:numId="28" w16cid:durableId="890775918">
    <w:abstractNumId w:val="27"/>
  </w:num>
  <w:num w:numId="29" w16cid:durableId="707296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bordersDoNotSurroundHeader/>
  <w:bordersDoNotSurroundFooter/>
  <w:hideSpellingErrors/>
  <w:hideGrammaticalErrors/>
  <w:proofState w:spelling="clean" w:grammar="clean"/>
  <w:styleLockTheme/>
  <w:styleLockQFSet/>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E0NzAyNDc2NjEzsDRV0lEKTi0uzszPAykwrAUAUFMt3SwAAAA="/>
  </w:docVars>
  <w:rsids>
    <w:rsidRoot w:val="00AC43E4"/>
    <w:rsid w:val="00000A37"/>
    <w:rsid w:val="0000269E"/>
    <w:rsid w:val="0000435B"/>
    <w:rsid w:val="000059C1"/>
    <w:rsid w:val="00005B43"/>
    <w:rsid w:val="0000692C"/>
    <w:rsid w:val="000101DC"/>
    <w:rsid w:val="00011550"/>
    <w:rsid w:val="00013961"/>
    <w:rsid w:val="00013C22"/>
    <w:rsid w:val="00013CF3"/>
    <w:rsid w:val="000159F2"/>
    <w:rsid w:val="000173A0"/>
    <w:rsid w:val="000203FC"/>
    <w:rsid w:val="000213FD"/>
    <w:rsid w:val="000237AB"/>
    <w:rsid w:val="00023EB5"/>
    <w:rsid w:val="00024676"/>
    <w:rsid w:val="0002551B"/>
    <w:rsid w:val="00026EA3"/>
    <w:rsid w:val="0002714A"/>
    <w:rsid w:val="000272A4"/>
    <w:rsid w:val="00027BAF"/>
    <w:rsid w:val="00027FCF"/>
    <w:rsid w:val="000310D6"/>
    <w:rsid w:val="00031595"/>
    <w:rsid w:val="000324AF"/>
    <w:rsid w:val="0003269A"/>
    <w:rsid w:val="000359D2"/>
    <w:rsid w:val="000409E4"/>
    <w:rsid w:val="00044077"/>
    <w:rsid w:val="00045684"/>
    <w:rsid w:val="0004670B"/>
    <w:rsid w:val="00051945"/>
    <w:rsid w:val="00053861"/>
    <w:rsid w:val="0005419B"/>
    <w:rsid w:val="000573DA"/>
    <w:rsid w:val="00061254"/>
    <w:rsid w:val="0006199E"/>
    <w:rsid w:val="000628E0"/>
    <w:rsid w:val="00062FD1"/>
    <w:rsid w:val="00064F12"/>
    <w:rsid w:val="000650AA"/>
    <w:rsid w:val="0006662A"/>
    <w:rsid w:val="00066940"/>
    <w:rsid w:val="00067AB5"/>
    <w:rsid w:val="00070010"/>
    <w:rsid w:val="00070B64"/>
    <w:rsid w:val="0007113B"/>
    <w:rsid w:val="000713C3"/>
    <w:rsid w:val="00072712"/>
    <w:rsid w:val="00074E86"/>
    <w:rsid w:val="0007719D"/>
    <w:rsid w:val="00080069"/>
    <w:rsid w:val="00081294"/>
    <w:rsid w:val="00081977"/>
    <w:rsid w:val="00081DCC"/>
    <w:rsid w:val="000827E9"/>
    <w:rsid w:val="000838CC"/>
    <w:rsid w:val="000838D5"/>
    <w:rsid w:val="00085F75"/>
    <w:rsid w:val="00087F81"/>
    <w:rsid w:val="000900A2"/>
    <w:rsid w:val="0009022E"/>
    <w:rsid w:val="00091AD6"/>
    <w:rsid w:val="00094104"/>
    <w:rsid w:val="00094943"/>
    <w:rsid w:val="00094A91"/>
    <w:rsid w:val="00094C79"/>
    <w:rsid w:val="0009691C"/>
    <w:rsid w:val="00097668"/>
    <w:rsid w:val="000A004C"/>
    <w:rsid w:val="000A0153"/>
    <w:rsid w:val="000A3437"/>
    <w:rsid w:val="000A396C"/>
    <w:rsid w:val="000A3BC1"/>
    <w:rsid w:val="000A3D70"/>
    <w:rsid w:val="000A40B1"/>
    <w:rsid w:val="000A5184"/>
    <w:rsid w:val="000A5F0E"/>
    <w:rsid w:val="000A7A16"/>
    <w:rsid w:val="000B1761"/>
    <w:rsid w:val="000B18C8"/>
    <w:rsid w:val="000B2B78"/>
    <w:rsid w:val="000B31CC"/>
    <w:rsid w:val="000B67FE"/>
    <w:rsid w:val="000B6D8F"/>
    <w:rsid w:val="000B6E42"/>
    <w:rsid w:val="000C27A1"/>
    <w:rsid w:val="000C3E69"/>
    <w:rsid w:val="000C443B"/>
    <w:rsid w:val="000C467D"/>
    <w:rsid w:val="000C5289"/>
    <w:rsid w:val="000C571D"/>
    <w:rsid w:val="000C622D"/>
    <w:rsid w:val="000C6598"/>
    <w:rsid w:val="000C68DF"/>
    <w:rsid w:val="000C6FA7"/>
    <w:rsid w:val="000C7382"/>
    <w:rsid w:val="000C77C9"/>
    <w:rsid w:val="000D03D1"/>
    <w:rsid w:val="000D0620"/>
    <w:rsid w:val="000D0753"/>
    <w:rsid w:val="000D1779"/>
    <w:rsid w:val="000D1DC6"/>
    <w:rsid w:val="000D2AA4"/>
    <w:rsid w:val="000D2FB7"/>
    <w:rsid w:val="000D54B8"/>
    <w:rsid w:val="000D57F4"/>
    <w:rsid w:val="000D6711"/>
    <w:rsid w:val="000D6C26"/>
    <w:rsid w:val="000E1794"/>
    <w:rsid w:val="000E262E"/>
    <w:rsid w:val="000E3E42"/>
    <w:rsid w:val="000E6037"/>
    <w:rsid w:val="000E7E79"/>
    <w:rsid w:val="000F27D4"/>
    <w:rsid w:val="000F38C0"/>
    <w:rsid w:val="000F448F"/>
    <w:rsid w:val="000F485F"/>
    <w:rsid w:val="000F5F15"/>
    <w:rsid w:val="000F7819"/>
    <w:rsid w:val="000F7A79"/>
    <w:rsid w:val="001010D4"/>
    <w:rsid w:val="001010E2"/>
    <w:rsid w:val="00101FA4"/>
    <w:rsid w:val="0010407F"/>
    <w:rsid w:val="00105279"/>
    <w:rsid w:val="0010579A"/>
    <w:rsid w:val="00105CEE"/>
    <w:rsid w:val="00106831"/>
    <w:rsid w:val="00106D48"/>
    <w:rsid w:val="00111813"/>
    <w:rsid w:val="00112095"/>
    <w:rsid w:val="00112323"/>
    <w:rsid w:val="00112AF9"/>
    <w:rsid w:val="0011407C"/>
    <w:rsid w:val="00114499"/>
    <w:rsid w:val="00114EB3"/>
    <w:rsid w:val="0011686E"/>
    <w:rsid w:val="00116971"/>
    <w:rsid w:val="00117274"/>
    <w:rsid w:val="0011790B"/>
    <w:rsid w:val="001235F5"/>
    <w:rsid w:val="00124980"/>
    <w:rsid w:val="00126237"/>
    <w:rsid w:val="00126831"/>
    <w:rsid w:val="00126907"/>
    <w:rsid w:val="00127410"/>
    <w:rsid w:val="001302A7"/>
    <w:rsid w:val="001304CB"/>
    <w:rsid w:val="00131D76"/>
    <w:rsid w:val="00133E9C"/>
    <w:rsid w:val="00134B18"/>
    <w:rsid w:val="00134CE1"/>
    <w:rsid w:val="001406AC"/>
    <w:rsid w:val="00141775"/>
    <w:rsid w:val="00141AEA"/>
    <w:rsid w:val="00142C39"/>
    <w:rsid w:val="001436EF"/>
    <w:rsid w:val="00144962"/>
    <w:rsid w:val="001469BE"/>
    <w:rsid w:val="00147253"/>
    <w:rsid w:val="00147690"/>
    <w:rsid w:val="00147BF5"/>
    <w:rsid w:val="00150135"/>
    <w:rsid w:val="001517F1"/>
    <w:rsid w:val="001539AA"/>
    <w:rsid w:val="00153E06"/>
    <w:rsid w:val="00154DF1"/>
    <w:rsid w:val="00155D0C"/>
    <w:rsid w:val="001563E6"/>
    <w:rsid w:val="001601EF"/>
    <w:rsid w:val="00161648"/>
    <w:rsid w:val="00161A3B"/>
    <w:rsid w:val="001632F5"/>
    <w:rsid w:val="00163D97"/>
    <w:rsid w:val="00164BFD"/>
    <w:rsid w:val="00165464"/>
    <w:rsid w:val="00165B22"/>
    <w:rsid w:val="00165BAD"/>
    <w:rsid w:val="00167D2B"/>
    <w:rsid w:val="0017134C"/>
    <w:rsid w:val="001779B2"/>
    <w:rsid w:val="00180472"/>
    <w:rsid w:val="00181387"/>
    <w:rsid w:val="00181F13"/>
    <w:rsid w:val="00182690"/>
    <w:rsid w:val="001835F0"/>
    <w:rsid w:val="00183F39"/>
    <w:rsid w:val="00184EB8"/>
    <w:rsid w:val="00185346"/>
    <w:rsid w:val="00185D4C"/>
    <w:rsid w:val="00187C94"/>
    <w:rsid w:val="001905AD"/>
    <w:rsid w:val="00190A25"/>
    <w:rsid w:val="00192C3B"/>
    <w:rsid w:val="00193B1D"/>
    <w:rsid w:val="00193F7E"/>
    <w:rsid w:val="00193F9A"/>
    <w:rsid w:val="00193FB6"/>
    <w:rsid w:val="00194E93"/>
    <w:rsid w:val="00195705"/>
    <w:rsid w:val="001966EF"/>
    <w:rsid w:val="001A04DF"/>
    <w:rsid w:val="001A1444"/>
    <w:rsid w:val="001A2A12"/>
    <w:rsid w:val="001A3527"/>
    <w:rsid w:val="001A4DA4"/>
    <w:rsid w:val="001A6069"/>
    <w:rsid w:val="001A6430"/>
    <w:rsid w:val="001A664C"/>
    <w:rsid w:val="001A6EA6"/>
    <w:rsid w:val="001A6F48"/>
    <w:rsid w:val="001A77EA"/>
    <w:rsid w:val="001A786A"/>
    <w:rsid w:val="001B080C"/>
    <w:rsid w:val="001B3561"/>
    <w:rsid w:val="001B43C7"/>
    <w:rsid w:val="001B455E"/>
    <w:rsid w:val="001B45B1"/>
    <w:rsid w:val="001B542E"/>
    <w:rsid w:val="001B5F8D"/>
    <w:rsid w:val="001B6C0F"/>
    <w:rsid w:val="001C16FB"/>
    <w:rsid w:val="001C1F75"/>
    <w:rsid w:val="001C2A40"/>
    <w:rsid w:val="001C2A59"/>
    <w:rsid w:val="001C2A95"/>
    <w:rsid w:val="001C39DC"/>
    <w:rsid w:val="001C3C5A"/>
    <w:rsid w:val="001C4A06"/>
    <w:rsid w:val="001C6C81"/>
    <w:rsid w:val="001C6D2B"/>
    <w:rsid w:val="001C7598"/>
    <w:rsid w:val="001C78DB"/>
    <w:rsid w:val="001C79D3"/>
    <w:rsid w:val="001D0099"/>
    <w:rsid w:val="001D0CC6"/>
    <w:rsid w:val="001D12C8"/>
    <w:rsid w:val="001D1B2F"/>
    <w:rsid w:val="001D25CC"/>
    <w:rsid w:val="001D329F"/>
    <w:rsid w:val="001D37D5"/>
    <w:rsid w:val="001D4B58"/>
    <w:rsid w:val="001D6298"/>
    <w:rsid w:val="001D72C5"/>
    <w:rsid w:val="001E0644"/>
    <w:rsid w:val="001E0ADD"/>
    <w:rsid w:val="001E235E"/>
    <w:rsid w:val="001E23B0"/>
    <w:rsid w:val="001E4515"/>
    <w:rsid w:val="001E536B"/>
    <w:rsid w:val="001E5A65"/>
    <w:rsid w:val="001E62D9"/>
    <w:rsid w:val="001E65FC"/>
    <w:rsid w:val="001F0A36"/>
    <w:rsid w:val="001F13BA"/>
    <w:rsid w:val="001F1678"/>
    <w:rsid w:val="001F1CCF"/>
    <w:rsid w:val="001F64D5"/>
    <w:rsid w:val="001F71E4"/>
    <w:rsid w:val="002011DA"/>
    <w:rsid w:val="0020366C"/>
    <w:rsid w:val="00206BCB"/>
    <w:rsid w:val="00206DA8"/>
    <w:rsid w:val="00206EA4"/>
    <w:rsid w:val="00206EF1"/>
    <w:rsid w:val="00207782"/>
    <w:rsid w:val="00207C5C"/>
    <w:rsid w:val="0021001C"/>
    <w:rsid w:val="00211085"/>
    <w:rsid w:val="002156B2"/>
    <w:rsid w:val="00216003"/>
    <w:rsid w:val="00220313"/>
    <w:rsid w:val="00221A51"/>
    <w:rsid w:val="0022291B"/>
    <w:rsid w:val="00222B65"/>
    <w:rsid w:val="00222B77"/>
    <w:rsid w:val="00222CE2"/>
    <w:rsid w:val="002230FC"/>
    <w:rsid w:val="0022491C"/>
    <w:rsid w:val="002249CD"/>
    <w:rsid w:val="00224C17"/>
    <w:rsid w:val="00225877"/>
    <w:rsid w:val="00226BCA"/>
    <w:rsid w:val="00226C8A"/>
    <w:rsid w:val="00227D20"/>
    <w:rsid w:val="00227E6E"/>
    <w:rsid w:val="00227F09"/>
    <w:rsid w:val="00230E2F"/>
    <w:rsid w:val="00231EAA"/>
    <w:rsid w:val="0023313C"/>
    <w:rsid w:val="0023319B"/>
    <w:rsid w:val="002343ED"/>
    <w:rsid w:val="00234589"/>
    <w:rsid w:val="00234D97"/>
    <w:rsid w:val="00234EAF"/>
    <w:rsid w:val="0023559C"/>
    <w:rsid w:val="00236244"/>
    <w:rsid w:val="0023661E"/>
    <w:rsid w:val="00237216"/>
    <w:rsid w:val="00241EA4"/>
    <w:rsid w:val="00242336"/>
    <w:rsid w:val="00242E78"/>
    <w:rsid w:val="00243214"/>
    <w:rsid w:val="00244673"/>
    <w:rsid w:val="002455CC"/>
    <w:rsid w:val="00245610"/>
    <w:rsid w:val="0025073E"/>
    <w:rsid w:val="0025205E"/>
    <w:rsid w:val="002525B6"/>
    <w:rsid w:val="00252E94"/>
    <w:rsid w:val="00253893"/>
    <w:rsid w:val="00253A8A"/>
    <w:rsid w:val="00253FC8"/>
    <w:rsid w:val="00256669"/>
    <w:rsid w:val="00260F3D"/>
    <w:rsid w:val="002617A9"/>
    <w:rsid w:val="002620B2"/>
    <w:rsid w:val="002633A0"/>
    <w:rsid w:val="00263676"/>
    <w:rsid w:val="00265035"/>
    <w:rsid w:val="00266A1F"/>
    <w:rsid w:val="002711A0"/>
    <w:rsid w:val="00271555"/>
    <w:rsid w:val="00272ADC"/>
    <w:rsid w:val="00272F33"/>
    <w:rsid w:val="00273205"/>
    <w:rsid w:val="002735F5"/>
    <w:rsid w:val="00274A24"/>
    <w:rsid w:val="002753B3"/>
    <w:rsid w:val="00275A72"/>
    <w:rsid w:val="002766E1"/>
    <w:rsid w:val="002769E1"/>
    <w:rsid w:val="0027799F"/>
    <w:rsid w:val="00280191"/>
    <w:rsid w:val="002812DE"/>
    <w:rsid w:val="0028181E"/>
    <w:rsid w:val="002820E2"/>
    <w:rsid w:val="002821E7"/>
    <w:rsid w:val="00283A9A"/>
    <w:rsid w:val="0028711B"/>
    <w:rsid w:val="002871CB"/>
    <w:rsid w:val="00290844"/>
    <w:rsid w:val="00290CB3"/>
    <w:rsid w:val="00293230"/>
    <w:rsid w:val="0029398B"/>
    <w:rsid w:val="00293A99"/>
    <w:rsid w:val="0029448B"/>
    <w:rsid w:val="00294EA8"/>
    <w:rsid w:val="0029510D"/>
    <w:rsid w:val="002956E4"/>
    <w:rsid w:val="00297BE9"/>
    <w:rsid w:val="002A0365"/>
    <w:rsid w:val="002A0CCB"/>
    <w:rsid w:val="002A27D8"/>
    <w:rsid w:val="002A4558"/>
    <w:rsid w:val="002A5854"/>
    <w:rsid w:val="002A597C"/>
    <w:rsid w:val="002A5B60"/>
    <w:rsid w:val="002A6A31"/>
    <w:rsid w:val="002B0738"/>
    <w:rsid w:val="002B0D07"/>
    <w:rsid w:val="002B1214"/>
    <w:rsid w:val="002B2342"/>
    <w:rsid w:val="002B35A7"/>
    <w:rsid w:val="002B42EF"/>
    <w:rsid w:val="002B5A25"/>
    <w:rsid w:val="002B5C53"/>
    <w:rsid w:val="002B6F6D"/>
    <w:rsid w:val="002B7665"/>
    <w:rsid w:val="002C0071"/>
    <w:rsid w:val="002C1E58"/>
    <w:rsid w:val="002C20E6"/>
    <w:rsid w:val="002C2AC4"/>
    <w:rsid w:val="002C36C7"/>
    <w:rsid w:val="002C4066"/>
    <w:rsid w:val="002C43F4"/>
    <w:rsid w:val="002D1318"/>
    <w:rsid w:val="002D1473"/>
    <w:rsid w:val="002D299D"/>
    <w:rsid w:val="002D366A"/>
    <w:rsid w:val="002D3949"/>
    <w:rsid w:val="002D46B7"/>
    <w:rsid w:val="002D5144"/>
    <w:rsid w:val="002D5390"/>
    <w:rsid w:val="002D6FB9"/>
    <w:rsid w:val="002E1B2A"/>
    <w:rsid w:val="002E340C"/>
    <w:rsid w:val="002E3772"/>
    <w:rsid w:val="002E4F28"/>
    <w:rsid w:val="002E6910"/>
    <w:rsid w:val="002E7EA2"/>
    <w:rsid w:val="002F0F43"/>
    <w:rsid w:val="002F100A"/>
    <w:rsid w:val="002F1DDB"/>
    <w:rsid w:val="002F2000"/>
    <w:rsid w:val="002F2A0F"/>
    <w:rsid w:val="002F456E"/>
    <w:rsid w:val="002F51C1"/>
    <w:rsid w:val="002F52A0"/>
    <w:rsid w:val="002F5DD0"/>
    <w:rsid w:val="002F617D"/>
    <w:rsid w:val="002F62CA"/>
    <w:rsid w:val="002F67EA"/>
    <w:rsid w:val="002F7E98"/>
    <w:rsid w:val="00301D48"/>
    <w:rsid w:val="0030359E"/>
    <w:rsid w:val="00303844"/>
    <w:rsid w:val="00303F81"/>
    <w:rsid w:val="0030462E"/>
    <w:rsid w:val="00305797"/>
    <w:rsid w:val="00306870"/>
    <w:rsid w:val="003068E3"/>
    <w:rsid w:val="00307CAC"/>
    <w:rsid w:val="00310006"/>
    <w:rsid w:val="00313BFF"/>
    <w:rsid w:val="003168F2"/>
    <w:rsid w:val="00316DD0"/>
    <w:rsid w:val="003218EB"/>
    <w:rsid w:val="003224BB"/>
    <w:rsid w:val="0032300A"/>
    <w:rsid w:val="00323454"/>
    <w:rsid w:val="00324213"/>
    <w:rsid w:val="003248B4"/>
    <w:rsid w:val="00325234"/>
    <w:rsid w:val="00325744"/>
    <w:rsid w:val="00326C8F"/>
    <w:rsid w:val="00330891"/>
    <w:rsid w:val="00330FDF"/>
    <w:rsid w:val="003313D1"/>
    <w:rsid w:val="00331593"/>
    <w:rsid w:val="003337C5"/>
    <w:rsid w:val="00334015"/>
    <w:rsid w:val="00334A64"/>
    <w:rsid w:val="00334C21"/>
    <w:rsid w:val="00335115"/>
    <w:rsid w:val="00335AC7"/>
    <w:rsid w:val="00336D6F"/>
    <w:rsid w:val="003408B6"/>
    <w:rsid w:val="00340E6F"/>
    <w:rsid w:val="0034327F"/>
    <w:rsid w:val="0034393A"/>
    <w:rsid w:val="0034486D"/>
    <w:rsid w:val="003467D0"/>
    <w:rsid w:val="00347A75"/>
    <w:rsid w:val="0035189B"/>
    <w:rsid w:val="003524C0"/>
    <w:rsid w:val="00352EFF"/>
    <w:rsid w:val="00353806"/>
    <w:rsid w:val="00355B3D"/>
    <w:rsid w:val="00355C20"/>
    <w:rsid w:val="00355DC3"/>
    <w:rsid w:val="0035783F"/>
    <w:rsid w:val="00361498"/>
    <w:rsid w:val="003616FA"/>
    <w:rsid w:val="003620D2"/>
    <w:rsid w:val="003628B7"/>
    <w:rsid w:val="00362AC6"/>
    <w:rsid w:val="00362EEA"/>
    <w:rsid w:val="00364E98"/>
    <w:rsid w:val="00366B35"/>
    <w:rsid w:val="003678F6"/>
    <w:rsid w:val="00371E3E"/>
    <w:rsid w:val="00373715"/>
    <w:rsid w:val="00373D46"/>
    <w:rsid w:val="00374BFE"/>
    <w:rsid w:val="003754D5"/>
    <w:rsid w:val="003763D9"/>
    <w:rsid w:val="003763FC"/>
    <w:rsid w:val="00377567"/>
    <w:rsid w:val="00381604"/>
    <w:rsid w:val="0038232B"/>
    <w:rsid w:val="00383928"/>
    <w:rsid w:val="0038411F"/>
    <w:rsid w:val="00385CFA"/>
    <w:rsid w:val="003907BB"/>
    <w:rsid w:val="00391763"/>
    <w:rsid w:val="0039180D"/>
    <w:rsid w:val="00394FA4"/>
    <w:rsid w:val="0039543E"/>
    <w:rsid w:val="00397946"/>
    <w:rsid w:val="003A0D8B"/>
    <w:rsid w:val="003A199F"/>
    <w:rsid w:val="003A19AE"/>
    <w:rsid w:val="003A1D29"/>
    <w:rsid w:val="003A1D57"/>
    <w:rsid w:val="003A26BD"/>
    <w:rsid w:val="003A6B48"/>
    <w:rsid w:val="003A74FA"/>
    <w:rsid w:val="003A75C9"/>
    <w:rsid w:val="003A75FB"/>
    <w:rsid w:val="003B0195"/>
    <w:rsid w:val="003B1C2B"/>
    <w:rsid w:val="003B2036"/>
    <w:rsid w:val="003B3548"/>
    <w:rsid w:val="003B44AD"/>
    <w:rsid w:val="003B5DD9"/>
    <w:rsid w:val="003B5F76"/>
    <w:rsid w:val="003B62B7"/>
    <w:rsid w:val="003B6787"/>
    <w:rsid w:val="003B748D"/>
    <w:rsid w:val="003C1A52"/>
    <w:rsid w:val="003C1EE8"/>
    <w:rsid w:val="003C2E68"/>
    <w:rsid w:val="003C3C26"/>
    <w:rsid w:val="003C4535"/>
    <w:rsid w:val="003C4A32"/>
    <w:rsid w:val="003C5926"/>
    <w:rsid w:val="003C5E93"/>
    <w:rsid w:val="003D0377"/>
    <w:rsid w:val="003D0643"/>
    <w:rsid w:val="003D082A"/>
    <w:rsid w:val="003D2483"/>
    <w:rsid w:val="003D2785"/>
    <w:rsid w:val="003D5EE9"/>
    <w:rsid w:val="003D67C3"/>
    <w:rsid w:val="003E129D"/>
    <w:rsid w:val="003E1362"/>
    <w:rsid w:val="003E17A8"/>
    <w:rsid w:val="003E3AD5"/>
    <w:rsid w:val="003E50AC"/>
    <w:rsid w:val="003E5C51"/>
    <w:rsid w:val="003E729B"/>
    <w:rsid w:val="003F00D9"/>
    <w:rsid w:val="003F0C0F"/>
    <w:rsid w:val="003F2331"/>
    <w:rsid w:val="003F255C"/>
    <w:rsid w:val="003F27D1"/>
    <w:rsid w:val="003F3DD4"/>
    <w:rsid w:val="003F4BAE"/>
    <w:rsid w:val="003F4E49"/>
    <w:rsid w:val="003F5FE1"/>
    <w:rsid w:val="003F7724"/>
    <w:rsid w:val="003F7776"/>
    <w:rsid w:val="003F7AAC"/>
    <w:rsid w:val="004011E0"/>
    <w:rsid w:val="00402526"/>
    <w:rsid w:val="0040474C"/>
    <w:rsid w:val="004065F1"/>
    <w:rsid w:val="00406617"/>
    <w:rsid w:val="00406EA4"/>
    <w:rsid w:val="00407C14"/>
    <w:rsid w:val="00411941"/>
    <w:rsid w:val="004135FB"/>
    <w:rsid w:val="00414E67"/>
    <w:rsid w:val="00414FC5"/>
    <w:rsid w:val="00415083"/>
    <w:rsid w:val="00415690"/>
    <w:rsid w:val="00415A62"/>
    <w:rsid w:val="0042011B"/>
    <w:rsid w:val="00422070"/>
    <w:rsid w:val="00422AC3"/>
    <w:rsid w:val="00422D04"/>
    <w:rsid w:val="004265CC"/>
    <w:rsid w:val="00426F7C"/>
    <w:rsid w:val="00427ED1"/>
    <w:rsid w:val="004302F7"/>
    <w:rsid w:val="00431782"/>
    <w:rsid w:val="004319D6"/>
    <w:rsid w:val="00432421"/>
    <w:rsid w:val="00433391"/>
    <w:rsid w:val="00433B02"/>
    <w:rsid w:val="00434BB1"/>
    <w:rsid w:val="00434FF7"/>
    <w:rsid w:val="00435998"/>
    <w:rsid w:val="00440969"/>
    <w:rsid w:val="00440CED"/>
    <w:rsid w:val="004418D5"/>
    <w:rsid w:val="00441A28"/>
    <w:rsid w:val="00441ECB"/>
    <w:rsid w:val="00442DBD"/>
    <w:rsid w:val="004434AD"/>
    <w:rsid w:val="00443EC7"/>
    <w:rsid w:val="004445D6"/>
    <w:rsid w:val="0044472F"/>
    <w:rsid w:val="00444939"/>
    <w:rsid w:val="004522F2"/>
    <w:rsid w:val="0045232E"/>
    <w:rsid w:val="004528B1"/>
    <w:rsid w:val="00453BBA"/>
    <w:rsid w:val="00453C5E"/>
    <w:rsid w:val="004605A4"/>
    <w:rsid w:val="00460985"/>
    <w:rsid w:val="00461F25"/>
    <w:rsid w:val="004620EC"/>
    <w:rsid w:val="00462696"/>
    <w:rsid w:val="00465CB1"/>
    <w:rsid w:val="00470AD8"/>
    <w:rsid w:val="004714C9"/>
    <w:rsid w:val="00472F43"/>
    <w:rsid w:val="00473BF5"/>
    <w:rsid w:val="00475B09"/>
    <w:rsid w:val="00476212"/>
    <w:rsid w:val="00477629"/>
    <w:rsid w:val="0048306C"/>
    <w:rsid w:val="004849FB"/>
    <w:rsid w:val="00484EB6"/>
    <w:rsid w:val="0048503E"/>
    <w:rsid w:val="004859B5"/>
    <w:rsid w:val="0048657E"/>
    <w:rsid w:val="0049085D"/>
    <w:rsid w:val="00490FF1"/>
    <w:rsid w:val="004914DF"/>
    <w:rsid w:val="004921DC"/>
    <w:rsid w:val="0049387E"/>
    <w:rsid w:val="00493AB9"/>
    <w:rsid w:val="004A064C"/>
    <w:rsid w:val="004A0F43"/>
    <w:rsid w:val="004A1534"/>
    <w:rsid w:val="004A4F56"/>
    <w:rsid w:val="004A58BD"/>
    <w:rsid w:val="004A5E75"/>
    <w:rsid w:val="004A6F0F"/>
    <w:rsid w:val="004B080B"/>
    <w:rsid w:val="004B1216"/>
    <w:rsid w:val="004B2522"/>
    <w:rsid w:val="004B33EB"/>
    <w:rsid w:val="004B35D9"/>
    <w:rsid w:val="004B41CF"/>
    <w:rsid w:val="004B437A"/>
    <w:rsid w:val="004B5401"/>
    <w:rsid w:val="004B5734"/>
    <w:rsid w:val="004C036E"/>
    <w:rsid w:val="004C2C89"/>
    <w:rsid w:val="004C36DD"/>
    <w:rsid w:val="004C3C0E"/>
    <w:rsid w:val="004C5920"/>
    <w:rsid w:val="004C7A23"/>
    <w:rsid w:val="004D0112"/>
    <w:rsid w:val="004D1902"/>
    <w:rsid w:val="004D31E8"/>
    <w:rsid w:val="004D34D1"/>
    <w:rsid w:val="004D4C9D"/>
    <w:rsid w:val="004D4D2A"/>
    <w:rsid w:val="004D5C77"/>
    <w:rsid w:val="004E0C56"/>
    <w:rsid w:val="004E215A"/>
    <w:rsid w:val="004E2DB1"/>
    <w:rsid w:val="004E31B0"/>
    <w:rsid w:val="004E4D49"/>
    <w:rsid w:val="004E4F35"/>
    <w:rsid w:val="004E51ED"/>
    <w:rsid w:val="004E5ADA"/>
    <w:rsid w:val="004E6228"/>
    <w:rsid w:val="004E63DE"/>
    <w:rsid w:val="004E7654"/>
    <w:rsid w:val="004E76FB"/>
    <w:rsid w:val="004E781C"/>
    <w:rsid w:val="004F26EF"/>
    <w:rsid w:val="004F479C"/>
    <w:rsid w:val="005000F5"/>
    <w:rsid w:val="00500CA0"/>
    <w:rsid w:val="00501510"/>
    <w:rsid w:val="0050201C"/>
    <w:rsid w:val="00503A70"/>
    <w:rsid w:val="00503CCB"/>
    <w:rsid w:val="0050432F"/>
    <w:rsid w:val="00504513"/>
    <w:rsid w:val="00505A2C"/>
    <w:rsid w:val="0050616A"/>
    <w:rsid w:val="00507D3E"/>
    <w:rsid w:val="0051051E"/>
    <w:rsid w:val="00511127"/>
    <w:rsid w:val="005117F2"/>
    <w:rsid w:val="00513043"/>
    <w:rsid w:val="00514816"/>
    <w:rsid w:val="0051595A"/>
    <w:rsid w:val="00515E99"/>
    <w:rsid w:val="0052290C"/>
    <w:rsid w:val="00523C4C"/>
    <w:rsid w:val="005269F5"/>
    <w:rsid w:val="00526B2A"/>
    <w:rsid w:val="0052752D"/>
    <w:rsid w:val="0052764E"/>
    <w:rsid w:val="00527BF4"/>
    <w:rsid w:val="005308C0"/>
    <w:rsid w:val="00531584"/>
    <w:rsid w:val="00531A85"/>
    <w:rsid w:val="00533312"/>
    <w:rsid w:val="0053340C"/>
    <w:rsid w:val="005338E4"/>
    <w:rsid w:val="00533E22"/>
    <w:rsid w:val="0053471A"/>
    <w:rsid w:val="00535784"/>
    <w:rsid w:val="00537D5A"/>
    <w:rsid w:val="00542821"/>
    <w:rsid w:val="00542A80"/>
    <w:rsid w:val="00542C89"/>
    <w:rsid w:val="00543774"/>
    <w:rsid w:val="005437CA"/>
    <w:rsid w:val="0054406A"/>
    <w:rsid w:val="005440D5"/>
    <w:rsid w:val="00546407"/>
    <w:rsid w:val="005469A5"/>
    <w:rsid w:val="00546B7E"/>
    <w:rsid w:val="00547B30"/>
    <w:rsid w:val="0055182A"/>
    <w:rsid w:val="005539CA"/>
    <w:rsid w:val="00554BC7"/>
    <w:rsid w:val="0055774D"/>
    <w:rsid w:val="00560013"/>
    <w:rsid w:val="00563A12"/>
    <w:rsid w:val="00565243"/>
    <w:rsid w:val="005671C5"/>
    <w:rsid w:val="00570315"/>
    <w:rsid w:val="00570729"/>
    <w:rsid w:val="005714D0"/>
    <w:rsid w:val="005730C4"/>
    <w:rsid w:val="00573BF7"/>
    <w:rsid w:val="005740FB"/>
    <w:rsid w:val="00574D4A"/>
    <w:rsid w:val="00575C23"/>
    <w:rsid w:val="0057772E"/>
    <w:rsid w:val="0057784D"/>
    <w:rsid w:val="00580AD1"/>
    <w:rsid w:val="00582BAB"/>
    <w:rsid w:val="00584ED4"/>
    <w:rsid w:val="0058532C"/>
    <w:rsid w:val="0058555C"/>
    <w:rsid w:val="00585BF8"/>
    <w:rsid w:val="00592A22"/>
    <w:rsid w:val="00594410"/>
    <w:rsid w:val="0059540A"/>
    <w:rsid w:val="005A0A27"/>
    <w:rsid w:val="005A1416"/>
    <w:rsid w:val="005A39A4"/>
    <w:rsid w:val="005A43C9"/>
    <w:rsid w:val="005A6580"/>
    <w:rsid w:val="005A7EE5"/>
    <w:rsid w:val="005B201F"/>
    <w:rsid w:val="005B62BA"/>
    <w:rsid w:val="005C0154"/>
    <w:rsid w:val="005C04F4"/>
    <w:rsid w:val="005C0B2D"/>
    <w:rsid w:val="005C13A0"/>
    <w:rsid w:val="005C1828"/>
    <w:rsid w:val="005C1B74"/>
    <w:rsid w:val="005C44DC"/>
    <w:rsid w:val="005C44E6"/>
    <w:rsid w:val="005C57B9"/>
    <w:rsid w:val="005C5BCE"/>
    <w:rsid w:val="005C7FE3"/>
    <w:rsid w:val="005D0ED6"/>
    <w:rsid w:val="005D1327"/>
    <w:rsid w:val="005D637B"/>
    <w:rsid w:val="005D754C"/>
    <w:rsid w:val="005E2164"/>
    <w:rsid w:val="005E4AD8"/>
    <w:rsid w:val="005E623B"/>
    <w:rsid w:val="005F0266"/>
    <w:rsid w:val="005F09EA"/>
    <w:rsid w:val="005F110C"/>
    <w:rsid w:val="005F61C1"/>
    <w:rsid w:val="005F6206"/>
    <w:rsid w:val="005F6238"/>
    <w:rsid w:val="00600AB1"/>
    <w:rsid w:val="00601726"/>
    <w:rsid w:val="00603A4E"/>
    <w:rsid w:val="00603F60"/>
    <w:rsid w:val="006075DF"/>
    <w:rsid w:val="00607D38"/>
    <w:rsid w:val="00610733"/>
    <w:rsid w:val="00610C4F"/>
    <w:rsid w:val="00612217"/>
    <w:rsid w:val="00613B0A"/>
    <w:rsid w:val="00616CD3"/>
    <w:rsid w:val="00616FF2"/>
    <w:rsid w:val="00621DB4"/>
    <w:rsid w:val="006222C5"/>
    <w:rsid w:val="00626FAE"/>
    <w:rsid w:val="006278C6"/>
    <w:rsid w:val="00627FF6"/>
    <w:rsid w:val="0063079F"/>
    <w:rsid w:val="00630EF3"/>
    <w:rsid w:val="00631BF0"/>
    <w:rsid w:val="00633B98"/>
    <w:rsid w:val="00633F12"/>
    <w:rsid w:val="006360AC"/>
    <w:rsid w:val="00640F54"/>
    <w:rsid w:val="00645216"/>
    <w:rsid w:val="00645CD0"/>
    <w:rsid w:val="006476E5"/>
    <w:rsid w:val="0065282A"/>
    <w:rsid w:val="006534D9"/>
    <w:rsid w:val="006545FA"/>
    <w:rsid w:val="00655440"/>
    <w:rsid w:val="00655A72"/>
    <w:rsid w:val="00656BC2"/>
    <w:rsid w:val="0065714C"/>
    <w:rsid w:val="006574B9"/>
    <w:rsid w:val="00657BFB"/>
    <w:rsid w:val="00657EB8"/>
    <w:rsid w:val="00660C71"/>
    <w:rsid w:val="00660DBC"/>
    <w:rsid w:val="0066189B"/>
    <w:rsid w:val="00662DEE"/>
    <w:rsid w:val="0066373E"/>
    <w:rsid w:val="00663D81"/>
    <w:rsid w:val="00665522"/>
    <w:rsid w:val="00665D0D"/>
    <w:rsid w:val="006719D8"/>
    <w:rsid w:val="006722FA"/>
    <w:rsid w:val="00672B3F"/>
    <w:rsid w:val="00674AE2"/>
    <w:rsid w:val="00674E13"/>
    <w:rsid w:val="0067572A"/>
    <w:rsid w:val="00676D8A"/>
    <w:rsid w:val="00677820"/>
    <w:rsid w:val="00677D0F"/>
    <w:rsid w:val="00681117"/>
    <w:rsid w:val="006816C7"/>
    <w:rsid w:val="00681B61"/>
    <w:rsid w:val="00682162"/>
    <w:rsid w:val="0068290D"/>
    <w:rsid w:val="0068328F"/>
    <w:rsid w:val="0068333E"/>
    <w:rsid w:val="0068495C"/>
    <w:rsid w:val="00685D4E"/>
    <w:rsid w:val="0068647B"/>
    <w:rsid w:val="00686FD7"/>
    <w:rsid w:val="006911DB"/>
    <w:rsid w:val="00691910"/>
    <w:rsid w:val="0069237C"/>
    <w:rsid w:val="006926C0"/>
    <w:rsid w:val="006932E8"/>
    <w:rsid w:val="00693FFE"/>
    <w:rsid w:val="00694B2C"/>
    <w:rsid w:val="006952A3"/>
    <w:rsid w:val="00696165"/>
    <w:rsid w:val="0069617B"/>
    <w:rsid w:val="006A2010"/>
    <w:rsid w:val="006A2F2F"/>
    <w:rsid w:val="006A3497"/>
    <w:rsid w:val="006A405E"/>
    <w:rsid w:val="006A4F8B"/>
    <w:rsid w:val="006A7577"/>
    <w:rsid w:val="006B0744"/>
    <w:rsid w:val="006B1DEE"/>
    <w:rsid w:val="006B3454"/>
    <w:rsid w:val="006B3463"/>
    <w:rsid w:val="006B403D"/>
    <w:rsid w:val="006B5C13"/>
    <w:rsid w:val="006B5ED4"/>
    <w:rsid w:val="006B67DC"/>
    <w:rsid w:val="006B6B01"/>
    <w:rsid w:val="006B7258"/>
    <w:rsid w:val="006C1824"/>
    <w:rsid w:val="006C207D"/>
    <w:rsid w:val="006C2462"/>
    <w:rsid w:val="006C39FC"/>
    <w:rsid w:val="006C458F"/>
    <w:rsid w:val="006C4AF4"/>
    <w:rsid w:val="006D1C0C"/>
    <w:rsid w:val="006D1D8D"/>
    <w:rsid w:val="006D2027"/>
    <w:rsid w:val="006D3721"/>
    <w:rsid w:val="006D3FCE"/>
    <w:rsid w:val="006D45E4"/>
    <w:rsid w:val="006D47D8"/>
    <w:rsid w:val="006D5D95"/>
    <w:rsid w:val="006D69FD"/>
    <w:rsid w:val="006D6B38"/>
    <w:rsid w:val="006D6B91"/>
    <w:rsid w:val="006D747B"/>
    <w:rsid w:val="006E1DA0"/>
    <w:rsid w:val="006E2BB7"/>
    <w:rsid w:val="006E4590"/>
    <w:rsid w:val="006E5B65"/>
    <w:rsid w:val="006E6D3A"/>
    <w:rsid w:val="006F04A4"/>
    <w:rsid w:val="006F3091"/>
    <w:rsid w:val="006F484D"/>
    <w:rsid w:val="006F5B5D"/>
    <w:rsid w:val="006F6166"/>
    <w:rsid w:val="006F650C"/>
    <w:rsid w:val="006F7862"/>
    <w:rsid w:val="00703E37"/>
    <w:rsid w:val="00710417"/>
    <w:rsid w:val="007106D0"/>
    <w:rsid w:val="007115AE"/>
    <w:rsid w:val="007115E7"/>
    <w:rsid w:val="00711E6A"/>
    <w:rsid w:val="0071363F"/>
    <w:rsid w:val="00713775"/>
    <w:rsid w:val="00716DF5"/>
    <w:rsid w:val="00717F18"/>
    <w:rsid w:val="007205C2"/>
    <w:rsid w:val="00720F97"/>
    <w:rsid w:val="007218BF"/>
    <w:rsid w:val="007227C4"/>
    <w:rsid w:val="00723B81"/>
    <w:rsid w:val="007242D0"/>
    <w:rsid w:val="00724636"/>
    <w:rsid w:val="007258B0"/>
    <w:rsid w:val="00725F43"/>
    <w:rsid w:val="00730317"/>
    <w:rsid w:val="007318A9"/>
    <w:rsid w:val="007319DD"/>
    <w:rsid w:val="00733AF8"/>
    <w:rsid w:val="00734B74"/>
    <w:rsid w:val="00735CE4"/>
    <w:rsid w:val="00741E88"/>
    <w:rsid w:val="00743A96"/>
    <w:rsid w:val="007443F7"/>
    <w:rsid w:val="00744EA8"/>
    <w:rsid w:val="00745BE4"/>
    <w:rsid w:val="00745E79"/>
    <w:rsid w:val="00750CAD"/>
    <w:rsid w:val="007512FB"/>
    <w:rsid w:val="00751454"/>
    <w:rsid w:val="0075183F"/>
    <w:rsid w:val="00752E72"/>
    <w:rsid w:val="00753F17"/>
    <w:rsid w:val="007540D5"/>
    <w:rsid w:val="0075458A"/>
    <w:rsid w:val="00755CE3"/>
    <w:rsid w:val="007566ED"/>
    <w:rsid w:val="00760DBC"/>
    <w:rsid w:val="00761755"/>
    <w:rsid w:val="00762994"/>
    <w:rsid w:val="00765F8C"/>
    <w:rsid w:val="00765FE5"/>
    <w:rsid w:val="00770AD9"/>
    <w:rsid w:val="00770BC3"/>
    <w:rsid w:val="0077141E"/>
    <w:rsid w:val="00772542"/>
    <w:rsid w:val="00775328"/>
    <w:rsid w:val="007756AB"/>
    <w:rsid w:val="00775A1C"/>
    <w:rsid w:val="007761C2"/>
    <w:rsid w:val="007764DC"/>
    <w:rsid w:val="00777422"/>
    <w:rsid w:val="007815C8"/>
    <w:rsid w:val="0078196C"/>
    <w:rsid w:val="00783113"/>
    <w:rsid w:val="00783B0F"/>
    <w:rsid w:val="007861D5"/>
    <w:rsid w:val="007864A7"/>
    <w:rsid w:val="007866A1"/>
    <w:rsid w:val="007913D4"/>
    <w:rsid w:val="00792D78"/>
    <w:rsid w:val="00793268"/>
    <w:rsid w:val="007941D8"/>
    <w:rsid w:val="00794C33"/>
    <w:rsid w:val="007A074A"/>
    <w:rsid w:val="007A2B48"/>
    <w:rsid w:val="007A6B3A"/>
    <w:rsid w:val="007A74AD"/>
    <w:rsid w:val="007B0FFA"/>
    <w:rsid w:val="007B14BD"/>
    <w:rsid w:val="007B1AD6"/>
    <w:rsid w:val="007B3A96"/>
    <w:rsid w:val="007B3EBA"/>
    <w:rsid w:val="007B4903"/>
    <w:rsid w:val="007B50B2"/>
    <w:rsid w:val="007B5717"/>
    <w:rsid w:val="007B7C3E"/>
    <w:rsid w:val="007C0819"/>
    <w:rsid w:val="007C09F0"/>
    <w:rsid w:val="007C0A6A"/>
    <w:rsid w:val="007C3FA3"/>
    <w:rsid w:val="007C646D"/>
    <w:rsid w:val="007C6981"/>
    <w:rsid w:val="007D0A1D"/>
    <w:rsid w:val="007D0E25"/>
    <w:rsid w:val="007D50DB"/>
    <w:rsid w:val="007D744B"/>
    <w:rsid w:val="007E04DB"/>
    <w:rsid w:val="007E1058"/>
    <w:rsid w:val="007E3329"/>
    <w:rsid w:val="007E33DF"/>
    <w:rsid w:val="007E39A1"/>
    <w:rsid w:val="007E39E2"/>
    <w:rsid w:val="007E4BE6"/>
    <w:rsid w:val="007E4D05"/>
    <w:rsid w:val="007E5123"/>
    <w:rsid w:val="007E557C"/>
    <w:rsid w:val="007E583A"/>
    <w:rsid w:val="007E7DB5"/>
    <w:rsid w:val="007F2189"/>
    <w:rsid w:val="007F28CB"/>
    <w:rsid w:val="007F2AF5"/>
    <w:rsid w:val="007F3523"/>
    <w:rsid w:val="007F4034"/>
    <w:rsid w:val="007F47BF"/>
    <w:rsid w:val="007F48EE"/>
    <w:rsid w:val="007F60FB"/>
    <w:rsid w:val="007F6137"/>
    <w:rsid w:val="007F7453"/>
    <w:rsid w:val="0080483C"/>
    <w:rsid w:val="00805DAC"/>
    <w:rsid w:val="00810AB8"/>
    <w:rsid w:val="00810E14"/>
    <w:rsid w:val="00811228"/>
    <w:rsid w:val="00815D96"/>
    <w:rsid w:val="00816F8B"/>
    <w:rsid w:val="008174E8"/>
    <w:rsid w:val="0082104C"/>
    <w:rsid w:val="008228E5"/>
    <w:rsid w:val="00822BDD"/>
    <w:rsid w:val="008300AC"/>
    <w:rsid w:val="0083059F"/>
    <w:rsid w:val="00832832"/>
    <w:rsid w:val="00832D86"/>
    <w:rsid w:val="0083321D"/>
    <w:rsid w:val="008338DA"/>
    <w:rsid w:val="0083398D"/>
    <w:rsid w:val="008342B3"/>
    <w:rsid w:val="00834480"/>
    <w:rsid w:val="008353CA"/>
    <w:rsid w:val="00835674"/>
    <w:rsid w:val="00836682"/>
    <w:rsid w:val="008418C3"/>
    <w:rsid w:val="0084276E"/>
    <w:rsid w:val="00842D68"/>
    <w:rsid w:val="00844BE2"/>
    <w:rsid w:val="00845AC8"/>
    <w:rsid w:val="0084722E"/>
    <w:rsid w:val="008476D5"/>
    <w:rsid w:val="008501BC"/>
    <w:rsid w:val="008511F6"/>
    <w:rsid w:val="00852705"/>
    <w:rsid w:val="0085399B"/>
    <w:rsid w:val="00853F7D"/>
    <w:rsid w:val="0085545F"/>
    <w:rsid w:val="008564AD"/>
    <w:rsid w:val="008567EA"/>
    <w:rsid w:val="00856FA3"/>
    <w:rsid w:val="0086022F"/>
    <w:rsid w:val="00863DC1"/>
    <w:rsid w:val="00864039"/>
    <w:rsid w:val="008640E6"/>
    <w:rsid w:val="00864536"/>
    <w:rsid w:val="00866062"/>
    <w:rsid w:val="00866375"/>
    <w:rsid w:val="008700AB"/>
    <w:rsid w:val="00872B65"/>
    <w:rsid w:val="00873F85"/>
    <w:rsid w:val="00875EC7"/>
    <w:rsid w:val="0087612D"/>
    <w:rsid w:val="00876235"/>
    <w:rsid w:val="008762DF"/>
    <w:rsid w:val="00876953"/>
    <w:rsid w:val="00877796"/>
    <w:rsid w:val="00877DB5"/>
    <w:rsid w:val="008811AA"/>
    <w:rsid w:val="00882853"/>
    <w:rsid w:val="008838C2"/>
    <w:rsid w:val="00884295"/>
    <w:rsid w:val="00884FD2"/>
    <w:rsid w:val="00885097"/>
    <w:rsid w:val="00885129"/>
    <w:rsid w:val="0088543A"/>
    <w:rsid w:val="0088658D"/>
    <w:rsid w:val="008865D2"/>
    <w:rsid w:val="008865FE"/>
    <w:rsid w:val="00887D76"/>
    <w:rsid w:val="00887E27"/>
    <w:rsid w:val="0089051E"/>
    <w:rsid w:val="008906BB"/>
    <w:rsid w:val="00892E06"/>
    <w:rsid w:val="008931B3"/>
    <w:rsid w:val="00893387"/>
    <w:rsid w:val="00895348"/>
    <w:rsid w:val="00895F80"/>
    <w:rsid w:val="008970AB"/>
    <w:rsid w:val="00897749"/>
    <w:rsid w:val="00897907"/>
    <w:rsid w:val="008A0ED6"/>
    <w:rsid w:val="008A1C04"/>
    <w:rsid w:val="008A4807"/>
    <w:rsid w:val="008A48E0"/>
    <w:rsid w:val="008A77D7"/>
    <w:rsid w:val="008B06F8"/>
    <w:rsid w:val="008B15C7"/>
    <w:rsid w:val="008B1E45"/>
    <w:rsid w:val="008B42D2"/>
    <w:rsid w:val="008B4844"/>
    <w:rsid w:val="008B50E4"/>
    <w:rsid w:val="008B5383"/>
    <w:rsid w:val="008B5748"/>
    <w:rsid w:val="008C28C5"/>
    <w:rsid w:val="008C3018"/>
    <w:rsid w:val="008C3056"/>
    <w:rsid w:val="008C3F6B"/>
    <w:rsid w:val="008C483C"/>
    <w:rsid w:val="008C5FE7"/>
    <w:rsid w:val="008C7020"/>
    <w:rsid w:val="008C7EAD"/>
    <w:rsid w:val="008D0E47"/>
    <w:rsid w:val="008D1B46"/>
    <w:rsid w:val="008D2B93"/>
    <w:rsid w:val="008D3AD5"/>
    <w:rsid w:val="008D3C84"/>
    <w:rsid w:val="008D45D8"/>
    <w:rsid w:val="008D48AC"/>
    <w:rsid w:val="008D5156"/>
    <w:rsid w:val="008D7008"/>
    <w:rsid w:val="008E01D1"/>
    <w:rsid w:val="008E29E9"/>
    <w:rsid w:val="008E2C84"/>
    <w:rsid w:val="008E5360"/>
    <w:rsid w:val="008E5971"/>
    <w:rsid w:val="008E700B"/>
    <w:rsid w:val="008E74D6"/>
    <w:rsid w:val="008E7B2E"/>
    <w:rsid w:val="008F3D4F"/>
    <w:rsid w:val="008F466E"/>
    <w:rsid w:val="008F4EAE"/>
    <w:rsid w:val="008F7433"/>
    <w:rsid w:val="0090104C"/>
    <w:rsid w:val="00901305"/>
    <w:rsid w:val="00902385"/>
    <w:rsid w:val="00902D3C"/>
    <w:rsid w:val="009030E2"/>
    <w:rsid w:val="00904371"/>
    <w:rsid w:val="00904614"/>
    <w:rsid w:val="0090572B"/>
    <w:rsid w:val="00905FC5"/>
    <w:rsid w:val="00907DA5"/>
    <w:rsid w:val="00910EEA"/>
    <w:rsid w:val="00911C9C"/>
    <w:rsid w:val="009136D5"/>
    <w:rsid w:val="00914AEF"/>
    <w:rsid w:val="0091538C"/>
    <w:rsid w:val="00915CAC"/>
    <w:rsid w:val="0091632A"/>
    <w:rsid w:val="00917648"/>
    <w:rsid w:val="00917A59"/>
    <w:rsid w:val="00917CBD"/>
    <w:rsid w:val="00917F3D"/>
    <w:rsid w:val="00920831"/>
    <w:rsid w:val="009210D6"/>
    <w:rsid w:val="0092244E"/>
    <w:rsid w:val="00922CE3"/>
    <w:rsid w:val="009237DE"/>
    <w:rsid w:val="009246DC"/>
    <w:rsid w:val="00924D50"/>
    <w:rsid w:val="00925BB3"/>
    <w:rsid w:val="00926B29"/>
    <w:rsid w:val="009278E9"/>
    <w:rsid w:val="00930324"/>
    <w:rsid w:val="009318AD"/>
    <w:rsid w:val="00931971"/>
    <w:rsid w:val="00931C51"/>
    <w:rsid w:val="00932697"/>
    <w:rsid w:val="00932A38"/>
    <w:rsid w:val="00935664"/>
    <w:rsid w:val="00935AE1"/>
    <w:rsid w:val="00936BFF"/>
    <w:rsid w:val="00937927"/>
    <w:rsid w:val="0094074B"/>
    <w:rsid w:val="00942605"/>
    <w:rsid w:val="009444A2"/>
    <w:rsid w:val="009445EA"/>
    <w:rsid w:val="00944D64"/>
    <w:rsid w:val="00944E75"/>
    <w:rsid w:val="0094522E"/>
    <w:rsid w:val="00945DDE"/>
    <w:rsid w:val="00946926"/>
    <w:rsid w:val="00946E46"/>
    <w:rsid w:val="00947214"/>
    <w:rsid w:val="00947F48"/>
    <w:rsid w:val="009518C2"/>
    <w:rsid w:val="00951A8C"/>
    <w:rsid w:val="00951EC0"/>
    <w:rsid w:val="00951F08"/>
    <w:rsid w:val="0095266E"/>
    <w:rsid w:val="0095405F"/>
    <w:rsid w:val="009547AA"/>
    <w:rsid w:val="009553DD"/>
    <w:rsid w:val="00960A5B"/>
    <w:rsid w:val="00960C1C"/>
    <w:rsid w:val="00961B07"/>
    <w:rsid w:val="009622FB"/>
    <w:rsid w:val="00963D66"/>
    <w:rsid w:val="00965218"/>
    <w:rsid w:val="0096599B"/>
    <w:rsid w:val="0097079F"/>
    <w:rsid w:val="009735E8"/>
    <w:rsid w:val="00973663"/>
    <w:rsid w:val="00975C79"/>
    <w:rsid w:val="0097600C"/>
    <w:rsid w:val="009766DB"/>
    <w:rsid w:val="00976D3D"/>
    <w:rsid w:val="00980E4F"/>
    <w:rsid w:val="00981516"/>
    <w:rsid w:val="009819E3"/>
    <w:rsid w:val="00982E11"/>
    <w:rsid w:val="00990089"/>
    <w:rsid w:val="0099033C"/>
    <w:rsid w:val="00992616"/>
    <w:rsid w:val="00992AA6"/>
    <w:rsid w:val="00994837"/>
    <w:rsid w:val="00996450"/>
    <w:rsid w:val="009A07F0"/>
    <w:rsid w:val="009A1EAE"/>
    <w:rsid w:val="009A3DB5"/>
    <w:rsid w:val="009A60B4"/>
    <w:rsid w:val="009A677B"/>
    <w:rsid w:val="009A7660"/>
    <w:rsid w:val="009A7709"/>
    <w:rsid w:val="009B0B0D"/>
    <w:rsid w:val="009B1362"/>
    <w:rsid w:val="009B3E62"/>
    <w:rsid w:val="009B5890"/>
    <w:rsid w:val="009B5FB7"/>
    <w:rsid w:val="009B7078"/>
    <w:rsid w:val="009C079D"/>
    <w:rsid w:val="009C09C6"/>
    <w:rsid w:val="009C0E5F"/>
    <w:rsid w:val="009C1B6E"/>
    <w:rsid w:val="009C1CA2"/>
    <w:rsid w:val="009C27A7"/>
    <w:rsid w:val="009C59BB"/>
    <w:rsid w:val="009C79BB"/>
    <w:rsid w:val="009C7B88"/>
    <w:rsid w:val="009D100B"/>
    <w:rsid w:val="009D25F8"/>
    <w:rsid w:val="009D2668"/>
    <w:rsid w:val="009D4B46"/>
    <w:rsid w:val="009D666A"/>
    <w:rsid w:val="009D67CF"/>
    <w:rsid w:val="009D680D"/>
    <w:rsid w:val="009D6D95"/>
    <w:rsid w:val="009E0DFD"/>
    <w:rsid w:val="009E3CF3"/>
    <w:rsid w:val="009E6035"/>
    <w:rsid w:val="009E7F51"/>
    <w:rsid w:val="009F00DE"/>
    <w:rsid w:val="009F0D08"/>
    <w:rsid w:val="009F1E2C"/>
    <w:rsid w:val="009F2182"/>
    <w:rsid w:val="009F34A6"/>
    <w:rsid w:val="009F4CC5"/>
    <w:rsid w:val="009F5C83"/>
    <w:rsid w:val="009F6987"/>
    <w:rsid w:val="009F7377"/>
    <w:rsid w:val="00A002F1"/>
    <w:rsid w:val="00A00B16"/>
    <w:rsid w:val="00A01298"/>
    <w:rsid w:val="00A01B13"/>
    <w:rsid w:val="00A01E7F"/>
    <w:rsid w:val="00A02F08"/>
    <w:rsid w:val="00A03034"/>
    <w:rsid w:val="00A03832"/>
    <w:rsid w:val="00A03C9F"/>
    <w:rsid w:val="00A04753"/>
    <w:rsid w:val="00A05A42"/>
    <w:rsid w:val="00A05F8A"/>
    <w:rsid w:val="00A06AD2"/>
    <w:rsid w:val="00A0742B"/>
    <w:rsid w:val="00A07DF8"/>
    <w:rsid w:val="00A107A5"/>
    <w:rsid w:val="00A10A9C"/>
    <w:rsid w:val="00A155C8"/>
    <w:rsid w:val="00A15886"/>
    <w:rsid w:val="00A15F20"/>
    <w:rsid w:val="00A17DBB"/>
    <w:rsid w:val="00A218C8"/>
    <w:rsid w:val="00A21A97"/>
    <w:rsid w:val="00A22772"/>
    <w:rsid w:val="00A23816"/>
    <w:rsid w:val="00A246D6"/>
    <w:rsid w:val="00A24D77"/>
    <w:rsid w:val="00A26327"/>
    <w:rsid w:val="00A271CF"/>
    <w:rsid w:val="00A2779F"/>
    <w:rsid w:val="00A27CA4"/>
    <w:rsid w:val="00A307C3"/>
    <w:rsid w:val="00A3122A"/>
    <w:rsid w:val="00A3180C"/>
    <w:rsid w:val="00A31A03"/>
    <w:rsid w:val="00A320D5"/>
    <w:rsid w:val="00A32944"/>
    <w:rsid w:val="00A34F9F"/>
    <w:rsid w:val="00A3538C"/>
    <w:rsid w:val="00A40473"/>
    <w:rsid w:val="00A42F02"/>
    <w:rsid w:val="00A45C26"/>
    <w:rsid w:val="00A463DA"/>
    <w:rsid w:val="00A47076"/>
    <w:rsid w:val="00A475CF"/>
    <w:rsid w:val="00A47C3A"/>
    <w:rsid w:val="00A50CF1"/>
    <w:rsid w:val="00A513B4"/>
    <w:rsid w:val="00A5328E"/>
    <w:rsid w:val="00A5336D"/>
    <w:rsid w:val="00A5489C"/>
    <w:rsid w:val="00A55773"/>
    <w:rsid w:val="00A55D1D"/>
    <w:rsid w:val="00A56874"/>
    <w:rsid w:val="00A57652"/>
    <w:rsid w:val="00A6180D"/>
    <w:rsid w:val="00A621DC"/>
    <w:rsid w:val="00A62A09"/>
    <w:rsid w:val="00A64363"/>
    <w:rsid w:val="00A64BD2"/>
    <w:rsid w:val="00A64E35"/>
    <w:rsid w:val="00A6528C"/>
    <w:rsid w:val="00A6591B"/>
    <w:rsid w:val="00A71578"/>
    <w:rsid w:val="00A71B1F"/>
    <w:rsid w:val="00A74757"/>
    <w:rsid w:val="00A74927"/>
    <w:rsid w:val="00A74951"/>
    <w:rsid w:val="00A80DFC"/>
    <w:rsid w:val="00A81E3A"/>
    <w:rsid w:val="00A824AC"/>
    <w:rsid w:val="00A83D65"/>
    <w:rsid w:val="00A84590"/>
    <w:rsid w:val="00A852AA"/>
    <w:rsid w:val="00A86527"/>
    <w:rsid w:val="00A86DB0"/>
    <w:rsid w:val="00A87D6B"/>
    <w:rsid w:val="00A91CE8"/>
    <w:rsid w:val="00A92B92"/>
    <w:rsid w:val="00A93185"/>
    <w:rsid w:val="00A959C2"/>
    <w:rsid w:val="00A97148"/>
    <w:rsid w:val="00A9728C"/>
    <w:rsid w:val="00A9796C"/>
    <w:rsid w:val="00A97EC7"/>
    <w:rsid w:val="00AA1FD6"/>
    <w:rsid w:val="00AA2EA4"/>
    <w:rsid w:val="00AA3E36"/>
    <w:rsid w:val="00AA3FDE"/>
    <w:rsid w:val="00AA5549"/>
    <w:rsid w:val="00AB06D1"/>
    <w:rsid w:val="00AB1FEC"/>
    <w:rsid w:val="00AB2025"/>
    <w:rsid w:val="00AB2E11"/>
    <w:rsid w:val="00AB3903"/>
    <w:rsid w:val="00AB53B0"/>
    <w:rsid w:val="00AB6911"/>
    <w:rsid w:val="00AB69A8"/>
    <w:rsid w:val="00AB76F3"/>
    <w:rsid w:val="00AC43E4"/>
    <w:rsid w:val="00AC4C60"/>
    <w:rsid w:val="00AC5AA8"/>
    <w:rsid w:val="00AC7749"/>
    <w:rsid w:val="00AC79CF"/>
    <w:rsid w:val="00AD00C0"/>
    <w:rsid w:val="00AD0405"/>
    <w:rsid w:val="00AD15A9"/>
    <w:rsid w:val="00AD175B"/>
    <w:rsid w:val="00AD2849"/>
    <w:rsid w:val="00AD7BEC"/>
    <w:rsid w:val="00AE0455"/>
    <w:rsid w:val="00AE1C0A"/>
    <w:rsid w:val="00AE57B5"/>
    <w:rsid w:val="00AE5D84"/>
    <w:rsid w:val="00AE7149"/>
    <w:rsid w:val="00AF1F77"/>
    <w:rsid w:val="00AF2A41"/>
    <w:rsid w:val="00AF30FB"/>
    <w:rsid w:val="00AF4C3C"/>
    <w:rsid w:val="00AF59C7"/>
    <w:rsid w:val="00B00A4F"/>
    <w:rsid w:val="00B01AEC"/>
    <w:rsid w:val="00B03778"/>
    <w:rsid w:val="00B04337"/>
    <w:rsid w:val="00B043BF"/>
    <w:rsid w:val="00B06FA8"/>
    <w:rsid w:val="00B07435"/>
    <w:rsid w:val="00B07946"/>
    <w:rsid w:val="00B10DD5"/>
    <w:rsid w:val="00B10F56"/>
    <w:rsid w:val="00B1186C"/>
    <w:rsid w:val="00B119CF"/>
    <w:rsid w:val="00B12430"/>
    <w:rsid w:val="00B133D5"/>
    <w:rsid w:val="00B14EDC"/>
    <w:rsid w:val="00B154AF"/>
    <w:rsid w:val="00B15F96"/>
    <w:rsid w:val="00B16B78"/>
    <w:rsid w:val="00B20059"/>
    <w:rsid w:val="00B209E5"/>
    <w:rsid w:val="00B239D0"/>
    <w:rsid w:val="00B24065"/>
    <w:rsid w:val="00B24BFE"/>
    <w:rsid w:val="00B24C7E"/>
    <w:rsid w:val="00B253E8"/>
    <w:rsid w:val="00B25DA2"/>
    <w:rsid w:val="00B25E30"/>
    <w:rsid w:val="00B27D7A"/>
    <w:rsid w:val="00B308FA"/>
    <w:rsid w:val="00B30CCF"/>
    <w:rsid w:val="00B30E1A"/>
    <w:rsid w:val="00B32076"/>
    <w:rsid w:val="00B35E23"/>
    <w:rsid w:val="00B366D2"/>
    <w:rsid w:val="00B37377"/>
    <w:rsid w:val="00B37762"/>
    <w:rsid w:val="00B433E9"/>
    <w:rsid w:val="00B45F7E"/>
    <w:rsid w:val="00B47369"/>
    <w:rsid w:val="00B50C2D"/>
    <w:rsid w:val="00B53635"/>
    <w:rsid w:val="00B53CDA"/>
    <w:rsid w:val="00B54359"/>
    <w:rsid w:val="00B548EB"/>
    <w:rsid w:val="00B55523"/>
    <w:rsid w:val="00B56C4A"/>
    <w:rsid w:val="00B60396"/>
    <w:rsid w:val="00B60BE6"/>
    <w:rsid w:val="00B622E6"/>
    <w:rsid w:val="00B62304"/>
    <w:rsid w:val="00B632F2"/>
    <w:rsid w:val="00B64213"/>
    <w:rsid w:val="00B64377"/>
    <w:rsid w:val="00B64AF5"/>
    <w:rsid w:val="00B66830"/>
    <w:rsid w:val="00B70798"/>
    <w:rsid w:val="00B709A0"/>
    <w:rsid w:val="00B72340"/>
    <w:rsid w:val="00B74D53"/>
    <w:rsid w:val="00B8039A"/>
    <w:rsid w:val="00B804E4"/>
    <w:rsid w:val="00B85F8B"/>
    <w:rsid w:val="00B86A32"/>
    <w:rsid w:val="00B87FB0"/>
    <w:rsid w:val="00B902CA"/>
    <w:rsid w:val="00B904F7"/>
    <w:rsid w:val="00B9068B"/>
    <w:rsid w:val="00B906F4"/>
    <w:rsid w:val="00B917C4"/>
    <w:rsid w:val="00B9180D"/>
    <w:rsid w:val="00B91E07"/>
    <w:rsid w:val="00B91FBF"/>
    <w:rsid w:val="00B92630"/>
    <w:rsid w:val="00B929D1"/>
    <w:rsid w:val="00B93632"/>
    <w:rsid w:val="00B96E7B"/>
    <w:rsid w:val="00B97C44"/>
    <w:rsid w:val="00BA01DB"/>
    <w:rsid w:val="00BA2425"/>
    <w:rsid w:val="00BA2AF1"/>
    <w:rsid w:val="00BA2DCC"/>
    <w:rsid w:val="00BA2EDE"/>
    <w:rsid w:val="00BA2F26"/>
    <w:rsid w:val="00BA4436"/>
    <w:rsid w:val="00BA4F6C"/>
    <w:rsid w:val="00BB2E0B"/>
    <w:rsid w:val="00BB3D35"/>
    <w:rsid w:val="00BB4171"/>
    <w:rsid w:val="00BB451E"/>
    <w:rsid w:val="00BB6E45"/>
    <w:rsid w:val="00BC04A0"/>
    <w:rsid w:val="00BC14DD"/>
    <w:rsid w:val="00BC23AD"/>
    <w:rsid w:val="00BC39E8"/>
    <w:rsid w:val="00BC403B"/>
    <w:rsid w:val="00BC5415"/>
    <w:rsid w:val="00BC5CF1"/>
    <w:rsid w:val="00BC631D"/>
    <w:rsid w:val="00BC6D52"/>
    <w:rsid w:val="00BC7603"/>
    <w:rsid w:val="00BC7E25"/>
    <w:rsid w:val="00BD0A5B"/>
    <w:rsid w:val="00BD5C54"/>
    <w:rsid w:val="00BD763C"/>
    <w:rsid w:val="00BE3229"/>
    <w:rsid w:val="00BE4ED0"/>
    <w:rsid w:val="00BE5143"/>
    <w:rsid w:val="00BE579F"/>
    <w:rsid w:val="00BE60DC"/>
    <w:rsid w:val="00BE7F2C"/>
    <w:rsid w:val="00BF065F"/>
    <w:rsid w:val="00BF2088"/>
    <w:rsid w:val="00BF32FA"/>
    <w:rsid w:val="00BF3783"/>
    <w:rsid w:val="00BF56C1"/>
    <w:rsid w:val="00BF5740"/>
    <w:rsid w:val="00BF6BF9"/>
    <w:rsid w:val="00C005F9"/>
    <w:rsid w:val="00C0090F"/>
    <w:rsid w:val="00C00A73"/>
    <w:rsid w:val="00C02BB6"/>
    <w:rsid w:val="00C03CC0"/>
    <w:rsid w:val="00C043FF"/>
    <w:rsid w:val="00C04879"/>
    <w:rsid w:val="00C0500D"/>
    <w:rsid w:val="00C066A3"/>
    <w:rsid w:val="00C100F8"/>
    <w:rsid w:val="00C114BC"/>
    <w:rsid w:val="00C135A6"/>
    <w:rsid w:val="00C140A4"/>
    <w:rsid w:val="00C142FB"/>
    <w:rsid w:val="00C14F63"/>
    <w:rsid w:val="00C15130"/>
    <w:rsid w:val="00C154F4"/>
    <w:rsid w:val="00C15617"/>
    <w:rsid w:val="00C166D1"/>
    <w:rsid w:val="00C17422"/>
    <w:rsid w:val="00C202B9"/>
    <w:rsid w:val="00C20779"/>
    <w:rsid w:val="00C20DA5"/>
    <w:rsid w:val="00C21A15"/>
    <w:rsid w:val="00C23368"/>
    <w:rsid w:val="00C25816"/>
    <w:rsid w:val="00C2695A"/>
    <w:rsid w:val="00C26B9F"/>
    <w:rsid w:val="00C27B46"/>
    <w:rsid w:val="00C27BF7"/>
    <w:rsid w:val="00C3006B"/>
    <w:rsid w:val="00C31F53"/>
    <w:rsid w:val="00C33095"/>
    <w:rsid w:val="00C340D0"/>
    <w:rsid w:val="00C3511C"/>
    <w:rsid w:val="00C3696A"/>
    <w:rsid w:val="00C3710A"/>
    <w:rsid w:val="00C37749"/>
    <w:rsid w:val="00C40393"/>
    <w:rsid w:val="00C41A15"/>
    <w:rsid w:val="00C41A77"/>
    <w:rsid w:val="00C43FC9"/>
    <w:rsid w:val="00C447DD"/>
    <w:rsid w:val="00C44A32"/>
    <w:rsid w:val="00C44BDA"/>
    <w:rsid w:val="00C457F9"/>
    <w:rsid w:val="00C45BEC"/>
    <w:rsid w:val="00C45EFE"/>
    <w:rsid w:val="00C5167F"/>
    <w:rsid w:val="00C52AA9"/>
    <w:rsid w:val="00C576CF"/>
    <w:rsid w:val="00C61639"/>
    <w:rsid w:val="00C62610"/>
    <w:rsid w:val="00C64CFF"/>
    <w:rsid w:val="00C6522E"/>
    <w:rsid w:val="00C6554B"/>
    <w:rsid w:val="00C67DC2"/>
    <w:rsid w:val="00C70542"/>
    <w:rsid w:val="00C70733"/>
    <w:rsid w:val="00C70F91"/>
    <w:rsid w:val="00C710E7"/>
    <w:rsid w:val="00C72D0C"/>
    <w:rsid w:val="00C72F9E"/>
    <w:rsid w:val="00C73529"/>
    <w:rsid w:val="00C7397B"/>
    <w:rsid w:val="00C76A2B"/>
    <w:rsid w:val="00C803C4"/>
    <w:rsid w:val="00C81F5F"/>
    <w:rsid w:val="00C84547"/>
    <w:rsid w:val="00C84887"/>
    <w:rsid w:val="00C85074"/>
    <w:rsid w:val="00C850EA"/>
    <w:rsid w:val="00C85D33"/>
    <w:rsid w:val="00C868E8"/>
    <w:rsid w:val="00C8792A"/>
    <w:rsid w:val="00C90037"/>
    <w:rsid w:val="00C909CE"/>
    <w:rsid w:val="00C91978"/>
    <w:rsid w:val="00C923C9"/>
    <w:rsid w:val="00C926E8"/>
    <w:rsid w:val="00C9278A"/>
    <w:rsid w:val="00C9554F"/>
    <w:rsid w:val="00C95D57"/>
    <w:rsid w:val="00C96FBB"/>
    <w:rsid w:val="00C9732C"/>
    <w:rsid w:val="00CA2127"/>
    <w:rsid w:val="00CA26A5"/>
    <w:rsid w:val="00CA32E3"/>
    <w:rsid w:val="00CA470A"/>
    <w:rsid w:val="00CA5699"/>
    <w:rsid w:val="00CA6D54"/>
    <w:rsid w:val="00CA7887"/>
    <w:rsid w:val="00CB13D6"/>
    <w:rsid w:val="00CB40C5"/>
    <w:rsid w:val="00CB586F"/>
    <w:rsid w:val="00CB6E39"/>
    <w:rsid w:val="00CB6F16"/>
    <w:rsid w:val="00CB74BC"/>
    <w:rsid w:val="00CB7AB6"/>
    <w:rsid w:val="00CC0A4F"/>
    <w:rsid w:val="00CC3C79"/>
    <w:rsid w:val="00CC4CFC"/>
    <w:rsid w:val="00CC4D26"/>
    <w:rsid w:val="00CC57A5"/>
    <w:rsid w:val="00CD0B63"/>
    <w:rsid w:val="00CD0C2C"/>
    <w:rsid w:val="00CD3755"/>
    <w:rsid w:val="00CD4734"/>
    <w:rsid w:val="00CD4AA0"/>
    <w:rsid w:val="00CD6131"/>
    <w:rsid w:val="00CD667E"/>
    <w:rsid w:val="00CD7341"/>
    <w:rsid w:val="00CE2D62"/>
    <w:rsid w:val="00CE4105"/>
    <w:rsid w:val="00CE5201"/>
    <w:rsid w:val="00CE5C50"/>
    <w:rsid w:val="00CE683A"/>
    <w:rsid w:val="00CE6AF3"/>
    <w:rsid w:val="00CE6C34"/>
    <w:rsid w:val="00CE7654"/>
    <w:rsid w:val="00CE7868"/>
    <w:rsid w:val="00CF34FB"/>
    <w:rsid w:val="00CF384C"/>
    <w:rsid w:val="00CF4CB2"/>
    <w:rsid w:val="00CF4F9F"/>
    <w:rsid w:val="00CF5055"/>
    <w:rsid w:val="00CF5305"/>
    <w:rsid w:val="00CF5495"/>
    <w:rsid w:val="00CF5512"/>
    <w:rsid w:val="00CF677D"/>
    <w:rsid w:val="00CF6AC5"/>
    <w:rsid w:val="00CF79E4"/>
    <w:rsid w:val="00CF7DD6"/>
    <w:rsid w:val="00CF7FA7"/>
    <w:rsid w:val="00D013D6"/>
    <w:rsid w:val="00D021DA"/>
    <w:rsid w:val="00D02610"/>
    <w:rsid w:val="00D02AA7"/>
    <w:rsid w:val="00D02E26"/>
    <w:rsid w:val="00D045FE"/>
    <w:rsid w:val="00D06172"/>
    <w:rsid w:val="00D06372"/>
    <w:rsid w:val="00D069E1"/>
    <w:rsid w:val="00D06D05"/>
    <w:rsid w:val="00D07E33"/>
    <w:rsid w:val="00D10B53"/>
    <w:rsid w:val="00D147E9"/>
    <w:rsid w:val="00D15AFB"/>
    <w:rsid w:val="00D17243"/>
    <w:rsid w:val="00D17E83"/>
    <w:rsid w:val="00D207BC"/>
    <w:rsid w:val="00D207BF"/>
    <w:rsid w:val="00D2222A"/>
    <w:rsid w:val="00D2461D"/>
    <w:rsid w:val="00D24938"/>
    <w:rsid w:val="00D26488"/>
    <w:rsid w:val="00D266CD"/>
    <w:rsid w:val="00D26AF6"/>
    <w:rsid w:val="00D2761A"/>
    <w:rsid w:val="00D30979"/>
    <w:rsid w:val="00D31471"/>
    <w:rsid w:val="00D31D12"/>
    <w:rsid w:val="00D32177"/>
    <w:rsid w:val="00D338DB"/>
    <w:rsid w:val="00D35A6E"/>
    <w:rsid w:val="00D41E5D"/>
    <w:rsid w:val="00D42BC8"/>
    <w:rsid w:val="00D45060"/>
    <w:rsid w:val="00D46D39"/>
    <w:rsid w:val="00D47086"/>
    <w:rsid w:val="00D47C2D"/>
    <w:rsid w:val="00D504D1"/>
    <w:rsid w:val="00D508EF"/>
    <w:rsid w:val="00D53BB6"/>
    <w:rsid w:val="00D55B7C"/>
    <w:rsid w:val="00D56239"/>
    <w:rsid w:val="00D57F99"/>
    <w:rsid w:val="00D601CF"/>
    <w:rsid w:val="00D608CD"/>
    <w:rsid w:val="00D60F33"/>
    <w:rsid w:val="00D618CF"/>
    <w:rsid w:val="00D61A91"/>
    <w:rsid w:val="00D65B12"/>
    <w:rsid w:val="00D70543"/>
    <w:rsid w:val="00D74269"/>
    <w:rsid w:val="00D754C7"/>
    <w:rsid w:val="00D7688B"/>
    <w:rsid w:val="00D7737D"/>
    <w:rsid w:val="00D77DFC"/>
    <w:rsid w:val="00D806AB"/>
    <w:rsid w:val="00D838D6"/>
    <w:rsid w:val="00D84B9C"/>
    <w:rsid w:val="00D84C7C"/>
    <w:rsid w:val="00D850FA"/>
    <w:rsid w:val="00D8542B"/>
    <w:rsid w:val="00D86588"/>
    <w:rsid w:val="00D869DD"/>
    <w:rsid w:val="00D87323"/>
    <w:rsid w:val="00D873DD"/>
    <w:rsid w:val="00D87C85"/>
    <w:rsid w:val="00D917EE"/>
    <w:rsid w:val="00D9240C"/>
    <w:rsid w:val="00D928E5"/>
    <w:rsid w:val="00D929D1"/>
    <w:rsid w:val="00D92BC2"/>
    <w:rsid w:val="00D96685"/>
    <w:rsid w:val="00DA0012"/>
    <w:rsid w:val="00DA0CD7"/>
    <w:rsid w:val="00DA0FC3"/>
    <w:rsid w:val="00DA1923"/>
    <w:rsid w:val="00DA1E7B"/>
    <w:rsid w:val="00DA20A0"/>
    <w:rsid w:val="00DA5665"/>
    <w:rsid w:val="00DA5C54"/>
    <w:rsid w:val="00DA6838"/>
    <w:rsid w:val="00DA6DB0"/>
    <w:rsid w:val="00DA7D9C"/>
    <w:rsid w:val="00DB07DF"/>
    <w:rsid w:val="00DB20A7"/>
    <w:rsid w:val="00DB353A"/>
    <w:rsid w:val="00DB3599"/>
    <w:rsid w:val="00DB6E0E"/>
    <w:rsid w:val="00DB6E4A"/>
    <w:rsid w:val="00DC03A8"/>
    <w:rsid w:val="00DC08EB"/>
    <w:rsid w:val="00DC0AF1"/>
    <w:rsid w:val="00DC2C51"/>
    <w:rsid w:val="00DC3D1B"/>
    <w:rsid w:val="00DC52AD"/>
    <w:rsid w:val="00DC5653"/>
    <w:rsid w:val="00DC5FAA"/>
    <w:rsid w:val="00DC7415"/>
    <w:rsid w:val="00DC7DE7"/>
    <w:rsid w:val="00DD0FDA"/>
    <w:rsid w:val="00DD32E2"/>
    <w:rsid w:val="00DD3941"/>
    <w:rsid w:val="00DD3BDC"/>
    <w:rsid w:val="00DD4969"/>
    <w:rsid w:val="00DD4AC6"/>
    <w:rsid w:val="00DE2851"/>
    <w:rsid w:val="00DE455B"/>
    <w:rsid w:val="00DE4AFD"/>
    <w:rsid w:val="00DE545D"/>
    <w:rsid w:val="00DE57FE"/>
    <w:rsid w:val="00DE5BBA"/>
    <w:rsid w:val="00DE5E3D"/>
    <w:rsid w:val="00DF1313"/>
    <w:rsid w:val="00DF1734"/>
    <w:rsid w:val="00DF34B3"/>
    <w:rsid w:val="00DF3944"/>
    <w:rsid w:val="00DF4408"/>
    <w:rsid w:val="00DF4716"/>
    <w:rsid w:val="00DF5143"/>
    <w:rsid w:val="00DF5D1D"/>
    <w:rsid w:val="00DF776E"/>
    <w:rsid w:val="00E0046A"/>
    <w:rsid w:val="00E00FEB"/>
    <w:rsid w:val="00E03567"/>
    <w:rsid w:val="00E03B11"/>
    <w:rsid w:val="00E03EB7"/>
    <w:rsid w:val="00E0412F"/>
    <w:rsid w:val="00E04753"/>
    <w:rsid w:val="00E05F2B"/>
    <w:rsid w:val="00E06436"/>
    <w:rsid w:val="00E06DF9"/>
    <w:rsid w:val="00E075F1"/>
    <w:rsid w:val="00E07EFA"/>
    <w:rsid w:val="00E10601"/>
    <w:rsid w:val="00E108E2"/>
    <w:rsid w:val="00E10E3D"/>
    <w:rsid w:val="00E113EC"/>
    <w:rsid w:val="00E14BAD"/>
    <w:rsid w:val="00E1562D"/>
    <w:rsid w:val="00E15948"/>
    <w:rsid w:val="00E1680A"/>
    <w:rsid w:val="00E16A04"/>
    <w:rsid w:val="00E1703C"/>
    <w:rsid w:val="00E17A72"/>
    <w:rsid w:val="00E17AF3"/>
    <w:rsid w:val="00E20DF9"/>
    <w:rsid w:val="00E20EAA"/>
    <w:rsid w:val="00E212D0"/>
    <w:rsid w:val="00E21A1E"/>
    <w:rsid w:val="00E234D7"/>
    <w:rsid w:val="00E256B1"/>
    <w:rsid w:val="00E26504"/>
    <w:rsid w:val="00E2696B"/>
    <w:rsid w:val="00E274EC"/>
    <w:rsid w:val="00E30D01"/>
    <w:rsid w:val="00E33597"/>
    <w:rsid w:val="00E345F0"/>
    <w:rsid w:val="00E34ED9"/>
    <w:rsid w:val="00E35E6A"/>
    <w:rsid w:val="00E40C1A"/>
    <w:rsid w:val="00E41434"/>
    <w:rsid w:val="00E41560"/>
    <w:rsid w:val="00E4265C"/>
    <w:rsid w:val="00E42E60"/>
    <w:rsid w:val="00E43F5E"/>
    <w:rsid w:val="00E45CE7"/>
    <w:rsid w:val="00E461B7"/>
    <w:rsid w:val="00E467D7"/>
    <w:rsid w:val="00E467E4"/>
    <w:rsid w:val="00E46A76"/>
    <w:rsid w:val="00E47B21"/>
    <w:rsid w:val="00E50597"/>
    <w:rsid w:val="00E5340C"/>
    <w:rsid w:val="00E56C67"/>
    <w:rsid w:val="00E6060C"/>
    <w:rsid w:val="00E619EB"/>
    <w:rsid w:val="00E62038"/>
    <w:rsid w:val="00E62BD8"/>
    <w:rsid w:val="00E6405B"/>
    <w:rsid w:val="00E64FE0"/>
    <w:rsid w:val="00E67877"/>
    <w:rsid w:val="00E70423"/>
    <w:rsid w:val="00E70ECF"/>
    <w:rsid w:val="00E713E9"/>
    <w:rsid w:val="00E7261F"/>
    <w:rsid w:val="00E729B6"/>
    <w:rsid w:val="00E72C87"/>
    <w:rsid w:val="00E73CD1"/>
    <w:rsid w:val="00E747E4"/>
    <w:rsid w:val="00E755A3"/>
    <w:rsid w:val="00E757C7"/>
    <w:rsid w:val="00E75D5E"/>
    <w:rsid w:val="00E7716E"/>
    <w:rsid w:val="00E7727B"/>
    <w:rsid w:val="00E778D4"/>
    <w:rsid w:val="00E82BDC"/>
    <w:rsid w:val="00E86249"/>
    <w:rsid w:val="00E8710A"/>
    <w:rsid w:val="00E8771C"/>
    <w:rsid w:val="00E90486"/>
    <w:rsid w:val="00E90C18"/>
    <w:rsid w:val="00E91136"/>
    <w:rsid w:val="00E91FFC"/>
    <w:rsid w:val="00E92AB7"/>
    <w:rsid w:val="00E92D0B"/>
    <w:rsid w:val="00E95C2E"/>
    <w:rsid w:val="00E95C45"/>
    <w:rsid w:val="00E96987"/>
    <w:rsid w:val="00E975B9"/>
    <w:rsid w:val="00E97D31"/>
    <w:rsid w:val="00EA14BA"/>
    <w:rsid w:val="00EA3F0A"/>
    <w:rsid w:val="00EA55FD"/>
    <w:rsid w:val="00EA7493"/>
    <w:rsid w:val="00EB05F9"/>
    <w:rsid w:val="00EB0E1A"/>
    <w:rsid w:val="00EB0F1A"/>
    <w:rsid w:val="00EB126A"/>
    <w:rsid w:val="00EB38AA"/>
    <w:rsid w:val="00EB453B"/>
    <w:rsid w:val="00EB4F9F"/>
    <w:rsid w:val="00EB530B"/>
    <w:rsid w:val="00EB6BA6"/>
    <w:rsid w:val="00EB6C31"/>
    <w:rsid w:val="00EB7528"/>
    <w:rsid w:val="00EB7BC6"/>
    <w:rsid w:val="00EC00A5"/>
    <w:rsid w:val="00EC12FE"/>
    <w:rsid w:val="00EC1B6D"/>
    <w:rsid w:val="00EC2A37"/>
    <w:rsid w:val="00EC6B3F"/>
    <w:rsid w:val="00ED0509"/>
    <w:rsid w:val="00ED2971"/>
    <w:rsid w:val="00ED7589"/>
    <w:rsid w:val="00ED778E"/>
    <w:rsid w:val="00ED7FCC"/>
    <w:rsid w:val="00EE12B6"/>
    <w:rsid w:val="00EE42FD"/>
    <w:rsid w:val="00EE490A"/>
    <w:rsid w:val="00EE5B2D"/>
    <w:rsid w:val="00EE70B1"/>
    <w:rsid w:val="00EE722B"/>
    <w:rsid w:val="00EE75C4"/>
    <w:rsid w:val="00EE77BC"/>
    <w:rsid w:val="00EF347C"/>
    <w:rsid w:val="00EF4E24"/>
    <w:rsid w:val="00EF54B2"/>
    <w:rsid w:val="00EF57D9"/>
    <w:rsid w:val="00EF5A06"/>
    <w:rsid w:val="00F02866"/>
    <w:rsid w:val="00F02DC4"/>
    <w:rsid w:val="00F0327B"/>
    <w:rsid w:val="00F06C39"/>
    <w:rsid w:val="00F10378"/>
    <w:rsid w:val="00F1312B"/>
    <w:rsid w:val="00F139B3"/>
    <w:rsid w:val="00F14535"/>
    <w:rsid w:val="00F14738"/>
    <w:rsid w:val="00F16C19"/>
    <w:rsid w:val="00F16E18"/>
    <w:rsid w:val="00F172C8"/>
    <w:rsid w:val="00F21919"/>
    <w:rsid w:val="00F21D68"/>
    <w:rsid w:val="00F24851"/>
    <w:rsid w:val="00F24F89"/>
    <w:rsid w:val="00F252EA"/>
    <w:rsid w:val="00F256C4"/>
    <w:rsid w:val="00F25B2E"/>
    <w:rsid w:val="00F2785C"/>
    <w:rsid w:val="00F27BAD"/>
    <w:rsid w:val="00F3051C"/>
    <w:rsid w:val="00F30FA0"/>
    <w:rsid w:val="00F32269"/>
    <w:rsid w:val="00F3314A"/>
    <w:rsid w:val="00F340D2"/>
    <w:rsid w:val="00F36446"/>
    <w:rsid w:val="00F377B1"/>
    <w:rsid w:val="00F37AE7"/>
    <w:rsid w:val="00F41863"/>
    <w:rsid w:val="00F41C52"/>
    <w:rsid w:val="00F420BD"/>
    <w:rsid w:val="00F42E94"/>
    <w:rsid w:val="00F4302C"/>
    <w:rsid w:val="00F43884"/>
    <w:rsid w:val="00F447F3"/>
    <w:rsid w:val="00F44BAF"/>
    <w:rsid w:val="00F44BB0"/>
    <w:rsid w:val="00F46A25"/>
    <w:rsid w:val="00F51155"/>
    <w:rsid w:val="00F51471"/>
    <w:rsid w:val="00F55094"/>
    <w:rsid w:val="00F605CB"/>
    <w:rsid w:val="00F612BF"/>
    <w:rsid w:val="00F62AC2"/>
    <w:rsid w:val="00F63089"/>
    <w:rsid w:val="00F6524C"/>
    <w:rsid w:val="00F65B1D"/>
    <w:rsid w:val="00F679CA"/>
    <w:rsid w:val="00F70F58"/>
    <w:rsid w:val="00F73095"/>
    <w:rsid w:val="00F7382D"/>
    <w:rsid w:val="00F73BF8"/>
    <w:rsid w:val="00F7773C"/>
    <w:rsid w:val="00F77B9F"/>
    <w:rsid w:val="00F80C1A"/>
    <w:rsid w:val="00F81115"/>
    <w:rsid w:val="00F820E5"/>
    <w:rsid w:val="00F82A12"/>
    <w:rsid w:val="00F840E4"/>
    <w:rsid w:val="00F874EA"/>
    <w:rsid w:val="00F876E0"/>
    <w:rsid w:val="00F93804"/>
    <w:rsid w:val="00F94A30"/>
    <w:rsid w:val="00F95289"/>
    <w:rsid w:val="00F95D3B"/>
    <w:rsid w:val="00F9676E"/>
    <w:rsid w:val="00F9784D"/>
    <w:rsid w:val="00F97D8A"/>
    <w:rsid w:val="00FA0ACE"/>
    <w:rsid w:val="00FA40C3"/>
    <w:rsid w:val="00FA6BA3"/>
    <w:rsid w:val="00FA6BB0"/>
    <w:rsid w:val="00FB175E"/>
    <w:rsid w:val="00FB19DE"/>
    <w:rsid w:val="00FB38D2"/>
    <w:rsid w:val="00FB4AA4"/>
    <w:rsid w:val="00FB4C10"/>
    <w:rsid w:val="00FB55F9"/>
    <w:rsid w:val="00FB62D6"/>
    <w:rsid w:val="00FB7136"/>
    <w:rsid w:val="00FC0F90"/>
    <w:rsid w:val="00FC13C0"/>
    <w:rsid w:val="00FC166F"/>
    <w:rsid w:val="00FC256B"/>
    <w:rsid w:val="00FC2790"/>
    <w:rsid w:val="00FC553A"/>
    <w:rsid w:val="00FC5FA1"/>
    <w:rsid w:val="00FC6CFD"/>
    <w:rsid w:val="00FD046B"/>
    <w:rsid w:val="00FD2B6F"/>
    <w:rsid w:val="00FD2B87"/>
    <w:rsid w:val="00FD31CC"/>
    <w:rsid w:val="00FD485F"/>
    <w:rsid w:val="00FD6D1E"/>
    <w:rsid w:val="00FE1C5B"/>
    <w:rsid w:val="00FE534B"/>
    <w:rsid w:val="00FE7D24"/>
    <w:rsid w:val="00FF067B"/>
    <w:rsid w:val="00FF19CC"/>
    <w:rsid w:val="00FF2678"/>
    <w:rsid w:val="00FF2B87"/>
    <w:rsid w:val="00FF49AD"/>
    <w:rsid w:val="00FF523F"/>
    <w:rsid w:val="00FF6C8D"/>
    <w:rsid w:val="13AD0265"/>
    <w:rsid w:val="201E09F8"/>
    <w:rsid w:val="24CD3826"/>
    <w:rsid w:val="37D30E3E"/>
    <w:rsid w:val="4F0463C4"/>
    <w:rsid w:val="596520A0"/>
    <w:rsid w:val="621E4888"/>
    <w:rsid w:val="658C4A24"/>
    <w:rsid w:val="67874380"/>
    <w:rsid w:val="74BA3657"/>
    <w:rsid w:val="7AD27111"/>
    <w:rsid w:val="7EED27B8"/>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DF1E2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0">
    <w:name w:val="Normal"/>
    <w:qFormat/>
    <w:pPr>
      <w:widowControl w:val="0"/>
      <w:jc w:val="both"/>
    </w:pPr>
    <w:rPr>
      <w:kern w:val="2"/>
      <w:sz w:val="21"/>
      <w:szCs w:val="21"/>
    </w:rPr>
  </w:style>
  <w:style w:type="paragraph" w:styleId="10">
    <w:name w:val="heading 1"/>
    <w:basedOn w:val="a0"/>
    <w:next w:val="HR"/>
    <w:link w:val="11"/>
    <w:uiPriority w:val="9"/>
    <w:qFormat/>
    <w:pPr>
      <w:keepNext/>
      <w:keepLines/>
      <w:numPr>
        <w:numId w:val="1"/>
      </w:numPr>
      <w:spacing w:before="240" w:after="120"/>
      <w:contextualSpacing/>
      <w:jc w:val="left"/>
      <w:outlineLvl w:val="0"/>
    </w:pPr>
    <w:rPr>
      <w:rFonts w:ascii="Times New Roman" w:eastAsia="宋体" w:hAnsi="Times New Roman"/>
      <w:b/>
      <w:bCs/>
      <w:kern w:val="44"/>
      <w:sz w:val="28"/>
      <w:szCs w:val="28"/>
    </w:rPr>
  </w:style>
  <w:style w:type="paragraph" w:styleId="21">
    <w:name w:val="heading 2"/>
    <w:basedOn w:val="a0"/>
    <w:next w:val="HR"/>
    <w:link w:val="22"/>
    <w:qFormat/>
    <w:pPr>
      <w:keepNext/>
      <w:keepLines/>
      <w:numPr>
        <w:ilvl w:val="1"/>
        <w:numId w:val="1"/>
      </w:numPr>
      <w:spacing w:before="240" w:after="120"/>
      <w:contextualSpacing/>
      <w:outlineLvl w:val="1"/>
    </w:pPr>
    <w:rPr>
      <w:rFonts w:ascii="Times New Roman" w:eastAsiaTheme="majorEastAsia" w:hAnsi="Times New Roman" w:cstheme="majorBidi"/>
      <w:b/>
      <w:bCs/>
      <w:sz w:val="24"/>
      <w:szCs w:val="32"/>
    </w:rPr>
  </w:style>
  <w:style w:type="paragraph" w:styleId="30">
    <w:name w:val="heading 3"/>
    <w:basedOn w:val="a0"/>
    <w:next w:val="HR"/>
    <w:link w:val="31"/>
    <w:uiPriority w:val="9"/>
    <w:qFormat/>
    <w:pPr>
      <w:keepNext/>
      <w:keepLines/>
      <w:numPr>
        <w:ilvl w:val="2"/>
        <w:numId w:val="1"/>
      </w:numPr>
      <w:spacing w:before="240" w:after="120"/>
      <w:contextualSpacing/>
      <w:outlineLvl w:val="2"/>
    </w:pPr>
    <w:rPr>
      <w:rFonts w:ascii="Times New Roman" w:eastAsia="宋体" w:hAnsi="Times New Roman"/>
      <w:b/>
      <w:bCs/>
      <w:sz w:val="24"/>
      <w:szCs w:val="32"/>
    </w:rPr>
  </w:style>
  <w:style w:type="paragraph" w:styleId="4">
    <w:name w:val="heading 4"/>
    <w:basedOn w:val="a0"/>
    <w:next w:val="HR"/>
    <w:link w:val="40"/>
    <w:uiPriority w:val="9"/>
    <w:qFormat/>
    <w:pPr>
      <w:keepNext/>
      <w:keepLines/>
      <w:numPr>
        <w:ilvl w:val="3"/>
        <w:numId w:val="1"/>
      </w:numPr>
      <w:spacing w:before="240" w:after="120"/>
      <w:contextualSpacing/>
      <w:outlineLvl w:val="3"/>
    </w:pPr>
    <w:rPr>
      <w:rFonts w:ascii="Times New Roman" w:eastAsia="宋体" w:hAnsi="Times New Roman" w:cstheme="majorBidi"/>
      <w:b/>
      <w:bCs/>
      <w:sz w:val="24"/>
      <w:szCs w:val="28"/>
    </w:rPr>
  </w:style>
  <w:style w:type="paragraph" w:styleId="5">
    <w:name w:val="heading 5"/>
    <w:basedOn w:val="a0"/>
    <w:next w:val="HR"/>
    <w:link w:val="50"/>
    <w:uiPriority w:val="9"/>
    <w:qFormat/>
    <w:pPr>
      <w:keepNext/>
      <w:keepLines/>
      <w:numPr>
        <w:ilvl w:val="4"/>
        <w:numId w:val="1"/>
      </w:numPr>
      <w:spacing w:before="240" w:after="120"/>
      <w:contextualSpacing/>
      <w:outlineLvl w:val="4"/>
    </w:pPr>
    <w:rPr>
      <w:rFonts w:ascii="Times New Roman" w:eastAsia="宋体" w:hAnsi="Times New Roman"/>
      <w:b/>
      <w:bCs/>
      <w:sz w:val="24"/>
      <w:szCs w:val="28"/>
    </w:rPr>
  </w:style>
  <w:style w:type="paragraph" w:styleId="6">
    <w:name w:val="heading 6"/>
    <w:basedOn w:val="a0"/>
    <w:next w:val="a0"/>
    <w:link w:val="60"/>
    <w:uiPriority w:val="9"/>
    <w:semiHidden/>
    <w:unhideWhenUsed/>
    <w:qFormat/>
    <w:pPr>
      <w:keepNext/>
      <w:keepLines/>
      <w:spacing w:before="40" w:line="276" w:lineRule="auto"/>
      <w:ind w:left="1152" w:hanging="1152"/>
      <w:outlineLvl w:val="5"/>
    </w:pPr>
    <w:rPr>
      <w:rFonts w:asciiTheme="majorHAnsi" w:eastAsiaTheme="majorEastAsia" w:hAnsiTheme="majorHAnsi" w:cstheme="majorBidi"/>
      <w:color w:val="1F4E79" w:themeColor="accent1" w:themeShade="80"/>
      <w:szCs w:val="22"/>
    </w:rPr>
  </w:style>
  <w:style w:type="paragraph" w:styleId="7">
    <w:name w:val="heading 7"/>
    <w:basedOn w:val="a0"/>
    <w:next w:val="a0"/>
    <w:link w:val="70"/>
    <w:uiPriority w:val="9"/>
    <w:semiHidden/>
    <w:unhideWhenUsed/>
    <w:qFormat/>
    <w:pPr>
      <w:keepNext/>
      <w:keepLines/>
      <w:spacing w:before="40" w:line="276" w:lineRule="auto"/>
      <w:ind w:left="1296" w:hanging="1296"/>
      <w:outlineLvl w:val="6"/>
    </w:pPr>
    <w:rPr>
      <w:rFonts w:asciiTheme="majorHAnsi" w:eastAsiaTheme="majorEastAsia" w:hAnsiTheme="majorHAnsi" w:cstheme="majorBidi"/>
      <w:i/>
      <w:iCs/>
      <w:color w:val="1F4E79" w:themeColor="accent1" w:themeShade="80"/>
      <w:szCs w:val="22"/>
    </w:rPr>
  </w:style>
  <w:style w:type="paragraph" w:styleId="8">
    <w:name w:val="heading 8"/>
    <w:basedOn w:val="a0"/>
    <w:next w:val="a0"/>
    <w:link w:val="80"/>
    <w:uiPriority w:val="9"/>
    <w:semiHidden/>
    <w:unhideWhenUsed/>
    <w:qFormat/>
    <w:pPr>
      <w:keepNext/>
      <w:keepLines/>
      <w:spacing w:before="40" w:line="276" w:lineRule="auto"/>
      <w:ind w:left="1440" w:hanging="1440"/>
      <w:outlineLvl w:val="7"/>
    </w:pPr>
    <w:rPr>
      <w:rFonts w:asciiTheme="majorHAnsi" w:eastAsiaTheme="majorEastAsia" w:hAnsiTheme="majorHAnsi" w:cstheme="majorBidi"/>
      <w:color w:val="262626" w:themeColor="text1" w:themeTint="D9"/>
    </w:rPr>
  </w:style>
  <w:style w:type="paragraph" w:styleId="9">
    <w:name w:val="heading 9"/>
    <w:basedOn w:val="a0"/>
    <w:next w:val="a0"/>
    <w:link w:val="90"/>
    <w:uiPriority w:val="9"/>
    <w:semiHidden/>
    <w:unhideWhenUsed/>
    <w:qFormat/>
    <w:pPr>
      <w:keepNext/>
      <w:keepLines/>
      <w:spacing w:before="40" w:line="276" w:lineRule="auto"/>
      <w:ind w:left="1584" w:hanging="1584"/>
      <w:outlineLvl w:val="8"/>
    </w:pPr>
    <w:rPr>
      <w:rFonts w:asciiTheme="majorHAnsi" w:eastAsiaTheme="majorEastAsia" w:hAnsiTheme="majorHAnsi" w:cstheme="majorBidi"/>
      <w:i/>
      <w:iCs/>
      <w:color w:val="262626" w:themeColor="text1" w:themeTint="D9"/>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R">
    <w:name w:val="HR正文格式"/>
    <w:basedOn w:val="a0"/>
    <w:link w:val="HRChar"/>
    <w:qFormat/>
    <w:pPr>
      <w:widowControl/>
      <w:spacing w:after="240" w:line="360" w:lineRule="auto"/>
      <w:ind w:firstLineChars="200" w:firstLine="200"/>
      <w:contextualSpacing/>
      <w:jc w:val="left"/>
    </w:pPr>
    <w:rPr>
      <w:rFonts w:ascii="Times New Roman" w:eastAsia="宋体" w:hAnsi="Times New Roman"/>
      <w:sz w:val="24"/>
      <w:szCs w:val="24"/>
      <w:lang w:val="zh-CN" w:eastAsia="en-US"/>
    </w:rPr>
  </w:style>
  <w:style w:type="paragraph" w:styleId="TOC7">
    <w:name w:val="toc 7"/>
    <w:basedOn w:val="a0"/>
    <w:next w:val="a0"/>
    <w:uiPriority w:val="39"/>
    <w:unhideWhenUsed/>
    <w:qFormat/>
    <w:pPr>
      <w:ind w:leftChars="1200" w:left="2520"/>
    </w:pPr>
    <w:rPr>
      <w:szCs w:val="22"/>
    </w:rPr>
  </w:style>
  <w:style w:type="paragraph" w:styleId="a4">
    <w:name w:val="caption"/>
    <w:basedOn w:val="a0"/>
    <w:next w:val="HR"/>
    <w:uiPriority w:val="35"/>
    <w:unhideWhenUsed/>
    <w:qFormat/>
    <w:pPr>
      <w:spacing w:after="240" w:line="360" w:lineRule="auto"/>
      <w:jc w:val="center"/>
    </w:pPr>
    <w:rPr>
      <w:rFonts w:ascii="Times New Roman" w:eastAsia="宋体" w:hAnsi="Times New Roman" w:cstheme="majorBidi"/>
      <w:b/>
      <w:szCs w:val="20"/>
    </w:rPr>
  </w:style>
  <w:style w:type="paragraph" w:styleId="a">
    <w:name w:val="List Bullet"/>
    <w:basedOn w:val="a0"/>
    <w:uiPriority w:val="99"/>
    <w:semiHidden/>
    <w:unhideWhenUsed/>
    <w:qFormat/>
    <w:pPr>
      <w:numPr>
        <w:numId w:val="2"/>
      </w:numPr>
      <w:contextualSpacing/>
    </w:pPr>
  </w:style>
  <w:style w:type="paragraph" w:styleId="a5">
    <w:name w:val="annotation text"/>
    <w:basedOn w:val="a0"/>
    <w:link w:val="a6"/>
    <w:uiPriority w:val="99"/>
    <w:unhideWhenUsed/>
    <w:qFormat/>
    <w:pPr>
      <w:jc w:val="left"/>
    </w:pPr>
  </w:style>
  <w:style w:type="paragraph" w:styleId="a7">
    <w:name w:val="Body Text"/>
    <w:basedOn w:val="a0"/>
    <w:link w:val="a8"/>
    <w:uiPriority w:val="1"/>
    <w:qFormat/>
    <w:pPr>
      <w:autoSpaceDE w:val="0"/>
      <w:autoSpaceDN w:val="0"/>
      <w:ind w:left="237"/>
      <w:jc w:val="left"/>
    </w:pPr>
    <w:rPr>
      <w:rFonts w:ascii="宋体" w:eastAsia="宋体" w:hAnsi="宋体" w:cs="宋体"/>
      <w:kern w:val="0"/>
      <w:sz w:val="24"/>
      <w:szCs w:val="24"/>
      <w:lang w:val="zh-CN" w:bidi="zh-CN"/>
    </w:rPr>
  </w:style>
  <w:style w:type="paragraph" w:styleId="20">
    <w:name w:val="List Bullet 2"/>
    <w:qFormat/>
    <w:pPr>
      <w:numPr>
        <w:numId w:val="3"/>
      </w:numPr>
      <w:spacing w:after="240"/>
    </w:pPr>
    <w:rPr>
      <w:rFonts w:ascii="Times New Roman" w:eastAsia="宋体" w:hAnsi="Times New Roman" w:cs="Times New Roman"/>
      <w:sz w:val="24"/>
      <w:szCs w:val="24"/>
      <w:lang w:eastAsia="en-US"/>
    </w:rPr>
  </w:style>
  <w:style w:type="paragraph" w:styleId="TOC5">
    <w:name w:val="toc 5"/>
    <w:basedOn w:val="a0"/>
    <w:next w:val="a0"/>
    <w:uiPriority w:val="39"/>
    <w:unhideWhenUsed/>
    <w:qFormat/>
    <w:pPr>
      <w:ind w:leftChars="800" w:left="1680"/>
    </w:pPr>
    <w:rPr>
      <w:szCs w:val="22"/>
    </w:rPr>
  </w:style>
  <w:style w:type="paragraph" w:styleId="TOC3">
    <w:name w:val="toc 3"/>
    <w:basedOn w:val="HR"/>
    <w:next w:val="a0"/>
    <w:uiPriority w:val="39"/>
    <w:unhideWhenUsed/>
    <w:qFormat/>
    <w:rsid w:val="00A3122A"/>
    <w:pPr>
      <w:spacing w:after="0"/>
      <w:ind w:leftChars="200" w:left="550" w:hangingChars="350" w:hanging="350"/>
      <w:jc w:val="both"/>
    </w:pPr>
    <w:rPr>
      <w:rFonts w:eastAsia="Times New Roman" w:cs="Times New Roman"/>
      <w:kern w:val="0"/>
    </w:rPr>
  </w:style>
  <w:style w:type="paragraph" w:styleId="TOC8">
    <w:name w:val="toc 8"/>
    <w:basedOn w:val="a0"/>
    <w:next w:val="a0"/>
    <w:uiPriority w:val="39"/>
    <w:unhideWhenUsed/>
    <w:qFormat/>
    <w:pPr>
      <w:ind w:leftChars="1400" w:left="2940"/>
    </w:pPr>
    <w:rPr>
      <w:szCs w:val="22"/>
    </w:rPr>
  </w:style>
  <w:style w:type="paragraph" w:styleId="a9">
    <w:name w:val="endnote text"/>
    <w:basedOn w:val="a0"/>
    <w:link w:val="aa"/>
    <w:uiPriority w:val="99"/>
    <w:semiHidden/>
    <w:unhideWhenUsed/>
    <w:qFormat/>
    <w:pPr>
      <w:snapToGrid w:val="0"/>
      <w:jc w:val="left"/>
    </w:pPr>
  </w:style>
  <w:style w:type="paragraph" w:styleId="ab">
    <w:name w:val="Balloon Text"/>
    <w:basedOn w:val="a0"/>
    <w:link w:val="ac"/>
    <w:uiPriority w:val="99"/>
    <w:semiHidden/>
    <w:unhideWhenUsed/>
    <w:qFormat/>
    <w:rPr>
      <w:sz w:val="18"/>
      <w:szCs w:val="18"/>
    </w:rPr>
  </w:style>
  <w:style w:type="paragraph" w:styleId="ad">
    <w:name w:val="footer"/>
    <w:basedOn w:val="a0"/>
    <w:link w:val="ae"/>
    <w:uiPriority w:val="99"/>
    <w:unhideWhenUsed/>
    <w:qFormat/>
    <w:pPr>
      <w:tabs>
        <w:tab w:val="center" w:pos="4153"/>
        <w:tab w:val="right" w:pos="8306"/>
      </w:tabs>
      <w:snapToGrid w:val="0"/>
      <w:jc w:val="left"/>
    </w:pPr>
    <w:rPr>
      <w:sz w:val="18"/>
      <w:szCs w:val="18"/>
    </w:rPr>
  </w:style>
  <w:style w:type="paragraph" w:styleId="af">
    <w:name w:val="header"/>
    <w:basedOn w:val="a0"/>
    <w:link w:val="af0"/>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HR"/>
    <w:next w:val="a0"/>
    <w:uiPriority w:val="39"/>
    <w:unhideWhenUsed/>
    <w:qFormat/>
    <w:rsid w:val="00A3122A"/>
    <w:pPr>
      <w:tabs>
        <w:tab w:val="right" w:leader="dot" w:pos="9016"/>
      </w:tabs>
      <w:spacing w:after="0"/>
      <w:ind w:left="250" w:hangingChars="250" w:hanging="250"/>
      <w:jc w:val="both"/>
    </w:pPr>
    <w:rPr>
      <w:rFonts w:eastAsia="Times New Roman" w:cs="Times New Roman"/>
      <w:kern w:val="0"/>
    </w:rPr>
  </w:style>
  <w:style w:type="paragraph" w:styleId="TOC4">
    <w:name w:val="toc 4"/>
    <w:basedOn w:val="a0"/>
    <w:next w:val="a0"/>
    <w:uiPriority w:val="39"/>
    <w:unhideWhenUsed/>
    <w:qFormat/>
    <w:pPr>
      <w:ind w:leftChars="600" w:left="1260"/>
    </w:pPr>
    <w:rPr>
      <w:szCs w:val="22"/>
    </w:rPr>
  </w:style>
  <w:style w:type="paragraph" w:styleId="TOC6">
    <w:name w:val="toc 6"/>
    <w:basedOn w:val="a0"/>
    <w:next w:val="a0"/>
    <w:uiPriority w:val="39"/>
    <w:unhideWhenUsed/>
    <w:qFormat/>
    <w:pPr>
      <w:ind w:leftChars="1000" w:left="2100"/>
    </w:pPr>
    <w:rPr>
      <w:szCs w:val="22"/>
    </w:rPr>
  </w:style>
  <w:style w:type="paragraph" w:styleId="af1">
    <w:name w:val="table of figures"/>
    <w:basedOn w:val="HR"/>
    <w:next w:val="a0"/>
    <w:uiPriority w:val="99"/>
    <w:unhideWhenUsed/>
    <w:qFormat/>
    <w:pPr>
      <w:ind w:leftChars="200" w:left="200" w:firstLineChars="0" w:firstLine="0"/>
    </w:pPr>
  </w:style>
  <w:style w:type="paragraph" w:styleId="TOC2">
    <w:name w:val="toc 2"/>
    <w:basedOn w:val="HR"/>
    <w:next w:val="a0"/>
    <w:uiPriority w:val="39"/>
    <w:unhideWhenUsed/>
    <w:qFormat/>
    <w:rsid w:val="00A3122A"/>
    <w:pPr>
      <w:spacing w:after="0"/>
      <w:ind w:leftChars="100" w:left="400" w:hangingChars="300" w:hanging="300"/>
      <w:jc w:val="both"/>
    </w:pPr>
    <w:rPr>
      <w:rFonts w:eastAsia="Times New Roman" w:cs="Times New Roman"/>
      <w:kern w:val="0"/>
    </w:rPr>
  </w:style>
  <w:style w:type="paragraph" w:styleId="TOC9">
    <w:name w:val="toc 9"/>
    <w:basedOn w:val="a0"/>
    <w:next w:val="a0"/>
    <w:uiPriority w:val="39"/>
    <w:unhideWhenUsed/>
    <w:qFormat/>
    <w:pPr>
      <w:ind w:leftChars="1600" w:left="3360"/>
    </w:pPr>
    <w:rPr>
      <w:szCs w:val="22"/>
    </w:rPr>
  </w:style>
  <w:style w:type="paragraph" w:styleId="af2">
    <w:name w:val="Title"/>
    <w:next w:val="Paragraph"/>
    <w:link w:val="af3"/>
    <w:uiPriority w:val="10"/>
    <w:qFormat/>
    <w:pPr>
      <w:spacing w:before="240" w:after="240"/>
      <w:jc w:val="center"/>
    </w:pPr>
    <w:rPr>
      <w:rFonts w:ascii="Times New Roman" w:eastAsia="宋体" w:hAnsi="Times New Roman" w:cs="Times New Roman"/>
      <w:b/>
      <w:bCs/>
      <w:caps/>
      <w:kern w:val="28"/>
      <w:sz w:val="24"/>
      <w:szCs w:val="32"/>
    </w:rPr>
  </w:style>
  <w:style w:type="paragraph" w:customStyle="1" w:styleId="Paragraph">
    <w:name w:val="Paragraph"/>
    <w:link w:val="ParagraphChar"/>
    <w:qFormat/>
    <w:pPr>
      <w:spacing w:after="240"/>
    </w:pPr>
    <w:rPr>
      <w:rFonts w:ascii="Times New Roman" w:eastAsia="宋体" w:hAnsi="Times New Roman" w:cs="Times New Roman"/>
      <w:sz w:val="24"/>
      <w:szCs w:val="24"/>
    </w:rPr>
  </w:style>
  <w:style w:type="paragraph" w:styleId="af4">
    <w:name w:val="annotation subject"/>
    <w:basedOn w:val="a5"/>
    <w:next w:val="a5"/>
    <w:link w:val="af5"/>
    <w:uiPriority w:val="99"/>
    <w:semiHidden/>
    <w:unhideWhenUsed/>
    <w:qFormat/>
    <w:rPr>
      <w:b/>
      <w:bCs/>
    </w:rPr>
  </w:style>
  <w:style w:type="table" w:styleId="af6">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endnote reference"/>
    <w:basedOn w:val="a1"/>
    <w:uiPriority w:val="99"/>
    <w:semiHidden/>
    <w:unhideWhenUsed/>
    <w:qFormat/>
    <w:rPr>
      <w:vertAlign w:val="superscript"/>
    </w:rPr>
  </w:style>
  <w:style w:type="character" w:styleId="af8">
    <w:name w:val="Emphasis"/>
    <w:basedOn w:val="a1"/>
    <w:uiPriority w:val="20"/>
    <w:qFormat/>
    <w:rPr>
      <w:i/>
      <w:iCs/>
    </w:rPr>
  </w:style>
  <w:style w:type="character" w:styleId="af9">
    <w:name w:val="Hyperlink"/>
    <w:basedOn w:val="a1"/>
    <w:uiPriority w:val="99"/>
    <w:unhideWhenUsed/>
    <w:qFormat/>
    <w:rPr>
      <w:color w:val="0563C1" w:themeColor="hyperlink"/>
      <w:u w:val="single"/>
    </w:rPr>
  </w:style>
  <w:style w:type="character" w:styleId="afa">
    <w:name w:val="annotation reference"/>
    <w:basedOn w:val="a1"/>
    <w:unhideWhenUsed/>
    <w:qFormat/>
    <w:rPr>
      <w:sz w:val="21"/>
      <w:szCs w:val="21"/>
    </w:rPr>
  </w:style>
  <w:style w:type="character" w:customStyle="1" w:styleId="HRChar">
    <w:name w:val="HR正文格式 Char"/>
    <w:basedOn w:val="a1"/>
    <w:link w:val="HR"/>
    <w:qFormat/>
    <w:rPr>
      <w:rFonts w:ascii="Times New Roman" w:eastAsia="宋体" w:hAnsi="Times New Roman"/>
      <w:sz w:val="24"/>
      <w:szCs w:val="24"/>
      <w:lang w:val="zh-CN" w:eastAsia="en-US"/>
    </w:rPr>
  </w:style>
  <w:style w:type="character" w:customStyle="1" w:styleId="af0">
    <w:name w:val="页眉 字符"/>
    <w:basedOn w:val="a1"/>
    <w:link w:val="af"/>
    <w:uiPriority w:val="99"/>
    <w:qFormat/>
    <w:rPr>
      <w:sz w:val="18"/>
      <w:szCs w:val="18"/>
    </w:rPr>
  </w:style>
  <w:style w:type="character" w:customStyle="1" w:styleId="ae">
    <w:name w:val="页脚 字符"/>
    <w:basedOn w:val="a1"/>
    <w:link w:val="ad"/>
    <w:uiPriority w:val="99"/>
    <w:qFormat/>
    <w:rPr>
      <w:sz w:val="18"/>
      <w:szCs w:val="18"/>
    </w:rPr>
  </w:style>
  <w:style w:type="character" w:customStyle="1" w:styleId="11">
    <w:name w:val="标题 1 字符"/>
    <w:basedOn w:val="a1"/>
    <w:link w:val="10"/>
    <w:uiPriority w:val="9"/>
    <w:qFormat/>
    <w:rPr>
      <w:rFonts w:ascii="Times New Roman" w:eastAsia="宋体" w:hAnsi="Times New Roman"/>
      <w:b/>
      <w:bCs/>
      <w:kern w:val="44"/>
      <w:sz w:val="28"/>
      <w:szCs w:val="28"/>
    </w:rPr>
  </w:style>
  <w:style w:type="character" w:customStyle="1" w:styleId="22">
    <w:name w:val="标题 2 字符"/>
    <w:basedOn w:val="a1"/>
    <w:link w:val="21"/>
    <w:qFormat/>
    <w:rPr>
      <w:rFonts w:ascii="Times New Roman" w:eastAsiaTheme="majorEastAsia" w:hAnsi="Times New Roman" w:cstheme="majorBidi"/>
      <w:b/>
      <w:bCs/>
      <w:sz w:val="24"/>
      <w:szCs w:val="32"/>
    </w:rPr>
  </w:style>
  <w:style w:type="character" w:customStyle="1" w:styleId="31">
    <w:name w:val="标题 3 字符"/>
    <w:basedOn w:val="a1"/>
    <w:link w:val="30"/>
    <w:uiPriority w:val="9"/>
    <w:qFormat/>
    <w:rPr>
      <w:rFonts w:ascii="Times New Roman" w:eastAsia="宋体" w:hAnsi="Times New Roman"/>
      <w:b/>
      <w:bCs/>
      <w:sz w:val="24"/>
      <w:szCs w:val="32"/>
    </w:rPr>
  </w:style>
  <w:style w:type="character" w:customStyle="1" w:styleId="40">
    <w:name w:val="标题 4 字符"/>
    <w:basedOn w:val="a1"/>
    <w:link w:val="4"/>
    <w:uiPriority w:val="9"/>
    <w:qFormat/>
    <w:rPr>
      <w:rFonts w:ascii="Times New Roman" w:eastAsia="宋体" w:hAnsi="Times New Roman" w:cstheme="majorBidi"/>
      <w:b/>
      <w:bCs/>
      <w:sz w:val="24"/>
      <w:szCs w:val="28"/>
    </w:rPr>
  </w:style>
  <w:style w:type="character" w:customStyle="1" w:styleId="50">
    <w:name w:val="标题 5 字符"/>
    <w:basedOn w:val="a1"/>
    <w:link w:val="5"/>
    <w:uiPriority w:val="9"/>
    <w:qFormat/>
    <w:rPr>
      <w:rFonts w:ascii="Times New Roman" w:eastAsia="宋体" w:hAnsi="Times New Roman"/>
      <w:b/>
      <w:bCs/>
      <w:sz w:val="24"/>
      <w:szCs w:val="28"/>
    </w:rPr>
  </w:style>
  <w:style w:type="character" w:customStyle="1" w:styleId="ac">
    <w:name w:val="批注框文本 字符"/>
    <w:basedOn w:val="a1"/>
    <w:link w:val="ab"/>
    <w:uiPriority w:val="99"/>
    <w:semiHidden/>
    <w:qFormat/>
    <w:rPr>
      <w:sz w:val="18"/>
      <w:szCs w:val="18"/>
    </w:rPr>
  </w:style>
  <w:style w:type="paragraph" w:customStyle="1" w:styleId="HR0">
    <w:name w:val="HR图题"/>
    <w:basedOn w:val="a4"/>
    <w:next w:val="HR"/>
    <w:qFormat/>
    <w:pPr>
      <w:keepLines/>
      <w:widowControl/>
    </w:pPr>
  </w:style>
  <w:style w:type="paragraph" w:customStyle="1" w:styleId="HR1">
    <w:name w:val="HR图"/>
    <w:basedOn w:val="a4"/>
    <w:next w:val="HR0"/>
    <w:qFormat/>
    <w:pPr>
      <w:keepNext/>
      <w:widowControl/>
      <w:spacing w:line="276" w:lineRule="auto"/>
    </w:pPr>
    <w:rPr>
      <w:b w:val="0"/>
    </w:rPr>
  </w:style>
  <w:style w:type="paragraph" w:customStyle="1" w:styleId="HR2">
    <w:name w:val="HR表题"/>
    <w:basedOn w:val="a4"/>
    <w:next w:val="HR3"/>
    <w:qFormat/>
    <w:pPr>
      <w:keepNext/>
      <w:keepLines/>
      <w:widowControl/>
      <w:spacing w:after="0"/>
    </w:pPr>
  </w:style>
  <w:style w:type="paragraph" w:customStyle="1" w:styleId="HR3">
    <w:name w:val="HR表"/>
    <w:basedOn w:val="a0"/>
    <w:next w:val="HR"/>
    <w:qFormat/>
    <w:pPr>
      <w:keepLines/>
      <w:widowControl/>
      <w:contextualSpacing/>
      <w:jc w:val="center"/>
    </w:pPr>
    <w:rPr>
      <w:rFonts w:ascii="Times New Roman" w:eastAsia="宋体" w:hAnsi="Times New Roman"/>
    </w:rPr>
  </w:style>
  <w:style w:type="paragraph" w:customStyle="1" w:styleId="TOCHeading1">
    <w:name w:val="TOC Heading1"/>
    <w:basedOn w:val="10"/>
    <w:next w:val="a0"/>
    <w:uiPriority w:val="39"/>
    <w:unhideWhenUsed/>
    <w:qFormat/>
    <w:pPr>
      <w:widowControl/>
      <w:numPr>
        <w:numId w:val="0"/>
      </w:numPr>
      <w:spacing w:after="0" w:line="259" w:lineRule="auto"/>
      <w:contextualSpacing w:val="0"/>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a">
    <w:name w:val="尾注文本 字符"/>
    <w:basedOn w:val="a1"/>
    <w:link w:val="a9"/>
    <w:uiPriority w:val="99"/>
    <w:semiHidden/>
    <w:qFormat/>
  </w:style>
  <w:style w:type="character" w:customStyle="1" w:styleId="ParagraphChar">
    <w:name w:val="Paragraph Char"/>
    <w:link w:val="Paragraph"/>
    <w:qFormat/>
    <w:rPr>
      <w:rFonts w:ascii="Times New Roman" w:eastAsia="宋体" w:hAnsi="Times New Roman" w:cs="Times New Roman"/>
      <w:kern w:val="0"/>
      <w:sz w:val="24"/>
      <w:szCs w:val="24"/>
    </w:rPr>
  </w:style>
  <w:style w:type="character" w:customStyle="1" w:styleId="a6">
    <w:name w:val="批注文字 字符"/>
    <w:basedOn w:val="a1"/>
    <w:link w:val="a5"/>
    <w:uiPriority w:val="99"/>
    <w:qFormat/>
  </w:style>
  <w:style w:type="character" w:customStyle="1" w:styleId="af5">
    <w:name w:val="批注主题 字符"/>
    <w:basedOn w:val="a6"/>
    <w:link w:val="af4"/>
    <w:uiPriority w:val="99"/>
    <w:semiHidden/>
    <w:qFormat/>
    <w:rPr>
      <w:b/>
      <w:bCs/>
    </w:rPr>
  </w:style>
  <w:style w:type="character" w:customStyle="1" w:styleId="Instructions">
    <w:name w:val="Instructions"/>
    <w:qFormat/>
    <w:rPr>
      <w:i/>
      <w:iCs/>
      <w:color w:val="008000"/>
    </w:rPr>
  </w:style>
  <w:style w:type="paragraph" w:customStyle="1" w:styleId="12">
    <w:name w:val="正文缩进1"/>
    <w:basedOn w:val="a0"/>
    <w:qFormat/>
    <w:pPr>
      <w:ind w:firstLineChars="200" w:firstLine="420"/>
    </w:pPr>
    <w:rPr>
      <w:rFonts w:ascii="Times New Roman" w:eastAsia="宋体" w:hAnsi="Times New Roman" w:cs="Times New Roman"/>
      <w:szCs w:val="24"/>
    </w:rPr>
  </w:style>
  <w:style w:type="paragraph" w:customStyle="1" w:styleId="210">
    <w:name w:val="正文文本缩进 21"/>
    <w:basedOn w:val="a0"/>
    <w:qFormat/>
    <w:pPr>
      <w:autoSpaceDE w:val="0"/>
      <w:autoSpaceDN w:val="0"/>
      <w:adjustRightInd w:val="0"/>
      <w:snapToGrid w:val="0"/>
      <w:spacing w:line="300" w:lineRule="auto"/>
      <w:ind w:firstLineChars="200" w:firstLine="520"/>
      <w:jc w:val="left"/>
    </w:pPr>
    <w:rPr>
      <w:rFonts w:ascii="Times New Roman" w:eastAsia="宋体" w:hAnsi="Times New Roman" w:cs="Times New Roman"/>
      <w:sz w:val="26"/>
      <w:szCs w:val="26"/>
    </w:rPr>
  </w:style>
  <w:style w:type="paragraph" w:customStyle="1" w:styleId="afb">
    <w:name w:val="！方案摘要"/>
    <w:next w:val="a0"/>
    <w:uiPriority w:val="99"/>
    <w:qFormat/>
    <w:pPr>
      <w:topLinePunct/>
      <w:adjustRightInd w:val="0"/>
      <w:snapToGrid w:val="0"/>
      <w:spacing w:line="360" w:lineRule="auto"/>
      <w:jc w:val="center"/>
      <w:outlineLvl w:val="0"/>
    </w:pPr>
    <w:rPr>
      <w:rFonts w:ascii="Times New Roman" w:eastAsia="黑体" w:hAnsi="Times New Roman" w:cs="Times New Roman"/>
      <w:kern w:val="2"/>
      <w:sz w:val="24"/>
      <w:szCs w:val="24"/>
    </w:rPr>
  </w:style>
  <w:style w:type="paragraph" w:customStyle="1" w:styleId="afc">
    <w:name w:val="！正文"/>
    <w:link w:val="Char"/>
    <w:qFormat/>
    <w:pPr>
      <w:widowControl w:val="0"/>
      <w:topLinePunct/>
      <w:adjustRightInd w:val="0"/>
      <w:snapToGrid w:val="0"/>
      <w:spacing w:line="360" w:lineRule="auto"/>
      <w:ind w:firstLineChars="200" w:firstLine="200"/>
      <w:jc w:val="both"/>
    </w:pPr>
    <w:rPr>
      <w:rFonts w:ascii="Times New Roman" w:eastAsia="宋体" w:hAnsi="Times New Roman" w:cs="Times New Roman"/>
      <w:kern w:val="2"/>
      <w:sz w:val="24"/>
      <w:szCs w:val="24"/>
    </w:rPr>
  </w:style>
  <w:style w:type="paragraph" w:styleId="afd">
    <w:name w:val="List Paragraph"/>
    <w:basedOn w:val="a0"/>
    <w:link w:val="afe"/>
    <w:uiPriority w:val="1"/>
    <w:qFormat/>
    <w:pPr>
      <w:ind w:firstLineChars="200" w:firstLine="420"/>
    </w:pPr>
    <w:rPr>
      <w:rFonts w:ascii="Times New Roman" w:eastAsia="宋体" w:hAnsi="Times New Roman" w:cs="Times New Roman"/>
      <w:szCs w:val="24"/>
    </w:rPr>
  </w:style>
  <w:style w:type="paragraph" w:customStyle="1" w:styleId="1">
    <w:name w:val="！标题1"/>
    <w:next w:val="afc"/>
    <w:uiPriority w:val="99"/>
    <w:qFormat/>
    <w:pPr>
      <w:keepNext/>
      <w:numPr>
        <w:numId w:val="4"/>
      </w:numPr>
      <w:topLinePunct/>
      <w:adjustRightInd w:val="0"/>
      <w:snapToGrid w:val="0"/>
      <w:spacing w:beforeLines="80" w:afterLines="80" w:line="360" w:lineRule="auto"/>
      <w:outlineLvl w:val="0"/>
    </w:pPr>
    <w:rPr>
      <w:rFonts w:ascii="Times New Roman" w:eastAsia="黑体" w:hAnsi="Times New Roman" w:cs="Times New Roman"/>
      <w:kern w:val="2"/>
      <w:sz w:val="24"/>
      <w:szCs w:val="24"/>
    </w:rPr>
  </w:style>
  <w:style w:type="paragraph" w:customStyle="1" w:styleId="2">
    <w:name w:val="！标题2"/>
    <w:next w:val="afc"/>
    <w:link w:val="2Char"/>
    <w:uiPriority w:val="99"/>
    <w:qFormat/>
    <w:pPr>
      <w:keepNext/>
      <w:numPr>
        <w:ilvl w:val="1"/>
        <w:numId w:val="4"/>
      </w:numPr>
      <w:topLinePunct/>
      <w:adjustRightInd w:val="0"/>
      <w:snapToGrid w:val="0"/>
      <w:spacing w:line="360" w:lineRule="auto"/>
      <w:ind w:left="500"/>
      <w:outlineLvl w:val="1"/>
    </w:pPr>
    <w:rPr>
      <w:rFonts w:ascii="Times New Roman" w:eastAsia="黑体" w:hAnsi="Times New Roman" w:cs="Times New Roman"/>
      <w:kern w:val="2"/>
      <w:sz w:val="24"/>
      <w:szCs w:val="24"/>
    </w:rPr>
  </w:style>
  <w:style w:type="paragraph" w:customStyle="1" w:styleId="3">
    <w:name w:val="！标题3"/>
    <w:next w:val="afc"/>
    <w:uiPriority w:val="99"/>
    <w:qFormat/>
    <w:pPr>
      <w:keepNext/>
      <w:numPr>
        <w:ilvl w:val="2"/>
        <w:numId w:val="4"/>
      </w:numPr>
      <w:topLinePunct/>
      <w:adjustRightInd w:val="0"/>
      <w:snapToGrid w:val="0"/>
      <w:spacing w:line="360" w:lineRule="auto"/>
      <w:outlineLvl w:val="2"/>
    </w:pPr>
    <w:rPr>
      <w:rFonts w:ascii="Times New Roman" w:eastAsia="黑体" w:hAnsi="Times New Roman" w:cs="Times New Roman"/>
      <w:kern w:val="2"/>
      <w:sz w:val="24"/>
      <w:szCs w:val="24"/>
    </w:rPr>
  </w:style>
  <w:style w:type="character" w:customStyle="1" w:styleId="2Char">
    <w:name w:val="！标题2 Char"/>
    <w:link w:val="2"/>
    <w:uiPriority w:val="99"/>
    <w:qFormat/>
    <w:rPr>
      <w:rFonts w:ascii="Times New Roman" w:eastAsia="黑体" w:hAnsi="Times New Roman" w:cs="Times New Roman"/>
      <w:sz w:val="24"/>
      <w:szCs w:val="24"/>
    </w:rPr>
  </w:style>
  <w:style w:type="character" w:customStyle="1" w:styleId="af3">
    <w:name w:val="标题 字符"/>
    <w:basedOn w:val="a1"/>
    <w:link w:val="af2"/>
    <w:uiPriority w:val="10"/>
    <w:qFormat/>
    <w:rPr>
      <w:rFonts w:ascii="Times New Roman" w:eastAsia="宋体" w:hAnsi="Times New Roman" w:cs="Times New Roman"/>
      <w:b/>
      <w:bCs/>
      <w:caps/>
      <w:kern w:val="28"/>
      <w:sz w:val="24"/>
      <w:szCs w:val="32"/>
    </w:rPr>
  </w:style>
  <w:style w:type="paragraph" w:customStyle="1" w:styleId="mdInstructions">
    <w:name w:val="md_Instructions"/>
    <w:basedOn w:val="a0"/>
    <w:link w:val="mdInstructionsChar"/>
    <w:qFormat/>
    <w:pPr>
      <w:widowControl/>
      <w:spacing w:after="120" w:line="240" w:lineRule="atLeast"/>
      <w:jc w:val="left"/>
    </w:pPr>
    <w:rPr>
      <w:rFonts w:ascii="Calibri" w:eastAsia="宋体" w:hAnsi="Calibri" w:cs="Times New Roman"/>
      <w:color w:val="FF0000"/>
      <w:kern w:val="0"/>
      <w:sz w:val="20"/>
      <w:szCs w:val="24"/>
    </w:rPr>
  </w:style>
  <w:style w:type="character" w:customStyle="1" w:styleId="mdInstructionsChar">
    <w:name w:val="md_Instructions Char"/>
    <w:link w:val="mdInstructions"/>
    <w:qFormat/>
    <w:rPr>
      <w:rFonts w:ascii="Calibri" w:eastAsia="宋体" w:hAnsi="Calibri" w:cs="Times New Roman"/>
      <w:color w:val="FF0000"/>
      <w:kern w:val="0"/>
      <w:sz w:val="20"/>
      <w:szCs w:val="24"/>
    </w:rPr>
  </w:style>
  <w:style w:type="paragraph" w:customStyle="1" w:styleId="TableText">
    <w:name w:val="TableText"/>
    <w:link w:val="TableTextChar"/>
    <w:qFormat/>
    <w:rPr>
      <w:rFonts w:ascii="Times New Roman" w:hAnsi="Times New Roman" w:cs="Arial"/>
      <w:lang w:eastAsia="en-US"/>
    </w:rPr>
  </w:style>
  <w:style w:type="character" w:customStyle="1" w:styleId="TableTextChar">
    <w:name w:val="TableText Char"/>
    <w:link w:val="TableText"/>
    <w:qFormat/>
    <w:locked/>
    <w:rPr>
      <w:rFonts w:ascii="Times New Roman" w:hAnsi="Times New Roman" w:cs="Arial"/>
      <w:kern w:val="0"/>
      <w:sz w:val="20"/>
      <w:szCs w:val="20"/>
      <w:lang w:eastAsia="en-US"/>
    </w:rPr>
  </w:style>
  <w:style w:type="paragraph" w:customStyle="1" w:styleId="Default">
    <w:name w:val="Default"/>
    <w:qFormat/>
    <w:pPr>
      <w:widowControl w:val="0"/>
      <w:autoSpaceDE w:val="0"/>
      <w:autoSpaceDN w:val="0"/>
      <w:adjustRightInd w:val="0"/>
    </w:pPr>
    <w:rPr>
      <w:rFonts w:ascii="Calibri" w:hAnsi="Calibri" w:cs="Calibri"/>
      <w:color w:val="000000"/>
      <w:sz w:val="24"/>
      <w:szCs w:val="24"/>
    </w:rPr>
  </w:style>
  <w:style w:type="paragraph" w:customStyle="1" w:styleId="13">
    <w:name w:val="纯文本1"/>
    <w:basedOn w:val="a0"/>
    <w:link w:val="Char0"/>
    <w:qFormat/>
    <w:rPr>
      <w:rFonts w:ascii="宋体" w:eastAsia="宋体" w:hAnsi="Courier New" w:cs="Times New Roman"/>
      <w:szCs w:val="24"/>
    </w:rPr>
  </w:style>
  <w:style w:type="paragraph" w:customStyle="1" w:styleId="ListofFigures">
    <w:name w:val="List of Figures"/>
    <w:basedOn w:val="Paragraph"/>
    <w:next w:val="Paragraph"/>
    <w:qFormat/>
    <w:pPr>
      <w:keepNext/>
      <w:spacing w:before="120" w:after="120"/>
      <w:jc w:val="center"/>
      <w:outlineLvl w:val="0"/>
    </w:pPr>
    <w:rPr>
      <w:b/>
      <w:caps/>
    </w:rPr>
  </w:style>
  <w:style w:type="paragraph" w:customStyle="1" w:styleId="ListofTables">
    <w:name w:val="List of Tables"/>
    <w:basedOn w:val="Paragraph"/>
    <w:next w:val="Paragraph"/>
    <w:qFormat/>
    <w:pPr>
      <w:keepNext/>
      <w:spacing w:before="120" w:after="120"/>
      <w:jc w:val="center"/>
      <w:outlineLvl w:val="0"/>
    </w:pPr>
    <w:rPr>
      <w:b/>
      <w:caps/>
    </w:rPr>
  </w:style>
  <w:style w:type="character" w:customStyle="1" w:styleId="Char">
    <w:name w:val="！正文 Char"/>
    <w:link w:val="afc"/>
    <w:qFormat/>
    <w:locked/>
    <w:rPr>
      <w:rFonts w:ascii="Times New Roman" w:eastAsia="宋体" w:hAnsi="Times New Roman" w:cs="Times New Roman"/>
      <w:sz w:val="24"/>
      <w:szCs w:val="24"/>
    </w:rPr>
  </w:style>
  <w:style w:type="table" w:customStyle="1" w:styleId="14">
    <w:name w:val="网格型1"/>
    <w:basedOn w:val="a2"/>
    <w:uiPriority w:val="59"/>
    <w:qFormat/>
    <w:rPr>
      <w:rFonts w:eastAsia="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网格型2"/>
    <w:basedOn w:val="a2"/>
    <w:uiPriority w:val="59"/>
    <w:qFormat/>
    <w:rPr>
      <w:rFonts w:eastAsia="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lphaTable">
    <w:name w:val="List Alpha Table"/>
    <w:qFormat/>
    <w:pPr>
      <w:numPr>
        <w:numId w:val="5"/>
      </w:numPr>
    </w:pPr>
    <w:rPr>
      <w:rFonts w:ascii="Times New Roman" w:eastAsia="宋体" w:hAnsi="Times New Roman" w:cs="Times New Roman"/>
      <w:lang w:eastAsia="en-US"/>
    </w:rPr>
  </w:style>
  <w:style w:type="character" w:customStyle="1" w:styleId="Char0">
    <w:name w:val="纯文本 Char"/>
    <w:link w:val="13"/>
    <w:qFormat/>
    <w:rPr>
      <w:rFonts w:ascii="宋体" w:eastAsia="宋体" w:hAnsi="Courier New" w:cs="Times New Roman"/>
      <w:szCs w:val="24"/>
    </w:rPr>
  </w:style>
  <w:style w:type="paragraph" w:customStyle="1" w:styleId="RefText">
    <w:name w:val="RefText"/>
    <w:qFormat/>
    <w:pPr>
      <w:numPr>
        <w:numId w:val="6"/>
      </w:numPr>
      <w:spacing w:after="240"/>
    </w:pPr>
    <w:rPr>
      <w:rFonts w:ascii="Times New Roman" w:eastAsia="宋体" w:hAnsi="Times New Roman" w:cs="Times New Roman"/>
      <w:sz w:val="24"/>
      <w:szCs w:val="24"/>
      <w:lang w:eastAsia="en-US"/>
    </w:rPr>
  </w:style>
  <w:style w:type="character" w:customStyle="1" w:styleId="afe">
    <w:name w:val="列表段落 字符"/>
    <w:link w:val="afd"/>
    <w:qFormat/>
    <w:rPr>
      <w:rFonts w:ascii="Times New Roman" w:eastAsia="宋体" w:hAnsi="Times New Roman" w:cs="Times New Roman"/>
      <w:szCs w:val="24"/>
    </w:rPr>
  </w:style>
  <w:style w:type="character" w:customStyle="1" w:styleId="15">
    <w:name w:val="未处理的提及1"/>
    <w:basedOn w:val="a1"/>
    <w:uiPriority w:val="99"/>
    <w:semiHidden/>
    <w:unhideWhenUsed/>
    <w:qFormat/>
    <w:rPr>
      <w:color w:val="605E5C"/>
      <w:shd w:val="clear" w:color="auto" w:fill="E1DFDD"/>
    </w:rPr>
  </w:style>
  <w:style w:type="table" w:customStyle="1" w:styleId="TableNormal1">
    <w:name w:val="Table Normal1"/>
    <w:uiPriority w:val="2"/>
    <w:semiHidden/>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32">
    <w:name w:val="网格型3"/>
    <w:basedOn w:val="a2"/>
    <w:uiPriority w:val="59"/>
    <w:qFormat/>
    <w:pPr>
      <w:widowControl w:val="0"/>
      <w:adjustRightInd w:val="0"/>
      <w:spacing w:line="360" w:lineRule="atLeast"/>
      <w:jc w:val="both"/>
      <w:textAlignment w:val="baseline"/>
    </w:pPr>
    <w:rPr>
      <w:rFonts w:ascii="Times New Roman" w:eastAsia="宋体"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hidden/>
    <w:uiPriority w:val="99"/>
    <w:semiHidden/>
    <w:qFormat/>
    <w:rPr>
      <w:kern w:val="2"/>
      <w:sz w:val="21"/>
      <w:szCs w:val="21"/>
    </w:rPr>
  </w:style>
  <w:style w:type="character" w:customStyle="1" w:styleId="60">
    <w:name w:val="标题 6 字符"/>
    <w:basedOn w:val="a1"/>
    <w:link w:val="6"/>
    <w:uiPriority w:val="9"/>
    <w:semiHidden/>
    <w:qFormat/>
    <w:rPr>
      <w:rFonts w:asciiTheme="majorHAnsi" w:eastAsiaTheme="majorEastAsia" w:hAnsiTheme="majorHAnsi" w:cstheme="majorBidi"/>
      <w:color w:val="1F4E79" w:themeColor="accent1" w:themeShade="80"/>
      <w:szCs w:val="22"/>
    </w:rPr>
  </w:style>
  <w:style w:type="character" w:customStyle="1" w:styleId="70">
    <w:name w:val="标题 7 字符"/>
    <w:basedOn w:val="a1"/>
    <w:link w:val="7"/>
    <w:uiPriority w:val="9"/>
    <w:semiHidden/>
    <w:qFormat/>
    <w:rPr>
      <w:rFonts w:asciiTheme="majorHAnsi" w:eastAsiaTheme="majorEastAsia" w:hAnsiTheme="majorHAnsi" w:cstheme="majorBidi"/>
      <w:i/>
      <w:iCs/>
      <w:color w:val="1F4E79" w:themeColor="accent1" w:themeShade="80"/>
      <w:szCs w:val="22"/>
    </w:rPr>
  </w:style>
  <w:style w:type="character" w:customStyle="1" w:styleId="80">
    <w:name w:val="标题 8 字符"/>
    <w:basedOn w:val="a1"/>
    <w:link w:val="8"/>
    <w:uiPriority w:val="9"/>
    <w:semiHidden/>
    <w:qFormat/>
    <w:rPr>
      <w:rFonts w:asciiTheme="majorHAnsi" w:eastAsiaTheme="majorEastAsia" w:hAnsiTheme="majorHAnsi" w:cstheme="majorBidi"/>
      <w:color w:val="262626" w:themeColor="text1" w:themeTint="D9"/>
    </w:rPr>
  </w:style>
  <w:style w:type="character" w:customStyle="1" w:styleId="90">
    <w:name w:val="标题 9 字符"/>
    <w:basedOn w:val="a1"/>
    <w:link w:val="9"/>
    <w:uiPriority w:val="9"/>
    <w:semiHidden/>
    <w:qFormat/>
    <w:rPr>
      <w:rFonts w:asciiTheme="majorHAnsi" w:eastAsiaTheme="majorEastAsia" w:hAnsiTheme="majorHAnsi" w:cstheme="majorBidi"/>
      <w:i/>
      <w:iCs/>
      <w:color w:val="262626" w:themeColor="text1" w:themeTint="D9"/>
    </w:rPr>
  </w:style>
  <w:style w:type="character" w:customStyle="1" w:styleId="a8">
    <w:name w:val="正文文本 字符"/>
    <w:basedOn w:val="a1"/>
    <w:link w:val="a7"/>
    <w:uiPriority w:val="1"/>
    <w:qFormat/>
    <w:rPr>
      <w:rFonts w:ascii="宋体" w:eastAsia="宋体" w:hAnsi="宋体" w:cs="宋体"/>
      <w:kern w:val="0"/>
      <w:sz w:val="24"/>
      <w:szCs w:val="24"/>
      <w:lang w:val="zh-CN" w:bidi="zh-CN"/>
    </w:rPr>
  </w:style>
  <w:style w:type="paragraph" w:customStyle="1" w:styleId="aff">
    <w:name w:val="表格"/>
    <w:basedOn w:val="a0"/>
    <w:qFormat/>
    <w:pPr>
      <w:snapToGrid w:val="0"/>
      <w:spacing w:after="160" w:line="300" w:lineRule="auto"/>
      <w:jc w:val="left"/>
    </w:pPr>
    <w:rPr>
      <w:rFonts w:ascii="Times New Roman" w:eastAsia="宋体" w:hAnsi="Times New Roman"/>
      <w:szCs w:val="22"/>
    </w:rPr>
  </w:style>
  <w:style w:type="paragraph" w:customStyle="1" w:styleId="-">
    <w:name w:val="表格-居中加粗"/>
    <w:basedOn w:val="aff"/>
    <w:qFormat/>
    <w:pPr>
      <w:jc w:val="center"/>
    </w:pPr>
    <w:rPr>
      <w:b/>
    </w:rPr>
  </w:style>
  <w:style w:type="paragraph" w:customStyle="1" w:styleId="16">
    <w:name w:val="修订1"/>
    <w:hidden/>
    <w:uiPriority w:val="99"/>
    <w:semiHidden/>
    <w:qFormat/>
    <w:rPr>
      <w:kern w:val="2"/>
      <w:sz w:val="21"/>
      <w:szCs w:val="21"/>
    </w:rPr>
  </w:style>
  <w:style w:type="character" w:customStyle="1" w:styleId="24">
    <w:name w:val="未处理的提及2"/>
    <w:basedOn w:val="a1"/>
    <w:uiPriority w:val="99"/>
    <w:unhideWhenUsed/>
    <w:rsid w:val="00CA2127"/>
    <w:rPr>
      <w:color w:val="605E5C"/>
      <w:shd w:val="clear" w:color="auto" w:fill="E1DFDD"/>
    </w:rPr>
  </w:style>
  <w:style w:type="paragraph" w:styleId="aff0">
    <w:name w:val="Revision"/>
    <w:hidden/>
    <w:uiPriority w:val="99"/>
    <w:semiHidden/>
    <w:rsid w:val="007F48EE"/>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F8023-FAFA-314A-BD01-203F40F84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83</Pages>
  <Words>24667</Words>
  <Characters>141591</Characters>
  <Application>Microsoft Office Word</Application>
  <DocSecurity>0</DocSecurity>
  <Lines>3078</Lines>
  <Paragraphs>1553</Paragraphs>
  <ScaleCrop>false</ScaleCrop>
  <Company>china</Company>
  <LinksUpToDate>false</LinksUpToDate>
  <CharactersWithSpaces>164705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郑瑞媛</dc:creator>
  <cp:lastModifiedBy>Sun</cp:lastModifiedBy>
  <cp:revision>87</cp:revision>
  <dcterms:created xsi:type="dcterms:W3CDTF">2024-12-06T06:50:00Z</dcterms:created>
  <dcterms:modified xsi:type="dcterms:W3CDTF">2025-07-25T08:13:00Z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7F611CD9256D4E56901E40244C256B1F_13</vt:lpwstr>
  </property>
</Properties>
</file>