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A95D02" w14:textId="77777777" w:rsidR="00FF52B2" w:rsidRPr="000F1525" w:rsidRDefault="00FF52B2">
      <w:pPr>
        <w:spacing w:line="360" w:lineRule="auto"/>
        <w:rPr>
          <w:rFonts w:ascii="Arial" w:hAnsi="Arial" w:cs="Arial"/>
          <w:sz w:val="24"/>
          <w:szCs w:val="32"/>
        </w:rPr>
      </w:pPr>
    </w:p>
    <w:p w14:paraId="471E0E3E" w14:textId="77777777" w:rsidR="00FF52B2" w:rsidRPr="000F1525" w:rsidRDefault="00FF52B2">
      <w:pPr>
        <w:spacing w:line="360" w:lineRule="auto"/>
        <w:rPr>
          <w:rFonts w:ascii="Arial" w:hAnsi="Arial" w:cs="Arial"/>
          <w:sz w:val="24"/>
          <w:szCs w:val="32"/>
        </w:rPr>
      </w:pPr>
    </w:p>
    <w:p w14:paraId="1D67C8AB" w14:textId="77777777" w:rsidR="00FF52B2" w:rsidRPr="000F1525" w:rsidRDefault="00000000">
      <w:pPr>
        <w:spacing w:line="360" w:lineRule="auto"/>
        <w:rPr>
          <w:rFonts w:ascii="Arial" w:hAnsi="Arial" w:cs="Arial"/>
          <w:sz w:val="24"/>
          <w:szCs w:val="32"/>
        </w:rPr>
      </w:pPr>
      <w:r w:rsidRPr="000F1525">
        <w:rPr>
          <w:rFonts w:ascii="Arial" w:hAnsi="Arial" w:cs="Arial"/>
          <w:sz w:val="24"/>
          <w:szCs w:val="32"/>
        </w:rPr>
        <w:t>Title:</w:t>
      </w:r>
    </w:p>
    <w:p w14:paraId="07650731" w14:textId="77777777" w:rsidR="00FF52B2" w:rsidRPr="000F1525" w:rsidRDefault="00000000" w:rsidP="00C6779A">
      <w:pPr>
        <w:spacing w:line="360" w:lineRule="auto"/>
        <w:jc w:val="center"/>
        <w:rPr>
          <w:rFonts w:ascii="Arial" w:hAnsi="Arial" w:cs="Arial"/>
          <w:b/>
          <w:bCs/>
          <w:sz w:val="24"/>
          <w:szCs w:val="32"/>
        </w:rPr>
      </w:pPr>
      <w:r w:rsidRPr="000F1525">
        <w:rPr>
          <w:rFonts w:ascii="Arial" w:hAnsi="Arial" w:cs="Arial"/>
          <w:b/>
          <w:bCs/>
          <w:sz w:val="24"/>
          <w:szCs w:val="32"/>
        </w:rPr>
        <w:t>A single-arm, single-center clinical trial of activated NK cells immunotherapy for advanced pancreatic cancer to evaluate the efficacy and safety of NK cell therapy combined with gemcitabine plus S-1</w:t>
      </w:r>
    </w:p>
    <w:p w14:paraId="43A127BC" w14:textId="77777777" w:rsidR="00FF52B2" w:rsidRPr="000F1525" w:rsidRDefault="00FF52B2">
      <w:pPr>
        <w:spacing w:line="360" w:lineRule="auto"/>
        <w:rPr>
          <w:rFonts w:ascii="Arial" w:hAnsi="Arial" w:cs="Arial"/>
          <w:b/>
          <w:bCs/>
          <w:sz w:val="52"/>
          <w:szCs w:val="60"/>
        </w:rPr>
      </w:pPr>
    </w:p>
    <w:p w14:paraId="405B705C" w14:textId="77777777" w:rsidR="00FF52B2" w:rsidRPr="000F1525" w:rsidRDefault="00FF52B2">
      <w:pPr>
        <w:spacing w:line="360" w:lineRule="auto"/>
        <w:rPr>
          <w:rFonts w:ascii="Arial" w:hAnsi="Arial" w:cs="Arial"/>
          <w:b/>
          <w:bCs/>
          <w:sz w:val="52"/>
          <w:szCs w:val="60"/>
        </w:rPr>
      </w:pPr>
    </w:p>
    <w:p w14:paraId="4AA7EE3D" w14:textId="77777777" w:rsidR="00FF52B2" w:rsidRPr="000F1525" w:rsidRDefault="00FF52B2">
      <w:pPr>
        <w:spacing w:line="360" w:lineRule="auto"/>
        <w:rPr>
          <w:rFonts w:ascii="Arial" w:hAnsi="Arial" w:cs="Arial"/>
          <w:b/>
          <w:bCs/>
          <w:sz w:val="52"/>
          <w:szCs w:val="60"/>
        </w:rPr>
      </w:pPr>
    </w:p>
    <w:p w14:paraId="5B81FA6B" w14:textId="77777777" w:rsidR="00FF52B2" w:rsidRPr="000F1525" w:rsidRDefault="00000000">
      <w:pPr>
        <w:tabs>
          <w:tab w:val="left" w:pos="7200"/>
        </w:tabs>
        <w:spacing w:line="360" w:lineRule="auto"/>
        <w:rPr>
          <w:rFonts w:ascii="Arial" w:hAnsi="Arial" w:cs="Arial"/>
          <w:b/>
          <w:bCs/>
          <w:sz w:val="52"/>
          <w:szCs w:val="60"/>
        </w:rPr>
      </w:pPr>
      <w:r w:rsidRPr="000F1525">
        <w:rPr>
          <w:rFonts w:ascii="Arial" w:hAnsi="Arial" w:cs="Arial"/>
          <w:b/>
          <w:bCs/>
          <w:sz w:val="52"/>
          <w:szCs w:val="60"/>
        </w:rPr>
        <w:tab/>
      </w:r>
    </w:p>
    <w:p w14:paraId="03DF034C" w14:textId="77777777" w:rsidR="00FF52B2" w:rsidRPr="000F1525" w:rsidRDefault="00000000" w:rsidP="00C6779A">
      <w:pPr>
        <w:spacing w:line="360" w:lineRule="auto"/>
        <w:jc w:val="center"/>
        <w:rPr>
          <w:rFonts w:ascii="Arial" w:hAnsi="Arial" w:cs="Arial"/>
          <w:b/>
          <w:bCs/>
          <w:sz w:val="44"/>
          <w:szCs w:val="52"/>
        </w:rPr>
      </w:pPr>
      <w:r w:rsidRPr="000F1525">
        <w:rPr>
          <w:rFonts w:ascii="Arial" w:hAnsi="Arial" w:cs="Arial"/>
          <w:b/>
          <w:bCs/>
          <w:sz w:val="44"/>
          <w:szCs w:val="52"/>
        </w:rPr>
        <w:t>Study protocol</w:t>
      </w:r>
    </w:p>
    <w:p w14:paraId="287984CA" w14:textId="77777777" w:rsidR="00FF52B2" w:rsidRPr="000F1525" w:rsidRDefault="00FF52B2" w:rsidP="00C6779A">
      <w:pPr>
        <w:spacing w:line="360" w:lineRule="auto"/>
        <w:jc w:val="center"/>
        <w:rPr>
          <w:rFonts w:ascii="Arial" w:hAnsi="Arial" w:cs="Arial"/>
          <w:b/>
          <w:bCs/>
          <w:sz w:val="52"/>
          <w:szCs w:val="60"/>
        </w:rPr>
      </w:pPr>
    </w:p>
    <w:p w14:paraId="411FB25D" w14:textId="77777777" w:rsidR="00FF52B2" w:rsidRPr="000F1525" w:rsidRDefault="00000000" w:rsidP="00C6779A">
      <w:pPr>
        <w:spacing w:line="360" w:lineRule="auto"/>
        <w:jc w:val="center"/>
        <w:rPr>
          <w:rFonts w:ascii="Arial" w:hAnsi="Arial" w:cs="Arial"/>
          <w:sz w:val="24"/>
          <w:szCs w:val="32"/>
        </w:rPr>
      </w:pPr>
      <w:r w:rsidRPr="000F1525">
        <w:rPr>
          <w:rFonts w:ascii="Arial" w:hAnsi="Arial" w:cs="Arial"/>
          <w:sz w:val="24"/>
          <w:szCs w:val="32"/>
        </w:rPr>
        <w:t>Protocol version: Version 1.0</w:t>
      </w:r>
    </w:p>
    <w:p w14:paraId="2487514C" w14:textId="77777777" w:rsidR="00FF52B2" w:rsidRPr="000F1525" w:rsidRDefault="00000000" w:rsidP="00C6779A">
      <w:pPr>
        <w:spacing w:line="360" w:lineRule="auto"/>
        <w:jc w:val="center"/>
        <w:rPr>
          <w:rFonts w:ascii="Arial" w:hAnsi="Arial" w:cs="Arial"/>
          <w:sz w:val="24"/>
          <w:szCs w:val="32"/>
        </w:rPr>
      </w:pPr>
      <w:r w:rsidRPr="000F1525">
        <w:rPr>
          <w:rFonts w:ascii="Arial" w:hAnsi="Arial" w:cs="Arial"/>
          <w:sz w:val="24"/>
          <w:szCs w:val="32"/>
        </w:rPr>
        <w:t>Version date: 2018.12.13</w:t>
      </w:r>
    </w:p>
    <w:p w14:paraId="75CC42CF" w14:textId="77777777" w:rsidR="00FF52B2" w:rsidRPr="000F1525" w:rsidRDefault="00FF52B2">
      <w:pPr>
        <w:spacing w:line="360" w:lineRule="auto"/>
        <w:rPr>
          <w:rFonts w:ascii="Arial" w:hAnsi="Arial" w:cs="Arial"/>
          <w:sz w:val="24"/>
          <w:szCs w:val="32"/>
        </w:rPr>
      </w:pPr>
    </w:p>
    <w:p w14:paraId="0F8DFA58" w14:textId="77777777" w:rsidR="00FF52B2" w:rsidRPr="000F1525" w:rsidRDefault="00FF52B2">
      <w:pPr>
        <w:spacing w:line="360" w:lineRule="auto"/>
        <w:rPr>
          <w:rFonts w:ascii="Arial" w:hAnsi="Arial" w:cs="Arial"/>
          <w:sz w:val="24"/>
          <w:szCs w:val="32"/>
        </w:rPr>
      </w:pPr>
    </w:p>
    <w:p w14:paraId="46580AD9" w14:textId="77777777" w:rsidR="00FF52B2" w:rsidRPr="000F1525" w:rsidRDefault="00FF52B2">
      <w:pPr>
        <w:spacing w:line="360" w:lineRule="auto"/>
        <w:rPr>
          <w:rFonts w:ascii="Arial" w:hAnsi="Arial" w:cs="Arial"/>
          <w:sz w:val="24"/>
          <w:szCs w:val="32"/>
        </w:rPr>
      </w:pPr>
    </w:p>
    <w:p w14:paraId="13856B3A" w14:textId="77777777" w:rsidR="00FF52B2" w:rsidRPr="000F1525" w:rsidRDefault="00FF52B2">
      <w:pPr>
        <w:spacing w:line="360" w:lineRule="auto"/>
        <w:rPr>
          <w:rFonts w:ascii="Arial" w:hAnsi="Arial" w:cs="Arial"/>
          <w:sz w:val="24"/>
          <w:szCs w:val="32"/>
        </w:rPr>
      </w:pPr>
    </w:p>
    <w:p w14:paraId="75DA2CC3" w14:textId="77777777" w:rsidR="00FF52B2" w:rsidRPr="000F1525" w:rsidRDefault="00000000">
      <w:pPr>
        <w:spacing w:line="360" w:lineRule="auto"/>
        <w:rPr>
          <w:rFonts w:ascii="Arial" w:hAnsi="Arial" w:cs="Arial"/>
          <w:b/>
          <w:bCs/>
          <w:sz w:val="24"/>
          <w:szCs w:val="32"/>
        </w:rPr>
      </w:pPr>
      <w:r w:rsidRPr="000F1525">
        <w:rPr>
          <w:rFonts w:ascii="Arial" w:hAnsi="Arial" w:cs="Arial"/>
          <w:b/>
          <w:bCs/>
          <w:sz w:val="24"/>
          <w:szCs w:val="32"/>
        </w:rPr>
        <w:t xml:space="preserve">Principal Investigator: </w:t>
      </w:r>
    </w:p>
    <w:p w14:paraId="6243E2DC" w14:textId="77777777" w:rsidR="00FF52B2" w:rsidRPr="000F1525" w:rsidRDefault="00000000">
      <w:pPr>
        <w:spacing w:line="360" w:lineRule="auto"/>
        <w:rPr>
          <w:rFonts w:ascii="Arial" w:hAnsi="Arial" w:cs="Arial"/>
          <w:i/>
          <w:iCs/>
          <w:sz w:val="24"/>
          <w:szCs w:val="32"/>
        </w:rPr>
      </w:pPr>
      <w:r w:rsidRPr="000F1525">
        <w:rPr>
          <w:rFonts w:ascii="Arial" w:hAnsi="Arial" w:cs="Arial"/>
          <w:i/>
          <w:iCs/>
          <w:sz w:val="24"/>
          <w:szCs w:val="32"/>
        </w:rPr>
        <w:t>Jie Ma, M.D., Ph.D.</w:t>
      </w:r>
    </w:p>
    <w:p w14:paraId="14DF3A54" w14:textId="77777777" w:rsidR="00FF52B2" w:rsidRPr="000F1525" w:rsidRDefault="00000000">
      <w:pPr>
        <w:spacing w:line="360" w:lineRule="auto"/>
        <w:rPr>
          <w:rFonts w:ascii="Arial" w:hAnsi="Arial" w:cs="Arial"/>
          <w:sz w:val="24"/>
          <w:szCs w:val="32"/>
        </w:rPr>
      </w:pPr>
      <w:r w:rsidRPr="000F1525">
        <w:rPr>
          <w:rFonts w:ascii="Arial" w:hAnsi="Arial" w:cs="Arial"/>
          <w:sz w:val="24"/>
          <w:szCs w:val="32"/>
        </w:rPr>
        <w:t xml:space="preserve">Professor and Director at </w:t>
      </w:r>
      <w:r w:rsidRPr="000F1525">
        <w:rPr>
          <w:rFonts w:ascii="Arial" w:hAnsi="Arial" w:cs="Arial"/>
          <w:sz w:val="24"/>
        </w:rPr>
        <w:t>Center of Biotherapy</w:t>
      </w:r>
    </w:p>
    <w:p w14:paraId="12E1AD74" w14:textId="77777777" w:rsidR="00FF52B2" w:rsidRPr="000F1525" w:rsidRDefault="00000000">
      <w:pPr>
        <w:spacing w:afterLines="50" w:after="156" w:line="360" w:lineRule="auto"/>
        <w:rPr>
          <w:rFonts w:ascii="Arial" w:hAnsi="Arial" w:cs="Arial"/>
          <w:sz w:val="24"/>
        </w:rPr>
      </w:pPr>
      <w:r w:rsidRPr="000F1525">
        <w:rPr>
          <w:rFonts w:ascii="Arial" w:hAnsi="Arial" w:cs="Arial"/>
          <w:sz w:val="24"/>
          <w:szCs w:val="32"/>
        </w:rPr>
        <w:t>Tel:</w:t>
      </w:r>
      <w:r w:rsidRPr="000F1525">
        <w:rPr>
          <w:rFonts w:ascii="Arial" w:hAnsi="Arial" w:cs="Arial"/>
          <w:sz w:val="24"/>
        </w:rPr>
        <w:t>86-10-85133661</w:t>
      </w:r>
    </w:p>
    <w:p w14:paraId="6A15EB26" w14:textId="77777777" w:rsidR="00FF52B2" w:rsidRPr="000F1525" w:rsidRDefault="00000000">
      <w:pPr>
        <w:spacing w:line="360" w:lineRule="auto"/>
        <w:rPr>
          <w:rFonts w:ascii="Arial" w:hAnsi="Arial" w:cs="Arial"/>
          <w:i/>
          <w:iCs/>
          <w:sz w:val="24"/>
          <w:szCs w:val="32"/>
        </w:rPr>
      </w:pPr>
      <w:proofErr w:type="spellStart"/>
      <w:r w:rsidRPr="000F1525">
        <w:rPr>
          <w:rFonts w:ascii="Arial" w:hAnsi="Arial" w:cs="Arial"/>
          <w:i/>
          <w:iCs/>
          <w:sz w:val="24"/>
          <w:szCs w:val="32"/>
        </w:rPr>
        <w:t>Yunbo</w:t>
      </w:r>
      <w:proofErr w:type="spellEnd"/>
      <w:r w:rsidRPr="000F1525">
        <w:rPr>
          <w:rFonts w:ascii="Arial" w:hAnsi="Arial" w:cs="Arial"/>
          <w:i/>
          <w:iCs/>
          <w:sz w:val="24"/>
          <w:szCs w:val="32"/>
        </w:rPr>
        <w:t xml:space="preserve"> Zhao, M.D.</w:t>
      </w:r>
    </w:p>
    <w:p w14:paraId="5F184FEA" w14:textId="77777777" w:rsidR="00FF52B2" w:rsidRPr="000F1525" w:rsidRDefault="00000000">
      <w:pPr>
        <w:widowControl/>
        <w:spacing w:line="360" w:lineRule="auto"/>
        <w:rPr>
          <w:rFonts w:ascii="Arial" w:hAnsi="Arial" w:cs="Arial"/>
        </w:rPr>
      </w:pPr>
      <w:r w:rsidRPr="000F1525">
        <w:rPr>
          <w:rFonts w:ascii="Arial" w:eastAsia="宋体" w:hAnsi="Arial" w:cs="Arial"/>
          <w:color w:val="000000"/>
          <w:kern w:val="0"/>
          <w:sz w:val="24"/>
          <w:lang w:bidi="ar"/>
        </w:rPr>
        <w:t xml:space="preserve">Chief Physician at </w:t>
      </w:r>
      <w:r w:rsidRPr="000F1525">
        <w:rPr>
          <w:rFonts w:ascii="Arial" w:hAnsi="Arial" w:cs="Arial"/>
          <w:sz w:val="24"/>
        </w:rPr>
        <w:t>Department Oncology</w:t>
      </w:r>
    </w:p>
    <w:p w14:paraId="7C6A70F0" w14:textId="77777777" w:rsidR="00FF52B2" w:rsidRPr="000F1525" w:rsidRDefault="00000000">
      <w:pPr>
        <w:spacing w:line="360" w:lineRule="auto"/>
        <w:rPr>
          <w:rFonts w:ascii="Arial" w:hAnsi="Arial" w:cs="Arial"/>
          <w:sz w:val="24"/>
        </w:rPr>
      </w:pPr>
      <w:r w:rsidRPr="000F1525">
        <w:rPr>
          <w:rFonts w:ascii="Arial" w:hAnsi="Arial" w:cs="Arial"/>
          <w:sz w:val="24"/>
          <w:szCs w:val="32"/>
        </w:rPr>
        <w:t>Tel:</w:t>
      </w:r>
      <w:r w:rsidRPr="000F1525">
        <w:rPr>
          <w:rFonts w:ascii="Arial" w:hAnsi="Arial" w:cs="Arial"/>
          <w:sz w:val="24"/>
        </w:rPr>
        <w:t>86-10-85136716</w:t>
      </w:r>
    </w:p>
    <w:p w14:paraId="745E5461" w14:textId="77777777" w:rsidR="00FF52B2" w:rsidRPr="000F1525" w:rsidRDefault="00FF52B2">
      <w:pPr>
        <w:spacing w:line="360" w:lineRule="auto"/>
        <w:rPr>
          <w:rFonts w:ascii="Arial" w:hAnsi="Arial" w:cs="Arial"/>
          <w:sz w:val="24"/>
        </w:rPr>
      </w:pPr>
    </w:p>
    <w:p w14:paraId="54B55D81" w14:textId="77777777" w:rsidR="00FF52B2" w:rsidRPr="000F1525" w:rsidRDefault="00000000">
      <w:pPr>
        <w:spacing w:line="360" w:lineRule="auto"/>
        <w:rPr>
          <w:rFonts w:ascii="Arial" w:hAnsi="Arial" w:cs="Arial"/>
          <w:sz w:val="24"/>
          <w:szCs w:val="32"/>
        </w:rPr>
      </w:pPr>
      <w:r w:rsidRPr="000F1525">
        <w:rPr>
          <w:rFonts w:ascii="Arial" w:hAnsi="Arial" w:cs="Arial"/>
          <w:b/>
          <w:bCs/>
          <w:sz w:val="24"/>
          <w:szCs w:val="32"/>
        </w:rPr>
        <w:t xml:space="preserve">Research Institute: </w:t>
      </w:r>
      <w:r w:rsidRPr="000F1525">
        <w:rPr>
          <w:rFonts w:ascii="Arial" w:hAnsi="Arial" w:cs="Arial"/>
          <w:sz w:val="24"/>
          <w:szCs w:val="32"/>
        </w:rPr>
        <w:t>Beijing Hospital</w:t>
      </w:r>
    </w:p>
    <w:p w14:paraId="678EABFD" w14:textId="77777777" w:rsidR="00FF52B2" w:rsidRPr="000F1525" w:rsidRDefault="00000000" w:rsidP="00EA53A4">
      <w:pPr>
        <w:spacing w:line="360" w:lineRule="auto"/>
        <w:jc w:val="center"/>
        <w:rPr>
          <w:rFonts w:ascii="Arial" w:hAnsi="Arial" w:cs="Arial"/>
          <w:b/>
          <w:bCs/>
          <w:sz w:val="28"/>
          <w:szCs w:val="36"/>
        </w:rPr>
      </w:pPr>
      <w:r w:rsidRPr="000F1525">
        <w:rPr>
          <w:rFonts w:ascii="Arial" w:hAnsi="Arial" w:cs="Arial"/>
          <w:b/>
          <w:bCs/>
          <w:sz w:val="28"/>
          <w:szCs w:val="36"/>
        </w:rPr>
        <w:lastRenderedPageBreak/>
        <w:t>Table of Contents</w:t>
      </w:r>
    </w:p>
    <w:p w14:paraId="5A3209BE" w14:textId="77777777" w:rsidR="00EA1B40" w:rsidRPr="000F1525" w:rsidRDefault="00EA1B40" w:rsidP="00EA53A4">
      <w:pPr>
        <w:spacing w:line="360" w:lineRule="auto"/>
        <w:jc w:val="center"/>
        <w:rPr>
          <w:rFonts w:ascii="Arial" w:hAnsi="Arial" w:cs="Arial"/>
          <w:b/>
          <w:bCs/>
          <w:sz w:val="28"/>
          <w:szCs w:val="36"/>
        </w:rPr>
      </w:pPr>
    </w:p>
    <w:p w14:paraId="479D69C6" w14:textId="77777777" w:rsidR="00F94AAB" w:rsidRPr="000F1525" w:rsidRDefault="00F94AAB" w:rsidP="0077038B">
      <w:pPr>
        <w:spacing w:line="480" w:lineRule="auto"/>
        <w:rPr>
          <w:rFonts w:ascii="Arial" w:hAnsi="Arial" w:cs="Arial"/>
          <w:b/>
          <w:bCs/>
          <w:sz w:val="24"/>
          <w:szCs w:val="32"/>
        </w:rPr>
      </w:pPr>
      <w:r w:rsidRPr="000F1525">
        <w:rPr>
          <w:rFonts w:ascii="Arial" w:hAnsi="Arial" w:cs="Arial"/>
          <w:b/>
          <w:bCs/>
          <w:sz w:val="24"/>
          <w:szCs w:val="32"/>
        </w:rPr>
        <w:t>1. Background information………………………………………………………1</w:t>
      </w:r>
    </w:p>
    <w:p w14:paraId="7CEFB8C7" w14:textId="77777777" w:rsidR="00F94AAB" w:rsidRPr="000F1525" w:rsidRDefault="00F94AAB" w:rsidP="0077038B">
      <w:pPr>
        <w:numPr>
          <w:ilvl w:val="0"/>
          <w:numId w:val="3"/>
        </w:numPr>
        <w:spacing w:line="480" w:lineRule="auto"/>
        <w:rPr>
          <w:rFonts w:ascii="Arial" w:hAnsi="Arial" w:cs="Arial"/>
          <w:b/>
          <w:bCs/>
          <w:sz w:val="24"/>
          <w:szCs w:val="32"/>
        </w:rPr>
      </w:pPr>
      <w:r w:rsidRPr="000F1525">
        <w:rPr>
          <w:rFonts w:ascii="Arial" w:hAnsi="Arial" w:cs="Arial"/>
          <w:b/>
          <w:bCs/>
          <w:sz w:val="24"/>
          <w:szCs w:val="32"/>
        </w:rPr>
        <w:t>Trial Objectives………………………………………………………………….5</w:t>
      </w:r>
    </w:p>
    <w:p w14:paraId="1390A10F" w14:textId="60A05DB8" w:rsidR="00F94AAB" w:rsidRPr="000F1525" w:rsidRDefault="00F94AAB" w:rsidP="0077038B">
      <w:pPr>
        <w:numPr>
          <w:ilvl w:val="1"/>
          <w:numId w:val="3"/>
        </w:numPr>
        <w:spacing w:line="480" w:lineRule="auto"/>
        <w:ind w:leftChars="100" w:left="210"/>
        <w:rPr>
          <w:rFonts w:ascii="Arial" w:hAnsi="Arial" w:cs="Arial"/>
          <w:sz w:val="24"/>
          <w:szCs w:val="32"/>
        </w:rPr>
      </w:pPr>
      <w:r w:rsidRPr="000F1525">
        <w:rPr>
          <w:rFonts w:ascii="Arial" w:hAnsi="Arial" w:cs="Arial"/>
          <w:sz w:val="24"/>
          <w:szCs w:val="32"/>
        </w:rPr>
        <w:t>Primary outcomes……………………………………………………</w:t>
      </w:r>
      <w:proofErr w:type="gramStart"/>
      <w:r w:rsidR="009943A1" w:rsidRPr="000F1525">
        <w:rPr>
          <w:rFonts w:ascii="Arial" w:hAnsi="Arial" w:cs="Arial"/>
          <w:sz w:val="24"/>
          <w:szCs w:val="32"/>
        </w:rPr>
        <w:t>…..</w:t>
      </w:r>
      <w:r w:rsidRPr="000F1525">
        <w:rPr>
          <w:rFonts w:ascii="Arial" w:hAnsi="Arial" w:cs="Arial"/>
          <w:sz w:val="24"/>
          <w:szCs w:val="32"/>
        </w:rPr>
        <w:t>…..</w:t>
      </w:r>
      <w:proofErr w:type="gramEnd"/>
      <w:r w:rsidRPr="000F1525">
        <w:rPr>
          <w:rFonts w:ascii="Arial" w:hAnsi="Arial" w:cs="Arial"/>
          <w:sz w:val="24"/>
          <w:szCs w:val="32"/>
        </w:rPr>
        <w:t>5</w:t>
      </w:r>
    </w:p>
    <w:p w14:paraId="2E7F6C2E" w14:textId="701A1F34" w:rsidR="00F94AAB" w:rsidRPr="000F1525" w:rsidRDefault="00F94AAB" w:rsidP="0077038B">
      <w:pPr>
        <w:numPr>
          <w:ilvl w:val="1"/>
          <w:numId w:val="3"/>
        </w:numPr>
        <w:spacing w:line="480" w:lineRule="auto"/>
        <w:ind w:leftChars="100" w:left="210"/>
        <w:rPr>
          <w:rFonts w:ascii="Arial" w:hAnsi="Arial" w:cs="Arial"/>
          <w:sz w:val="24"/>
          <w:szCs w:val="32"/>
        </w:rPr>
      </w:pPr>
      <w:r w:rsidRPr="000F1525">
        <w:rPr>
          <w:rFonts w:ascii="Arial" w:hAnsi="Arial" w:cs="Arial"/>
          <w:sz w:val="24"/>
          <w:szCs w:val="32"/>
        </w:rPr>
        <w:t>Secondary outcomes……………………………………………………</w:t>
      </w:r>
      <w:r w:rsidR="009943A1" w:rsidRPr="000F1525">
        <w:rPr>
          <w:rFonts w:ascii="Arial" w:hAnsi="Arial" w:cs="Arial"/>
          <w:sz w:val="24"/>
          <w:szCs w:val="32"/>
        </w:rPr>
        <w:t>…</w:t>
      </w:r>
      <w:r w:rsidRPr="000F1525">
        <w:rPr>
          <w:rFonts w:ascii="Arial" w:hAnsi="Arial" w:cs="Arial"/>
          <w:sz w:val="24"/>
          <w:szCs w:val="32"/>
        </w:rPr>
        <w:t>…5</w:t>
      </w:r>
    </w:p>
    <w:p w14:paraId="6965EF3C" w14:textId="7470941F" w:rsidR="00F94AAB" w:rsidRPr="000F1525" w:rsidRDefault="00F94AAB" w:rsidP="0077038B">
      <w:pPr>
        <w:tabs>
          <w:tab w:val="left" w:pos="0"/>
        </w:tabs>
        <w:spacing w:line="480" w:lineRule="auto"/>
        <w:ind w:leftChars="100" w:left="210"/>
        <w:rPr>
          <w:rFonts w:ascii="Arial" w:hAnsi="Arial" w:cs="Arial"/>
          <w:sz w:val="24"/>
          <w:szCs w:val="32"/>
        </w:rPr>
      </w:pPr>
      <w:r w:rsidRPr="000F1525">
        <w:rPr>
          <w:rFonts w:ascii="Arial" w:hAnsi="Arial" w:cs="Arial"/>
          <w:sz w:val="24"/>
          <w:szCs w:val="32"/>
        </w:rPr>
        <w:t>2.3 Exploratory outcomes……………………………………………………</w:t>
      </w:r>
      <w:proofErr w:type="gramStart"/>
      <w:r w:rsidRPr="000F1525">
        <w:rPr>
          <w:rFonts w:ascii="Arial" w:hAnsi="Arial" w:cs="Arial"/>
          <w:sz w:val="24"/>
          <w:szCs w:val="32"/>
        </w:rPr>
        <w:t>…..</w:t>
      </w:r>
      <w:proofErr w:type="gramEnd"/>
      <w:r w:rsidRPr="000F1525">
        <w:rPr>
          <w:rFonts w:ascii="Arial" w:hAnsi="Arial" w:cs="Arial"/>
          <w:sz w:val="24"/>
          <w:szCs w:val="32"/>
        </w:rPr>
        <w:t>5</w:t>
      </w:r>
    </w:p>
    <w:p w14:paraId="0697B86D" w14:textId="0444929A" w:rsidR="00F94AAB" w:rsidRPr="000F1525" w:rsidRDefault="00F94AAB" w:rsidP="0077038B">
      <w:pPr>
        <w:numPr>
          <w:ilvl w:val="0"/>
          <w:numId w:val="3"/>
        </w:numPr>
        <w:spacing w:line="480" w:lineRule="auto"/>
        <w:rPr>
          <w:rFonts w:ascii="Arial" w:hAnsi="Arial" w:cs="Arial"/>
          <w:b/>
          <w:bCs/>
          <w:sz w:val="24"/>
          <w:szCs w:val="32"/>
        </w:rPr>
      </w:pPr>
      <w:r w:rsidRPr="000F1525">
        <w:rPr>
          <w:rFonts w:ascii="Arial" w:hAnsi="Arial" w:cs="Arial"/>
          <w:b/>
          <w:bCs/>
          <w:sz w:val="24"/>
          <w:szCs w:val="32"/>
        </w:rPr>
        <w:t>Trial Design…………………………</w:t>
      </w:r>
      <w:proofErr w:type="gramStart"/>
      <w:r w:rsidRPr="000F1525">
        <w:rPr>
          <w:rFonts w:ascii="Arial" w:hAnsi="Arial" w:cs="Arial"/>
          <w:b/>
          <w:bCs/>
          <w:sz w:val="24"/>
          <w:szCs w:val="32"/>
        </w:rPr>
        <w:t>…..</w:t>
      </w:r>
      <w:proofErr w:type="gramEnd"/>
      <w:r w:rsidRPr="000F1525">
        <w:rPr>
          <w:rFonts w:ascii="Arial" w:hAnsi="Arial" w:cs="Arial"/>
          <w:b/>
          <w:bCs/>
          <w:sz w:val="24"/>
          <w:szCs w:val="32"/>
        </w:rPr>
        <w:t>………………………</w:t>
      </w:r>
      <w:proofErr w:type="gramStart"/>
      <w:r w:rsidRPr="000F1525">
        <w:rPr>
          <w:rFonts w:ascii="Arial" w:hAnsi="Arial" w:cs="Arial"/>
          <w:b/>
          <w:bCs/>
          <w:sz w:val="24"/>
          <w:szCs w:val="32"/>
        </w:rPr>
        <w:t>…</w:t>
      </w:r>
      <w:r w:rsidR="009943A1" w:rsidRPr="000F1525">
        <w:rPr>
          <w:rFonts w:ascii="Arial" w:hAnsi="Arial" w:cs="Arial"/>
          <w:b/>
          <w:bCs/>
          <w:sz w:val="24"/>
          <w:szCs w:val="32"/>
        </w:rPr>
        <w:t>..</w:t>
      </w:r>
      <w:proofErr w:type="gramEnd"/>
      <w:r w:rsidRPr="000F1525">
        <w:rPr>
          <w:rFonts w:ascii="Arial" w:hAnsi="Arial" w:cs="Arial"/>
          <w:b/>
          <w:bCs/>
          <w:sz w:val="24"/>
          <w:szCs w:val="32"/>
        </w:rPr>
        <w:t>……………5</w:t>
      </w:r>
    </w:p>
    <w:p w14:paraId="058AE918" w14:textId="16B43D7A" w:rsidR="00F94AAB" w:rsidRPr="000F1525" w:rsidRDefault="00F94AAB" w:rsidP="0077038B">
      <w:pPr>
        <w:spacing w:line="480" w:lineRule="auto"/>
        <w:ind w:leftChars="200" w:left="420"/>
        <w:rPr>
          <w:rFonts w:ascii="Arial" w:hAnsi="Arial" w:cs="Arial"/>
          <w:sz w:val="24"/>
          <w:szCs w:val="32"/>
        </w:rPr>
      </w:pPr>
      <w:r w:rsidRPr="000F1525">
        <w:rPr>
          <w:rFonts w:ascii="Arial" w:hAnsi="Arial" w:cs="Arial"/>
          <w:sz w:val="24"/>
          <w:szCs w:val="32"/>
        </w:rPr>
        <w:t>3.1. The inclusion and exclusion criteria……………………………</w:t>
      </w:r>
      <w:r w:rsidR="009943A1" w:rsidRPr="000F1525">
        <w:rPr>
          <w:rFonts w:ascii="Arial" w:hAnsi="Arial" w:cs="Arial"/>
          <w:sz w:val="24"/>
          <w:szCs w:val="32"/>
        </w:rPr>
        <w:t>….</w:t>
      </w:r>
      <w:r w:rsidRPr="000F1525">
        <w:rPr>
          <w:rFonts w:ascii="Arial" w:hAnsi="Arial" w:cs="Arial"/>
          <w:sz w:val="24"/>
          <w:szCs w:val="32"/>
        </w:rPr>
        <w:t>…….5</w:t>
      </w:r>
    </w:p>
    <w:p w14:paraId="3D1CF9BD" w14:textId="6E53E896" w:rsidR="00F94AAB" w:rsidRPr="000F1525" w:rsidRDefault="00F94AAB" w:rsidP="0077038B">
      <w:pPr>
        <w:spacing w:line="480" w:lineRule="auto"/>
        <w:ind w:leftChars="200" w:left="420"/>
        <w:rPr>
          <w:rFonts w:ascii="Arial" w:hAnsi="Arial" w:cs="Arial"/>
          <w:sz w:val="24"/>
          <w:szCs w:val="32"/>
        </w:rPr>
      </w:pPr>
      <w:r w:rsidRPr="000F1525">
        <w:rPr>
          <w:rFonts w:ascii="Arial" w:hAnsi="Arial" w:cs="Arial"/>
          <w:sz w:val="24"/>
          <w:szCs w:val="32"/>
        </w:rPr>
        <w:t xml:space="preserve">3.2. </w:t>
      </w:r>
      <w:bookmarkStart w:id="0" w:name="OLE_LINK41"/>
      <w:r w:rsidRPr="000F1525">
        <w:rPr>
          <w:rFonts w:ascii="Arial" w:hAnsi="Arial" w:cs="Arial"/>
          <w:sz w:val="24"/>
          <w:szCs w:val="32"/>
        </w:rPr>
        <w:t>Interventions</w:t>
      </w:r>
      <w:bookmarkEnd w:id="0"/>
      <w:r w:rsidRPr="000F1525">
        <w:rPr>
          <w:rFonts w:ascii="Arial" w:hAnsi="Arial" w:cs="Arial"/>
          <w:sz w:val="24"/>
          <w:szCs w:val="32"/>
        </w:rPr>
        <w:t>…………………………………………………</w:t>
      </w:r>
      <w:r w:rsidR="009943A1" w:rsidRPr="000F1525">
        <w:rPr>
          <w:rFonts w:ascii="Arial" w:hAnsi="Arial" w:cs="Arial"/>
          <w:sz w:val="24"/>
          <w:szCs w:val="32"/>
        </w:rPr>
        <w:t>…...</w:t>
      </w:r>
      <w:r w:rsidRPr="000F1525">
        <w:rPr>
          <w:rFonts w:ascii="Arial" w:hAnsi="Arial" w:cs="Arial"/>
          <w:sz w:val="24"/>
          <w:szCs w:val="32"/>
        </w:rPr>
        <w:t>……</w:t>
      </w:r>
      <w:proofErr w:type="gramStart"/>
      <w:r w:rsidRPr="000F1525">
        <w:rPr>
          <w:rFonts w:ascii="Arial" w:hAnsi="Arial" w:cs="Arial"/>
          <w:sz w:val="24"/>
          <w:szCs w:val="32"/>
        </w:rPr>
        <w:t>…..</w:t>
      </w:r>
      <w:proofErr w:type="gramEnd"/>
      <w:r w:rsidRPr="000F1525">
        <w:rPr>
          <w:rFonts w:ascii="Arial" w:hAnsi="Arial" w:cs="Arial"/>
          <w:sz w:val="24"/>
          <w:szCs w:val="32"/>
        </w:rPr>
        <w:t>7</w:t>
      </w:r>
    </w:p>
    <w:p w14:paraId="1BA58E18" w14:textId="0F967AF6" w:rsidR="00F94AAB" w:rsidRPr="000F1525" w:rsidRDefault="00F94AAB" w:rsidP="0077038B">
      <w:pPr>
        <w:widowControl/>
        <w:spacing w:line="480" w:lineRule="auto"/>
        <w:ind w:leftChars="200" w:left="420"/>
        <w:rPr>
          <w:rFonts w:ascii="Arial" w:eastAsia="宋体" w:hAnsi="Arial" w:cs="Arial"/>
          <w:color w:val="000000"/>
          <w:kern w:val="0"/>
          <w:sz w:val="24"/>
          <w:lang w:bidi="ar"/>
        </w:rPr>
      </w:pPr>
      <w:r w:rsidRPr="000F1525">
        <w:rPr>
          <w:rFonts w:ascii="Arial" w:eastAsia="宋体" w:hAnsi="Arial" w:cs="Arial"/>
          <w:color w:val="000000"/>
          <w:kern w:val="0"/>
          <w:sz w:val="24"/>
          <w:lang w:bidi="ar"/>
        </w:rPr>
        <w:t>3.3. Infusion Requirements for NK Cells infusion………………</w:t>
      </w:r>
      <w:proofErr w:type="gramStart"/>
      <w:r w:rsidRPr="000F1525">
        <w:rPr>
          <w:rFonts w:ascii="Arial" w:eastAsia="宋体" w:hAnsi="Arial" w:cs="Arial"/>
          <w:color w:val="000000"/>
          <w:kern w:val="0"/>
          <w:sz w:val="24"/>
          <w:lang w:bidi="ar"/>
        </w:rPr>
        <w:t>…</w:t>
      </w:r>
      <w:r w:rsidR="009943A1" w:rsidRPr="000F1525">
        <w:rPr>
          <w:rFonts w:ascii="Arial" w:eastAsia="宋体" w:hAnsi="Arial" w:cs="Arial"/>
          <w:color w:val="000000"/>
          <w:kern w:val="0"/>
          <w:sz w:val="24"/>
          <w:lang w:bidi="ar"/>
        </w:rPr>
        <w:t>..</w:t>
      </w:r>
      <w:proofErr w:type="gramEnd"/>
      <w:r w:rsidRPr="000F1525">
        <w:rPr>
          <w:rFonts w:ascii="Arial" w:eastAsia="宋体" w:hAnsi="Arial" w:cs="Arial"/>
          <w:color w:val="000000"/>
          <w:kern w:val="0"/>
          <w:sz w:val="24"/>
          <w:lang w:bidi="ar"/>
        </w:rPr>
        <w:t>……….8</w:t>
      </w:r>
    </w:p>
    <w:p w14:paraId="3948FEAB" w14:textId="21D6738B" w:rsidR="00F94AAB" w:rsidRPr="000F1525" w:rsidRDefault="00F94AAB" w:rsidP="0077038B">
      <w:pPr>
        <w:widowControl/>
        <w:spacing w:line="480" w:lineRule="auto"/>
        <w:ind w:leftChars="200" w:left="420"/>
        <w:rPr>
          <w:rFonts w:ascii="Arial" w:eastAsia="宋体" w:hAnsi="Arial" w:cs="Arial"/>
          <w:color w:val="000000"/>
          <w:kern w:val="0"/>
          <w:sz w:val="24"/>
          <w:lang w:bidi="ar"/>
        </w:rPr>
      </w:pPr>
      <w:r w:rsidRPr="000F1525">
        <w:rPr>
          <w:rFonts w:ascii="Arial" w:eastAsia="宋体" w:hAnsi="Arial" w:cs="Arial"/>
          <w:color w:val="000000"/>
          <w:kern w:val="0"/>
          <w:sz w:val="24"/>
          <w:lang w:bidi="ar"/>
        </w:rPr>
        <w:t>3.4 Dose modification……………………………………………</w:t>
      </w:r>
      <w:r w:rsidR="009943A1" w:rsidRPr="000F1525">
        <w:rPr>
          <w:rFonts w:ascii="Arial" w:eastAsia="宋体" w:hAnsi="Arial" w:cs="Arial"/>
          <w:color w:val="000000"/>
          <w:kern w:val="0"/>
          <w:sz w:val="24"/>
          <w:lang w:bidi="ar"/>
        </w:rPr>
        <w:t>………</w:t>
      </w:r>
      <w:r w:rsidRPr="000F1525">
        <w:rPr>
          <w:rFonts w:ascii="Arial" w:eastAsia="宋体" w:hAnsi="Arial" w:cs="Arial"/>
          <w:color w:val="000000"/>
          <w:kern w:val="0"/>
          <w:sz w:val="24"/>
          <w:lang w:bidi="ar"/>
        </w:rPr>
        <w:t>……1</w:t>
      </w:r>
      <w:r w:rsidR="00AD23AC" w:rsidRPr="000F1525">
        <w:rPr>
          <w:rFonts w:ascii="Arial" w:eastAsia="宋体" w:hAnsi="Arial" w:cs="Arial"/>
          <w:color w:val="000000"/>
          <w:kern w:val="0"/>
          <w:sz w:val="24"/>
          <w:lang w:bidi="ar"/>
        </w:rPr>
        <w:t>1</w:t>
      </w:r>
    </w:p>
    <w:p w14:paraId="405EB8B1" w14:textId="7DA4B5FB" w:rsidR="00F94AAB" w:rsidRPr="000F1525" w:rsidRDefault="00F94AAB" w:rsidP="0077038B">
      <w:pPr>
        <w:widowControl/>
        <w:spacing w:line="480" w:lineRule="auto"/>
        <w:ind w:leftChars="200" w:left="420"/>
        <w:rPr>
          <w:rFonts w:ascii="Arial" w:eastAsia="宋体" w:hAnsi="Arial" w:cs="Arial"/>
          <w:color w:val="000000"/>
          <w:kern w:val="0"/>
          <w:sz w:val="24"/>
          <w:lang w:bidi="ar"/>
        </w:rPr>
      </w:pPr>
      <w:r w:rsidRPr="000F1525">
        <w:rPr>
          <w:rFonts w:ascii="Arial" w:eastAsia="宋体" w:hAnsi="Arial" w:cs="Arial"/>
          <w:color w:val="000000"/>
          <w:kern w:val="0"/>
          <w:sz w:val="24"/>
          <w:lang w:bidi="ar"/>
        </w:rPr>
        <w:t>3.5. Safety evaluation……………………………………</w:t>
      </w:r>
      <w:r w:rsidR="009943A1" w:rsidRPr="000F1525">
        <w:rPr>
          <w:rFonts w:ascii="Arial" w:eastAsia="宋体" w:hAnsi="Arial" w:cs="Arial"/>
          <w:color w:val="000000"/>
          <w:kern w:val="0"/>
          <w:sz w:val="24"/>
          <w:lang w:bidi="ar"/>
        </w:rPr>
        <w:t>……………...</w:t>
      </w:r>
      <w:r w:rsidRPr="000F1525">
        <w:rPr>
          <w:rFonts w:ascii="Arial" w:eastAsia="宋体" w:hAnsi="Arial" w:cs="Arial"/>
          <w:color w:val="000000"/>
          <w:kern w:val="0"/>
          <w:sz w:val="24"/>
          <w:lang w:bidi="ar"/>
        </w:rPr>
        <w:t>…….11</w:t>
      </w:r>
    </w:p>
    <w:p w14:paraId="0CE03E96" w14:textId="0245E358" w:rsidR="00F94AAB" w:rsidRPr="000F1525" w:rsidRDefault="00F94AAB" w:rsidP="0077038B">
      <w:pPr>
        <w:widowControl/>
        <w:spacing w:line="480" w:lineRule="auto"/>
        <w:ind w:leftChars="200" w:left="420"/>
        <w:rPr>
          <w:rFonts w:ascii="Arial" w:eastAsia="宋体" w:hAnsi="Arial" w:cs="Arial" w:hint="eastAsia"/>
          <w:color w:val="000000"/>
          <w:kern w:val="0"/>
          <w:sz w:val="24"/>
          <w:lang w:bidi="ar"/>
        </w:rPr>
      </w:pPr>
      <w:r w:rsidRPr="000F1525">
        <w:rPr>
          <w:rFonts w:ascii="Arial" w:eastAsia="宋体" w:hAnsi="Arial" w:cs="Arial"/>
          <w:color w:val="000000"/>
          <w:kern w:val="0"/>
          <w:sz w:val="24"/>
          <w:lang w:bidi="ar"/>
        </w:rPr>
        <w:t>3.6. Response evaluation……………………………………</w:t>
      </w:r>
      <w:r w:rsidR="009943A1" w:rsidRPr="000F1525">
        <w:rPr>
          <w:rFonts w:ascii="Arial" w:eastAsia="宋体" w:hAnsi="Arial" w:cs="Arial"/>
          <w:color w:val="000000"/>
          <w:kern w:val="0"/>
          <w:sz w:val="24"/>
          <w:lang w:bidi="ar"/>
        </w:rPr>
        <w:t>…………...</w:t>
      </w:r>
      <w:proofErr w:type="gramStart"/>
      <w:r w:rsidRPr="000F1525">
        <w:rPr>
          <w:rFonts w:ascii="Arial" w:eastAsia="宋体" w:hAnsi="Arial" w:cs="Arial"/>
          <w:color w:val="000000"/>
          <w:kern w:val="0"/>
          <w:sz w:val="24"/>
          <w:lang w:bidi="ar"/>
        </w:rPr>
        <w:t>…..</w:t>
      </w:r>
      <w:proofErr w:type="gramEnd"/>
      <w:r w:rsidRPr="000F1525">
        <w:rPr>
          <w:rFonts w:ascii="Arial" w:eastAsia="宋体" w:hAnsi="Arial" w:cs="Arial"/>
          <w:color w:val="000000"/>
          <w:kern w:val="0"/>
          <w:sz w:val="24"/>
          <w:lang w:bidi="ar"/>
        </w:rPr>
        <w:t>1</w:t>
      </w:r>
      <w:r w:rsidR="001C391B">
        <w:rPr>
          <w:rFonts w:ascii="Arial" w:eastAsia="宋体" w:hAnsi="Arial" w:cs="Arial" w:hint="eastAsia"/>
          <w:color w:val="000000"/>
          <w:kern w:val="0"/>
          <w:sz w:val="24"/>
          <w:lang w:bidi="ar"/>
        </w:rPr>
        <w:t>4</w:t>
      </w:r>
    </w:p>
    <w:p w14:paraId="11CDC3A2" w14:textId="278896B0" w:rsidR="00F94AAB" w:rsidRPr="000F1525" w:rsidRDefault="00F94AAB" w:rsidP="0077038B">
      <w:pPr>
        <w:widowControl/>
        <w:spacing w:line="480" w:lineRule="auto"/>
        <w:ind w:leftChars="200" w:left="420"/>
        <w:rPr>
          <w:rFonts w:ascii="Arial" w:eastAsia="宋体" w:hAnsi="Arial" w:cs="Arial" w:hint="eastAsia"/>
          <w:color w:val="000000"/>
          <w:kern w:val="0"/>
          <w:sz w:val="24"/>
          <w:lang w:bidi="ar"/>
        </w:rPr>
      </w:pPr>
      <w:r w:rsidRPr="000F1525">
        <w:rPr>
          <w:rFonts w:ascii="Arial" w:eastAsia="宋体" w:hAnsi="Arial" w:cs="Arial"/>
          <w:color w:val="000000"/>
          <w:kern w:val="0"/>
          <w:sz w:val="24"/>
          <w:lang w:bidi="ar"/>
        </w:rPr>
        <w:t>3.7. Follow-up………………………………………………</w:t>
      </w:r>
      <w:r w:rsidR="009943A1" w:rsidRPr="000F1525">
        <w:rPr>
          <w:rFonts w:ascii="Arial" w:eastAsia="宋体" w:hAnsi="Arial" w:cs="Arial"/>
          <w:color w:val="000000"/>
          <w:kern w:val="0"/>
          <w:sz w:val="24"/>
          <w:lang w:bidi="ar"/>
        </w:rPr>
        <w:t>…………</w:t>
      </w:r>
      <w:r w:rsidRPr="000F1525">
        <w:rPr>
          <w:rFonts w:ascii="Arial" w:eastAsia="宋体" w:hAnsi="Arial" w:cs="Arial"/>
          <w:color w:val="000000"/>
          <w:kern w:val="0"/>
          <w:sz w:val="24"/>
          <w:lang w:bidi="ar"/>
        </w:rPr>
        <w:t>……….1</w:t>
      </w:r>
      <w:r w:rsidR="001C391B">
        <w:rPr>
          <w:rFonts w:ascii="Arial" w:eastAsia="宋体" w:hAnsi="Arial" w:cs="Arial" w:hint="eastAsia"/>
          <w:color w:val="000000"/>
          <w:kern w:val="0"/>
          <w:sz w:val="24"/>
          <w:lang w:bidi="ar"/>
        </w:rPr>
        <w:t>5</w:t>
      </w:r>
    </w:p>
    <w:p w14:paraId="1DD6C7BD" w14:textId="7719EBA5" w:rsidR="00F94AAB" w:rsidRPr="000F1525" w:rsidRDefault="00F94AAB" w:rsidP="0077038B">
      <w:pPr>
        <w:widowControl/>
        <w:spacing w:line="480" w:lineRule="auto"/>
        <w:ind w:leftChars="200" w:left="420"/>
        <w:rPr>
          <w:rFonts w:ascii="Arial" w:eastAsia="宋体" w:hAnsi="Arial" w:cs="Arial" w:hint="eastAsia"/>
          <w:color w:val="000000"/>
          <w:kern w:val="0"/>
          <w:sz w:val="24"/>
          <w:lang w:bidi="ar"/>
        </w:rPr>
      </w:pPr>
      <w:r w:rsidRPr="000F1525">
        <w:rPr>
          <w:rFonts w:ascii="Arial" w:eastAsia="宋体" w:hAnsi="Arial" w:cs="Arial"/>
          <w:color w:val="000000"/>
          <w:kern w:val="0"/>
          <w:sz w:val="24"/>
          <w:lang w:bidi="ar"/>
        </w:rPr>
        <w:t>3.8. Statistical analysis………………………………………</w:t>
      </w:r>
      <w:proofErr w:type="gramStart"/>
      <w:r w:rsidRPr="000F1525">
        <w:rPr>
          <w:rFonts w:ascii="Arial" w:eastAsia="宋体" w:hAnsi="Arial" w:cs="Arial"/>
          <w:color w:val="000000"/>
          <w:kern w:val="0"/>
          <w:sz w:val="24"/>
          <w:lang w:bidi="ar"/>
        </w:rPr>
        <w:t>…</w:t>
      </w:r>
      <w:r w:rsidR="009943A1" w:rsidRPr="000F1525">
        <w:rPr>
          <w:rFonts w:ascii="Arial" w:eastAsia="宋体" w:hAnsi="Arial" w:cs="Arial"/>
          <w:color w:val="000000"/>
          <w:kern w:val="0"/>
          <w:sz w:val="24"/>
          <w:lang w:bidi="ar"/>
        </w:rPr>
        <w:t>..</w:t>
      </w:r>
      <w:proofErr w:type="gramEnd"/>
      <w:r w:rsidRPr="000F1525">
        <w:rPr>
          <w:rFonts w:ascii="Arial" w:eastAsia="宋体" w:hAnsi="Arial" w:cs="Arial"/>
          <w:color w:val="000000"/>
          <w:kern w:val="0"/>
          <w:sz w:val="24"/>
          <w:lang w:bidi="ar"/>
        </w:rPr>
        <w:t>……………1</w:t>
      </w:r>
      <w:r w:rsidR="001C391B">
        <w:rPr>
          <w:rFonts w:ascii="Arial" w:eastAsia="宋体" w:hAnsi="Arial" w:cs="Arial" w:hint="eastAsia"/>
          <w:color w:val="000000"/>
          <w:kern w:val="0"/>
          <w:sz w:val="24"/>
          <w:lang w:bidi="ar"/>
        </w:rPr>
        <w:t>5</w:t>
      </w:r>
    </w:p>
    <w:p w14:paraId="53B965BE" w14:textId="0AF2EE7B" w:rsidR="00F94AAB" w:rsidRPr="000F1525" w:rsidRDefault="00F94AAB" w:rsidP="0077038B">
      <w:pPr>
        <w:spacing w:line="480" w:lineRule="auto"/>
        <w:rPr>
          <w:rFonts w:ascii="Arial" w:eastAsia="宋体" w:hAnsi="Arial" w:cs="Arial"/>
          <w:b/>
          <w:bCs/>
          <w:color w:val="000000"/>
          <w:kern w:val="0"/>
          <w:sz w:val="24"/>
          <w:lang w:bidi="ar"/>
        </w:rPr>
      </w:pPr>
      <w:r w:rsidRPr="000F1525">
        <w:rPr>
          <w:rFonts w:ascii="Arial" w:eastAsia="宋体" w:hAnsi="Arial" w:cs="Arial"/>
          <w:b/>
          <w:bCs/>
          <w:color w:val="000000"/>
          <w:kern w:val="0"/>
          <w:sz w:val="24"/>
          <w:lang w:bidi="ar"/>
        </w:rPr>
        <w:t>4.</w:t>
      </w:r>
      <w:r w:rsidRPr="000F1525">
        <w:rPr>
          <w:rFonts w:ascii="Arial" w:hAnsi="Arial" w:cs="Arial"/>
          <w:b/>
          <w:bCs/>
        </w:rPr>
        <w:t xml:space="preserve"> </w:t>
      </w:r>
      <w:r w:rsidRPr="000F1525">
        <w:rPr>
          <w:rFonts w:ascii="Arial" w:eastAsia="宋体" w:hAnsi="Arial" w:cs="Arial"/>
          <w:b/>
          <w:bCs/>
          <w:color w:val="000000"/>
          <w:kern w:val="0"/>
          <w:sz w:val="24"/>
          <w:lang w:bidi="ar"/>
        </w:rPr>
        <w:t>Quality Control…………………………………………………………</w:t>
      </w:r>
      <w:r w:rsidR="009943A1" w:rsidRPr="000F1525">
        <w:rPr>
          <w:rFonts w:ascii="Arial" w:eastAsia="宋体" w:hAnsi="Arial" w:cs="Arial"/>
          <w:b/>
          <w:bCs/>
          <w:color w:val="000000"/>
          <w:kern w:val="0"/>
          <w:sz w:val="24"/>
          <w:lang w:bidi="ar"/>
        </w:rPr>
        <w:t>……</w:t>
      </w:r>
      <w:r w:rsidRPr="000F1525">
        <w:rPr>
          <w:rFonts w:ascii="Arial" w:eastAsia="宋体" w:hAnsi="Arial" w:cs="Arial"/>
          <w:b/>
          <w:bCs/>
          <w:color w:val="000000"/>
          <w:kern w:val="0"/>
          <w:sz w:val="24"/>
          <w:lang w:bidi="ar"/>
        </w:rPr>
        <w:t>…15</w:t>
      </w:r>
    </w:p>
    <w:p w14:paraId="0A80F9D3" w14:textId="77CDA07D" w:rsidR="00F94AAB" w:rsidRPr="000F1525" w:rsidRDefault="00F94AAB" w:rsidP="0077038B">
      <w:pPr>
        <w:tabs>
          <w:tab w:val="left" w:pos="283"/>
        </w:tabs>
        <w:spacing w:line="480" w:lineRule="auto"/>
        <w:rPr>
          <w:rFonts w:ascii="Arial" w:hAnsi="Arial" w:cs="Arial" w:hint="eastAsia"/>
          <w:b/>
          <w:bCs/>
          <w:sz w:val="24"/>
          <w:szCs w:val="32"/>
        </w:rPr>
      </w:pPr>
      <w:r w:rsidRPr="000F1525">
        <w:rPr>
          <w:rFonts w:ascii="Arial" w:hAnsi="Arial" w:cs="Arial"/>
          <w:b/>
          <w:bCs/>
          <w:sz w:val="24"/>
          <w:szCs w:val="32"/>
        </w:rPr>
        <w:t>5. Right to Refuse Participation or Withdraw from the Study……</w:t>
      </w:r>
      <w:r w:rsidR="009943A1" w:rsidRPr="000F1525">
        <w:rPr>
          <w:rFonts w:ascii="Arial" w:hAnsi="Arial" w:cs="Arial"/>
          <w:b/>
          <w:bCs/>
          <w:sz w:val="24"/>
          <w:szCs w:val="32"/>
        </w:rPr>
        <w:t>…</w:t>
      </w:r>
      <w:r w:rsidRPr="000F1525">
        <w:rPr>
          <w:rFonts w:ascii="Arial" w:hAnsi="Arial" w:cs="Arial"/>
          <w:b/>
          <w:bCs/>
          <w:sz w:val="24"/>
          <w:szCs w:val="32"/>
        </w:rPr>
        <w:t>……1</w:t>
      </w:r>
      <w:r w:rsidR="001C391B">
        <w:rPr>
          <w:rFonts w:ascii="Arial" w:hAnsi="Arial" w:cs="Arial" w:hint="eastAsia"/>
          <w:b/>
          <w:bCs/>
          <w:sz w:val="24"/>
          <w:szCs w:val="32"/>
        </w:rPr>
        <w:t>6</w:t>
      </w:r>
    </w:p>
    <w:p w14:paraId="10FCD84A" w14:textId="1B6008BE" w:rsidR="00F94AAB" w:rsidRPr="000F1525" w:rsidRDefault="00F94AAB" w:rsidP="0077038B">
      <w:pPr>
        <w:spacing w:line="480" w:lineRule="auto"/>
        <w:rPr>
          <w:rFonts w:ascii="Arial" w:hAnsi="Arial" w:cs="Arial"/>
        </w:rPr>
      </w:pPr>
      <w:r w:rsidRPr="000F1525">
        <w:rPr>
          <w:rFonts w:ascii="Arial" w:hAnsi="Arial" w:cs="Arial"/>
          <w:b/>
          <w:bCs/>
          <w:sz w:val="24"/>
          <w:szCs w:val="32"/>
        </w:rPr>
        <w:t>6. Privacy and Confidentiality Issues…………………………</w:t>
      </w:r>
      <w:r w:rsidR="00200051" w:rsidRPr="000F1525">
        <w:rPr>
          <w:rFonts w:ascii="Arial" w:hAnsi="Arial" w:cs="Arial"/>
          <w:b/>
          <w:bCs/>
          <w:sz w:val="24"/>
          <w:szCs w:val="32"/>
        </w:rPr>
        <w:t>…</w:t>
      </w:r>
      <w:r w:rsidRPr="000F1525">
        <w:rPr>
          <w:rFonts w:ascii="Arial" w:hAnsi="Arial" w:cs="Arial"/>
          <w:b/>
          <w:bCs/>
          <w:sz w:val="24"/>
          <w:szCs w:val="32"/>
        </w:rPr>
        <w:t>……………</w:t>
      </w:r>
      <w:r w:rsidR="00AD23AC" w:rsidRPr="000F1525">
        <w:rPr>
          <w:rFonts w:ascii="Arial" w:hAnsi="Arial" w:cs="Arial"/>
          <w:b/>
          <w:bCs/>
          <w:sz w:val="24"/>
          <w:szCs w:val="32"/>
        </w:rPr>
        <w:t>16</w:t>
      </w:r>
    </w:p>
    <w:p w14:paraId="55A6530E" w14:textId="77777777" w:rsidR="008153AF" w:rsidRPr="000F1525" w:rsidRDefault="008153AF" w:rsidP="0077038B">
      <w:pPr>
        <w:spacing w:line="360" w:lineRule="auto"/>
        <w:rPr>
          <w:rFonts w:ascii="Arial" w:hAnsi="Arial" w:cs="Arial"/>
          <w:b/>
          <w:bCs/>
          <w:sz w:val="28"/>
          <w:szCs w:val="36"/>
        </w:rPr>
      </w:pPr>
    </w:p>
    <w:p w14:paraId="1F877886" w14:textId="77777777" w:rsidR="008153AF" w:rsidRPr="000F1525" w:rsidRDefault="008153AF" w:rsidP="00EA53A4">
      <w:pPr>
        <w:spacing w:line="360" w:lineRule="auto"/>
        <w:jc w:val="center"/>
        <w:rPr>
          <w:rFonts w:ascii="Arial" w:hAnsi="Arial" w:cs="Arial"/>
          <w:b/>
          <w:bCs/>
          <w:sz w:val="28"/>
          <w:szCs w:val="36"/>
        </w:rPr>
      </w:pPr>
    </w:p>
    <w:p w14:paraId="221EFF01" w14:textId="77777777" w:rsidR="008153AF" w:rsidRPr="000F1525" w:rsidRDefault="008153AF" w:rsidP="00EA53A4">
      <w:pPr>
        <w:spacing w:line="360" w:lineRule="auto"/>
        <w:jc w:val="center"/>
        <w:rPr>
          <w:rFonts w:ascii="Arial" w:hAnsi="Arial" w:cs="Arial"/>
          <w:b/>
          <w:bCs/>
          <w:sz w:val="28"/>
          <w:szCs w:val="36"/>
        </w:rPr>
      </w:pPr>
    </w:p>
    <w:p w14:paraId="01BD6A3B" w14:textId="77777777" w:rsidR="00EA1B40" w:rsidRPr="000F1525" w:rsidRDefault="00EA1B40">
      <w:pPr>
        <w:spacing w:afterLines="50" w:after="156" w:line="360" w:lineRule="auto"/>
        <w:rPr>
          <w:rFonts w:ascii="Arial" w:hAnsi="Arial" w:cs="Arial"/>
          <w:b/>
          <w:bCs/>
          <w:sz w:val="24"/>
          <w:szCs w:val="32"/>
        </w:rPr>
        <w:sectPr w:rsidR="00EA1B40" w:rsidRPr="000F1525" w:rsidSect="008B67CB">
          <w:headerReference w:type="default" r:id="rId7"/>
          <w:pgSz w:w="11906" w:h="16838"/>
          <w:pgMar w:top="1440" w:right="1800" w:bottom="1440" w:left="1800" w:header="851" w:footer="992" w:gutter="0"/>
          <w:cols w:space="425"/>
          <w:docGrid w:type="lines" w:linePitch="312"/>
        </w:sectPr>
      </w:pPr>
    </w:p>
    <w:p w14:paraId="5990798C" w14:textId="77777777" w:rsidR="00FF52B2" w:rsidRPr="000F1525" w:rsidRDefault="00000000">
      <w:pPr>
        <w:spacing w:afterLines="50" w:after="156" w:line="360" w:lineRule="auto"/>
        <w:rPr>
          <w:rFonts w:ascii="Arial" w:hAnsi="Arial" w:cs="Arial"/>
          <w:b/>
          <w:bCs/>
          <w:sz w:val="24"/>
          <w:szCs w:val="32"/>
        </w:rPr>
      </w:pPr>
      <w:r w:rsidRPr="000F1525">
        <w:rPr>
          <w:rFonts w:ascii="Arial" w:hAnsi="Arial" w:cs="Arial"/>
          <w:b/>
          <w:bCs/>
          <w:sz w:val="24"/>
          <w:szCs w:val="32"/>
        </w:rPr>
        <w:lastRenderedPageBreak/>
        <w:t>1.Background information</w:t>
      </w:r>
    </w:p>
    <w:p w14:paraId="643265FB" w14:textId="02A5FA08" w:rsidR="00FF52B2" w:rsidRPr="000F1525" w:rsidRDefault="00000000">
      <w:pPr>
        <w:adjustRightInd w:val="0"/>
        <w:snapToGrid w:val="0"/>
        <w:spacing w:afterLines="50" w:after="156" w:line="360" w:lineRule="auto"/>
        <w:ind w:firstLineChars="200" w:firstLine="480"/>
        <w:rPr>
          <w:rFonts w:ascii="Arial" w:hAnsi="Arial" w:cs="Arial"/>
          <w:sz w:val="24"/>
          <w:szCs w:val="32"/>
        </w:rPr>
      </w:pPr>
      <w:r w:rsidRPr="000F1525">
        <w:rPr>
          <w:rFonts w:ascii="Arial" w:hAnsi="Arial" w:cs="Arial"/>
          <w:sz w:val="24"/>
          <w:szCs w:val="32"/>
        </w:rPr>
        <w:t xml:space="preserve">In recent years, cancer immunotherapy has rapidly evolved and is now recognized as the fourth pillar of cancer treatment, following surgery, </w:t>
      </w:r>
      <w:proofErr w:type="spellStart"/>
      <w:r w:rsidRPr="000F1525">
        <w:rPr>
          <w:rFonts w:ascii="Arial" w:hAnsi="Arial" w:cs="Arial"/>
          <w:sz w:val="24"/>
          <w:szCs w:val="32"/>
        </w:rPr>
        <w:t>radiochemotherapy</w:t>
      </w:r>
      <w:proofErr w:type="spellEnd"/>
      <w:r w:rsidRPr="000F1525">
        <w:rPr>
          <w:rFonts w:ascii="Arial" w:hAnsi="Arial" w:cs="Arial"/>
          <w:sz w:val="24"/>
          <w:szCs w:val="32"/>
        </w:rPr>
        <w:t>, and targeted therapy. Since the first engineered immune cell therapy targeting human melanoma based on tumor-specific T-cell receptors (TCRs) was developed in 1994, various chimeric antigen receptor T (CAR-T) cell technologies carrying different tumor-specific antigens have been successively developed. The first CAR-T clinical trial began in 2008, and its application has since been expanded to multiple cancers, including chronic lymphocytic leukemia (CLL</w:t>
      </w:r>
      <w:proofErr w:type="gramStart"/>
      <w:r w:rsidRPr="000F1525">
        <w:rPr>
          <w:rFonts w:ascii="Arial" w:hAnsi="Arial" w:cs="Arial"/>
          <w:sz w:val="24"/>
          <w:szCs w:val="32"/>
        </w:rPr>
        <w:t>)</w:t>
      </w:r>
      <w:r w:rsidRPr="000F1525">
        <w:rPr>
          <w:rFonts w:ascii="Arial" w:hAnsi="Arial" w:cs="Arial"/>
          <w:sz w:val="24"/>
          <w:szCs w:val="32"/>
          <w:vertAlign w:val="superscript"/>
        </w:rPr>
        <w:t>[</w:t>
      </w:r>
      <w:proofErr w:type="gramEnd"/>
      <w:r w:rsidRPr="000F1525">
        <w:rPr>
          <w:rFonts w:ascii="Arial" w:hAnsi="Arial" w:cs="Arial"/>
          <w:sz w:val="24"/>
          <w:szCs w:val="32"/>
          <w:vertAlign w:val="superscript"/>
        </w:rPr>
        <w:t>1]</w:t>
      </w:r>
      <w:r w:rsidRPr="000F1525">
        <w:rPr>
          <w:rFonts w:ascii="Arial" w:hAnsi="Arial" w:cs="Arial"/>
          <w:sz w:val="24"/>
          <w:szCs w:val="32"/>
        </w:rPr>
        <w:t>, acute lymphoblastic leukemia (ALL</w:t>
      </w:r>
      <w:proofErr w:type="gramStart"/>
      <w:r w:rsidRPr="000F1525">
        <w:rPr>
          <w:rFonts w:ascii="Arial" w:hAnsi="Arial" w:cs="Arial"/>
          <w:sz w:val="24"/>
          <w:szCs w:val="32"/>
        </w:rPr>
        <w:t>)</w:t>
      </w:r>
      <w:r w:rsidRPr="000F1525">
        <w:rPr>
          <w:rFonts w:ascii="Arial" w:hAnsi="Arial" w:cs="Arial"/>
          <w:sz w:val="24"/>
          <w:szCs w:val="32"/>
          <w:vertAlign w:val="superscript"/>
        </w:rPr>
        <w:t>[</w:t>
      </w:r>
      <w:proofErr w:type="gramEnd"/>
      <w:r w:rsidRPr="000F1525">
        <w:rPr>
          <w:rFonts w:ascii="Arial" w:hAnsi="Arial" w:cs="Arial"/>
          <w:sz w:val="24"/>
          <w:szCs w:val="32"/>
          <w:vertAlign w:val="superscript"/>
        </w:rPr>
        <w:t>2]</w:t>
      </w:r>
      <w:r w:rsidRPr="000F1525">
        <w:rPr>
          <w:rFonts w:ascii="Arial" w:hAnsi="Arial" w:cs="Arial"/>
          <w:sz w:val="24"/>
          <w:szCs w:val="32"/>
        </w:rPr>
        <w:t>, non-Hodgkin lymphoma (NHL</w:t>
      </w:r>
      <w:proofErr w:type="gramStart"/>
      <w:r w:rsidRPr="000F1525">
        <w:rPr>
          <w:rFonts w:ascii="Arial" w:hAnsi="Arial" w:cs="Arial"/>
          <w:sz w:val="24"/>
          <w:szCs w:val="32"/>
        </w:rPr>
        <w:t>)</w:t>
      </w:r>
      <w:r w:rsidRPr="000F1525">
        <w:rPr>
          <w:rFonts w:ascii="Arial" w:hAnsi="Arial" w:cs="Arial"/>
          <w:sz w:val="24"/>
          <w:szCs w:val="32"/>
          <w:vertAlign w:val="superscript"/>
        </w:rPr>
        <w:t>[</w:t>
      </w:r>
      <w:proofErr w:type="gramEnd"/>
      <w:r w:rsidRPr="000F1525">
        <w:rPr>
          <w:rFonts w:ascii="Arial" w:hAnsi="Arial" w:cs="Arial"/>
          <w:sz w:val="24"/>
          <w:szCs w:val="32"/>
          <w:vertAlign w:val="superscript"/>
        </w:rPr>
        <w:t>2]</w:t>
      </w:r>
      <w:r w:rsidRPr="000F1525">
        <w:rPr>
          <w:rFonts w:ascii="Arial" w:hAnsi="Arial" w:cs="Arial"/>
          <w:sz w:val="24"/>
          <w:szCs w:val="32"/>
        </w:rPr>
        <w:t>, acute myeloid leukemia (AML</w:t>
      </w:r>
      <w:proofErr w:type="gramStart"/>
      <w:r w:rsidRPr="000F1525">
        <w:rPr>
          <w:rFonts w:ascii="Arial" w:hAnsi="Arial" w:cs="Arial"/>
          <w:sz w:val="24"/>
          <w:szCs w:val="32"/>
        </w:rPr>
        <w:t>)</w:t>
      </w:r>
      <w:r w:rsidRPr="000F1525">
        <w:rPr>
          <w:rFonts w:ascii="Arial" w:hAnsi="Arial" w:cs="Arial"/>
          <w:sz w:val="24"/>
          <w:szCs w:val="32"/>
          <w:vertAlign w:val="superscript"/>
        </w:rPr>
        <w:t>[</w:t>
      </w:r>
      <w:proofErr w:type="gramEnd"/>
      <w:r w:rsidRPr="000F1525">
        <w:rPr>
          <w:rFonts w:ascii="Arial" w:hAnsi="Arial" w:cs="Arial"/>
          <w:sz w:val="24"/>
          <w:szCs w:val="32"/>
          <w:vertAlign w:val="superscript"/>
        </w:rPr>
        <w:t>3]</w:t>
      </w:r>
      <w:r w:rsidRPr="000F1525">
        <w:rPr>
          <w:rFonts w:ascii="Arial" w:hAnsi="Arial" w:cs="Arial"/>
          <w:sz w:val="24"/>
          <w:szCs w:val="32"/>
        </w:rPr>
        <w:t>, renal cell carcinoma (RCC</w:t>
      </w:r>
      <w:proofErr w:type="gramStart"/>
      <w:r w:rsidRPr="000F1525">
        <w:rPr>
          <w:rFonts w:ascii="Arial" w:hAnsi="Arial" w:cs="Arial"/>
          <w:sz w:val="24"/>
          <w:szCs w:val="32"/>
        </w:rPr>
        <w:t>)</w:t>
      </w:r>
      <w:r w:rsidRPr="000F1525">
        <w:rPr>
          <w:rFonts w:ascii="Arial" w:hAnsi="Arial" w:cs="Arial"/>
          <w:sz w:val="24"/>
          <w:szCs w:val="32"/>
          <w:vertAlign w:val="superscript"/>
        </w:rPr>
        <w:t>[</w:t>
      </w:r>
      <w:proofErr w:type="gramEnd"/>
      <w:r w:rsidRPr="000F1525">
        <w:rPr>
          <w:rFonts w:ascii="Arial" w:hAnsi="Arial" w:cs="Arial"/>
          <w:sz w:val="24"/>
          <w:szCs w:val="32"/>
          <w:vertAlign w:val="superscript"/>
        </w:rPr>
        <w:t>4]</w:t>
      </w:r>
      <w:r w:rsidRPr="000F1525">
        <w:rPr>
          <w:rFonts w:ascii="Arial" w:hAnsi="Arial" w:cs="Arial"/>
          <w:sz w:val="24"/>
          <w:szCs w:val="32"/>
        </w:rPr>
        <w:t xml:space="preserve">, colorectal </w:t>
      </w:r>
      <w:proofErr w:type="gramStart"/>
      <w:r w:rsidRPr="000F1525">
        <w:rPr>
          <w:rFonts w:ascii="Arial" w:hAnsi="Arial" w:cs="Arial"/>
          <w:sz w:val="24"/>
          <w:szCs w:val="32"/>
        </w:rPr>
        <w:t>cancer</w:t>
      </w:r>
      <w:r w:rsidRPr="000F1525">
        <w:rPr>
          <w:rFonts w:ascii="Arial" w:hAnsi="Arial" w:cs="Arial"/>
          <w:sz w:val="24"/>
          <w:szCs w:val="32"/>
          <w:vertAlign w:val="superscript"/>
        </w:rPr>
        <w:t>[</w:t>
      </w:r>
      <w:proofErr w:type="gramEnd"/>
      <w:r w:rsidRPr="000F1525">
        <w:rPr>
          <w:rFonts w:ascii="Arial" w:hAnsi="Arial" w:cs="Arial"/>
          <w:sz w:val="24"/>
          <w:szCs w:val="32"/>
          <w:vertAlign w:val="superscript"/>
        </w:rPr>
        <w:t>5]</w:t>
      </w:r>
      <w:r w:rsidRPr="000F1525">
        <w:rPr>
          <w:rFonts w:ascii="Arial" w:hAnsi="Arial" w:cs="Arial"/>
          <w:sz w:val="24"/>
          <w:szCs w:val="32"/>
        </w:rPr>
        <w:t xml:space="preserve">, and ovarian </w:t>
      </w:r>
      <w:proofErr w:type="gramStart"/>
      <w:r w:rsidRPr="000F1525">
        <w:rPr>
          <w:rFonts w:ascii="Arial" w:hAnsi="Arial" w:cs="Arial"/>
          <w:sz w:val="24"/>
          <w:szCs w:val="32"/>
        </w:rPr>
        <w:t>cancer</w:t>
      </w:r>
      <w:r w:rsidRPr="000F1525">
        <w:rPr>
          <w:rFonts w:ascii="Arial" w:hAnsi="Arial" w:cs="Arial"/>
          <w:sz w:val="24"/>
          <w:szCs w:val="32"/>
          <w:vertAlign w:val="superscript"/>
        </w:rPr>
        <w:t>[</w:t>
      </w:r>
      <w:proofErr w:type="gramEnd"/>
      <w:r w:rsidRPr="000F1525">
        <w:rPr>
          <w:rFonts w:ascii="Arial" w:hAnsi="Arial" w:cs="Arial"/>
          <w:sz w:val="24"/>
          <w:szCs w:val="32"/>
          <w:vertAlign w:val="superscript"/>
        </w:rPr>
        <w:t>6]</w:t>
      </w:r>
      <w:r w:rsidRPr="000F1525">
        <w:rPr>
          <w:rFonts w:ascii="Arial" w:hAnsi="Arial" w:cs="Arial"/>
          <w:sz w:val="24"/>
          <w:szCs w:val="32"/>
        </w:rPr>
        <w:t xml:space="preserve">. On August 31 and October 19, 2017, the US FDA approved the CAR-T therapies </w:t>
      </w:r>
      <w:proofErr w:type="spellStart"/>
      <w:r w:rsidRPr="000F1525">
        <w:rPr>
          <w:rFonts w:ascii="Arial" w:hAnsi="Arial" w:cs="Arial"/>
          <w:sz w:val="24"/>
          <w:szCs w:val="32"/>
        </w:rPr>
        <w:t>Kymriahand</w:t>
      </w:r>
      <w:proofErr w:type="spellEnd"/>
      <w:r w:rsidRPr="000F1525">
        <w:rPr>
          <w:rFonts w:ascii="Arial" w:hAnsi="Arial" w:cs="Arial"/>
          <w:sz w:val="24"/>
          <w:szCs w:val="32"/>
        </w:rPr>
        <w:t xml:space="preserve"> </w:t>
      </w:r>
      <w:proofErr w:type="spellStart"/>
      <w:r w:rsidRPr="000F1525">
        <w:rPr>
          <w:rFonts w:ascii="Arial" w:hAnsi="Arial" w:cs="Arial"/>
          <w:sz w:val="24"/>
          <w:szCs w:val="32"/>
        </w:rPr>
        <w:t>Yescarta</w:t>
      </w:r>
      <w:proofErr w:type="spellEnd"/>
      <w:r w:rsidRPr="000F1525">
        <w:rPr>
          <w:rFonts w:ascii="Arial" w:hAnsi="Arial" w:cs="Arial"/>
          <w:sz w:val="24"/>
          <w:szCs w:val="32"/>
        </w:rPr>
        <w:t xml:space="preserve"> for the treatment of</w:t>
      </w:r>
      <w:r w:rsidR="0069471B" w:rsidRPr="000F1525">
        <w:rPr>
          <w:rFonts w:ascii="Arial" w:hAnsi="Arial" w:cs="Arial"/>
          <w:sz w:val="24"/>
          <w:szCs w:val="32"/>
        </w:rPr>
        <w:t xml:space="preserve"> </w:t>
      </w:r>
      <w:r w:rsidRPr="000F1525">
        <w:rPr>
          <w:rFonts w:ascii="Arial" w:hAnsi="Arial" w:cs="Arial"/>
          <w:sz w:val="24"/>
          <w:szCs w:val="32"/>
        </w:rPr>
        <w:t xml:space="preserve">ALL. </w:t>
      </w:r>
    </w:p>
    <w:p w14:paraId="70F928E0" w14:textId="77777777" w:rsidR="00FF52B2" w:rsidRPr="000F1525" w:rsidRDefault="00000000">
      <w:pPr>
        <w:adjustRightInd w:val="0"/>
        <w:snapToGrid w:val="0"/>
        <w:spacing w:afterLines="50" w:after="156" w:line="360" w:lineRule="auto"/>
        <w:ind w:firstLineChars="200" w:firstLine="480"/>
        <w:rPr>
          <w:rFonts w:ascii="Arial" w:hAnsi="Arial" w:cs="Arial"/>
          <w:sz w:val="24"/>
          <w:szCs w:val="32"/>
        </w:rPr>
      </w:pPr>
      <w:r w:rsidRPr="000F1525">
        <w:rPr>
          <w:rFonts w:ascii="Arial" w:hAnsi="Arial" w:cs="Arial"/>
          <w:sz w:val="24"/>
          <w:szCs w:val="32"/>
        </w:rPr>
        <w:t xml:space="preserve">However, both CAR-T and TCR technologies have significant limitations and side effects. For example, the mismatch between the engineered TCR chains and the endogenous TCR chains can significantly reduce the expression of TCRs on the T cell surface, thereby diminishing their anti-tumor </w:t>
      </w:r>
      <w:proofErr w:type="gramStart"/>
      <w:r w:rsidRPr="000F1525">
        <w:rPr>
          <w:rFonts w:ascii="Arial" w:hAnsi="Arial" w:cs="Arial"/>
          <w:sz w:val="24"/>
          <w:szCs w:val="32"/>
        </w:rPr>
        <w:t>efficacy</w:t>
      </w:r>
      <w:r w:rsidRPr="000F1525">
        <w:rPr>
          <w:rFonts w:ascii="Arial" w:hAnsi="Arial" w:cs="Arial"/>
          <w:sz w:val="24"/>
          <w:szCs w:val="32"/>
          <w:vertAlign w:val="superscript"/>
        </w:rPr>
        <w:t>[</w:t>
      </w:r>
      <w:proofErr w:type="gramEnd"/>
      <w:r w:rsidRPr="000F1525">
        <w:rPr>
          <w:rFonts w:ascii="Arial" w:hAnsi="Arial" w:cs="Arial"/>
          <w:sz w:val="24"/>
          <w:szCs w:val="32"/>
          <w:vertAlign w:val="superscript"/>
        </w:rPr>
        <w:t>7,8].</w:t>
      </w:r>
      <w:r w:rsidRPr="000F1525">
        <w:rPr>
          <w:rFonts w:ascii="Arial" w:hAnsi="Arial" w:cs="Arial"/>
          <w:sz w:val="24"/>
          <w:szCs w:val="32"/>
        </w:rPr>
        <w:t xml:space="preserve"> Moreover, CAR-T therapy can induce severe inflammatory side effects. Morgan reported a case of a patient with metastatic colorectal cancer who died of acute respiratory failure five days after infusion of anti-ERBB2 CAR-T cells, likely due to the recognition and lysis of normal lung cells expressing ERBB2 by CAR-T cells, resulting in the secretion of inflammatory cytokines such as TNF-α and IFN-γ, and subsequent pulmonary toxicity and multi-organ dysfunction </w:t>
      </w:r>
      <w:proofErr w:type="gramStart"/>
      <w:r w:rsidRPr="000F1525">
        <w:rPr>
          <w:rFonts w:ascii="Arial" w:hAnsi="Arial" w:cs="Arial"/>
          <w:sz w:val="24"/>
          <w:szCs w:val="32"/>
        </w:rPr>
        <w:t>syndrome</w:t>
      </w:r>
      <w:r w:rsidRPr="000F1525">
        <w:rPr>
          <w:rFonts w:ascii="Arial" w:hAnsi="Arial" w:cs="Arial"/>
          <w:sz w:val="24"/>
          <w:szCs w:val="32"/>
          <w:vertAlign w:val="superscript"/>
        </w:rPr>
        <w:t>[</w:t>
      </w:r>
      <w:proofErr w:type="gramEnd"/>
      <w:r w:rsidRPr="000F1525">
        <w:rPr>
          <w:rFonts w:ascii="Arial" w:hAnsi="Arial" w:cs="Arial"/>
          <w:sz w:val="24"/>
          <w:szCs w:val="32"/>
          <w:vertAlign w:val="superscript"/>
        </w:rPr>
        <w:t>9]</w:t>
      </w:r>
      <w:r w:rsidRPr="000F1525">
        <w:rPr>
          <w:rFonts w:ascii="Arial" w:hAnsi="Arial" w:cs="Arial"/>
          <w:sz w:val="24"/>
          <w:szCs w:val="32"/>
        </w:rPr>
        <w:t>.</w:t>
      </w:r>
    </w:p>
    <w:p w14:paraId="785D2A93" w14:textId="39E91B39" w:rsidR="00FF52B2" w:rsidRPr="000F1525" w:rsidRDefault="00000000">
      <w:pPr>
        <w:adjustRightInd w:val="0"/>
        <w:snapToGrid w:val="0"/>
        <w:spacing w:afterLines="50" w:after="156" w:line="360" w:lineRule="auto"/>
        <w:ind w:firstLineChars="200" w:firstLine="480"/>
        <w:rPr>
          <w:rFonts w:ascii="Arial" w:hAnsi="Arial" w:cs="Arial"/>
          <w:sz w:val="24"/>
          <w:szCs w:val="32"/>
        </w:rPr>
      </w:pPr>
      <w:r w:rsidRPr="000F1525">
        <w:rPr>
          <w:rFonts w:ascii="Arial" w:hAnsi="Arial" w:cs="Arial"/>
          <w:sz w:val="24"/>
          <w:szCs w:val="32"/>
        </w:rPr>
        <w:t xml:space="preserve">With the significant advancements in cancer immunotherapy in recent years, the potential of natural killer (NK) cells in cancer immunotherapy has garnered considerable attention. As part of the innate immune system, NK cells play a crucial role in immune regulation, tumor defense, and infection resistance, serving as the first line of defense against pathogenic diseases, including malignant tumors. Unlike T cells and B cells, NK cells are a group of innate killer cells with unique abnormal cell recognition capabilities, lacking </w:t>
      </w:r>
      <w:r w:rsidRPr="000F1525">
        <w:rPr>
          <w:rFonts w:ascii="Arial" w:hAnsi="Arial" w:cs="Arial"/>
          <w:sz w:val="24"/>
          <w:szCs w:val="32"/>
        </w:rPr>
        <w:lastRenderedPageBreak/>
        <w:t xml:space="preserve">major histocompatibility complex (MHC) and antibody production. They can kill cells lacking MHC class I without prior </w:t>
      </w:r>
      <w:proofErr w:type="gramStart"/>
      <w:r w:rsidRPr="000F1525">
        <w:rPr>
          <w:rFonts w:ascii="Arial" w:hAnsi="Arial" w:cs="Arial"/>
          <w:sz w:val="24"/>
          <w:szCs w:val="32"/>
        </w:rPr>
        <w:t>activation</w:t>
      </w:r>
      <w:r w:rsidRPr="000F1525">
        <w:rPr>
          <w:rFonts w:ascii="Arial" w:hAnsi="Arial" w:cs="Arial"/>
          <w:sz w:val="24"/>
          <w:szCs w:val="32"/>
          <w:vertAlign w:val="superscript"/>
        </w:rPr>
        <w:t>[</w:t>
      </w:r>
      <w:proofErr w:type="gramEnd"/>
      <w:r w:rsidRPr="000F1525">
        <w:rPr>
          <w:rFonts w:ascii="Arial" w:hAnsi="Arial" w:cs="Arial"/>
          <w:sz w:val="24"/>
          <w:szCs w:val="32"/>
          <w:vertAlign w:val="superscript"/>
        </w:rPr>
        <w:t>10]</w:t>
      </w:r>
      <w:r w:rsidRPr="000F1525">
        <w:rPr>
          <w:rFonts w:ascii="Arial" w:hAnsi="Arial" w:cs="Arial"/>
          <w:sz w:val="24"/>
          <w:szCs w:val="32"/>
        </w:rPr>
        <w:t xml:space="preserve">, and possess immune clearance and immune surveillance functions. Therefore, NK cells play an important role in resisting tumors, particularly in the clearance of metastatic and minimal residual tumor </w:t>
      </w:r>
      <w:proofErr w:type="gramStart"/>
      <w:r w:rsidRPr="000F1525">
        <w:rPr>
          <w:rFonts w:ascii="Arial" w:hAnsi="Arial" w:cs="Arial"/>
          <w:sz w:val="24"/>
          <w:szCs w:val="32"/>
        </w:rPr>
        <w:t>cells</w:t>
      </w:r>
      <w:r w:rsidRPr="000F1525">
        <w:rPr>
          <w:rFonts w:ascii="Arial" w:hAnsi="Arial" w:cs="Arial"/>
          <w:sz w:val="24"/>
          <w:szCs w:val="32"/>
          <w:vertAlign w:val="superscript"/>
        </w:rPr>
        <w:t>[</w:t>
      </w:r>
      <w:proofErr w:type="gramEnd"/>
      <w:r w:rsidRPr="000F1525">
        <w:rPr>
          <w:rFonts w:ascii="Arial" w:hAnsi="Arial" w:cs="Arial"/>
          <w:sz w:val="24"/>
          <w:szCs w:val="32"/>
          <w:vertAlign w:val="superscript"/>
        </w:rPr>
        <w:t>11]</w:t>
      </w:r>
      <w:r w:rsidRPr="000F1525">
        <w:rPr>
          <w:rFonts w:ascii="Arial" w:hAnsi="Arial" w:cs="Arial"/>
          <w:sz w:val="24"/>
          <w:szCs w:val="32"/>
        </w:rPr>
        <w:t>. The direct and rapid cytotoxic dissolution effect of NK cells, their broad targets range, and their ability to infiltrate solid tissues make them promising candidates for cancer cell therapy.</w:t>
      </w:r>
      <w:r w:rsidR="00C6779A" w:rsidRPr="000F1525">
        <w:rPr>
          <w:rFonts w:ascii="Arial" w:hAnsi="Arial" w:cs="Arial"/>
          <w:sz w:val="24"/>
          <w:szCs w:val="32"/>
        </w:rPr>
        <w:t xml:space="preserve"> </w:t>
      </w:r>
      <w:r w:rsidRPr="000F1525">
        <w:rPr>
          <w:rFonts w:ascii="Arial" w:hAnsi="Arial" w:cs="Arial"/>
          <w:sz w:val="24"/>
          <w:szCs w:val="32"/>
        </w:rPr>
        <w:t>Given the potential sever adverse events associated with many gene-engineered immune cells like CAR-T, such as "cytokine storms," and the high treatment costs, their clinical application is significantly restricted. However, the anti-tumor activities of NK cells are relatively well understood, and their clinical side effects are milder. Developing therapeutic NK cells for clinical use to meet the urgent needs of cancer patients is of great significance and imperative.</w:t>
      </w:r>
    </w:p>
    <w:p w14:paraId="4B985428" w14:textId="77777777" w:rsidR="00FF52B2" w:rsidRPr="000F1525" w:rsidRDefault="00000000">
      <w:pPr>
        <w:adjustRightInd w:val="0"/>
        <w:snapToGrid w:val="0"/>
        <w:spacing w:afterLines="50" w:after="156" w:line="360" w:lineRule="auto"/>
        <w:ind w:firstLineChars="200" w:firstLine="480"/>
        <w:rPr>
          <w:rFonts w:ascii="Arial" w:hAnsi="Arial" w:cs="Arial"/>
          <w:sz w:val="24"/>
          <w:szCs w:val="32"/>
        </w:rPr>
      </w:pPr>
      <w:r w:rsidRPr="000F1525">
        <w:rPr>
          <w:rFonts w:ascii="Arial" w:hAnsi="Arial" w:cs="Arial"/>
          <w:sz w:val="24"/>
          <w:szCs w:val="32"/>
        </w:rPr>
        <w:t>However, there are currently no mature technical standards or guidelines internationally, and the existing evaluation criteria are not fully applicable. Therefore, researching and establishing clinical evaluation standards suitable for these innovative NK cell products are crucial for promoting the leading position of China's pharmaceutical industry globally.</w:t>
      </w:r>
    </w:p>
    <w:p w14:paraId="6CBB9C0F" w14:textId="5BD82EB8" w:rsidR="00FF52B2" w:rsidRPr="000F1525" w:rsidRDefault="00000000">
      <w:pPr>
        <w:adjustRightInd w:val="0"/>
        <w:snapToGrid w:val="0"/>
        <w:spacing w:afterLines="50" w:after="156" w:line="360" w:lineRule="auto"/>
        <w:ind w:firstLineChars="200" w:firstLine="480"/>
        <w:rPr>
          <w:rFonts w:ascii="Arial" w:hAnsi="Arial" w:cs="Arial"/>
          <w:sz w:val="24"/>
          <w:szCs w:val="32"/>
        </w:rPr>
      </w:pPr>
      <w:r w:rsidRPr="000F1525">
        <w:rPr>
          <w:rFonts w:ascii="Arial" w:hAnsi="Arial" w:cs="Arial"/>
          <w:sz w:val="24"/>
          <w:szCs w:val="32"/>
        </w:rPr>
        <w:t xml:space="preserve">Pancreatic cancer, one of the most aggressive malignancies, has seen limited improvement in patient survival despite advances in conventional therapies. This has driven the exploration of innovative treatment modalities, with immunotherapy emerging as a promising avenue. Recent advances have highlighted the potential of NK cell therapy as a novel treatment modality for other solid </w:t>
      </w:r>
      <w:proofErr w:type="gramStart"/>
      <w:r w:rsidRPr="000F1525">
        <w:rPr>
          <w:rFonts w:ascii="Arial" w:hAnsi="Arial" w:cs="Arial"/>
          <w:sz w:val="24"/>
          <w:szCs w:val="32"/>
        </w:rPr>
        <w:t>tumors</w:t>
      </w:r>
      <w:r w:rsidRPr="000F1525">
        <w:rPr>
          <w:rFonts w:ascii="Arial" w:hAnsi="Arial" w:cs="Arial"/>
          <w:sz w:val="24"/>
          <w:szCs w:val="32"/>
          <w:vertAlign w:val="superscript"/>
        </w:rPr>
        <w:t>[</w:t>
      </w:r>
      <w:proofErr w:type="gramEnd"/>
      <w:r w:rsidRPr="000F1525">
        <w:rPr>
          <w:rFonts w:ascii="Arial" w:hAnsi="Arial" w:cs="Arial"/>
          <w:sz w:val="24"/>
          <w:szCs w:val="32"/>
          <w:vertAlign w:val="superscript"/>
        </w:rPr>
        <w:t>12]</w:t>
      </w:r>
      <w:r w:rsidRPr="000F1525">
        <w:rPr>
          <w:rFonts w:ascii="Arial" w:hAnsi="Arial" w:cs="Arial"/>
          <w:sz w:val="24"/>
          <w:szCs w:val="32"/>
        </w:rPr>
        <w:t xml:space="preserve">. However, in pancreatic cancer, previous study were mainly preclinical or ongoing clinical trials, the clinical outcomes of NK cell therapy </w:t>
      </w:r>
      <w:r w:rsidR="00DA560B" w:rsidRPr="000F1525">
        <w:rPr>
          <w:rFonts w:ascii="Arial" w:hAnsi="Arial" w:cs="Arial"/>
          <w:sz w:val="24"/>
          <w:szCs w:val="32"/>
        </w:rPr>
        <w:t>remain</w:t>
      </w:r>
      <w:r w:rsidRPr="000F1525">
        <w:rPr>
          <w:rFonts w:ascii="Arial" w:hAnsi="Arial" w:cs="Arial"/>
          <w:sz w:val="24"/>
          <w:szCs w:val="32"/>
        </w:rPr>
        <w:t xml:space="preserve"> sparse, and the clinical evidence regarding the application of NK cells therapy in combination with gemcitabine plus S-1 (GS) have not been reported. Besides, there are few systematical studies on whether immunotherapy, especially NK cell therapy, can enhance the immune status.</w:t>
      </w:r>
    </w:p>
    <w:p w14:paraId="6EF308A5" w14:textId="01727A9D" w:rsidR="00FF52B2" w:rsidRPr="000F1525" w:rsidRDefault="00000000">
      <w:pPr>
        <w:adjustRightInd w:val="0"/>
        <w:snapToGrid w:val="0"/>
        <w:spacing w:afterLines="50" w:after="156" w:line="360" w:lineRule="auto"/>
        <w:ind w:firstLineChars="200" w:firstLine="480"/>
        <w:rPr>
          <w:rFonts w:ascii="Arial" w:hAnsi="Arial" w:cs="Arial"/>
          <w:sz w:val="24"/>
          <w:szCs w:val="32"/>
        </w:rPr>
      </w:pPr>
      <w:r w:rsidRPr="000F1525">
        <w:rPr>
          <w:rFonts w:ascii="Arial" w:hAnsi="Arial" w:cs="Arial"/>
          <w:sz w:val="24"/>
          <w:szCs w:val="32"/>
        </w:rPr>
        <w:t xml:space="preserve">Single-cell </w:t>
      </w:r>
      <w:r w:rsidR="00C31F4B" w:rsidRPr="000F1525">
        <w:rPr>
          <w:rFonts w:ascii="Arial" w:hAnsi="Arial" w:cs="Arial"/>
          <w:sz w:val="24"/>
          <w:szCs w:val="32"/>
        </w:rPr>
        <w:t xml:space="preserve">RNA </w:t>
      </w:r>
      <w:r w:rsidRPr="000F1525">
        <w:rPr>
          <w:rFonts w:ascii="Arial" w:hAnsi="Arial" w:cs="Arial"/>
          <w:sz w:val="24"/>
          <w:szCs w:val="32"/>
        </w:rPr>
        <w:t>sequencing</w:t>
      </w:r>
      <w:r w:rsidR="005C023E" w:rsidRPr="000F1525">
        <w:rPr>
          <w:rFonts w:ascii="Arial" w:hAnsi="Arial" w:cs="Arial"/>
          <w:sz w:val="24"/>
          <w:szCs w:val="32"/>
        </w:rPr>
        <w:t xml:space="preserve"> (</w:t>
      </w:r>
      <w:proofErr w:type="spellStart"/>
      <w:r w:rsidR="005C023E" w:rsidRPr="000F1525">
        <w:rPr>
          <w:rFonts w:ascii="Arial" w:hAnsi="Arial" w:cs="Arial"/>
          <w:sz w:val="24"/>
          <w:szCs w:val="32"/>
        </w:rPr>
        <w:t>scRNA</w:t>
      </w:r>
      <w:proofErr w:type="spellEnd"/>
      <w:r w:rsidR="005C023E" w:rsidRPr="000F1525">
        <w:rPr>
          <w:rFonts w:ascii="Arial" w:hAnsi="Arial" w:cs="Arial"/>
          <w:sz w:val="24"/>
          <w:szCs w:val="32"/>
        </w:rPr>
        <w:t>-seq)</w:t>
      </w:r>
      <w:r w:rsidRPr="000F1525">
        <w:rPr>
          <w:rFonts w:ascii="Arial" w:hAnsi="Arial" w:cs="Arial"/>
          <w:sz w:val="24"/>
          <w:szCs w:val="32"/>
        </w:rPr>
        <w:t xml:space="preserve"> has revolutionized our understanding of the immune landscape of </w:t>
      </w:r>
      <w:proofErr w:type="gramStart"/>
      <w:r w:rsidRPr="000F1525">
        <w:rPr>
          <w:rFonts w:ascii="Arial" w:hAnsi="Arial" w:cs="Arial"/>
          <w:sz w:val="24"/>
          <w:szCs w:val="32"/>
        </w:rPr>
        <w:t>cancers</w:t>
      </w:r>
      <w:r w:rsidRPr="000F1525">
        <w:rPr>
          <w:rFonts w:ascii="Arial" w:hAnsi="Arial" w:cs="Arial"/>
          <w:sz w:val="24"/>
          <w:szCs w:val="32"/>
          <w:vertAlign w:val="superscript"/>
        </w:rPr>
        <w:t>[</w:t>
      </w:r>
      <w:proofErr w:type="gramEnd"/>
      <w:r w:rsidRPr="000F1525">
        <w:rPr>
          <w:rFonts w:ascii="Arial" w:hAnsi="Arial" w:cs="Arial"/>
          <w:sz w:val="24"/>
          <w:szCs w:val="32"/>
          <w:vertAlign w:val="superscript"/>
        </w:rPr>
        <w:t>13,14]</w:t>
      </w:r>
      <w:r w:rsidRPr="000F1525">
        <w:rPr>
          <w:rFonts w:ascii="Arial" w:hAnsi="Arial" w:cs="Arial"/>
          <w:sz w:val="24"/>
          <w:szCs w:val="32"/>
        </w:rPr>
        <w:t xml:space="preserve">. This technology allows for the detailed characterization of immune cell populations within the </w:t>
      </w:r>
      <w:r w:rsidR="00AD79FB" w:rsidRPr="000F1525">
        <w:rPr>
          <w:rFonts w:ascii="Arial" w:hAnsi="Arial" w:cs="Arial"/>
          <w:sz w:val="24"/>
          <w:szCs w:val="32"/>
        </w:rPr>
        <w:lastRenderedPageBreak/>
        <w:t>tumor microenvironment (</w:t>
      </w:r>
      <w:r w:rsidRPr="000F1525">
        <w:rPr>
          <w:rFonts w:ascii="Arial" w:hAnsi="Arial" w:cs="Arial"/>
          <w:sz w:val="24"/>
          <w:szCs w:val="32"/>
        </w:rPr>
        <w:t>TME</w:t>
      </w:r>
      <w:r w:rsidR="00AD79FB" w:rsidRPr="000F1525">
        <w:rPr>
          <w:rFonts w:ascii="Arial" w:hAnsi="Arial" w:cs="Arial"/>
          <w:sz w:val="24"/>
          <w:szCs w:val="32"/>
        </w:rPr>
        <w:t>)</w:t>
      </w:r>
      <w:r w:rsidRPr="000F1525">
        <w:rPr>
          <w:rFonts w:ascii="Arial" w:hAnsi="Arial" w:cs="Arial"/>
          <w:sz w:val="24"/>
          <w:szCs w:val="32"/>
        </w:rPr>
        <w:t xml:space="preserve"> or peripheral blood, revealing heterogeneity and functional states that were previously obscured by bulk analysis. This highlights the potential of modulating specific immune cell populations to enhance the immunotherapeutic efficacy. The integration of NK cell therapy and single-cell sequencing analysis could offer a promising approach to overcoming the challenges posed by </w:t>
      </w:r>
      <w:r w:rsidR="00E62EBD" w:rsidRPr="000F1525">
        <w:rPr>
          <w:rFonts w:ascii="Arial" w:hAnsi="Arial" w:cs="Arial"/>
          <w:sz w:val="24"/>
          <w:szCs w:val="32"/>
        </w:rPr>
        <w:t>pancreatic cancer</w:t>
      </w:r>
      <w:r w:rsidRPr="000F1525">
        <w:rPr>
          <w:rFonts w:ascii="Arial" w:hAnsi="Arial" w:cs="Arial"/>
          <w:sz w:val="24"/>
          <w:szCs w:val="32"/>
        </w:rPr>
        <w:t>. By leveraging the unique properties of NK cells and the detailed insights provided by single-cell sequencing, we can develop more targeted and effective immunotherapeutic strategies. This combination provides a framework for personalized treatment plans based on the specific immune landscape of individual tumors.</w:t>
      </w:r>
    </w:p>
    <w:p w14:paraId="74496D9B" w14:textId="3811F1DC" w:rsidR="00FF52B2" w:rsidRPr="000F1525" w:rsidRDefault="00000000">
      <w:pPr>
        <w:adjustRightInd w:val="0"/>
        <w:snapToGrid w:val="0"/>
        <w:spacing w:afterLines="50" w:after="156" w:line="360" w:lineRule="auto"/>
        <w:ind w:firstLineChars="200" w:firstLine="480"/>
        <w:rPr>
          <w:rFonts w:ascii="Arial" w:hAnsi="Arial" w:cs="Arial"/>
          <w:sz w:val="24"/>
          <w:szCs w:val="32"/>
        </w:rPr>
      </w:pPr>
      <w:r w:rsidRPr="000F1525">
        <w:rPr>
          <w:rFonts w:ascii="Arial" w:hAnsi="Arial" w:cs="Arial"/>
          <w:sz w:val="24"/>
          <w:szCs w:val="32"/>
        </w:rPr>
        <w:t>Here, we would initiate a first-in-human, single-arm, non-randomized, phase 1</w:t>
      </w:r>
      <w:r w:rsidR="001932D8">
        <w:rPr>
          <w:rFonts w:ascii="Arial" w:hAnsi="Arial" w:cs="Arial" w:hint="eastAsia"/>
          <w:sz w:val="24"/>
          <w:szCs w:val="32"/>
        </w:rPr>
        <w:t>b/2</w:t>
      </w:r>
      <w:r w:rsidRPr="000F1525">
        <w:rPr>
          <w:rFonts w:ascii="Arial" w:hAnsi="Arial" w:cs="Arial"/>
          <w:sz w:val="24"/>
          <w:szCs w:val="32"/>
        </w:rPr>
        <w:t xml:space="preserve"> clinical trial (ChiCTR1900021764) in advanced pancreatic cancer patients with GS chemotherapy, to evaluate the safety and feasibility of allogeneic NK cells, as well as the effect on patients' immune system function in single-cell insight, to provide references for large-scale clinical studies, and to explore the optimal dose of NK cell therapy through dose increment studies.</w:t>
      </w:r>
    </w:p>
    <w:p w14:paraId="6288A683" w14:textId="77777777" w:rsidR="00FF52B2" w:rsidRPr="000F1525" w:rsidRDefault="00FF52B2">
      <w:pPr>
        <w:adjustRightInd w:val="0"/>
        <w:snapToGrid w:val="0"/>
        <w:spacing w:line="360" w:lineRule="auto"/>
        <w:ind w:firstLineChars="200" w:firstLine="420"/>
        <w:rPr>
          <w:rFonts w:ascii="Arial" w:hAnsi="Arial" w:cs="Arial"/>
        </w:rPr>
      </w:pPr>
    </w:p>
    <w:p w14:paraId="4B78D9F4" w14:textId="77777777" w:rsidR="00FF52B2" w:rsidRPr="000F1525" w:rsidRDefault="00FF52B2">
      <w:pPr>
        <w:adjustRightInd w:val="0"/>
        <w:snapToGrid w:val="0"/>
        <w:spacing w:line="360" w:lineRule="auto"/>
        <w:ind w:firstLineChars="200" w:firstLine="420"/>
        <w:rPr>
          <w:rFonts w:ascii="Arial" w:hAnsi="Arial" w:cs="Arial"/>
        </w:rPr>
      </w:pPr>
    </w:p>
    <w:p w14:paraId="3FCC33B1" w14:textId="77777777" w:rsidR="00FF52B2" w:rsidRPr="000F1525" w:rsidRDefault="00000000" w:rsidP="00401FD2">
      <w:pPr>
        <w:pStyle w:val="ListParagraph1"/>
        <w:spacing w:afterLines="50" w:after="156" w:line="360" w:lineRule="auto"/>
        <w:ind w:left="-91"/>
        <w:jc w:val="center"/>
        <w:rPr>
          <w:rFonts w:ascii="Arial" w:hAnsi="Arial" w:cs="Arial"/>
          <w:b/>
          <w:bCs/>
          <w:sz w:val="28"/>
          <w:szCs w:val="36"/>
        </w:rPr>
      </w:pPr>
      <w:r w:rsidRPr="000F1525">
        <w:rPr>
          <w:rFonts w:ascii="Arial" w:hAnsi="Arial" w:cs="Arial"/>
          <w:b/>
          <w:bCs/>
          <w:sz w:val="28"/>
          <w:szCs w:val="36"/>
        </w:rPr>
        <w:t>Reference</w:t>
      </w:r>
    </w:p>
    <w:p w14:paraId="435951BE" w14:textId="59971A25" w:rsidR="00FF52B2" w:rsidRPr="000F1525" w:rsidRDefault="00000000">
      <w:pPr>
        <w:numPr>
          <w:ilvl w:val="0"/>
          <w:numId w:val="2"/>
        </w:numPr>
        <w:tabs>
          <w:tab w:val="left" w:pos="0"/>
        </w:tabs>
        <w:spacing w:after="120" w:line="312" w:lineRule="auto"/>
        <w:rPr>
          <w:rFonts w:ascii="Arial" w:hAnsi="Arial" w:cs="Arial"/>
          <w:sz w:val="24"/>
          <w:szCs w:val="32"/>
        </w:rPr>
      </w:pPr>
      <w:r w:rsidRPr="000F1525">
        <w:rPr>
          <w:rFonts w:ascii="Arial" w:hAnsi="Arial" w:cs="Arial"/>
          <w:sz w:val="24"/>
          <w:szCs w:val="32"/>
        </w:rPr>
        <w:t>M. Kalos, B. L. Levine, D. L. Porter et al., “T cells with chimeric antigen receptors have potent antitumor effects and can establish memory in patients with advanced leukemia,”</w:t>
      </w:r>
      <w:r w:rsidR="000C4D02">
        <w:rPr>
          <w:rFonts w:ascii="Arial" w:hAnsi="Arial" w:cs="Arial" w:hint="eastAsia"/>
          <w:sz w:val="24"/>
          <w:szCs w:val="32"/>
        </w:rPr>
        <w:t xml:space="preserve"> </w:t>
      </w:r>
      <w:r w:rsidRPr="000F1525">
        <w:rPr>
          <w:rFonts w:ascii="Arial" w:hAnsi="Arial" w:cs="Arial"/>
          <w:sz w:val="24"/>
          <w:szCs w:val="32"/>
        </w:rPr>
        <w:t>Science Translational Medicine, vol. 3, no. 95, Article ID95ra73, 2011.</w:t>
      </w:r>
    </w:p>
    <w:p w14:paraId="45643C39" w14:textId="65E56FD9" w:rsidR="00FF52B2" w:rsidRPr="000F1525" w:rsidRDefault="00000000">
      <w:pPr>
        <w:numPr>
          <w:ilvl w:val="0"/>
          <w:numId w:val="2"/>
        </w:numPr>
        <w:tabs>
          <w:tab w:val="left" w:pos="0"/>
        </w:tabs>
        <w:spacing w:after="120" w:line="312" w:lineRule="auto"/>
        <w:rPr>
          <w:rFonts w:ascii="Arial" w:hAnsi="Arial" w:cs="Arial"/>
          <w:sz w:val="24"/>
          <w:szCs w:val="32"/>
        </w:rPr>
      </w:pPr>
      <w:r w:rsidRPr="000F1525">
        <w:rPr>
          <w:rFonts w:ascii="Arial" w:hAnsi="Arial" w:cs="Arial"/>
          <w:sz w:val="24"/>
          <w:szCs w:val="32"/>
        </w:rPr>
        <w:t>S. A. Grupp, M. Kalos, D. Barrett et al., “Chimeric antigen receptor-modified T cells for acute lymphoid leukemia,” The New England Journal of</w:t>
      </w:r>
      <w:r w:rsidR="00001ACA">
        <w:rPr>
          <w:rFonts w:ascii="Arial" w:hAnsi="Arial" w:cs="Arial" w:hint="eastAsia"/>
          <w:sz w:val="24"/>
          <w:szCs w:val="32"/>
        </w:rPr>
        <w:t xml:space="preserve"> </w:t>
      </w:r>
      <w:r w:rsidRPr="000F1525">
        <w:rPr>
          <w:rFonts w:ascii="Arial" w:hAnsi="Arial" w:cs="Arial"/>
          <w:sz w:val="24"/>
          <w:szCs w:val="32"/>
        </w:rPr>
        <w:t>Medicine, vol. 368, no. 16, 2013pp. 1509–1518.</w:t>
      </w:r>
    </w:p>
    <w:p w14:paraId="571348A2" w14:textId="5E1957F0" w:rsidR="00FF52B2" w:rsidRPr="000F1525" w:rsidRDefault="00000000">
      <w:pPr>
        <w:numPr>
          <w:ilvl w:val="0"/>
          <w:numId w:val="2"/>
        </w:numPr>
        <w:tabs>
          <w:tab w:val="left" w:pos="0"/>
        </w:tabs>
        <w:spacing w:after="120" w:line="312" w:lineRule="auto"/>
        <w:rPr>
          <w:rFonts w:ascii="Arial" w:hAnsi="Arial" w:cs="Arial"/>
          <w:sz w:val="24"/>
          <w:szCs w:val="32"/>
        </w:rPr>
      </w:pPr>
      <w:r w:rsidRPr="000F1525">
        <w:rPr>
          <w:rFonts w:ascii="Arial" w:hAnsi="Arial" w:cs="Arial"/>
          <w:sz w:val="24"/>
          <w:szCs w:val="32"/>
        </w:rPr>
        <w:t xml:space="preserve">D. S. Ritchie, P. </w:t>
      </w:r>
      <w:proofErr w:type="spellStart"/>
      <w:proofErr w:type="gramStart"/>
      <w:r w:rsidRPr="000F1525">
        <w:rPr>
          <w:rFonts w:ascii="Arial" w:hAnsi="Arial" w:cs="Arial"/>
          <w:sz w:val="24"/>
          <w:szCs w:val="32"/>
        </w:rPr>
        <w:t>J.Neeson</w:t>
      </w:r>
      <w:proofErr w:type="spellEnd"/>
      <w:proofErr w:type="gramEnd"/>
      <w:r w:rsidRPr="000F1525">
        <w:rPr>
          <w:rFonts w:ascii="Arial" w:hAnsi="Arial" w:cs="Arial"/>
          <w:sz w:val="24"/>
          <w:szCs w:val="32"/>
        </w:rPr>
        <w:t xml:space="preserve">, </w:t>
      </w:r>
      <w:proofErr w:type="spellStart"/>
      <w:proofErr w:type="gramStart"/>
      <w:r w:rsidRPr="000F1525">
        <w:rPr>
          <w:rFonts w:ascii="Arial" w:hAnsi="Arial" w:cs="Arial"/>
          <w:sz w:val="24"/>
          <w:szCs w:val="32"/>
        </w:rPr>
        <w:t>A.Khot</w:t>
      </w:r>
      <w:proofErr w:type="spellEnd"/>
      <w:proofErr w:type="gramEnd"/>
      <w:r w:rsidRPr="000F1525">
        <w:rPr>
          <w:rFonts w:ascii="Arial" w:hAnsi="Arial" w:cs="Arial"/>
          <w:sz w:val="24"/>
          <w:szCs w:val="32"/>
        </w:rPr>
        <w:t xml:space="preserve"> et al., “Persistence and efficacy of </w:t>
      </w:r>
      <w:r w:rsidR="00001ACA" w:rsidRPr="000F1525">
        <w:rPr>
          <w:rFonts w:ascii="Arial" w:hAnsi="Arial" w:cs="Arial"/>
          <w:sz w:val="24"/>
          <w:szCs w:val="32"/>
        </w:rPr>
        <w:t>second-generation</w:t>
      </w:r>
      <w:r w:rsidRPr="000F1525">
        <w:rPr>
          <w:rFonts w:ascii="Arial" w:hAnsi="Arial" w:cs="Arial"/>
          <w:sz w:val="24"/>
          <w:szCs w:val="32"/>
        </w:rPr>
        <w:t xml:space="preserve"> CAR T cell against the </w:t>
      </w:r>
      <w:proofErr w:type="spellStart"/>
      <w:r w:rsidRPr="000F1525">
        <w:rPr>
          <w:rFonts w:ascii="Arial" w:hAnsi="Arial" w:cs="Arial"/>
          <w:sz w:val="24"/>
          <w:szCs w:val="32"/>
        </w:rPr>
        <w:t>LeY</w:t>
      </w:r>
      <w:proofErr w:type="spellEnd"/>
      <w:r w:rsidRPr="000F1525">
        <w:rPr>
          <w:rFonts w:ascii="Arial" w:hAnsi="Arial" w:cs="Arial"/>
          <w:sz w:val="24"/>
          <w:szCs w:val="32"/>
        </w:rPr>
        <w:t xml:space="preserve"> antigen in acute myeloid leukemia,” Molecular</w:t>
      </w:r>
      <w:r w:rsidR="00001ACA">
        <w:rPr>
          <w:rFonts w:ascii="Arial" w:hAnsi="Arial" w:cs="Arial" w:hint="eastAsia"/>
          <w:sz w:val="24"/>
          <w:szCs w:val="32"/>
        </w:rPr>
        <w:t xml:space="preserve"> </w:t>
      </w:r>
      <w:r w:rsidRPr="000F1525">
        <w:rPr>
          <w:rFonts w:ascii="Arial" w:hAnsi="Arial" w:cs="Arial"/>
          <w:sz w:val="24"/>
          <w:szCs w:val="32"/>
        </w:rPr>
        <w:t>Therapy, 2013.</w:t>
      </w:r>
    </w:p>
    <w:p w14:paraId="677D4655" w14:textId="77777777" w:rsidR="00FF52B2" w:rsidRPr="000F1525" w:rsidRDefault="00000000">
      <w:pPr>
        <w:numPr>
          <w:ilvl w:val="0"/>
          <w:numId w:val="2"/>
        </w:numPr>
        <w:tabs>
          <w:tab w:val="left" w:pos="0"/>
        </w:tabs>
        <w:spacing w:after="120" w:line="312" w:lineRule="auto"/>
        <w:rPr>
          <w:rFonts w:ascii="Arial" w:hAnsi="Arial" w:cs="Arial"/>
          <w:sz w:val="24"/>
          <w:szCs w:val="32"/>
        </w:rPr>
      </w:pPr>
      <w:r w:rsidRPr="000F1525">
        <w:rPr>
          <w:rFonts w:ascii="Arial" w:hAnsi="Arial" w:cs="Arial"/>
          <w:sz w:val="24"/>
          <w:szCs w:val="32"/>
        </w:rPr>
        <w:t xml:space="preserve">C. H. J. Lamers, R. Willemsen, P. van </w:t>
      </w:r>
      <w:proofErr w:type="spellStart"/>
      <w:r w:rsidRPr="000F1525">
        <w:rPr>
          <w:rFonts w:ascii="Arial" w:hAnsi="Arial" w:cs="Arial"/>
          <w:sz w:val="24"/>
          <w:szCs w:val="32"/>
        </w:rPr>
        <w:t>Elzakker</w:t>
      </w:r>
      <w:proofErr w:type="spellEnd"/>
      <w:r w:rsidRPr="000F1525">
        <w:rPr>
          <w:rFonts w:ascii="Arial" w:hAnsi="Arial" w:cs="Arial"/>
          <w:sz w:val="24"/>
          <w:szCs w:val="32"/>
        </w:rPr>
        <w:t xml:space="preserve"> et al., “Immune responses to transgene and retroviral vector in patients treated with ex vivo-engineered T </w:t>
      </w:r>
      <w:r w:rsidRPr="000F1525">
        <w:rPr>
          <w:rFonts w:ascii="Arial" w:hAnsi="Arial" w:cs="Arial"/>
          <w:sz w:val="24"/>
          <w:szCs w:val="32"/>
        </w:rPr>
        <w:lastRenderedPageBreak/>
        <w:t>cells,” Blood, vol. 117, no. 1, pp. 72–82, 2011.</w:t>
      </w:r>
    </w:p>
    <w:p w14:paraId="4FBD0AD0" w14:textId="0D4F6EE1" w:rsidR="00FF52B2" w:rsidRPr="000F1525" w:rsidRDefault="00000000">
      <w:pPr>
        <w:numPr>
          <w:ilvl w:val="0"/>
          <w:numId w:val="2"/>
        </w:numPr>
        <w:tabs>
          <w:tab w:val="left" w:pos="0"/>
        </w:tabs>
        <w:spacing w:after="120" w:line="312" w:lineRule="auto"/>
        <w:rPr>
          <w:rFonts w:ascii="Arial" w:hAnsi="Arial" w:cs="Arial"/>
          <w:sz w:val="24"/>
          <w:szCs w:val="32"/>
        </w:rPr>
      </w:pPr>
      <w:r w:rsidRPr="000F1525">
        <w:rPr>
          <w:rFonts w:ascii="Arial" w:hAnsi="Arial" w:cs="Arial"/>
          <w:sz w:val="24"/>
          <w:szCs w:val="32"/>
        </w:rPr>
        <w:t>Q. Ma, R. M. Gonzalo-Daganzo, and R. P. Junghans, “Genetically engineered T cells as adoptive immunotherapy of cancer,” Cancer Chemotherapy and Biological Response</w:t>
      </w:r>
      <w:r w:rsidR="00001ACA">
        <w:rPr>
          <w:rFonts w:ascii="Arial" w:hAnsi="Arial" w:cs="Arial" w:hint="eastAsia"/>
          <w:sz w:val="24"/>
          <w:szCs w:val="32"/>
        </w:rPr>
        <w:t xml:space="preserve"> </w:t>
      </w:r>
      <w:r w:rsidRPr="000F1525">
        <w:rPr>
          <w:rFonts w:ascii="Arial" w:hAnsi="Arial" w:cs="Arial"/>
          <w:sz w:val="24"/>
          <w:szCs w:val="32"/>
        </w:rPr>
        <w:t xml:space="preserve">Modifiers, vol. </w:t>
      </w:r>
      <w:proofErr w:type="gramStart"/>
      <w:r w:rsidRPr="000F1525">
        <w:rPr>
          <w:rFonts w:ascii="Arial" w:hAnsi="Arial" w:cs="Arial"/>
          <w:sz w:val="24"/>
          <w:szCs w:val="32"/>
        </w:rPr>
        <w:t>20,pp.</w:t>
      </w:r>
      <w:proofErr w:type="gramEnd"/>
      <w:r w:rsidRPr="000F1525">
        <w:rPr>
          <w:rFonts w:ascii="Arial" w:hAnsi="Arial" w:cs="Arial"/>
          <w:sz w:val="24"/>
          <w:szCs w:val="32"/>
        </w:rPr>
        <w:t xml:space="preserve"> 315–341, 2002.</w:t>
      </w:r>
    </w:p>
    <w:p w14:paraId="22D6A414" w14:textId="77777777" w:rsidR="00FF52B2" w:rsidRPr="000F1525" w:rsidRDefault="00000000">
      <w:pPr>
        <w:numPr>
          <w:ilvl w:val="0"/>
          <w:numId w:val="2"/>
        </w:numPr>
        <w:tabs>
          <w:tab w:val="left" w:pos="0"/>
        </w:tabs>
        <w:spacing w:after="120" w:line="312" w:lineRule="auto"/>
        <w:rPr>
          <w:rFonts w:ascii="Arial" w:hAnsi="Arial" w:cs="Arial"/>
          <w:sz w:val="24"/>
          <w:szCs w:val="32"/>
        </w:rPr>
      </w:pPr>
      <w:r w:rsidRPr="000F1525">
        <w:rPr>
          <w:rFonts w:ascii="Arial" w:hAnsi="Arial" w:cs="Arial"/>
          <w:sz w:val="24"/>
          <w:szCs w:val="32"/>
        </w:rPr>
        <w:t>M. H. Kershaw, J. A. Westwood, L. L. Parker et al., “A phase I study on adoptive immunotherapy using gene-modified T cells for ovarian cancer,” Clinical Cancer Research, vol. 12, no. 20, pp.6106–6115, 2006.</w:t>
      </w:r>
    </w:p>
    <w:p w14:paraId="443AA293" w14:textId="77777777" w:rsidR="00FF52B2" w:rsidRPr="000F1525" w:rsidRDefault="00000000">
      <w:pPr>
        <w:numPr>
          <w:ilvl w:val="0"/>
          <w:numId w:val="2"/>
        </w:numPr>
        <w:tabs>
          <w:tab w:val="left" w:pos="0"/>
        </w:tabs>
        <w:spacing w:after="120" w:line="312" w:lineRule="auto"/>
        <w:rPr>
          <w:rFonts w:ascii="Arial" w:hAnsi="Arial" w:cs="Arial"/>
          <w:sz w:val="24"/>
          <w:szCs w:val="32"/>
        </w:rPr>
      </w:pPr>
      <w:r w:rsidRPr="000F1525">
        <w:rPr>
          <w:rFonts w:ascii="Arial" w:hAnsi="Arial" w:cs="Arial"/>
          <w:sz w:val="24"/>
          <w:szCs w:val="32"/>
        </w:rPr>
        <w:t xml:space="preserve">S. Okamoto, J. </w:t>
      </w:r>
      <w:proofErr w:type="spellStart"/>
      <w:r w:rsidRPr="000F1525">
        <w:rPr>
          <w:rFonts w:ascii="Arial" w:hAnsi="Arial" w:cs="Arial"/>
          <w:sz w:val="24"/>
          <w:szCs w:val="32"/>
        </w:rPr>
        <w:t>Mineno</w:t>
      </w:r>
      <w:proofErr w:type="spellEnd"/>
      <w:r w:rsidRPr="000F1525">
        <w:rPr>
          <w:rFonts w:ascii="Arial" w:hAnsi="Arial" w:cs="Arial"/>
          <w:sz w:val="24"/>
          <w:szCs w:val="32"/>
        </w:rPr>
        <w:t>, H. Ikeda et al., “Improved expression and reactivity of transduced tumor-specific TCRs in human lymphocytes by specific silencing of endogenous TCR,” Cancer Research, vol. 69, no. 23, pp. 9003–9011, 2009.</w:t>
      </w:r>
    </w:p>
    <w:p w14:paraId="3B6DAF9F" w14:textId="77777777" w:rsidR="00FF52B2" w:rsidRPr="000F1525" w:rsidRDefault="00000000">
      <w:pPr>
        <w:numPr>
          <w:ilvl w:val="0"/>
          <w:numId w:val="2"/>
        </w:numPr>
        <w:tabs>
          <w:tab w:val="left" w:pos="0"/>
        </w:tabs>
        <w:spacing w:after="120" w:line="312" w:lineRule="auto"/>
        <w:rPr>
          <w:rFonts w:ascii="Arial" w:hAnsi="Arial" w:cs="Arial"/>
          <w:sz w:val="24"/>
          <w:szCs w:val="32"/>
        </w:rPr>
      </w:pPr>
      <w:r w:rsidRPr="000F1525">
        <w:rPr>
          <w:rFonts w:ascii="Arial" w:hAnsi="Arial" w:cs="Arial"/>
          <w:sz w:val="24"/>
          <w:szCs w:val="32"/>
        </w:rPr>
        <w:t xml:space="preserve">E. </w:t>
      </w:r>
      <w:proofErr w:type="spellStart"/>
      <w:r w:rsidRPr="000F1525">
        <w:rPr>
          <w:rFonts w:ascii="Arial" w:hAnsi="Arial" w:cs="Arial"/>
          <w:sz w:val="24"/>
          <w:szCs w:val="32"/>
        </w:rPr>
        <w:t>Provasi</w:t>
      </w:r>
      <w:proofErr w:type="spellEnd"/>
      <w:r w:rsidRPr="000F1525">
        <w:rPr>
          <w:rFonts w:ascii="Arial" w:hAnsi="Arial" w:cs="Arial"/>
          <w:sz w:val="24"/>
          <w:szCs w:val="32"/>
        </w:rPr>
        <w:t>, P. Genovese, A. Lombardo et al., “Editing T cell specificity towards leukemia by zinc finger nucleases and lentiviral gene transfer,” Nature Medicine, vol. 18, no. 5, pp. 807–815, 2012.</w:t>
      </w:r>
    </w:p>
    <w:p w14:paraId="65E4E831" w14:textId="3B5D554D" w:rsidR="00FF52B2" w:rsidRPr="000F1525" w:rsidRDefault="00000000">
      <w:pPr>
        <w:numPr>
          <w:ilvl w:val="0"/>
          <w:numId w:val="2"/>
        </w:numPr>
        <w:tabs>
          <w:tab w:val="left" w:pos="0"/>
        </w:tabs>
        <w:spacing w:after="120" w:line="312" w:lineRule="auto"/>
        <w:rPr>
          <w:rFonts w:ascii="Arial" w:hAnsi="Arial" w:cs="Arial"/>
          <w:sz w:val="24"/>
          <w:szCs w:val="32"/>
        </w:rPr>
      </w:pPr>
      <w:r w:rsidRPr="000F1525">
        <w:rPr>
          <w:rFonts w:ascii="Arial" w:hAnsi="Arial" w:cs="Arial"/>
          <w:sz w:val="24"/>
          <w:szCs w:val="32"/>
        </w:rPr>
        <w:t xml:space="preserve">R. A. Morgan, J. C. Yang, M. Kitano, M. E. Dudley, C. M. </w:t>
      </w:r>
      <w:proofErr w:type="spellStart"/>
      <w:r w:rsidRPr="000F1525">
        <w:rPr>
          <w:rFonts w:ascii="Arial" w:hAnsi="Arial" w:cs="Arial"/>
          <w:sz w:val="24"/>
          <w:szCs w:val="32"/>
        </w:rPr>
        <w:t>Laurencot</w:t>
      </w:r>
      <w:proofErr w:type="spellEnd"/>
      <w:r w:rsidRPr="000F1525">
        <w:rPr>
          <w:rFonts w:ascii="Arial" w:hAnsi="Arial" w:cs="Arial"/>
          <w:sz w:val="24"/>
          <w:szCs w:val="32"/>
        </w:rPr>
        <w:t>,</w:t>
      </w:r>
      <w:r w:rsidR="00001ACA">
        <w:rPr>
          <w:rFonts w:ascii="Arial" w:hAnsi="Arial" w:cs="Arial" w:hint="eastAsia"/>
          <w:sz w:val="24"/>
          <w:szCs w:val="32"/>
        </w:rPr>
        <w:t xml:space="preserve"> </w:t>
      </w:r>
      <w:r w:rsidRPr="000F1525">
        <w:rPr>
          <w:rFonts w:ascii="Arial" w:hAnsi="Arial" w:cs="Arial"/>
          <w:sz w:val="24"/>
          <w:szCs w:val="32"/>
        </w:rPr>
        <w:t>and S. A. Rosenberg, “Case report of a serious adverse event following the administration of t cells transduced with a chimeric antigen receptor recognizing ERBB2,” Molecular Therapy, vol. 18, no. 4, pp. 843–851, 2010.</w:t>
      </w:r>
    </w:p>
    <w:p w14:paraId="37ABBD73" w14:textId="069E4138" w:rsidR="00FF52B2" w:rsidRPr="000F1525" w:rsidRDefault="00000000">
      <w:pPr>
        <w:numPr>
          <w:ilvl w:val="0"/>
          <w:numId w:val="2"/>
        </w:numPr>
        <w:tabs>
          <w:tab w:val="left" w:pos="0"/>
        </w:tabs>
        <w:spacing w:after="120" w:line="312" w:lineRule="auto"/>
        <w:rPr>
          <w:rFonts w:ascii="Arial" w:hAnsi="Arial" w:cs="Arial"/>
          <w:sz w:val="24"/>
          <w:szCs w:val="32"/>
        </w:rPr>
      </w:pPr>
      <w:r w:rsidRPr="000F1525">
        <w:rPr>
          <w:rFonts w:ascii="Arial" w:hAnsi="Arial" w:cs="Arial"/>
          <w:sz w:val="24"/>
          <w:szCs w:val="32"/>
        </w:rPr>
        <w:t xml:space="preserve">Lanier LL. A renaissance for the </w:t>
      </w:r>
      <w:proofErr w:type="spellStart"/>
      <w:r w:rsidRPr="000F1525">
        <w:rPr>
          <w:rFonts w:ascii="Arial" w:hAnsi="Arial" w:cs="Arial"/>
          <w:sz w:val="24"/>
          <w:szCs w:val="32"/>
        </w:rPr>
        <w:t>tumour</w:t>
      </w:r>
      <w:proofErr w:type="spellEnd"/>
      <w:r w:rsidRPr="000F1525">
        <w:rPr>
          <w:rFonts w:ascii="Arial" w:hAnsi="Arial" w:cs="Arial"/>
          <w:sz w:val="24"/>
          <w:szCs w:val="32"/>
        </w:rPr>
        <w:t xml:space="preserve"> immunosurveillance hypothesis. Nat [7]</w:t>
      </w:r>
      <w:r w:rsidR="00001ACA">
        <w:rPr>
          <w:rFonts w:ascii="Arial" w:hAnsi="Arial" w:cs="Arial" w:hint="eastAsia"/>
          <w:sz w:val="24"/>
          <w:szCs w:val="32"/>
        </w:rPr>
        <w:t xml:space="preserve"> </w:t>
      </w:r>
      <w:r w:rsidRPr="000F1525">
        <w:rPr>
          <w:rFonts w:ascii="Arial" w:hAnsi="Arial" w:cs="Arial"/>
          <w:sz w:val="24"/>
          <w:szCs w:val="32"/>
        </w:rPr>
        <w:t xml:space="preserve">Med </w:t>
      </w:r>
      <w:proofErr w:type="gramStart"/>
      <w:r w:rsidRPr="000F1525">
        <w:rPr>
          <w:rFonts w:ascii="Arial" w:hAnsi="Arial" w:cs="Arial"/>
          <w:sz w:val="24"/>
          <w:szCs w:val="32"/>
        </w:rPr>
        <w:t>2001;7:1178</w:t>
      </w:r>
      <w:proofErr w:type="gramEnd"/>
      <w:r w:rsidRPr="000F1525">
        <w:rPr>
          <w:rFonts w:ascii="Arial" w:hAnsi="Arial" w:cs="Arial"/>
          <w:sz w:val="24"/>
          <w:szCs w:val="32"/>
        </w:rPr>
        <w:t xml:space="preserve">–80. </w:t>
      </w:r>
    </w:p>
    <w:p w14:paraId="67C8BE13" w14:textId="77777777" w:rsidR="00FF52B2" w:rsidRPr="000F1525" w:rsidRDefault="00000000">
      <w:pPr>
        <w:numPr>
          <w:ilvl w:val="0"/>
          <w:numId w:val="2"/>
        </w:numPr>
        <w:tabs>
          <w:tab w:val="left" w:pos="0"/>
        </w:tabs>
        <w:spacing w:after="120" w:line="312" w:lineRule="auto"/>
        <w:rPr>
          <w:rFonts w:ascii="Arial" w:hAnsi="Arial" w:cs="Arial"/>
          <w:sz w:val="24"/>
          <w:szCs w:val="32"/>
        </w:rPr>
      </w:pPr>
      <w:r w:rsidRPr="000F1525">
        <w:rPr>
          <w:rFonts w:ascii="Arial" w:hAnsi="Arial" w:cs="Arial"/>
          <w:sz w:val="24"/>
          <w:szCs w:val="32"/>
        </w:rPr>
        <w:t>Ljunggren HG, Karre K. In search of the 'missing self': MHC molecules and NK cell recognition[J]. Immunol Today, 1990, 11(7):237-244.</w:t>
      </w:r>
    </w:p>
    <w:p w14:paraId="5048ACA5" w14:textId="77777777" w:rsidR="00FF52B2" w:rsidRPr="000F1525" w:rsidRDefault="00000000">
      <w:pPr>
        <w:numPr>
          <w:ilvl w:val="0"/>
          <w:numId w:val="2"/>
        </w:numPr>
        <w:tabs>
          <w:tab w:val="left" w:pos="0"/>
        </w:tabs>
        <w:spacing w:after="120" w:line="312" w:lineRule="auto"/>
        <w:rPr>
          <w:rFonts w:ascii="Arial" w:hAnsi="Arial" w:cs="Arial"/>
          <w:sz w:val="24"/>
          <w:szCs w:val="32"/>
        </w:rPr>
      </w:pPr>
      <w:r w:rsidRPr="000F1525">
        <w:rPr>
          <w:rFonts w:ascii="Arial" w:hAnsi="Arial" w:cs="Arial"/>
          <w:sz w:val="24"/>
          <w:szCs w:val="32"/>
          <w:lang w:val="fr-FR"/>
        </w:rPr>
        <w:t xml:space="preserve">Handgretinger R, Lang P, André MC. </w:t>
      </w:r>
      <w:r w:rsidRPr="000F1525">
        <w:rPr>
          <w:rFonts w:ascii="Arial" w:hAnsi="Arial" w:cs="Arial"/>
          <w:sz w:val="24"/>
          <w:szCs w:val="32"/>
        </w:rPr>
        <w:t>Exploitation of natural killer cells for the treatment of acute leukemia. Blood 127, 3341-3349 (2016).</w:t>
      </w:r>
    </w:p>
    <w:p w14:paraId="70A34671" w14:textId="77777777" w:rsidR="00FF52B2" w:rsidRPr="000F1525" w:rsidRDefault="00000000">
      <w:pPr>
        <w:numPr>
          <w:ilvl w:val="0"/>
          <w:numId w:val="2"/>
        </w:numPr>
        <w:tabs>
          <w:tab w:val="left" w:pos="0"/>
        </w:tabs>
        <w:spacing w:after="120" w:line="312" w:lineRule="auto"/>
        <w:rPr>
          <w:rFonts w:ascii="Arial" w:hAnsi="Arial" w:cs="Arial"/>
          <w:sz w:val="24"/>
          <w:szCs w:val="32"/>
        </w:rPr>
      </w:pPr>
      <w:r w:rsidRPr="000F1525">
        <w:rPr>
          <w:rFonts w:ascii="Arial" w:hAnsi="Arial" w:cs="Arial"/>
          <w:sz w:val="24"/>
          <w:szCs w:val="32"/>
        </w:rPr>
        <w:t xml:space="preserve">Zheng C, Zheng L, Yoo JK et al., Landscape of Infiltrating T Cells in Liver Cancer Revealed by Single-Cell Sequencing. Cell. 2017 Jun 15;169(7):1342-1356.e16. </w:t>
      </w:r>
      <w:proofErr w:type="spellStart"/>
      <w:r w:rsidRPr="000F1525">
        <w:rPr>
          <w:rFonts w:ascii="Arial" w:hAnsi="Arial" w:cs="Arial"/>
          <w:sz w:val="24"/>
          <w:szCs w:val="32"/>
        </w:rPr>
        <w:t>doi</w:t>
      </w:r>
      <w:proofErr w:type="spellEnd"/>
      <w:r w:rsidRPr="000F1525">
        <w:rPr>
          <w:rFonts w:ascii="Arial" w:hAnsi="Arial" w:cs="Arial"/>
          <w:sz w:val="24"/>
          <w:szCs w:val="32"/>
        </w:rPr>
        <w:t xml:space="preserve">: 10.1016/j.cell.2017.05.035. </w:t>
      </w:r>
    </w:p>
    <w:p w14:paraId="4017020E" w14:textId="77777777" w:rsidR="00FF52B2" w:rsidRPr="000F1525" w:rsidRDefault="00000000">
      <w:pPr>
        <w:numPr>
          <w:ilvl w:val="0"/>
          <w:numId w:val="2"/>
        </w:numPr>
        <w:tabs>
          <w:tab w:val="left" w:pos="0"/>
        </w:tabs>
        <w:spacing w:after="120" w:line="312" w:lineRule="auto"/>
        <w:rPr>
          <w:rFonts w:ascii="Arial" w:hAnsi="Arial" w:cs="Arial"/>
          <w:sz w:val="24"/>
          <w:szCs w:val="32"/>
        </w:rPr>
      </w:pPr>
      <w:r w:rsidRPr="000F1525">
        <w:rPr>
          <w:rFonts w:ascii="Arial" w:hAnsi="Arial" w:cs="Arial"/>
          <w:sz w:val="24"/>
          <w:szCs w:val="32"/>
        </w:rPr>
        <w:t xml:space="preserve">Guo X, Zhang Y, Zheng L et al., Global characterization of T cells in non-small-cell lung cancer by single-cell sequencing. Nat Med. 2018 Jul;24(7):978-985. </w:t>
      </w:r>
      <w:proofErr w:type="spellStart"/>
      <w:r w:rsidRPr="000F1525">
        <w:rPr>
          <w:rFonts w:ascii="Arial" w:hAnsi="Arial" w:cs="Arial"/>
          <w:sz w:val="24"/>
          <w:szCs w:val="32"/>
        </w:rPr>
        <w:t>doi</w:t>
      </w:r>
      <w:proofErr w:type="spellEnd"/>
      <w:r w:rsidRPr="000F1525">
        <w:rPr>
          <w:rFonts w:ascii="Arial" w:hAnsi="Arial" w:cs="Arial"/>
          <w:sz w:val="24"/>
          <w:szCs w:val="32"/>
        </w:rPr>
        <w:t xml:space="preserve">: 10.1038/s41591-018-0045-3. </w:t>
      </w:r>
      <w:proofErr w:type="spellStart"/>
      <w:r w:rsidRPr="000F1525">
        <w:rPr>
          <w:rFonts w:ascii="Arial" w:hAnsi="Arial" w:cs="Arial"/>
          <w:sz w:val="24"/>
          <w:szCs w:val="32"/>
        </w:rPr>
        <w:t>Epub</w:t>
      </w:r>
      <w:proofErr w:type="spellEnd"/>
      <w:r w:rsidRPr="000F1525">
        <w:rPr>
          <w:rFonts w:ascii="Arial" w:hAnsi="Arial" w:cs="Arial"/>
          <w:sz w:val="24"/>
          <w:szCs w:val="32"/>
        </w:rPr>
        <w:t xml:space="preserve"> 2018 Jun 25. Erratum in: Nat Med. 2018 Oct;24(10):1628. </w:t>
      </w:r>
      <w:proofErr w:type="spellStart"/>
      <w:r w:rsidRPr="000F1525">
        <w:rPr>
          <w:rFonts w:ascii="Arial" w:hAnsi="Arial" w:cs="Arial"/>
          <w:sz w:val="24"/>
          <w:szCs w:val="32"/>
        </w:rPr>
        <w:t>doi</w:t>
      </w:r>
      <w:proofErr w:type="spellEnd"/>
      <w:r w:rsidRPr="000F1525">
        <w:rPr>
          <w:rFonts w:ascii="Arial" w:hAnsi="Arial" w:cs="Arial"/>
          <w:sz w:val="24"/>
          <w:szCs w:val="32"/>
        </w:rPr>
        <w:t>: 10.1038/s41591-018-0167-7.</w:t>
      </w:r>
    </w:p>
    <w:p w14:paraId="4F4157DD" w14:textId="77777777" w:rsidR="00FF52B2" w:rsidRPr="000F1525" w:rsidRDefault="00FF52B2">
      <w:pPr>
        <w:pStyle w:val="ListParagraph1"/>
        <w:spacing w:line="360" w:lineRule="auto"/>
        <w:ind w:left="420" w:hangingChars="200" w:hanging="420"/>
        <w:rPr>
          <w:rFonts w:ascii="Arial" w:hAnsi="Arial" w:cs="Arial"/>
        </w:rPr>
      </w:pPr>
    </w:p>
    <w:p w14:paraId="6CE42E96" w14:textId="1BF19478" w:rsidR="00FF52B2" w:rsidRPr="000F1525" w:rsidRDefault="006E77C8" w:rsidP="006E77C8">
      <w:pPr>
        <w:tabs>
          <w:tab w:val="left" w:pos="283"/>
        </w:tabs>
        <w:spacing w:line="360" w:lineRule="auto"/>
        <w:rPr>
          <w:rFonts w:ascii="Arial" w:hAnsi="Arial" w:cs="Arial"/>
          <w:b/>
          <w:bCs/>
          <w:sz w:val="24"/>
          <w:szCs w:val="32"/>
        </w:rPr>
      </w:pPr>
      <w:r w:rsidRPr="000F1525">
        <w:rPr>
          <w:rFonts w:ascii="Arial" w:hAnsi="Arial" w:cs="Arial"/>
          <w:b/>
          <w:bCs/>
          <w:sz w:val="24"/>
          <w:szCs w:val="32"/>
        </w:rPr>
        <w:lastRenderedPageBreak/>
        <w:t>2. Trial Objectives</w:t>
      </w:r>
    </w:p>
    <w:p w14:paraId="4418EA8D" w14:textId="40C7D28C" w:rsidR="00FF52B2" w:rsidRPr="000F1525" w:rsidRDefault="00000000" w:rsidP="004726A4">
      <w:pPr>
        <w:widowControl/>
        <w:spacing w:line="360" w:lineRule="auto"/>
        <w:ind w:firstLineChars="200" w:firstLine="480"/>
        <w:rPr>
          <w:rFonts w:ascii="Arial" w:eastAsia="宋体" w:hAnsi="Arial" w:cs="Arial"/>
          <w:color w:val="0D0D0D"/>
          <w:kern w:val="0"/>
          <w:sz w:val="24"/>
          <w:lang w:bidi="ar"/>
        </w:rPr>
      </w:pPr>
      <w:r w:rsidRPr="000F1525">
        <w:rPr>
          <w:rFonts w:ascii="Arial" w:eastAsia="宋体" w:hAnsi="Arial" w:cs="Arial"/>
          <w:color w:val="0D0D0D"/>
          <w:kern w:val="0"/>
          <w:sz w:val="24"/>
          <w:lang w:bidi="ar"/>
        </w:rPr>
        <w:t>The aim of this study is to evaluate the safety and efficacy of allogeneic NK cell therapy in advanced pancreatic cancer (APC) patients, as well as comprehensively understanding the peripheral immune landscape in these patients with distinct clinical outcomes in single cell insight</w:t>
      </w:r>
      <w:r w:rsidR="001F6D9C" w:rsidRPr="000F1525">
        <w:rPr>
          <w:rFonts w:ascii="Arial" w:eastAsia="宋体" w:hAnsi="Arial" w:cs="Arial"/>
          <w:color w:val="0D0D0D"/>
          <w:kern w:val="0"/>
          <w:sz w:val="24"/>
          <w:lang w:bidi="ar"/>
        </w:rPr>
        <w:t>.</w:t>
      </w:r>
    </w:p>
    <w:p w14:paraId="43AE316B" w14:textId="77777777" w:rsidR="00FF52B2" w:rsidRPr="000F1525" w:rsidRDefault="00FF52B2">
      <w:pPr>
        <w:tabs>
          <w:tab w:val="left" w:pos="0"/>
        </w:tabs>
        <w:spacing w:line="360" w:lineRule="auto"/>
        <w:rPr>
          <w:rFonts w:ascii="Arial" w:hAnsi="Arial" w:cs="Arial"/>
          <w:sz w:val="24"/>
          <w:szCs w:val="32"/>
        </w:rPr>
      </w:pPr>
    </w:p>
    <w:p w14:paraId="70223D5B" w14:textId="04EAF619" w:rsidR="00FF52B2" w:rsidRPr="000F1525" w:rsidRDefault="006E77C8" w:rsidP="006E77C8">
      <w:pPr>
        <w:tabs>
          <w:tab w:val="left" w:pos="283"/>
        </w:tabs>
        <w:spacing w:line="360" w:lineRule="auto"/>
        <w:rPr>
          <w:rFonts w:ascii="Arial" w:hAnsi="Arial" w:cs="Arial"/>
          <w:b/>
          <w:bCs/>
          <w:sz w:val="24"/>
          <w:szCs w:val="32"/>
        </w:rPr>
      </w:pPr>
      <w:r w:rsidRPr="000F1525">
        <w:rPr>
          <w:rFonts w:ascii="Arial" w:hAnsi="Arial" w:cs="Arial"/>
          <w:b/>
          <w:bCs/>
          <w:sz w:val="24"/>
          <w:szCs w:val="32"/>
        </w:rPr>
        <w:t>2.1 Primary outcomes</w:t>
      </w:r>
    </w:p>
    <w:p w14:paraId="5E1E5643" w14:textId="76BFCC52" w:rsidR="00FF52B2" w:rsidRPr="000F1525" w:rsidRDefault="00000000" w:rsidP="004726A4">
      <w:pPr>
        <w:spacing w:line="360" w:lineRule="auto"/>
        <w:ind w:firstLineChars="200" w:firstLine="480"/>
        <w:rPr>
          <w:rFonts w:ascii="Arial" w:hAnsi="Arial" w:cs="Arial"/>
          <w:strike/>
          <w:sz w:val="24"/>
          <w:szCs w:val="32"/>
        </w:rPr>
      </w:pPr>
      <w:r w:rsidRPr="000F1525">
        <w:rPr>
          <w:rFonts w:ascii="Arial" w:hAnsi="Arial" w:cs="Arial"/>
          <w:sz w:val="24"/>
          <w:szCs w:val="32"/>
        </w:rPr>
        <w:t xml:space="preserve">The primary endpoint was the safety and tolerability of the NK cell therapy combined with gemcitabine plus S-1 </w:t>
      </w:r>
      <w:r w:rsidR="001D1283" w:rsidRPr="000F1525">
        <w:rPr>
          <w:rFonts w:ascii="Arial" w:hAnsi="Arial" w:cs="Arial"/>
          <w:sz w:val="24"/>
          <w:szCs w:val="32"/>
        </w:rPr>
        <w:t xml:space="preserve">(GS) </w:t>
      </w:r>
      <w:r w:rsidRPr="000F1525">
        <w:rPr>
          <w:rFonts w:ascii="Arial" w:hAnsi="Arial" w:cs="Arial"/>
          <w:sz w:val="24"/>
          <w:szCs w:val="32"/>
        </w:rPr>
        <w:t>in patients with advanced pancreatic cancer.</w:t>
      </w:r>
    </w:p>
    <w:p w14:paraId="5E52A4CD" w14:textId="77777777" w:rsidR="00FF52B2" w:rsidRPr="000F1525" w:rsidRDefault="00FF52B2">
      <w:pPr>
        <w:spacing w:line="360" w:lineRule="auto"/>
        <w:rPr>
          <w:rFonts w:ascii="Arial" w:hAnsi="Arial" w:cs="Arial"/>
          <w:sz w:val="24"/>
          <w:szCs w:val="32"/>
        </w:rPr>
      </w:pPr>
    </w:p>
    <w:p w14:paraId="60B1E34E" w14:textId="3F5E2AB3" w:rsidR="00FF52B2" w:rsidRPr="000F1525" w:rsidRDefault="009460AF" w:rsidP="009460AF">
      <w:pPr>
        <w:tabs>
          <w:tab w:val="left" w:pos="283"/>
        </w:tabs>
        <w:spacing w:line="360" w:lineRule="auto"/>
        <w:rPr>
          <w:rFonts w:ascii="Arial" w:hAnsi="Arial" w:cs="Arial"/>
          <w:b/>
          <w:bCs/>
          <w:sz w:val="24"/>
          <w:szCs w:val="32"/>
        </w:rPr>
      </w:pPr>
      <w:r w:rsidRPr="000F1525">
        <w:rPr>
          <w:rFonts w:ascii="Arial" w:hAnsi="Arial" w:cs="Arial"/>
          <w:b/>
          <w:bCs/>
          <w:sz w:val="24"/>
          <w:szCs w:val="32"/>
        </w:rPr>
        <w:t>2.2 Secondary outcomes</w:t>
      </w:r>
    </w:p>
    <w:p w14:paraId="1EF7908B" w14:textId="6C7B1C30" w:rsidR="00FF52B2" w:rsidRPr="000F1525" w:rsidRDefault="00000000" w:rsidP="004726A4">
      <w:pPr>
        <w:tabs>
          <w:tab w:val="left" w:pos="0"/>
        </w:tabs>
        <w:spacing w:line="360" w:lineRule="auto"/>
        <w:ind w:firstLineChars="200" w:firstLine="480"/>
        <w:rPr>
          <w:rFonts w:ascii="Arial" w:hAnsi="Arial" w:cs="Arial"/>
          <w:sz w:val="24"/>
          <w:szCs w:val="32"/>
        </w:rPr>
      </w:pPr>
      <w:r w:rsidRPr="000F1525">
        <w:rPr>
          <w:rFonts w:ascii="Arial" w:hAnsi="Arial" w:cs="Arial"/>
          <w:sz w:val="24"/>
          <w:szCs w:val="32"/>
        </w:rPr>
        <w:t>The second endpoints were response rate and survival, including the objective response rate (ORR</w:t>
      </w:r>
      <w:r w:rsidR="00615C60" w:rsidRPr="000F1525">
        <w:rPr>
          <w:rFonts w:ascii="Arial" w:hAnsi="Arial" w:cs="Arial"/>
          <w:sz w:val="24"/>
          <w:szCs w:val="32"/>
        </w:rPr>
        <w:t>)</w:t>
      </w:r>
      <w:r w:rsidRPr="000F1525">
        <w:rPr>
          <w:rFonts w:ascii="Arial" w:hAnsi="Arial" w:cs="Arial"/>
          <w:sz w:val="24"/>
          <w:szCs w:val="32"/>
        </w:rPr>
        <w:t>, disease control rate (DCR), progress free survival and overall survival (PFS) and overall survival (OS).</w:t>
      </w:r>
    </w:p>
    <w:p w14:paraId="633F14AF" w14:textId="77777777" w:rsidR="00FF52B2" w:rsidRPr="000F1525" w:rsidRDefault="00FF52B2">
      <w:pPr>
        <w:tabs>
          <w:tab w:val="left" w:pos="0"/>
        </w:tabs>
        <w:spacing w:line="360" w:lineRule="auto"/>
        <w:rPr>
          <w:rFonts w:ascii="Arial" w:hAnsi="Arial" w:cs="Arial"/>
          <w:sz w:val="24"/>
          <w:szCs w:val="32"/>
        </w:rPr>
      </w:pPr>
    </w:p>
    <w:p w14:paraId="5579CDFD" w14:textId="77777777" w:rsidR="00FF52B2" w:rsidRPr="000F1525" w:rsidRDefault="00000000">
      <w:pPr>
        <w:tabs>
          <w:tab w:val="left" w:pos="0"/>
        </w:tabs>
        <w:spacing w:line="360" w:lineRule="auto"/>
        <w:rPr>
          <w:rFonts w:ascii="Arial" w:hAnsi="Arial" w:cs="Arial"/>
          <w:b/>
          <w:bCs/>
          <w:sz w:val="24"/>
          <w:szCs w:val="32"/>
        </w:rPr>
      </w:pPr>
      <w:r w:rsidRPr="000F1525">
        <w:rPr>
          <w:rFonts w:ascii="Arial" w:hAnsi="Arial" w:cs="Arial"/>
          <w:b/>
          <w:bCs/>
          <w:sz w:val="24"/>
          <w:szCs w:val="32"/>
        </w:rPr>
        <w:t>2.3 Exploratory outcomes</w:t>
      </w:r>
    </w:p>
    <w:p w14:paraId="523EDA04" w14:textId="77777777" w:rsidR="00FF52B2" w:rsidRPr="000F1525" w:rsidRDefault="00000000" w:rsidP="004726A4">
      <w:pPr>
        <w:tabs>
          <w:tab w:val="left" w:pos="0"/>
        </w:tabs>
        <w:spacing w:line="360" w:lineRule="auto"/>
        <w:ind w:firstLineChars="200" w:firstLine="480"/>
        <w:rPr>
          <w:rFonts w:ascii="Arial" w:hAnsi="Arial" w:cs="Arial"/>
          <w:sz w:val="24"/>
          <w:szCs w:val="32"/>
        </w:rPr>
      </w:pPr>
      <w:r w:rsidRPr="000F1525">
        <w:rPr>
          <w:rFonts w:ascii="Arial" w:hAnsi="Arial" w:cs="Arial"/>
          <w:sz w:val="24"/>
          <w:szCs w:val="32"/>
        </w:rPr>
        <w:t>The exploration end point was to estimate the underling dynamic peripheral immune landscape in response to this NK cell-based therapy for advanced pancreatic cancer patients.</w:t>
      </w:r>
    </w:p>
    <w:p w14:paraId="29752184" w14:textId="77777777" w:rsidR="00FF52B2" w:rsidRPr="000F1525" w:rsidRDefault="00FF52B2">
      <w:pPr>
        <w:tabs>
          <w:tab w:val="left" w:pos="0"/>
        </w:tabs>
        <w:spacing w:line="360" w:lineRule="auto"/>
        <w:rPr>
          <w:rFonts w:ascii="Arial" w:hAnsi="Arial" w:cs="Arial"/>
          <w:sz w:val="24"/>
          <w:szCs w:val="32"/>
        </w:rPr>
      </w:pPr>
    </w:p>
    <w:p w14:paraId="2D834FC5" w14:textId="4056C295" w:rsidR="00FF52B2" w:rsidRPr="000F1525" w:rsidRDefault="009460AF" w:rsidP="009460AF">
      <w:pPr>
        <w:tabs>
          <w:tab w:val="left" w:pos="283"/>
        </w:tabs>
        <w:spacing w:line="360" w:lineRule="auto"/>
        <w:rPr>
          <w:rFonts w:ascii="Arial" w:hAnsi="Arial" w:cs="Arial"/>
          <w:b/>
          <w:bCs/>
          <w:sz w:val="24"/>
          <w:szCs w:val="32"/>
        </w:rPr>
      </w:pPr>
      <w:r w:rsidRPr="000F1525">
        <w:rPr>
          <w:rFonts w:ascii="Arial" w:hAnsi="Arial" w:cs="Arial"/>
          <w:b/>
          <w:bCs/>
          <w:sz w:val="24"/>
          <w:szCs w:val="32"/>
        </w:rPr>
        <w:t>3. Trial Design</w:t>
      </w:r>
    </w:p>
    <w:p w14:paraId="7B91E1E6" w14:textId="77777777" w:rsidR="00FF52B2" w:rsidRPr="000F1525" w:rsidRDefault="00000000">
      <w:pPr>
        <w:spacing w:line="360" w:lineRule="auto"/>
        <w:rPr>
          <w:rFonts w:ascii="Arial" w:hAnsi="Arial" w:cs="Arial"/>
          <w:b/>
          <w:bCs/>
          <w:sz w:val="24"/>
          <w:szCs w:val="32"/>
        </w:rPr>
      </w:pPr>
      <w:r w:rsidRPr="000F1525">
        <w:rPr>
          <w:rFonts w:ascii="Arial" w:hAnsi="Arial" w:cs="Arial"/>
          <w:b/>
          <w:bCs/>
          <w:sz w:val="24"/>
          <w:szCs w:val="32"/>
        </w:rPr>
        <w:t>3.1. The inclusion and exclusion criteria</w:t>
      </w:r>
    </w:p>
    <w:p w14:paraId="15CD42AD" w14:textId="6B268653" w:rsidR="00FF52B2" w:rsidRPr="000F1525" w:rsidRDefault="00BB15CF">
      <w:pPr>
        <w:spacing w:line="360" w:lineRule="auto"/>
        <w:rPr>
          <w:rFonts w:ascii="Arial" w:hAnsi="Arial" w:cs="Arial"/>
          <w:b/>
          <w:bCs/>
          <w:sz w:val="24"/>
          <w:szCs w:val="32"/>
        </w:rPr>
      </w:pPr>
      <w:r w:rsidRPr="000F1525">
        <w:rPr>
          <w:rFonts w:ascii="Arial" w:hAnsi="Arial" w:cs="Arial"/>
          <w:b/>
          <w:bCs/>
          <w:sz w:val="24"/>
          <w:szCs w:val="32"/>
        </w:rPr>
        <w:t>3.1.1 Inclusion criteria</w:t>
      </w:r>
    </w:p>
    <w:p w14:paraId="737D9F52" w14:textId="117C63E0" w:rsidR="00D87026" w:rsidRPr="000F1525" w:rsidRDefault="00D87026" w:rsidP="00D87026">
      <w:pPr>
        <w:pStyle w:val="a7"/>
        <w:numPr>
          <w:ilvl w:val="0"/>
          <w:numId w:val="8"/>
        </w:numPr>
        <w:adjustRightInd w:val="0"/>
        <w:snapToGrid w:val="0"/>
        <w:spacing w:line="360" w:lineRule="auto"/>
        <w:rPr>
          <w:rFonts w:ascii="Arial" w:hAnsi="Arial" w:cs="Arial"/>
          <w:sz w:val="24"/>
          <w:szCs w:val="32"/>
        </w:rPr>
      </w:pPr>
      <w:r w:rsidRPr="000F1525">
        <w:rPr>
          <w:rFonts w:ascii="Arial" w:hAnsi="Arial" w:cs="Arial"/>
          <w:sz w:val="24"/>
          <w:szCs w:val="32"/>
        </w:rPr>
        <w:t>Age ≥ 18 and ≤ 75 years, male or female.</w:t>
      </w:r>
    </w:p>
    <w:p w14:paraId="35560E44" w14:textId="4A5B8CC5" w:rsidR="00D87026" w:rsidRPr="000F1525" w:rsidRDefault="00D87026" w:rsidP="00D87026">
      <w:pPr>
        <w:pStyle w:val="a7"/>
        <w:numPr>
          <w:ilvl w:val="0"/>
          <w:numId w:val="8"/>
        </w:numPr>
        <w:adjustRightInd w:val="0"/>
        <w:snapToGrid w:val="0"/>
        <w:spacing w:line="360" w:lineRule="auto"/>
        <w:rPr>
          <w:rFonts w:ascii="Arial" w:hAnsi="Arial" w:cs="Arial"/>
          <w:sz w:val="24"/>
          <w:szCs w:val="32"/>
        </w:rPr>
      </w:pPr>
      <w:r w:rsidRPr="000F1525">
        <w:rPr>
          <w:rFonts w:ascii="Arial" w:hAnsi="Arial" w:cs="Arial"/>
          <w:sz w:val="24"/>
          <w:szCs w:val="32"/>
        </w:rPr>
        <w:t>Histologically or imaging examination (CT or MRI) confirmed advanced pancreatic cancer.</w:t>
      </w:r>
    </w:p>
    <w:p w14:paraId="416E1BBF" w14:textId="33981214" w:rsidR="00D87026" w:rsidRPr="000F1525" w:rsidRDefault="00D87026" w:rsidP="00D87026">
      <w:pPr>
        <w:pStyle w:val="a7"/>
        <w:numPr>
          <w:ilvl w:val="0"/>
          <w:numId w:val="8"/>
        </w:numPr>
        <w:adjustRightInd w:val="0"/>
        <w:snapToGrid w:val="0"/>
        <w:spacing w:line="360" w:lineRule="auto"/>
        <w:rPr>
          <w:rFonts w:ascii="Arial" w:hAnsi="Arial" w:cs="Arial"/>
          <w:sz w:val="24"/>
          <w:szCs w:val="32"/>
        </w:rPr>
      </w:pPr>
      <w:r w:rsidRPr="000F1525">
        <w:rPr>
          <w:rFonts w:ascii="Arial" w:hAnsi="Arial" w:cs="Arial"/>
          <w:sz w:val="24"/>
          <w:szCs w:val="32"/>
        </w:rPr>
        <w:t>Planned with the GS standard chemotherapy.</w:t>
      </w:r>
    </w:p>
    <w:p w14:paraId="382B4E72" w14:textId="75C74F35" w:rsidR="00D87026" w:rsidRPr="000F1525" w:rsidRDefault="00D87026" w:rsidP="00D87026">
      <w:pPr>
        <w:pStyle w:val="a7"/>
        <w:numPr>
          <w:ilvl w:val="0"/>
          <w:numId w:val="8"/>
        </w:numPr>
        <w:adjustRightInd w:val="0"/>
        <w:snapToGrid w:val="0"/>
        <w:spacing w:line="360" w:lineRule="auto"/>
        <w:rPr>
          <w:rFonts w:ascii="Arial" w:hAnsi="Arial" w:cs="Arial"/>
          <w:sz w:val="24"/>
          <w:szCs w:val="32"/>
        </w:rPr>
      </w:pPr>
      <w:r w:rsidRPr="000F1525">
        <w:rPr>
          <w:rFonts w:ascii="Arial" w:hAnsi="Arial" w:cs="Arial"/>
          <w:sz w:val="24"/>
          <w:szCs w:val="32"/>
        </w:rPr>
        <w:t>At least one measurable lesion according to the response evaluation criteria in solid tumors (RECIST) V1.1.</w:t>
      </w:r>
    </w:p>
    <w:p w14:paraId="706D4001" w14:textId="506603EA" w:rsidR="00D87026" w:rsidRPr="000F1525" w:rsidRDefault="00D87026" w:rsidP="00D87026">
      <w:pPr>
        <w:pStyle w:val="a7"/>
        <w:numPr>
          <w:ilvl w:val="0"/>
          <w:numId w:val="8"/>
        </w:numPr>
        <w:adjustRightInd w:val="0"/>
        <w:snapToGrid w:val="0"/>
        <w:spacing w:line="360" w:lineRule="auto"/>
        <w:rPr>
          <w:rFonts w:ascii="Arial" w:hAnsi="Arial" w:cs="Arial"/>
          <w:sz w:val="24"/>
          <w:szCs w:val="32"/>
        </w:rPr>
      </w:pPr>
      <w:r w:rsidRPr="000F1525">
        <w:rPr>
          <w:rFonts w:ascii="Arial" w:hAnsi="Arial" w:cs="Arial"/>
          <w:sz w:val="24"/>
          <w:szCs w:val="32"/>
        </w:rPr>
        <w:lastRenderedPageBreak/>
        <w:t>Karnofsky performance score ≥ 80.</w:t>
      </w:r>
    </w:p>
    <w:p w14:paraId="2A3D6957" w14:textId="3ACF78A6" w:rsidR="00D87026" w:rsidRPr="000F1525" w:rsidRDefault="00D87026" w:rsidP="00D87026">
      <w:pPr>
        <w:pStyle w:val="a7"/>
        <w:numPr>
          <w:ilvl w:val="0"/>
          <w:numId w:val="8"/>
        </w:numPr>
        <w:adjustRightInd w:val="0"/>
        <w:snapToGrid w:val="0"/>
        <w:spacing w:line="360" w:lineRule="auto"/>
        <w:rPr>
          <w:rFonts w:ascii="Arial" w:hAnsi="Arial" w:cs="Arial"/>
          <w:sz w:val="24"/>
          <w:szCs w:val="32"/>
        </w:rPr>
      </w:pPr>
      <w:r w:rsidRPr="000F1525">
        <w:rPr>
          <w:rFonts w:ascii="Arial" w:hAnsi="Arial" w:cs="Arial"/>
          <w:sz w:val="24"/>
          <w:szCs w:val="32"/>
        </w:rPr>
        <w:t>Expected survival period exceeded 3 months.</w:t>
      </w:r>
    </w:p>
    <w:p w14:paraId="10FEF591" w14:textId="41AEE744" w:rsidR="00D87026" w:rsidRPr="000F1525" w:rsidRDefault="00D87026" w:rsidP="00D87026">
      <w:pPr>
        <w:pStyle w:val="a7"/>
        <w:numPr>
          <w:ilvl w:val="0"/>
          <w:numId w:val="8"/>
        </w:numPr>
        <w:adjustRightInd w:val="0"/>
        <w:snapToGrid w:val="0"/>
        <w:spacing w:line="360" w:lineRule="auto"/>
        <w:rPr>
          <w:rFonts w:ascii="Arial" w:hAnsi="Arial" w:cs="Arial"/>
          <w:sz w:val="24"/>
          <w:szCs w:val="32"/>
        </w:rPr>
      </w:pPr>
      <w:r w:rsidRPr="000F1525">
        <w:rPr>
          <w:rFonts w:ascii="Arial" w:hAnsi="Arial" w:cs="Arial"/>
          <w:sz w:val="24"/>
          <w:szCs w:val="32"/>
        </w:rPr>
        <w:t>Absolute neutrophil count ≥ 1.5 × 10</w:t>
      </w:r>
      <w:r w:rsidRPr="000F1525">
        <w:rPr>
          <w:rFonts w:ascii="Arial" w:hAnsi="Arial" w:cs="Arial"/>
          <w:sz w:val="24"/>
          <w:szCs w:val="32"/>
          <w:vertAlign w:val="superscript"/>
        </w:rPr>
        <w:t>9</w:t>
      </w:r>
      <w:r w:rsidRPr="000F1525">
        <w:rPr>
          <w:rFonts w:ascii="Arial" w:hAnsi="Arial" w:cs="Arial"/>
          <w:sz w:val="24"/>
          <w:szCs w:val="32"/>
        </w:rPr>
        <w:t>/L, platelet count ≥ 80 × 10</w:t>
      </w:r>
      <w:r w:rsidRPr="000F1525">
        <w:rPr>
          <w:rFonts w:ascii="Arial" w:hAnsi="Arial" w:cs="Arial"/>
          <w:sz w:val="24"/>
          <w:szCs w:val="32"/>
          <w:vertAlign w:val="superscript"/>
        </w:rPr>
        <w:t>9</w:t>
      </w:r>
      <w:r w:rsidRPr="000F1525">
        <w:rPr>
          <w:rFonts w:ascii="Arial" w:hAnsi="Arial" w:cs="Arial"/>
          <w:sz w:val="24"/>
          <w:szCs w:val="32"/>
        </w:rPr>
        <w:t>/L and hemoglobin ≥ 9 g/dL.</w:t>
      </w:r>
    </w:p>
    <w:p w14:paraId="201F6FAE" w14:textId="3AB930DB" w:rsidR="00D87026" w:rsidRPr="000F1525" w:rsidRDefault="00D87026" w:rsidP="00D87026">
      <w:pPr>
        <w:pStyle w:val="a7"/>
        <w:numPr>
          <w:ilvl w:val="0"/>
          <w:numId w:val="8"/>
        </w:numPr>
        <w:adjustRightInd w:val="0"/>
        <w:snapToGrid w:val="0"/>
        <w:spacing w:line="360" w:lineRule="auto"/>
        <w:rPr>
          <w:rFonts w:ascii="Arial" w:hAnsi="Arial" w:cs="Arial"/>
          <w:sz w:val="24"/>
          <w:szCs w:val="32"/>
        </w:rPr>
      </w:pPr>
      <w:r w:rsidRPr="000F1525">
        <w:rPr>
          <w:rFonts w:ascii="Arial" w:hAnsi="Arial" w:cs="Arial"/>
          <w:sz w:val="24"/>
          <w:szCs w:val="32"/>
        </w:rPr>
        <w:t>Total bilirubin ≤ 1.5-times upper limit of normal (ULN), alkaline phosphatase ≤ 5-times ULN, and aspartate aminotransferase (AST) and alanine aminotransferase (ALT) ≤ 3-times ULN (AST and ALT ≤ 5-times ULN for patients with liver metastasis).</w:t>
      </w:r>
    </w:p>
    <w:p w14:paraId="710C1BEF" w14:textId="1509EF20" w:rsidR="00D87026" w:rsidRPr="000F1525" w:rsidRDefault="00D87026" w:rsidP="00D87026">
      <w:pPr>
        <w:pStyle w:val="a7"/>
        <w:numPr>
          <w:ilvl w:val="0"/>
          <w:numId w:val="8"/>
        </w:numPr>
        <w:adjustRightInd w:val="0"/>
        <w:snapToGrid w:val="0"/>
        <w:spacing w:line="360" w:lineRule="auto"/>
        <w:rPr>
          <w:rFonts w:ascii="Arial" w:hAnsi="Arial" w:cs="Arial"/>
          <w:sz w:val="24"/>
          <w:szCs w:val="32"/>
        </w:rPr>
      </w:pPr>
      <w:r w:rsidRPr="000F1525">
        <w:rPr>
          <w:rFonts w:ascii="Arial" w:hAnsi="Arial" w:cs="Arial"/>
          <w:sz w:val="24"/>
          <w:szCs w:val="32"/>
        </w:rPr>
        <w:t>Serum creatinine ≤ 1.5-times ULN or calculated creatinine clearance ≥ 50 mL/min.</w:t>
      </w:r>
    </w:p>
    <w:p w14:paraId="789882BA" w14:textId="0A5314F4" w:rsidR="00D87026" w:rsidRPr="000F1525" w:rsidRDefault="00D87026" w:rsidP="00D87026">
      <w:pPr>
        <w:pStyle w:val="a7"/>
        <w:numPr>
          <w:ilvl w:val="0"/>
          <w:numId w:val="8"/>
        </w:numPr>
        <w:adjustRightInd w:val="0"/>
        <w:snapToGrid w:val="0"/>
        <w:spacing w:line="360" w:lineRule="auto"/>
        <w:rPr>
          <w:rFonts w:ascii="Arial" w:hAnsi="Arial" w:cs="Arial"/>
          <w:sz w:val="24"/>
          <w:szCs w:val="32"/>
        </w:rPr>
      </w:pPr>
      <w:proofErr w:type="gramStart"/>
      <w:r w:rsidRPr="000F1525">
        <w:rPr>
          <w:rFonts w:ascii="Arial" w:hAnsi="Arial" w:cs="Arial"/>
          <w:sz w:val="24"/>
          <w:szCs w:val="32"/>
        </w:rPr>
        <w:t>Basically</w:t>
      </w:r>
      <w:proofErr w:type="gramEnd"/>
      <w:r w:rsidRPr="000F1525">
        <w:rPr>
          <w:rFonts w:ascii="Arial" w:hAnsi="Arial" w:cs="Arial"/>
          <w:sz w:val="24"/>
          <w:szCs w:val="32"/>
        </w:rPr>
        <w:t xml:space="preserve"> normal electrocardiogram, cardiac ejection fraction &gt; 50% and no unhealed trauma.</w:t>
      </w:r>
    </w:p>
    <w:p w14:paraId="0DDC10C9" w14:textId="2EBDFB6A" w:rsidR="00D87026" w:rsidRPr="000F1525" w:rsidRDefault="00D87026" w:rsidP="00D87026">
      <w:pPr>
        <w:pStyle w:val="a7"/>
        <w:numPr>
          <w:ilvl w:val="0"/>
          <w:numId w:val="8"/>
        </w:numPr>
        <w:adjustRightInd w:val="0"/>
        <w:snapToGrid w:val="0"/>
        <w:spacing w:line="360" w:lineRule="auto"/>
        <w:rPr>
          <w:rFonts w:ascii="Arial" w:hAnsi="Arial" w:cs="Arial"/>
          <w:sz w:val="24"/>
          <w:szCs w:val="32"/>
        </w:rPr>
      </w:pPr>
      <w:r w:rsidRPr="000F1525">
        <w:rPr>
          <w:rFonts w:ascii="Arial" w:hAnsi="Arial" w:cs="Arial"/>
          <w:sz w:val="24"/>
          <w:szCs w:val="32"/>
        </w:rPr>
        <w:t>Human immunodeficiency virus (HIV), hepatitis B virus (HBV), and hepatitis C virus (HCV) tested negative.</w:t>
      </w:r>
    </w:p>
    <w:p w14:paraId="68B5F10E" w14:textId="3EF90176" w:rsidR="00FF52B2" w:rsidRPr="000F1525" w:rsidRDefault="00D87026" w:rsidP="00D87026">
      <w:pPr>
        <w:pStyle w:val="a7"/>
        <w:numPr>
          <w:ilvl w:val="0"/>
          <w:numId w:val="8"/>
        </w:numPr>
        <w:adjustRightInd w:val="0"/>
        <w:snapToGrid w:val="0"/>
        <w:spacing w:line="360" w:lineRule="auto"/>
        <w:rPr>
          <w:rFonts w:ascii="Arial" w:hAnsi="Arial" w:cs="Arial"/>
          <w:sz w:val="24"/>
          <w:szCs w:val="32"/>
        </w:rPr>
      </w:pPr>
      <w:r w:rsidRPr="000F1525">
        <w:rPr>
          <w:rFonts w:ascii="Arial" w:hAnsi="Arial" w:cs="Arial"/>
          <w:sz w:val="24"/>
          <w:szCs w:val="32"/>
        </w:rPr>
        <w:t>Signed informed consent.</w:t>
      </w:r>
    </w:p>
    <w:p w14:paraId="335D4F4E" w14:textId="77777777" w:rsidR="00B669CE" w:rsidRPr="000F1525" w:rsidRDefault="00B669CE" w:rsidP="00B669CE">
      <w:pPr>
        <w:pStyle w:val="a7"/>
        <w:adjustRightInd w:val="0"/>
        <w:snapToGrid w:val="0"/>
        <w:spacing w:line="360" w:lineRule="auto"/>
        <w:ind w:left="630"/>
        <w:rPr>
          <w:rFonts w:ascii="Arial" w:hAnsi="Arial" w:cs="Arial"/>
          <w:sz w:val="24"/>
          <w:szCs w:val="32"/>
        </w:rPr>
      </w:pPr>
    </w:p>
    <w:p w14:paraId="121F1FD5" w14:textId="3E194987" w:rsidR="00FF52B2" w:rsidRPr="000F1525" w:rsidRDefault="00590017">
      <w:pPr>
        <w:spacing w:line="360" w:lineRule="auto"/>
        <w:rPr>
          <w:rFonts w:ascii="Arial" w:hAnsi="Arial" w:cs="Arial"/>
          <w:b/>
          <w:bCs/>
          <w:sz w:val="24"/>
          <w:szCs w:val="32"/>
        </w:rPr>
      </w:pPr>
      <w:r w:rsidRPr="000F1525">
        <w:rPr>
          <w:rFonts w:ascii="Arial" w:hAnsi="Arial" w:cs="Arial"/>
          <w:b/>
          <w:bCs/>
          <w:sz w:val="24"/>
          <w:szCs w:val="32"/>
        </w:rPr>
        <w:t>3.1.2 Exclusion criteria</w:t>
      </w:r>
    </w:p>
    <w:p w14:paraId="76185B22" w14:textId="53E55013" w:rsidR="00B669CE" w:rsidRPr="000F1525" w:rsidRDefault="00B669CE" w:rsidP="00B669CE">
      <w:pPr>
        <w:pStyle w:val="a7"/>
        <w:numPr>
          <w:ilvl w:val="0"/>
          <w:numId w:val="10"/>
        </w:numPr>
        <w:spacing w:line="360" w:lineRule="auto"/>
        <w:rPr>
          <w:rFonts w:ascii="Arial" w:hAnsi="Arial" w:cs="Arial"/>
          <w:sz w:val="24"/>
          <w:szCs w:val="32"/>
        </w:rPr>
      </w:pPr>
      <w:r w:rsidRPr="000F1525">
        <w:rPr>
          <w:rFonts w:ascii="Arial" w:hAnsi="Arial" w:cs="Arial"/>
          <w:sz w:val="24"/>
          <w:szCs w:val="32"/>
        </w:rPr>
        <w:t>Known allergy to biologics or gemcitabine and S-1 chemotherapy agents.</w:t>
      </w:r>
    </w:p>
    <w:p w14:paraId="1F6D1918" w14:textId="6121EA20" w:rsidR="00B669CE" w:rsidRPr="000F1525" w:rsidRDefault="00B669CE" w:rsidP="00B669CE">
      <w:pPr>
        <w:pStyle w:val="a7"/>
        <w:numPr>
          <w:ilvl w:val="0"/>
          <w:numId w:val="10"/>
        </w:numPr>
        <w:spacing w:line="360" w:lineRule="auto"/>
        <w:rPr>
          <w:rFonts w:ascii="Arial" w:hAnsi="Arial" w:cs="Arial"/>
          <w:sz w:val="24"/>
          <w:szCs w:val="32"/>
        </w:rPr>
      </w:pPr>
      <w:r w:rsidRPr="000F1525">
        <w:rPr>
          <w:rFonts w:ascii="Arial" w:hAnsi="Arial" w:cs="Arial"/>
          <w:sz w:val="24"/>
          <w:szCs w:val="32"/>
        </w:rPr>
        <w:t>Existing severe uncontrolled acute infection, purulent or chronic infection, and prolonged wound healing.</w:t>
      </w:r>
    </w:p>
    <w:p w14:paraId="37687D5E" w14:textId="520C36F9" w:rsidR="00B669CE" w:rsidRPr="000F1525" w:rsidRDefault="00B669CE" w:rsidP="00B669CE">
      <w:pPr>
        <w:pStyle w:val="a7"/>
        <w:numPr>
          <w:ilvl w:val="0"/>
          <w:numId w:val="10"/>
        </w:numPr>
        <w:spacing w:line="360" w:lineRule="auto"/>
        <w:rPr>
          <w:rFonts w:ascii="Arial" w:hAnsi="Arial" w:cs="Arial"/>
          <w:sz w:val="24"/>
          <w:szCs w:val="32"/>
        </w:rPr>
      </w:pPr>
      <w:r w:rsidRPr="000F1525">
        <w:rPr>
          <w:rFonts w:ascii="Arial" w:hAnsi="Arial" w:cs="Arial"/>
          <w:sz w:val="24"/>
          <w:szCs w:val="32"/>
        </w:rPr>
        <w:t>Severe heart disease, including: congestive heart failure, uncontrolled cardiac arrhythmias, unstable angina, myocardial infarction, severe valve disease, and resistant hypertension.</w:t>
      </w:r>
    </w:p>
    <w:p w14:paraId="3E9E5C36" w14:textId="2E6E4E83" w:rsidR="00B669CE" w:rsidRPr="000F1525" w:rsidRDefault="00B669CE" w:rsidP="00B669CE">
      <w:pPr>
        <w:pStyle w:val="a7"/>
        <w:numPr>
          <w:ilvl w:val="0"/>
          <w:numId w:val="10"/>
        </w:numPr>
        <w:spacing w:line="360" w:lineRule="auto"/>
        <w:rPr>
          <w:rFonts w:ascii="Arial" w:hAnsi="Arial" w:cs="Arial"/>
          <w:sz w:val="24"/>
          <w:szCs w:val="32"/>
        </w:rPr>
      </w:pPr>
      <w:r w:rsidRPr="000F1525">
        <w:rPr>
          <w:rFonts w:ascii="Arial" w:hAnsi="Arial" w:cs="Arial"/>
          <w:sz w:val="24"/>
          <w:szCs w:val="32"/>
        </w:rPr>
        <w:t>Severe neurologic or psychiatric, or mental disorders, poor adherence, and inability to cooperate and describe treatment responses.</w:t>
      </w:r>
    </w:p>
    <w:p w14:paraId="5C444E05" w14:textId="64851122" w:rsidR="00B669CE" w:rsidRPr="000F1525" w:rsidRDefault="00B669CE" w:rsidP="00B669CE">
      <w:pPr>
        <w:pStyle w:val="a7"/>
        <w:numPr>
          <w:ilvl w:val="0"/>
          <w:numId w:val="10"/>
        </w:numPr>
        <w:spacing w:line="360" w:lineRule="auto"/>
        <w:rPr>
          <w:rFonts w:ascii="Arial" w:hAnsi="Arial" w:cs="Arial"/>
          <w:sz w:val="24"/>
          <w:szCs w:val="32"/>
        </w:rPr>
      </w:pPr>
      <w:r w:rsidRPr="000F1525">
        <w:rPr>
          <w:rFonts w:ascii="Arial" w:hAnsi="Arial" w:cs="Arial"/>
          <w:sz w:val="24"/>
          <w:szCs w:val="32"/>
        </w:rPr>
        <w:t>Primary brain tumor or uncontrolled central nervous metastases, with obvious intracranial hypertension or neuropsychiatric symptoms.</w:t>
      </w:r>
    </w:p>
    <w:p w14:paraId="4371FDD1" w14:textId="1A43BC64" w:rsidR="00B669CE" w:rsidRPr="000F1525" w:rsidRDefault="00B669CE" w:rsidP="00B669CE">
      <w:pPr>
        <w:pStyle w:val="a7"/>
        <w:numPr>
          <w:ilvl w:val="0"/>
          <w:numId w:val="10"/>
        </w:numPr>
        <w:spacing w:line="360" w:lineRule="auto"/>
        <w:rPr>
          <w:rFonts w:ascii="Arial" w:hAnsi="Arial" w:cs="Arial"/>
          <w:sz w:val="24"/>
          <w:szCs w:val="32"/>
        </w:rPr>
      </w:pPr>
      <w:r w:rsidRPr="000F1525">
        <w:rPr>
          <w:rFonts w:ascii="Arial" w:hAnsi="Arial" w:cs="Arial"/>
          <w:sz w:val="24"/>
          <w:szCs w:val="32"/>
        </w:rPr>
        <w:t>Bleeding tendency.</w:t>
      </w:r>
    </w:p>
    <w:p w14:paraId="07231944" w14:textId="663E94DE" w:rsidR="00B669CE" w:rsidRPr="000F1525" w:rsidRDefault="00B669CE" w:rsidP="00B669CE">
      <w:pPr>
        <w:pStyle w:val="a7"/>
        <w:numPr>
          <w:ilvl w:val="0"/>
          <w:numId w:val="10"/>
        </w:numPr>
        <w:spacing w:line="360" w:lineRule="auto"/>
        <w:rPr>
          <w:rFonts w:ascii="Arial" w:hAnsi="Arial" w:cs="Arial"/>
          <w:sz w:val="24"/>
          <w:szCs w:val="32"/>
        </w:rPr>
      </w:pPr>
      <w:r w:rsidRPr="000F1525">
        <w:rPr>
          <w:rFonts w:ascii="Arial" w:hAnsi="Arial" w:cs="Arial"/>
          <w:sz w:val="24"/>
          <w:szCs w:val="32"/>
        </w:rPr>
        <w:t>Drug addicts.</w:t>
      </w:r>
    </w:p>
    <w:p w14:paraId="688CED1D" w14:textId="0AE19A96" w:rsidR="00B669CE" w:rsidRPr="000F1525" w:rsidRDefault="00B669CE" w:rsidP="00B669CE">
      <w:pPr>
        <w:pStyle w:val="a7"/>
        <w:numPr>
          <w:ilvl w:val="0"/>
          <w:numId w:val="10"/>
        </w:numPr>
        <w:spacing w:line="360" w:lineRule="auto"/>
        <w:rPr>
          <w:rFonts w:ascii="Arial" w:hAnsi="Arial" w:cs="Arial"/>
          <w:sz w:val="24"/>
          <w:szCs w:val="32"/>
        </w:rPr>
      </w:pPr>
      <w:r w:rsidRPr="000F1525">
        <w:rPr>
          <w:rFonts w:ascii="Arial" w:hAnsi="Arial" w:cs="Arial"/>
          <w:sz w:val="24"/>
          <w:szCs w:val="32"/>
        </w:rPr>
        <w:t>History of solid organ transplant or hematopoietic stem cell transplant.</w:t>
      </w:r>
    </w:p>
    <w:p w14:paraId="01716035" w14:textId="535D1AB5" w:rsidR="00B669CE" w:rsidRPr="000F1525" w:rsidRDefault="00B669CE" w:rsidP="00B669CE">
      <w:pPr>
        <w:pStyle w:val="a7"/>
        <w:numPr>
          <w:ilvl w:val="0"/>
          <w:numId w:val="10"/>
        </w:numPr>
        <w:spacing w:line="360" w:lineRule="auto"/>
        <w:rPr>
          <w:rFonts w:ascii="Arial" w:hAnsi="Arial" w:cs="Arial"/>
          <w:sz w:val="24"/>
          <w:szCs w:val="32"/>
        </w:rPr>
      </w:pPr>
      <w:r w:rsidRPr="000F1525">
        <w:rPr>
          <w:rFonts w:ascii="Arial" w:hAnsi="Arial" w:cs="Arial"/>
          <w:sz w:val="24"/>
          <w:szCs w:val="32"/>
        </w:rPr>
        <w:lastRenderedPageBreak/>
        <w:t>Suffered from any other immunological disease, long-term use of corticosteroids or other immunosuppressants, or treated with immunosuppressive drugs within 3 months prior to participation, and treated with glucocorticoids within the week prior to participation.</w:t>
      </w:r>
    </w:p>
    <w:p w14:paraId="75848F97" w14:textId="2AFA9594" w:rsidR="00B669CE" w:rsidRPr="000F1525" w:rsidRDefault="00B669CE" w:rsidP="00B669CE">
      <w:pPr>
        <w:pStyle w:val="a7"/>
        <w:numPr>
          <w:ilvl w:val="0"/>
          <w:numId w:val="10"/>
        </w:numPr>
        <w:spacing w:line="360" w:lineRule="auto"/>
        <w:rPr>
          <w:rFonts w:ascii="Arial" w:hAnsi="Arial" w:cs="Arial"/>
          <w:sz w:val="24"/>
          <w:szCs w:val="32"/>
        </w:rPr>
      </w:pPr>
      <w:r w:rsidRPr="000F1525">
        <w:rPr>
          <w:rFonts w:ascii="Arial" w:hAnsi="Arial" w:cs="Arial"/>
          <w:sz w:val="24"/>
          <w:szCs w:val="32"/>
        </w:rPr>
        <w:t>Women of childbearing potential must have agreed to practice effective contraception during the study and for 6 months after their last dose of study treatment (such as an intrauterine device, birth control pills, or condoms), a negative serum or urinary pregnancy test within 14 days prior to enrollment, and be non-lactating.</w:t>
      </w:r>
    </w:p>
    <w:p w14:paraId="6D631216" w14:textId="4E298CDE" w:rsidR="00FF52B2" w:rsidRPr="000F1525" w:rsidRDefault="00B669CE" w:rsidP="00B669CE">
      <w:pPr>
        <w:pStyle w:val="a7"/>
        <w:numPr>
          <w:ilvl w:val="0"/>
          <w:numId w:val="10"/>
        </w:numPr>
        <w:spacing w:line="360" w:lineRule="auto"/>
        <w:rPr>
          <w:rFonts w:ascii="Arial" w:hAnsi="Arial" w:cs="Arial"/>
          <w:sz w:val="24"/>
          <w:szCs w:val="32"/>
        </w:rPr>
      </w:pPr>
      <w:r w:rsidRPr="000F1525">
        <w:rPr>
          <w:rFonts w:ascii="Arial" w:hAnsi="Arial" w:cs="Arial"/>
          <w:sz w:val="24"/>
          <w:szCs w:val="32"/>
        </w:rPr>
        <w:t>Other situations evaluated by the investigators were not suitable for the clinical trial.</w:t>
      </w:r>
    </w:p>
    <w:p w14:paraId="5814F6AA" w14:textId="77777777" w:rsidR="000F1525" w:rsidRPr="000F1525" w:rsidRDefault="000F1525" w:rsidP="000F1525">
      <w:pPr>
        <w:pStyle w:val="a7"/>
        <w:spacing w:line="360" w:lineRule="auto"/>
        <w:ind w:left="630"/>
        <w:rPr>
          <w:rFonts w:ascii="Arial" w:hAnsi="Arial" w:cs="Arial"/>
          <w:sz w:val="24"/>
          <w:szCs w:val="32"/>
        </w:rPr>
      </w:pPr>
    </w:p>
    <w:p w14:paraId="4D3DA83E" w14:textId="77777777" w:rsidR="00FF52B2" w:rsidRPr="000F1525" w:rsidRDefault="00000000">
      <w:pPr>
        <w:spacing w:line="360" w:lineRule="auto"/>
        <w:rPr>
          <w:rFonts w:ascii="Arial" w:hAnsi="Arial" w:cs="Arial"/>
          <w:b/>
          <w:bCs/>
          <w:sz w:val="24"/>
          <w:szCs w:val="32"/>
        </w:rPr>
      </w:pPr>
      <w:r w:rsidRPr="000F1525">
        <w:rPr>
          <w:rFonts w:ascii="Arial" w:hAnsi="Arial" w:cs="Arial"/>
          <w:b/>
          <w:bCs/>
          <w:sz w:val="24"/>
          <w:szCs w:val="32"/>
        </w:rPr>
        <w:t>3.2. Interventions</w:t>
      </w:r>
    </w:p>
    <w:p w14:paraId="0E5267E7" w14:textId="58943713" w:rsidR="000F1525" w:rsidRDefault="000F1525" w:rsidP="004726A4">
      <w:pPr>
        <w:spacing w:line="360" w:lineRule="auto"/>
        <w:ind w:firstLineChars="200" w:firstLine="480"/>
        <w:rPr>
          <w:rFonts w:ascii="Arial" w:hAnsi="Arial" w:cs="Arial"/>
          <w:sz w:val="24"/>
          <w:szCs w:val="32"/>
        </w:rPr>
      </w:pPr>
      <w:r w:rsidRPr="000F1525">
        <w:rPr>
          <w:rFonts w:ascii="Arial" w:hAnsi="Arial" w:cs="Arial"/>
          <w:sz w:val="24"/>
          <w:szCs w:val="32"/>
        </w:rPr>
        <w:t>Each 21-day treatment cycle consisted of standard GS chemotherapy combined with NK cell administration during the inpatient care by physicians.</w:t>
      </w:r>
    </w:p>
    <w:p w14:paraId="00D51838" w14:textId="77777777" w:rsidR="008A5BC6" w:rsidRPr="000F1525" w:rsidRDefault="008A5BC6" w:rsidP="004726A4">
      <w:pPr>
        <w:spacing w:line="360" w:lineRule="auto"/>
        <w:ind w:firstLineChars="200" w:firstLine="480"/>
        <w:rPr>
          <w:rFonts w:ascii="Arial" w:hAnsi="Arial" w:cs="Arial"/>
          <w:sz w:val="24"/>
          <w:szCs w:val="32"/>
        </w:rPr>
      </w:pPr>
    </w:p>
    <w:p w14:paraId="18424A90" w14:textId="72EF0B8E" w:rsidR="00FF52B2" w:rsidRPr="000F1525" w:rsidRDefault="00852AED">
      <w:pPr>
        <w:spacing w:line="360" w:lineRule="auto"/>
        <w:rPr>
          <w:rFonts w:ascii="Arial" w:eastAsia="宋体" w:hAnsi="Arial" w:cs="Arial"/>
          <w:b/>
          <w:bCs/>
          <w:color w:val="000000"/>
          <w:kern w:val="0"/>
          <w:sz w:val="24"/>
          <w:lang w:bidi="ar"/>
        </w:rPr>
      </w:pPr>
      <w:r w:rsidRPr="000F1525">
        <w:rPr>
          <w:rFonts w:ascii="Arial" w:eastAsia="宋体" w:hAnsi="Arial" w:cs="Arial"/>
          <w:b/>
          <w:bCs/>
          <w:color w:val="000000"/>
          <w:kern w:val="0"/>
          <w:sz w:val="24"/>
          <w:lang w:bidi="ar"/>
        </w:rPr>
        <w:t>3.2.1 Chemotherapy protocols</w:t>
      </w:r>
    </w:p>
    <w:p w14:paraId="782CBE3A" w14:textId="57568343" w:rsidR="00FF52B2" w:rsidRDefault="00000000" w:rsidP="000F1525">
      <w:pPr>
        <w:spacing w:line="360" w:lineRule="auto"/>
        <w:ind w:firstLineChars="200" w:firstLine="480"/>
        <w:rPr>
          <w:rFonts w:ascii="Arial" w:eastAsia="宋体" w:hAnsi="Arial" w:cs="Arial"/>
          <w:color w:val="000000"/>
          <w:kern w:val="0"/>
          <w:sz w:val="24"/>
          <w:lang w:bidi="ar"/>
        </w:rPr>
      </w:pPr>
      <w:r w:rsidRPr="000F1525">
        <w:rPr>
          <w:rFonts w:ascii="Arial" w:eastAsia="宋体" w:hAnsi="Arial" w:cs="Arial"/>
          <w:color w:val="000000"/>
          <w:kern w:val="0"/>
          <w:sz w:val="24"/>
          <w:lang w:bidi="ar"/>
        </w:rPr>
        <w:t xml:space="preserve">In each cycle, </w:t>
      </w:r>
      <w:r w:rsidR="000F1525" w:rsidRPr="000F1525">
        <w:rPr>
          <w:rFonts w:ascii="Arial" w:eastAsia="宋体" w:hAnsi="Arial" w:cs="Arial"/>
          <w:color w:val="000000"/>
          <w:kern w:val="0"/>
          <w:sz w:val="24"/>
          <w:lang w:bidi="ar"/>
        </w:rPr>
        <w:t>patients received gemcitabine on days 1 and 8 (1,000 mg/m</w:t>
      </w:r>
      <w:r w:rsidR="000F1525" w:rsidRPr="000F1525">
        <w:rPr>
          <w:rFonts w:ascii="Arial" w:eastAsia="宋体" w:hAnsi="Arial" w:cs="Arial"/>
          <w:color w:val="000000"/>
          <w:kern w:val="0"/>
          <w:sz w:val="24"/>
          <w:vertAlign w:val="superscript"/>
          <w:lang w:bidi="ar"/>
        </w:rPr>
        <w:t>2</w:t>
      </w:r>
      <w:r w:rsidR="000F1525" w:rsidRPr="000F1525">
        <w:rPr>
          <w:rFonts w:ascii="Arial" w:eastAsia="宋体" w:hAnsi="Arial" w:cs="Arial"/>
          <w:color w:val="000000"/>
          <w:kern w:val="0"/>
          <w:sz w:val="24"/>
          <w:lang w:bidi="ar"/>
        </w:rPr>
        <w:t xml:space="preserve"> intravenously over 30 minutes), along with oral S-1 twice daily from day 1 to day 14. The daily S-1 dose was determined by body surface area: 60 mg for &lt; 1.25 m², 80 mg for 1.25 to 1.5 m², 100 mg for </w:t>
      </w:r>
      <w:r w:rsidR="000F1525" w:rsidRPr="000F1525">
        <w:rPr>
          <w:rFonts w:ascii="Arial" w:eastAsia="宋体" w:hAnsi="Arial" w:cs="Arial"/>
          <w:color w:val="000000"/>
          <w:kern w:val="0"/>
          <w:sz w:val="24"/>
          <w:lang w:bidi="ar"/>
        </w:rPr>
        <w:t>＞</w:t>
      </w:r>
      <w:r w:rsidR="000F1525" w:rsidRPr="000F1525">
        <w:rPr>
          <w:rFonts w:ascii="Arial" w:eastAsia="宋体" w:hAnsi="Arial" w:cs="Arial"/>
          <w:color w:val="000000"/>
          <w:kern w:val="0"/>
          <w:sz w:val="24"/>
          <w:lang w:bidi="ar"/>
        </w:rPr>
        <w:t xml:space="preserve"> 1.5 m². Patients were scheduled to receive 6-8 cycles of GS chemotherapy followed by S-1 monotherapy maintenance. Local treatments were permitted throughout.</w:t>
      </w:r>
    </w:p>
    <w:p w14:paraId="0A69959B" w14:textId="77777777" w:rsidR="008A5BC6" w:rsidRPr="000F1525" w:rsidRDefault="008A5BC6" w:rsidP="000F1525">
      <w:pPr>
        <w:spacing w:line="360" w:lineRule="auto"/>
        <w:ind w:firstLineChars="200" w:firstLine="480"/>
        <w:rPr>
          <w:rFonts w:ascii="Arial" w:eastAsia="宋体" w:hAnsi="Arial" w:cs="Arial"/>
          <w:color w:val="000000"/>
          <w:kern w:val="0"/>
          <w:sz w:val="24"/>
          <w:lang w:bidi="ar"/>
        </w:rPr>
      </w:pPr>
    </w:p>
    <w:p w14:paraId="442079A2" w14:textId="2BC8FC86" w:rsidR="00FF52B2" w:rsidRPr="000F1525" w:rsidRDefault="000A718E">
      <w:pPr>
        <w:spacing w:line="360" w:lineRule="auto"/>
        <w:rPr>
          <w:rFonts w:ascii="Arial" w:eastAsia="宋体" w:hAnsi="Arial" w:cs="Arial"/>
          <w:b/>
          <w:bCs/>
          <w:color w:val="000000"/>
          <w:kern w:val="0"/>
          <w:sz w:val="24"/>
          <w:lang w:bidi="ar"/>
        </w:rPr>
      </w:pPr>
      <w:r w:rsidRPr="000F1525">
        <w:rPr>
          <w:rFonts w:ascii="Arial" w:eastAsia="宋体" w:hAnsi="Arial" w:cs="Arial"/>
          <w:b/>
          <w:bCs/>
          <w:color w:val="000000"/>
          <w:kern w:val="0"/>
          <w:sz w:val="24"/>
          <w:lang w:bidi="ar"/>
        </w:rPr>
        <w:t>3.2.2 NK cell administration</w:t>
      </w:r>
    </w:p>
    <w:p w14:paraId="02C65A65" w14:textId="08C45A03" w:rsidR="008A5BC6" w:rsidRDefault="000A2F07" w:rsidP="00F20150">
      <w:pPr>
        <w:spacing w:line="360" w:lineRule="auto"/>
        <w:ind w:firstLineChars="200" w:firstLine="480"/>
        <w:rPr>
          <w:rFonts w:ascii="Arial" w:eastAsia="宋体" w:hAnsi="Arial" w:cs="Arial"/>
          <w:color w:val="000000"/>
          <w:kern w:val="0"/>
          <w:sz w:val="24"/>
          <w:lang w:bidi="ar"/>
        </w:rPr>
      </w:pPr>
      <w:r w:rsidRPr="000F1525">
        <w:rPr>
          <w:rFonts w:ascii="Arial" w:eastAsia="宋体" w:hAnsi="Arial" w:cs="Arial"/>
          <w:color w:val="000000"/>
          <w:kern w:val="0"/>
          <w:sz w:val="24"/>
          <w:lang w:bidi="ar"/>
        </w:rPr>
        <w:t>According to the design of the dose-escalation test, i</w:t>
      </w:r>
      <w:r w:rsidRPr="000F1525">
        <w:rPr>
          <w:rFonts w:ascii="Arial" w:hAnsi="Arial" w:cs="Arial"/>
          <w:sz w:val="24"/>
          <w:szCs w:val="32"/>
        </w:rPr>
        <w:t>ndividuals were assigned into four dose-level cohorts: 1 × 10</w:t>
      </w:r>
      <w:r w:rsidRPr="000F1525">
        <w:rPr>
          <w:rFonts w:ascii="Arial" w:hAnsi="Arial" w:cs="Arial"/>
          <w:sz w:val="24"/>
          <w:szCs w:val="32"/>
          <w:vertAlign w:val="superscript"/>
        </w:rPr>
        <w:t>9</w:t>
      </w:r>
      <w:r w:rsidRPr="000F1525">
        <w:rPr>
          <w:rFonts w:ascii="Arial" w:hAnsi="Arial" w:cs="Arial"/>
          <w:sz w:val="24"/>
          <w:szCs w:val="32"/>
        </w:rPr>
        <w:t xml:space="preserve"> NK cells as an initial dose, 2 × 10</w:t>
      </w:r>
      <w:r w:rsidRPr="000F1525">
        <w:rPr>
          <w:rFonts w:ascii="Arial" w:hAnsi="Arial" w:cs="Arial"/>
          <w:sz w:val="24"/>
          <w:szCs w:val="32"/>
          <w:vertAlign w:val="superscript"/>
        </w:rPr>
        <w:t>9</w:t>
      </w:r>
      <w:r w:rsidRPr="000F1525">
        <w:rPr>
          <w:rFonts w:ascii="Arial" w:hAnsi="Arial" w:cs="Arial"/>
          <w:sz w:val="24"/>
          <w:szCs w:val="32"/>
        </w:rPr>
        <w:t xml:space="preserve"> NK cells, 4 × 10</w:t>
      </w:r>
      <w:r w:rsidRPr="000F1525">
        <w:rPr>
          <w:rFonts w:ascii="Arial" w:hAnsi="Arial" w:cs="Arial"/>
          <w:sz w:val="24"/>
          <w:szCs w:val="32"/>
          <w:vertAlign w:val="superscript"/>
        </w:rPr>
        <w:t>9</w:t>
      </w:r>
      <w:r w:rsidRPr="000F1525">
        <w:rPr>
          <w:rFonts w:ascii="Arial" w:hAnsi="Arial" w:cs="Arial"/>
          <w:sz w:val="24"/>
          <w:szCs w:val="32"/>
        </w:rPr>
        <w:t xml:space="preserve"> NK cells and 8 × 10</w:t>
      </w:r>
      <w:r w:rsidRPr="000F1525">
        <w:rPr>
          <w:rFonts w:ascii="Arial" w:hAnsi="Arial" w:cs="Arial"/>
          <w:sz w:val="24"/>
          <w:szCs w:val="32"/>
          <w:vertAlign w:val="superscript"/>
        </w:rPr>
        <w:t>9</w:t>
      </w:r>
      <w:r w:rsidRPr="000F1525">
        <w:rPr>
          <w:rFonts w:ascii="Arial" w:hAnsi="Arial" w:cs="Arial"/>
          <w:sz w:val="24"/>
          <w:szCs w:val="32"/>
        </w:rPr>
        <w:t xml:space="preserve"> NK cells.</w:t>
      </w:r>
      <w:r>
        <w:rPr>
          <w:rFonts w:ascii="Arial" w:hAnsi="Arial" w:cs="Arial" w:hint="eastAsia"/>
          <w:sz w:val="24"/>
          <w:szCs w:val="32"/>
        </w:rPr>
        <w:t xml:space="preserve"> </w:t>
      </w:r>
      <w:r w:rsidR="008A5BC6" w:rsidRPr="000F1525">
        <w:rPr>
          <w:rFonts w:ascii="Arial" w:eastAsia="宋体" w:hAnsi="Arial" w:cs="Arial"/>
          <w:color w:val="000000"/>
          <w:kern w:val="0"/>
          <w:sz w:val="24"/>
          <w:lang w:bidi="ar"/>
        </w:rPr>
        <w:t xml:space="preserve">The expanded NK cell products were infused intravenously between days 14 and 21 following chemotherapy, aiming to minimize the potential hematological toxicity to the </w:t>
      </w:r>
      <w:r w:rsidR="008A5BC6" w:rsidRPr="000F1525">
        <w:rPr>
          <w:rFonts w:ascii="Arial" w:eastAsia="宋体" w:hAnsi="Arial" w:cs="Arial"/>
          <w:color w:val="000000"/>
          <w:kern w:val="0"/>
          <w:sz w:val="24"/>
          <w:lang w:bidi="ar"/>
        </w:rPr>
        <w:lastRenderedPageBreak/>
        <w:t>infused NK cells.</w:t>
      </w:r>
      <w:r w:rsidR="008A5BC6">
        <w:rPr>
          <w:rFonts w:ascii="Arial" w:eastAsia="宋体" w:hAnsi="Arial" w:cs="Arial" w:hint="eastAsia"/>
          <w:color w:val="000000"/>
          <w:kern w:val="0"/>
          <w:sz w:val="24"/>
          <w:lang w:bidi="ar"/>
        </w:rPr>
        <w:t xml:space="preserve"> </w:t>
      </w:r>
      <w:r w:rsidR="008A5BC6" w:rsidRPr="000F1525">
        <w:rPr>
          <w:rFonts w:ascii="Arial" w:eastAsia="宋体" w:hAnsi="Arial" w:cs="Arial"/>
          <w:color w:val="000000"/>
          <w:kern w:val="0"/>
          <w:sz w:val="24"/>
          <w:lang w:bidi="ar"/>
        </w:rPr>
        <w:t>NK cells were administered once per cycle in the lower-dose cohorts (1 × 10</w:t>
      </w:r>
      <w:r w:rsidR="008A5BC6" w:rsidRPr="008A5BC6">
        <w:rPr>
          <w:rFonts w:ascii="Arial" w:eastAsia="宋体" w:hAnsi="Arial" w:cs="Arial"/>
          <w:color w:val="000000"/>
          <w:kern w:val="0"/>
          <w:sz w:val="24"/>
          <w:vertAlign w:val="superscript"/>
          <w:lang w:bidi="ar"/>
        </w:rPr>
        <w:t>9</w:t>
      </w:r>
      <w:r w:rsidR="008A5BC6" w:rsidRPr="000F1525">
        <w:rPr>
          <w:rFonts w:ascii="Arial" w:eastAsia="宋体" w:hAnsi="Arial" w:cs="Arial"/>
          <w:color w:val="000000"/>
          <w:kern w:val="0"/>
          <w:sz w:val="24"/>
          <w:lang w:bidi="ar"/>
        </w:rPr>
        <w:t xml:space="preserve"> cells, 2 × 10</w:t>
      </w:r>
      <w:r w:rsidR="008A5BC6" w:rsidRPr="008A5BC6">
        <w:rPr>
          <w:rFonts w:ascii="Arial" w:eastAsia="宋体" w:hAnsi="Arial" w:cs="Arial"/>
          <w:color w:val="000000"/>
          <w:kern w:val="0"/>
          <w:sz w:val="24"/>
          <w:vertAlign w:val="superscript"/>
          <w:lang w:bidi="ar"/>
        </w:rPr>
        <w:t>9</w:t>
      </w:r>
      <w:r w:rsidR="008A5BC6" w:rsidRPr="000F1525">
        <w:rPr>
          <w:rFonts w:ascii="Arial" w:eastAsia="宋体" w:hAnsi="Arial" w:cs="Arial"/>
          <w:color w:val="000000"/>
          <w:kern w:val="0"/>
          <w:sz w:val="24"/>
          <w:lang w:bidi="ar"/>
        </w:rPr>
        <w:t xml:space="preserve"> cells, and 4 × 10</w:t>
      </w:r>
      <w:r w:rsidR="008A5BC6" w:rsidRPr="008A5BC6">
        <w:rPr>
          <w:rFonts w:ascii="Arial" w:eastAsia="宋体" w:hAnsi="Arial" w:cs="Arial"/>
          <w:color w:val="000000"/>
          <w:kern w:val="0"/>
          <w:sz w:val="24"/>
          <w:vertAlign w:val="superscript"/>
          <w:lang w:bidi="ar"/>
        </w:rPr>
        <w:t>9</w:t>
      </w:r>
      <w:r w:rsidR="008A5BC6" w:rsidRPr="000F1525">
        <w:rPr>
          <w:rFonts w:ascii="Arial" w:eastAsia="宋体" w:hAnsi="Arial" w:cs="Arial"/>
          <w:color w:val="000000"/>
          <w:kern w:val="0"/>
          <w:sz w:val="24"/>
          <w:lang w:bidi="ar"/>
        </w:rPr>
        <w:t xml:space="preserve"> cells), while the highest-dose cohort (8 × 10</w:t>
      </w:r>
      <w:r w:rsidR="008A5BC6" w:rsidRPr="008A5BC6">
        <w:rPr>
          <w:rFonts w:ascii="Arial" w:eastAsia="宋体" w:hAnsi="Arial" w:cs="Arial"/>
          <w:color w:val="000000"/>
          <w:kern w:val="0"/>
          <w:sz w:val="24"/>
          <w:vertAlign w:val="superscript"/>
          <w:lang w:bidi="ar"/>
        </w:rPr>
        <w:t>9</w:t>
      </w:r>
      <w:r w:rsidR="008A5BC6" w:rsidRPr="000F1525">
        <w:rPr>
          <w:rFonts w:ascii="Arial" w:eastAsia="宋体" w:hAnsi="Arial" w:cs="Arial"/>
          <w:color w:val="000000"/>
          <w:kern w:val="0"/>
          <w:sz w:val="24"/>
          <w:lang w:bidi="ar"/>
        </w:rPr>
        <w:t xml:space="preserve"> cells) received half the total dose fractionated over two consecutive days to mitigate risks associated with large-volume infusion.</w:t>
      </w:r>
      <w:r w:rsidR="009E5301" w:rsidRPr="009E5301">
        <w:t xml:space="preserve"> </w:t>
      </w:r>
      <w:r w:rsidR="009E5301" w:rsidRPr="009E5301">
        <w:rPr>
          <w:rFonts w:ascii="Arial" w:eastAsia="宋体" w:hAnsi="Arial" w:cs="Arial"/>
          <w:color w:val="000000"/>
          <w:kern w:val="0"/>
          <w:sz w:val="24"/>
          <w:lang w:bidi="ar"/>
        </w:rPr>
        <w:t>NK cell infusion was combined with the first four cycles of GS chemotherapy, unless unacceptable adverse effects, disease progression, or patient withdrawal occurred. Patients who expressed a strong desire to continue NK cell therapy beyond four cycles could receive compassionate treatments, with the treatment cycle frequency determined by the investigators based on individual tolerance and response.</w:t>
      </w:r>
    </w:p>
    <w:p w14:paraId="15F6E6E7" w14:textId="77777777" w:rsidR="00FF52B2" w:rsidRPr="000F1525" w:rsidRDefault="00FF52B2">
      <w:pPr>
        <w:widowControl/>
        <w:spacing w:line="360" w:lineRule="auto"/>
        <w:rPr>
          <w:rFonts w:ascii="Arial" w:eastAsia="宋体" w:hAnsi="Arial" w:cs="Arial"/>
          <w:color w:val="000000"/>
          <w:kern w:val="0"/>
          <w:sz w:val="24"/>
          <w:lang w:bidi="ar"/>
        </w:rPr>
      </w:pPr>
    </w:p>
    <w:p w14:paraId="64F756FE" w14:textId="47A8AE5E" w:rsidR="003500C6" w:rsidRPr="000F1525" w:rsidRDefault="003500C6">
      <w:pPr>
        <w:widowControl/>
        <w:spacing w:line="360" w:lineRule="auto"/>
        <w:rPr>
          <w:rFonts w:ascii="Arial" w:eastAsia="宋体" w:hAnsi="Arial" w:cs="Arial"/>
          <w:b/>
          <w:bCs/>
          <w:color w:val="000000"/>
          <w:kern w:val="0"/>
          <w:sz w:val="24"/>
          <w:lang w:bidi="ar"/>
        </w:rPr>
      </w:pPr>
      <w:r w:rsidRPr="000F1525">
        <w:rPr>
          <w:rFonts w:ascii="Arial" w:eastAsia="宋体" w:hAnsi="Arial" w:cs="Arial"/>
          <w:b/>
          <w:bCs/>
          <w:color w:val="000000"/>
          <w:kern w:val="0"/>
          <w:sz w:val="24"/>
          <w:lang w:bidi="ar"/>
        </w:rPr>
        <w:t>3.2.3 Visit arrangement</w:t>
      </w:r>
    </w:p>
    <w:p w14:paraId="50714BC2" w14:textId="257441B9" w:rsidR="004A2FA7" w:rsidRPr="000F1525" w:rsidRDefault="00240169" w:rsidP="00F20150">
      <w:pPr>
        <w:widowControl/>
        <w:spacing w:line="360" w:lineRule="auto"/>
        <w:ind w:firstLineChars="200" w:firstLine="480"/>
        <w:rPr>
          <w:rFonts w:ascii="Arial" w:eastAsia="宋体" w:hAnsi="Arial" w:cs="Arial"/>
          <w:color w:val="000000"/>
          <w:kern w:val="0"/>
          <w:sz w:val="24"/>
          <w:lang w:bidi="ar"/>
        </w:rPr>
      </w:pPr>
      <w:r w:rsidRPr="000F1525">
        <w:rPr>
          <w:rFonts w:ascii="Arial" w:eastAsia="宋体" w:hAnsi="Arial" w:cs="Arial"/>
          <w:color w:val="000000"/>
          <w:kern w:val="0"/>
          <w:sz w:val="24"/>
          <w:lang w:bidi="ar"/>
        </w:rPr>
        <w:t>The screening period lasted no longer than 28 days. After signing the informed consent, advanced pancreatic cancer medical history, treatment history, baseline characteristics were collected, and relevant examinations were performed to determine whether they were suitable for this study.</w:t>
      </w:r>
    </w:p>
    <w:p w14:paraId="0E29D910" w14:textId="22DB2849" w:rsidR="00977BB1" w:rsidRPr="000F1525" w:rsidRDefault="001E7C84" w:rsidP="004A2FA7">
      <w:pPr>
        <w:widowControl/>
        <w:spacing w:line="360" w:lineRule="auto"/>
        <w:ind w:firstLine="480"/>
        <w:rPr>
          <w:rFonts w:ascii="Arial" w:hAnsi="Arial" w:cs="Arial"/>
          <w:b/>
          <w:bCs/>
          <w:sz w:val="24"/>
          <w:szCs w:val="32"/>
        </w:rPr>
      </w:pPr>
      <w:r w:rsidRPr="000F1525">
        <w:rPr>
          <w:rFonts w:ascii="Arial" w:hAnsi="Arial" w:cs="Arial"/>
          <w:sz w:val="24"/>
          <w:szCs w:val="32"/>
        </w:rPr>
        <w:t>The treatment period: A 21-day treatment cycle included standard GS chemotherapy and NK cell administration during inpatient care by the physicians.</w:t>
      </w:r>
      <w:r w:rsidR="00850134" w:rsidRPr="000F1525">
        <w:rPr>
          <w:rFonts w:ascii="Arial" w:hAnsi="Arial" w:cs="Arial"/>
          <w:sz w:val="24"/>
          <w:szCs w:val="32"/>
        </w:rPr>
        <w:t xml:space="preserve"> </w:t>
      </w:r>
      <w:r w:rsidR="000F4FA4" w:rsidRPr="000F1525">
        <w:rPr>
          <w:rFonts w:ascii="Arial" w:hAnsi="Arial" w:cs="Arial"/>
          <w:sz w:val="24"/>
          <w:szCs w:val="32"/>
        </w:rPr>
        <w:t>CT scanning or MRI</w:t>
      </w:r>
      <w:r w:rsidR="00FD422F" w:rsidRPr="000F1525">
        <w:rPr>
          <w:rFonts w:ascii="Arial" w:hAnsi="Arial" w:cs="Arial"/>
          <w:sz w:val="24"/>
          <w:szCs w:val="32"/>
        </w:rPr>
        <w:t xml:space="preserve"> </w:t>
      </w:r>
      <w:r w:rsidR="000F4FA4" w:rsidRPr="000F1525">
        <w:rPr>
          <w:rFonts w:ascii="Arial" w:hAnsi="Arial" w:cs="Arial"/>
          <w:sz w:val="24"/>
          <w:szCs w:val="32"/>
        </w:rPr>
        <w:t xml:space="preserve">were performed at baseline and every two-cycles treatment thereafter until disease progression. </w:t>
      </w:r>
      <w:r w:rsidR="00141B1A" w:rsidRPr="000F1525">
        <w:rPr>
          <w:rFonts w:ascii="Arial" w:hAnsi="Arial" w:cs="Arial"/>
          <w:sz w:val="24"/>
          <w:szCs w:val="32"/>
        </w:rPr>
        <w:t>Two visits would be arranged per cycle (before gemcitabine administration and NK cell infusion, respectively).</w:t>
      </w:r>
      <w:r w:rsidR="00387DE3" w:rsidRPr="000F1525">
        <w:rPr>
          <w:rFonts w:ascii="Arial" w:hAnsi="Arial" w:cs="Arial"/>
          <w:sz w:val="24"/>
          <w:szCs w:val="32"/>
        </w:rPr>
        <w:t xml:space="preserve"> </w:t>
      </w:r>
      <w:r w:rsidR="00977BB1">
        <w:rPr>
          <w:rFonts w:ascii="Arial" w:hAnsi="Arial" w:cs="Arial" w:hint="eastAsia"/>
          <w:sz w:val="24"/>
          <w:szCs w:val="32"/>
        </w:rPr>
        <w:t>P</w:t>
      </w:r>
      <w:r w:rsidR="00977BB1" w:rsidRPr="000F1525">
        <w:rPr>
          <w:rFonts w:ascii="Arial" w:hAnsi="Arial" w:cs="Arial"/>
          <w:sz w:val="24"/>
          <w:szCs w:val="32"/>
        </w:rPr>
        <w:t xml:space="preserve">eripheral blood samples </w:t>
      </w:r>
      <w:r w:rsidR="00977BB1">
        <w:rPr>
          <w:rFonts w:ascii="Arial" w:hAnsi="Arial" w:cs="Arial" w:hint="eastAsia"/>
          <w:sz w:val="24"/>
          <w:szCs w:val="32"/>
        </w:rPr>
        <w:t>will be drawn every cycle (</w:t>
      </w:r>
      <w:r w:rsidR="00977BB1" w:rsidRPr="000F1525">
        <w:rPr>
          <w:rFonts w:ascii="Arial" w:hAnsi="Arial" w:cs="Arial"/>
          <w:sz w:val="24"/>
          <w:szCs w:val="32"/>
        </w:rPr>
        <w:t>for bulk TCR Vβ repertoire sequencing</w:t>
      </w:r>
      <w:r w:rsidR="00977BB1">
        <w:rPr>
          <w:rFonts w:ascii="Arial" w:hAnsi="Arial" w:cs="Arial" w:hint="eastAsia"/>
          <w:sz w:val="24"/>
          <w:szCs w:val="32"/>
        </w:rPr>
        <w:t xml:space="preserve">) or every two cycles of the trial (for </w:t>
      </w:r>
      <w:r w:rsidR="00977BB1" w:rsidRPr="000F1525">
        <w:rPr>
          <w:rFonts w:ascii="Arial" w:hAnsi="Arial" w:cs="Arial"/>
          <w:sz w:val="24"/>
          <w:szCs w:val="32"/>
        </w:rPr>
        <w:t>single-cell RNA sequencing</w:t>
      </w:r>
      <w:r w:rsidR="00977BB1">
        <w:rPr>
          <w:rFonts w:ascii="Arial" w:hAnsi="Arial" w:cs="Arial" w:hint="eastAsia"/>
          <w:sz w:val="24"/>
          <w:szCs w:val="32"/>
        </w:rPr>
        <w:t>)</w:t>
      </w:r>
      <w:r w:rsidR="003C750C">
        <w:rPr>
          <w:rFonts w:ascii="Arial" w:hAnsi="Arial" w:cs="Arial" w:hint="eastAsia"/>
          <w:sz w:val="24"/>
          <w:szCs w:val="32"/>
        </w:rPr>
        <w:t>.</w:t>
      </w:r>
    </w:p>
    <w:p w14:paraId="3DCE85BC" w14:textId="7678F1A8" w:rsidR="00977BB1" w:rsidRPr="00977BB1" w:rsidRDefault="00977BB1">
      <w:pPr>
        <w:widowControl/>
        <w:spacing w:line="360" w:lineRule="auto"/>
        <w:rPr>
          <w:rFonts w:ascii="Arial" w:hAnsi="Arial" w:cs="Arial"/>
          <w:sz w:val="24"/>
          <w:szCs w:val="32"/>
        </w:rPr>
      </w:pPr>
    </w:p>
    <w:p w14:paraId="4311FC3A" w14:textId="77777777" w:rsidR="00FF52B2" w:rsidRPr="000F1525" w:rsidRDefault="00000000">
      <w:pPr>
        <w:widowControl/>
        <w:spacing w:line="360" w:lineRule="auto"/>
        <w:rPr>
          <w:rFonts w:ascii="Arial" w:eastAsia="宋体" w:hAnsi="Arial" w:cs="Arial"/>
          <w:b/>
          <w:bCs/>
          <w:color w:val="000000"/>
          <w:kern w:val="0"/>
          <w:sz w:val="24"/>
          <w:lang w:bidi="ar"/>
        </w:rPr>
      </w:pPr>
      <w:r w:rsidRPr="000F1525">
        <w:rPr>
          <w:rFonts w:ascii="Arial" w:eastAsia="宋体" w:hAnsi="Arial" w:cs="Arial"/>
          <w:b/>
          <w:bCs/>
          <w:color w:val="000000"/>
          <w:kern w:val="0"/>
          <w:sz w:val="24"/>
          <w:lang w:bidi="ar"/>
        </w:rPr>
        <w:t>3.3. Infusion Requirements for NK Cells infusion</w:t>
      </w:r>
    </w:p>
    <w:p w14:paraId="0E934D6A" w14:textId="4C2D54CB" w:rsidR="00FF52B2" w:rsidRPr="000F1525" w:rsidRDefault="00AA3EA6">
      <w:pPr>
        <w:widowControl/>
        <w:spacing w:line="360" w:lineRule="auto"/>
        <w:rPr>
          <w:rFonts w:ascii="Arial" w:hAnsi="Arial" w:cs="Arial"/>
          <w:b/>
          <w:bCs/>
          <w:sz w:val="24"/>
          <w:szCs w:val="32"/>
        </w:rPr>
      </w:pPr>
      <w:r w:rsidRPr="000F1525">
        <w:rPr>
          <w:rFonts w:ascii="Arial" w:hAnsi="Arial" w:cs="Arial"/>
          <w:b/>
          <w:bCs/>
          <w:sz w:val="24"/>
          <w:szCs w:val="32"/>
        </w:rPr>
        <w:t>3.3.1 NK cells manufactur</w:t>
      </w:r>
      <w:r w:rsidR="00134BD1">
        <w:rPr>
          <w:rFonts w:ascii="Arial" w:hAnsi="Arial" w:cs="Arial" w:hint="eastAsia"/>
          <w:b/>
          <w:bCs/>
          <w:sz w:val="24"/>
          <w:szCs w:val="32"/>
        </w:rPr>
        <w:t xml:space="preserve">ing and </w:t>
      </w:r>
      <w:r w:rsidR="00134BD1" w:rsidRPr="00134BD1">
        <w:rPr>
          <w:rFonts w:ascii="Arial" w:hAnsi="Arial" w:cs="Arial"/>
          <w:b/>
          <w:bCs/>
          <w:sz w:val="24"/>
          <w:szCs w:val="32"/>
        </w:rPr>
        <w:t>release criteria</w:t>
      </w:r>
      <w:r w:rsidRPr="000F1525">
        <w:rPr>
          <w:rFonts w:ascii="Arial" w:hAnsi="Arial" w:cs="Arial"/>
          <w:b/>
          <w:bCs/>
          <w:sz w:val="24"/>
          <w:szCs w:val="32"/>
        </w:rPr>
        <w:t>:</w:t>
      </w:r>
    </w:p>
    <w:p w14:paraId="36779FA7" w14:textId="77777777" w:rsidR="00E138A7" w:rsidRPr="00E138A7" w:rsidRDefault="00E138A7" w:rsidP="00E138A7">
      <w:pPr>
        <w:spacing w:after="120" w:line="360" w:lineRule="auto"/>
        <w:ind w:firstLine="630"/>
        <w:rPr>
          <w:rFonts w:ascii="Arial" w:hAnsi="Arial" w:cs="Arial"/>
          <w:color w:val="000000" w:themeColor="text1"/>
          <w:sz w:val="24"/>
        </w:rPr>
      </w:pPr>
      <w:r w:rsidRPr="00E138A7">
        <w:rPr>
          <w:rFonts w:ascii="Arial" w:hAnsi="Arial" w:cs="Arial"/>
          <w:color w:val="000000" w:themeColor="text1"/>
          <w:sz w:val="24"/>
        </w:rPr>
        <w:t>Peripheral blood (PB) was obtained from</w:t>
      </w:r>
      <w:r w:rsidRPr="00E138A7">
        <w:rPr>
          <w:rFonts w:ascii="Arial" w:hAnsi="Arial" w:cs="Arial"/>
          <w:color w:val="000000" w:themeColor="text1"/>
          <w:shd w:val="clear" w:color="auto" w:fill="FFFFFF"/>
        </w:rPr>
        <w:t xml:space="preserve"> </w:t>
      </w:r>
      <w:r w:rsidRPr="00E138A7">
        <w:rPr>
          <w:rFonts w:ascii="Arial" w:hAnsi="Arial" w:cs="Arial"/>
          <w:color w:val="000000" w:themeColor="text1"/>
          <w:sz w:val="24"/>
        </w:rPr>
        <w:t>direct relatives of patients, and</w:t>
      </w:r>
      <w:r w:rsidRPr="00E138A7">
        <w:rPr>
          <w:rFonts w:ascii="Arial" w:hAnsi="Arial" w:cs="Arial"/>
          <w:color w:val="000000" w:themeColor="text1"/>
          <w:shd w:val="clear" w:color="auto" w:fill="FFFFFF"/>
        </w:rPr>
        <w:t xml:space="preserve"> </w:t>
      </w:r>
      <w:r w:rsidRPr="00E138A7">
        <w:rPr>
          <w:rFonts w:ascii="Arial" w:hAnsi="Arial" w:cs="Arial"/>
          <w:color w:val="000000" w:themeColor="text1"/>
          <w:sz w:val="24"/>
        </w:rPr>
        <w:t xml:space="preserve">cord blood (CB) was collected from fetuses at delivery </w:t>
      </w:r>
      <w:r w:rsidRPr="00E138A7">
        <w:rPr>
          <w:rFonts w:ascii="Arial" w:hAnsi="Arial" w:cs="Arial"/>
          <w:color w:val="000000"/>
          <w:sz w:val="24"/>
        </w:rPr>
        <w:t>at</w:t>
      </w:r>
      <w:r w:rsidRPr="00E138A7">
        <w:rPr>
          <w:rFonts w:ascii="Arial" w:hAnsi="Arial" w:cs="Arial"/>
          <w:color w:val="000000" w:themeColor="text1"/>
          <w:sz w:val="24"/>
        </w:rPr>
        <w:t xml:space="preserve"> Beijing Hospital.</w:t>
      </w:r>
      <w:r w:rsidRPr="00E138A7">
        <w:rPr>
          <w:rFonts w:ascii="Arial" w:hAnsi="Arial" w:cs="Arial"/>
          <w:color w:val="000000" w:themeColor="text1"/>
        </w:rPr>
        <w:t xml:space="preserve"> </w:t>
      </w:r>
      <w:r w:rsidRPr="00E138A7">
        <w:rPr>
          <w:rFonts w:ascii="Arial" w:hAnsi="Arial" w:cs="Arial"/>
          <w:color w:val="000000" w:themeColor="text1"/>
          <w:sz w:val="24"/>
        </w:rPr>
        <w:t xml:space="preserve">Mononuclear cells were isolated </w:t>
      </w:r>
      <w:r w:rsidRPr="00E138A7">
        <w:rPr>
          <w:rFonts w:ascii="Arial" w:hAnsi="Arial" w:cs="Arial"/>
          <w:color w:val="000000"/>
          <w:sz w:val="24"/>
        </w:rPr>
        <w:t xml:space="preserve">via </w:t>
      </w:r>
      <w:bookmarkStart w:id="1" w:name="_Hlk212469124"/>
      <w:r w:rsidRPr="00E138A7">
        <w:rPr>
          <w:rFonts w:ascii="Arial" w:hAnsi="Arial" w:cs="Arial"/>
          <w:color w:val="000000"/>
          <w:sz w:val="24"/>
        </w:rPr>
        <w:t>density gradient centrifugation via</w:t>
      </w:r>
      <w:bookmarkEnd w:id="1"/>
      <w:r w:rsidRPr="00E138A7">
        <w:rPr>
          <w:rFonts w:ascii="Arial" w:hAnsi="Arial" w:cs="Arial"/>
          <w:color w:val="000000" w:themeColor="text1"/>
          <w:sz w:val="24"/>
        </w:rPr>
        <w:t xml:space="preserve"> </w:t>
      </w:r>
      <w:r w:rsidRPr="00E138A7">
        <w:rPr>
          <w:rFonts w:ascii="Arial" w:hAnsi="Arial" w:cs="Arial"/>
          <w:color w:val="000000" w:themeColor="text1"/>
          <w:sz w:val="24"/>
        </w:rPr>
        <w:lastRenderedPageBreak/>
        <w:t xml:space="preserve">Lymphocyte Separation Medium (Tianjin Haoyang Biological Manufacture Co., Ltd. Tianjin, China) under GMP-compliant conditions. NK cells were activated and expanded over approximately two weeks according to the manufacturer’s protocol </w:t>
      </w:r>
      <w:r w:rsidRPr="00E138A7">
        <w:rPr>
          <w:rFonts w:ascii="Arial" w:hAnsi="Arial" w:cs="Arial"/>
          <w:color w:val="000000"/>
          <w:sz w:val="24"/>
        </w:rPr>
        <w:t>for</w:t>
      </w:r>
      <w:r w:rsidRPr="00E138A7">
        <w:rPr>
          <w:rFonts w:ascii="Arial" w:hAnsi="Arial" w:cs="Arial"/>
          <w:color w:val="000000" w:themeColor="text1"/>
          <w:sz w:val="24"/>
        </w:rPr>
        <w:t xml:space="preserve"> an</w:t>
      </w:r>
      <w:r w:rsidRPr="00E138A7">
        <w:rPr>
          <w:rFonts w:ascii="Arial" w:hAnsi="Arial" w:cs="Arial"/>
          <w:i/>
          <w:iCs/>
          <w:color w:val="000000" w:themeColor="text1"/>
          <w:sz w:val="24"/>
        </w:rPr>
        <w:t xml:space="preserve"> ex vivo</w:t>
      </w:r>
      <w:r w:rsidRPr="00E138A7">
        <w:rPr>
          <w:rFonts w:ascii="Arial" w:hAnsi="Arial" w:cs="Arial"/>
          <w:color w:val="000000" w:themeColor="text1"/>
          <w:sz w:val="24"/>
        </w:rPr>
        <w:t xml:space="preserve"> NK Cell Expansion Kit (Beijing </w:t>
      </w:r>
      <w:proofErr w:type="spellStart"/>
      <w:r w:rsidRPr="00E138A7">
        <w:rPr>
          <w:rFonts w:ascii="Arial" w:hAnsi="Arial" w:cs="Arial"/>
          <w:color w:val="000000" w:themeColor="text1"/>
          <w:sz w:val="24"/>
        </w:rPr>
        <w:t>Wukang</w:t>
      </w:r>
      <w:proofErr w:type="spellEnd"/>
      <w:r w:rsidRPr="00E138A7">
        <w:rPr>
          <w:rFonts w:ascii="Arial" w:hAnsi="Arial" w:cs="Arial"/>
          <w:color w:val="000000" w:themeColor="text1"/>
          <w:sz w:val="24"/>
        </w:rPr>
        <w:t xml:space="preserve"> </w:t>
      </w:r>
      <w:proofErr w:type="spellStart"/>
      <w:r w:rsidRPr="00E138A7">
        <w:rPr>
          <w:rFonts w:ascii="Arial" w:hAnsi="Arial" w:cs="Arial"/>
          <w:color w:val="000000" w:themeColor="text1"/>
          <w:sz w:val="24"/>
        </w:rPr>
        <w:t>Xinxing</w:t>
      </w:r>
      <w:proofErr w:type="spellEnd"/>
      <w:r w:rsidRPr="00E138A7">
        <w:rPr>
          <w:rFonts w:ascii="Arial" w:hAnsi="Arial" w:cs="Arial"/>
          <w:color w:val="000000" w:themeColor="text1"/>
          <w:sz w:val="24"/>
        </w:rPr>
        <w:t xml:space="preserve"> Technology Co., Ltd</w:t>
      </w:r>
      <w:r w:rsidRPr="00E138A7">
        <w:rPr>
          <w:rFonts w:ascii="Arial" w:hAnsi="Arial" w:cs="Arial"/>
          <w:color w:val="000000"/>
          <w:sz w:val="24"/>
        </w:rPr>
        <w:t>.</w:t>
      </w:r>
      <w:r w:rsidRPr="00E138A7">
        <w:rPr>
          <w:rFonts w:ascii="Arial" w:hAnsi="Arial" w:cs="Arial"/>
          <w:color w:val="000000" w:themeColor="text1"/>
          <w:sz w:val="24"/>
        </w:rPr>
        <w:t>, Beijing, China), with media containing heat-inactivated autologous plasma and recombinant human interleukin-2</w:t>
      </w:r>
      <w:r w:rsidRPr="00E138A7">
        <w:rPr>
          <w:rFonts w:ascii="Arial" w:hAnsi="Arial" w:cs="Arial"/>
          <w:color w:val="000000"/>
          <w:sz w:val="24"/>
        </w:rPr>
        <w:t xml:space="preserve"> </w:t>
      </w:r>
      <w:r w:rsidRPr="00E138A7">
        <w:rPr>
          <w:rFonts w:ascii="Arial" w:hAnsi="Arial" w:cs="Arial"/>
          <w:color w:val="000000" w:themeColor="text1"/>
          <w:sz w:val="24"/>
        </w:rPr>
        <w:t>(Beijing SL Pharmaceutical Co., Ltd., Beijing, China).</w:t>
      </w:r>
      <w:r w:rsidRPr="00E138A7">
        <w:rPr>
          <w:rFonts w:ascii="Arial" w:hAnsi="Arial" w:cs="Arial"/>
          <w:color w:val="000000" w:themeColor="text1"/>
        </w:rPr>
        <w:t xml:space="preserve"> </w:t>
      </w:r>
      <w:r w:rsidRPr="00E138A7">
        <w:rPr>
          <w:rFonts w:ascii="Arial" w:hAnsi="Arial" w:cs="Arial"/>
          <w:color w:val="000000"/>
          <w:sz w:val="24"/>
        </w:rPr>
        <w:t>The cells</w:t>
      </w:r>
      <w:r w:rsidRPr="00E138A7">
        <w:rPr>
          <w:rFonts w:ascii="Arial" w:hAnsi="Arial" w:cs="Arial"/>
          <w:color w:val="000000" w:themeColor="text1"/>
          <w:sz w:val="24"/>
        </w:rPr>
        <w:t xml:space="preserve"> were harvested on </w:t>
      </w:r>
      <w:r w:rsidRPr="00E138A7">
        <w:rPr>
          <w:rFonts w:ascii="Arial" w:hAnsi="Arial" w:cs="Arial"/>
          <w:color w:val="000000"/>
          <w:sz w:val="24"/>
        </w:rPr>
        <w:t>days</w:t>
      </w:r>
      <w:r w:rsidRPr="00E138A7">
        <w:rPr>
          <w:rFonts w:ascii="Arial" w:hAnsi="Arial" w:cs="Arial"/>
          <w:color w:val="000000" w:themeColor="text1"/>
          <w:sz w:val="24"/>
        </w:rPr>
        <w:t xml:space="preserve"> 14 to 16, washed, and </w:t>
      </w:r>
      <w:r w:rsidRPr="00E138A7">
        <w:rPr>
          <w:rFonts w:ascii="Arial" w:hAnsi="Arial" w:cs="Arial"/>
          <w:color w:val="000000"/>
          <w:sz w:val="24"/>
        </w:rPr>
        <w:t>resuspended</w:t>
      </w:r>
      <w:r w:rsidRPr="00E138A7">
        <w:rPr>
          <w:rFonts w:ascii="Arial" w:hAnsi="Arial" w:cs="Arial"/>
          <w:color w:val="000000" w:themeColor="text1"/>
          <w:sz w:val="24"/>
        </w:rPr>
        <w:t xml:space="preserve"> in 100 mL of saline-based solution containing 0.6% human serum albumin (albumin, Baxalta Pharmaceutical Company, USA) for immediate intravenous administration to patients.</w:t>
      </w:r>
    </w:p>
    <w:p w14:paraId="3B56BED8" w14:textId="48202C1A" w:rsidR="00663130" w:rsidRDefault="00E138A7" w:rsidP="00B22E4D">
      <w:pPr>
        <w:spacing w:after="120" w:line="360" w:lineRule="auto"/>
        <w:ind w:firstLine="630"/>
        <w:rPr>
          <w:color w:val="000000" w:themeColor="text1"/>
          <w:sz w:val="24"/>
        </w:rPr>
      </w:pPr>
      <w:bookmarkStart w:id="2" w:name="_Hlk207867267"/>
      <w:r w:rsidRPr="00E138A7">
        <w:rPr>
          <w:rFonts w:ascii="Arial" w:hAnsi="Arial" w:cs="Arial"/>
          <w:color w:val="000000" w:themeColor="text1"/>
          <w:sz w:val="24"/>
        </w:rPr>
        <w:t xml:space="preserve">Quality control included sterility testing </w:t>
      </w:r>
      <w:bookmarkStart w:id="3" w:name="OLE_LINK34"/>
      <w:r w:rsidRPr="00E138A7">
        <w:rPr>
          <w:rFonts w:ascii="Arial" w:hAnsi="Arial" w:cs="Arial"/>
          <w:color w:val="000000"/>
          <w:sz w:val="24"/>
        </w:rPr>
        <w:t>via the</w:t>
      </w:r>
      <w:r w:rsidRPr="00E138A7">
        <w:rPr>
          <w:rFonts w:ascii="Arial" w:hAnsi="Arial" w:cs="Arial"/>
          <w:color w:val="000000" w:themeColor="text1"/>
          <w:sz w:val="24"/>
        </w:rPr>
        <w:t xml:space="preserve"> BACTEC™ Blood Culture </w:t>
      </w:r>
      <w:bookmarkEnd w:id="3"/>
      <w:r w:rsidRPr="00E138A7">
        <w:rPr>
          <w:rFonts w:ascii="Arial" w:hAnsi="Arial" w:cs="Arial"/>
          <w:color w:val="000000" w:themeColor="text1"/>
          <w:sz w:val="24"/>
        </w:rPr>
        <w:t xml:space="preserve">System (BD Diagnostics, Sparks, MD, USA), mycoplasma detection </w:t>
      </w:r>
      <w:r w:rsidRPr="00E138A7">
        <w:rPr>
          <w:rFonts w:ascii="Arial" w:hAnsi="Arial" w:cs="Arial"/>
          <w:color w:val="000000"/>
          <w:sz w:val="24"/>
        </w:rPr>
        <w:t>via</w:t>
      </w:r>
      <w:r w:rsidRPr="00E138A7">
        <w:rPr>
          <w:rFonts w:ascii="Arial" w:hAnsi="Arial" w:cs="Arial"/>
          <w:color w:val="000000" w:themeColor="text1"/>
        </w:rPr>
        <w:t xml:space="preserve"> </w:t>
      </w:r>
      <w:r w:rsidRPr="00E138A7">
        <w:rPr>
          <w:rFonts w:ascii="Arial" w:hAnsi="Arial" w:cs="Arial"/>
          <w:color w:val="000000" w:themeColor="text1"/>
          <w:sz w:val="24"/>
        </w:rPr>
        <w:t>quantitative real-time PCR-based kits (</w:t>
      </w:r>
      <w:proofErr w:type="spellStart"/>
      <w:r w:rsidRPr="00E138A7">
        <w:rPr>
          <w:rFonts w:ascii="Arial" w:hAnsi="Arial" w:cs="Arial"/>
          <w:color w:val="000000" w:themeColor="text1"/>
          <w:sz w:val="24"/>
        </w:rPr>
        <w:t>TransGen</w:t>
      </w:r>
      <w:proofErr w:type="spellEnd"/>
      <w:r w:rsidRPr="00E138A7">
        <w:rPr>
          <w:rFonts w:ascii="Arial" w:hAnsi="Arial" w:cs="Arial"/>
          <w:color w:val="000000" w:themeColor="text1"/>
          <w:sz w:val="24"/>
        </w:rPr>
        <w:t xml:space="preserve"> Biotech, Beijing, China), endotoxin assessment via </w:t>
      </w:r>
      <w:r w:rsidRPr="00E138A7">
        <w:rPr>
          <w:rFonts w:ascii="Arial" w:hAnsi="Arial" w:cs="Arial"/>
          <w:color w:val="000000"/>
          <w:sz w:val="24"/>
        </w:rPr>
        <w:t xml:space="preserve">the </w:t>
      </w:r>
      <w:r w:rsidRPr="00E138A7">
        <w:rPr>
          <w:rFonts w:ascii="Arial" w:hAnsi="Arial" w:cs="Arial"/>
          <w:color w:val="000000" w:themeColor="text1"/>
          <w:sz w:val="24"/>
        </w:rPr>
        <w:t xml:space="preserve">LAL assay (Xiamen </w:t>
      </w:r>
      <w:proofErr w:type="spellStart"/>
      <w:r w:rsidRPr="00E138A7">
        <w:rPr>
          <w:rFonts w:ascii="Arial" w:hAnsi="Arial" w:cs="Arial"/>
          <w:color w:val="000000" w:themeColor="text1"/>
          <w:sz w:val="24"/>
        </w:rPr>
        <w:t>Bioendo</w:t>
      </w:r>
      <w:proofErr w:type="spellEnd"/>
      <w:r w:rsidRPr="00E138A7">
        <w:rPr>
          <w:rFonts w:ascii="Arial" w:hAnsi="Arial" w:cs="Arial"/>
          <w:color w:val="000000" w:themeColor="text1"/>
          <w:sz w:val="24"/>
        </w:rPr>
        <w:t xml:space="preserve"> Technology Co., LTD, Xiamen, China), and viability measurement </w:t>
      </w:r>
      <w:r w:rsidRPr="00E138A7">
        <w:rPr>
          <w:rFonts w:ascii="Arial" w:hAnsi="Arial" w:cs="Arial"/>
          <w:color w:val="000000"/>
          <w:sz w:val="24"/>
        </w:rPr>
        <w:t>via</w:t>
      </w:r>
      <w:r w:rsidRPr="00E138A7">
        <w:rPr>
          <w:rFonts w:ascii="Arial" w:hAnsi="Arial" w:cs="Arial"/>
          <w:color w:val="000000" w:themeColor="text1"/>
          <w:sz w:val="24"/>
        </w:rPr>
        <w:t xml:space="preserve"> </w:t>
      </w:r>
      <w:proofErr w:type="spellStart"/>
      <w:r w:rsidRPr="00E138A7">
        <w:rPr>
          <w:rFonts w:ascii="Arial" w:hAnsi="Arial" w:cs="Arial"/>
          <w:color w:val="000000" w:themeColor="text1"/>
          <w:sz w:val="24"/>
        </w:rPr>
        <w:t>ViaStain</w:t>
      </w:r>
      <w:proofErr w:type="spellEnd"/>
      <w:r w:rsidRPr="00E138A7">
        <w:rPr>
          <w:rFonts w:ascii="Arial" w:hAnsi="Arial" w:cs="Arial"/>
          <w:color w:val="000000" w:themeColor="text1"/>
          <w:sz w:val="24"/>
        </w:rPr>
        <w:t>™ AOPI staining (</w:t>
      </w:r>
      <w:proofErr w:type="spellStart"/>
      <w:r w:rsidRPr="00E138A7">
        <w:rPr>
          <w:rFonts w:ascii="Arial" w:hAnsi="Arial" w:cs="Arial"/>
          <w:color w:val="000000" w:themeColor="text1"/>
          <w:sz w:val="24"/>
        </w:rPr>
        <w:t>Revvity</w:t>
      </w:r>
      <w:proofErr w:type="spellEnd"/>
      <w:r w:rsidRPr="00E138A7">
        <w:rPr>
          <w:rFonts w:ascii="Arial" w:hAnsi="Arial" w:cs="Arial"/>
          <w:color w:val="000000" w:themeColor="text1"/>
          <w:sz w:val="24"/>
        </w:rPr>
        <w:t xml:space="preserve">, Waltham, MA, USA). </w:t>
      </w:r>
      <w:r w:rsidRPr="00E138A7">
        <w:rPr>
          <w:rFonts w:ascii="Arial" w:hAnsi="Arial" w:cs="Arial"/>
          <w:color w:val="000000"/>
          <w:sz w:val="24"/>
        </w:rPr>
        <w:t>The purity</w:t>
      </w:r>
      <w:r w:rsidRPr="00E138A7">
        <w:rPr>
          <w:rFonts w:ascii="Arial" w:hAnsi="Arial" w:cs="Arial"/>
          <w:color w:val="000000" w:themeColor="text1"/>
          <w:sz w:val="24"/>
        </w:rPr>
        <w:t xml:space="preserve"> of CD3</w:t>
      </w:r>
      <w:r w:rsidRPr="00E138A7">
        <w:rPr>
          <w:rFonts w:ascii="Cambria Math" w:hAnsi="Cambria Math" w:cs="Cambria Math"/>
          <w:color w:val="000000" w:themeColor="text1"/>
          <w:sz w:val="24"/>
        </w:rPr>
        <w:t>⁻</w:t>
      </w:r>
      <w:r w:rsidRPr="00E138A7">
        <w:rPr>
          <w:rFonts w:ascii="Arial" w:hAnsi="Arial" w:cs="Arial"/>
          <w:color w:val="000000" w:themeColor="text1"/>
          <w:sz w:val="24"/>
        </w:rPr>
        <w:t>CD56</w:t>
      </w:r>
      <w:r w:rsidRPr="00E138A7">
        <w:rPr>
          <w:rFonts w:ascii="Cambria Math" w:hAnsi="Cambria Math" w:cs="Cambria Math"/>
          <w:color w:val="000000" w:themeColor="text1"/>
          <w:sz w:val="24"/>
        </w:rPr>
        <w:t>⁺</w:t>
      </w:r>
      <w:r w:rsidRPr="00E138A7">
        <w:rPr>
          <w:rFonts w:ascii="Arial" w:hAnsi="Arial" w:cs="Arial"/>
          <w:color w:val="000000" w:themeColor="text1"/>
          <w:sz w:val="24"/>
        </w:rPr>
        <w:t xml:space="preserve"> NK cells was determined </w:t>
      </w:r>
      <w:r w:rsidRPr="00E138A7">
        <w:rPr>
          <w:rFonts w:ascii="Arial" w:hAnsi="Arial" w:cs="Arial"/>
          <w:color w:val="000000"/>
          <w:sz w:val="24"/>
        </w:rPr>
        <w:t>via</w:t>
      </w:r>
      <w:r w:rsidRPr="00E138A7">
        <w:rPr>
          <w:rFonts w:ascii="Arial" w:hAnsi="Arial" w:cs="Arial"/>
          <w:color w:val="000000" w:themeColor="text1"/>
          <w:sz w:val="24"/>
        </w:rPr>
        <w:t xml:space="preserve"> flow cytometry (BD </w:t>
      </w:r>
      <w:proofErr w:type="spellStart"/>
      <w:r w:rsidRPr="00E138A7">
        <w:rPr>
          <w:rFonts w:ascii="Arial" w:hAnsi="Arial" w:cs="Arial"/>
          <w:color w:val="000000" w:themeColor="text1"/>
          <w:sz w:val="24"/>
        </w:rPr>
        <w:t>FACSCanto</w:t>
      </w:r>
      <w:proofErr w:type="spellEnd"/>
      <w:r w:rsidRPr="00E138A7">
        <w:rPr>
          <w:rFonts w:ascii="Arial" w:hAnsi="Arial" w:cs="Arial"/>
          <w:color w:val="000000" w:themeColor="text1"/>
          <w:sz w:val="24"/>
        </w:rPr>
        <w:t xml:space="preserve"> II). </w:t>
      </w:r>
      <w:r w:rsidRPr="00E138A7">
        <w:rPr>
          <w:rFonts w:ascii="Arial" w:hAnsi="Arial" w:cs="Arial"/>
          <w:color w:val="000000"/>
          <w:sz w:val="24"/>
        </w:rPr>
        <w:t>The following release</w:t>
      </w:r>
      <w:r w:rsidRPr="00E138A7">
        <w:rPr>
          <w:rFonts w:ascii="Arial" w:hAnsi="Arial" w:cs="Arial"/>
          <w:color w:val="000000" w:themeColor="text1"/>
          <w:sz w:val="24"/>
        </w:rPr>
        <w:t xml:space="preserve"> criteria </w:t>
      </w:r>
      <w:r w:rsidRPr="00E138A7">
        <w:rPr>
          <w:rFonts w:ascii="Arial" w:hAnsi="Arial" w:cs="Arial"/>
          <w:color w:val="000000"/>
          <w:sz w:val="24"/>
        </w:rPr>
        <w:t>were used</w:t>
      </w:r>
      <w:r w:rsidRPr="00E138A7">
        <w:rPr>
          <w:rFonts w:ascii="Arial" w:hAnsi="Arial" w:cs="Arial"/>
          <w:color w:val="000000" w:themeColor="text1"/>
          <w:sz w:val="24"/>
        </w:rPr>
        <w:t xml:space="preserve">: sterility and mycoplasma negativity, endotoxin </w:t>
      </w:r>
      <w:r w:rsidRPr="00E138A7">
        <w:rPr>
          <w:rFonts w:ascii="Arial" w:hAnsi="Arial" w:cs="Arial"/>
          <w:color w:val="000000"/>
          <w:sz w:val="24"/>
        </w:rPr>
        <w:t xml:space="preserve">concentration </w:t>
      </w:r>
      <w:r w:rsidRPr="00E138A7">
        <w:rPr>
          <w:rFonts w:ascii="Arial" w:hAnsi="Arial" w:cs="Arial"/>
          <w:color w:val="000000" w:themeColor="text1"/>
          <w:sz w:val="24"/>
        </w:rPr>
        <w:t>&lt; 0.25 EU/mL, viability ≥ 85%, and CD3</w:t>
      </w:r>
      <w:r w:rsidRPr="00E138A7">
        <w:rPr>
          <w:rFonts w:ascii="Arial" w:hAnsi="Arial" w:cs="Arial"/>
          <w:color w:val="000000" w:themeColor="text1"/>
          <w:sz w:val="24"/>
          <w:vertAlign w:val="superscript"/>
        </w:rPr>
        <w:t>-</w:t>
      </w:r>
      <w:r w:rsidRPr="00E138A7">
        <w:rPr>
          <w:rFonts w:ascii="Arial" w:hAnsi="Arial" w:cs="Arial"/>
          <w:color w:val="000000" w:themeColor="text1"/>
          <w:sz w:val="24"/>
        </w:rPr>
        <w:t>CD56</w:t>
      </w:r>
      <w:r w:rsidRPr="00E138A7">
        <w:rPr>
          <w:rFonts w:ascii="Arial" w:hAnsi="Arial" w:cs="Arial"/>
          <w:color w:val="000000" w:themeColor="text1"/>
          <w:sz w:val="24"/>
          <w:vertAlign w:val="superscript"/>
        </w:rPr>
        <w:t>+</w:t>
      </w:r>
      <w:r w:rsidRPr="00E138A7">
        <w:rPr>
          <w:rFonts w:ascii="Arial" w:hAnsi="Arial" w:cs="Arial"/>
          <w:color w:val="000000" w:themeColor="text1"/>
          <w:sz w:val="24"/>
        </w:rPr>
        <w:t xml:space="preserve"> NK cell purity ≥ 70%.</w:t>
      </w:r>
      <w:bookmarkStart w:id="4" w:name="_Hlk207867488"/>
      <w:r w:rsidR="00663130" w:rsidRPr="00663130">
        <w:rPr>
          <w:color w:val="000000" w:themeColor="text1"/>
          <w:sz w:val="24"/>
        </w:rPr>
        <w:t xml:space="preserve"> </w:t>
      </w:r>
      <w:r w:rsidR="00663130" w:rsidRPr="00663130">
        <w:rPr>
          <w:rFonts w:ascii="Arial" w:hAnsi="Arial" w:cs="Arial"/>
          <w:color w:val="000000" w:themeColor="text1"/>
          <w:sz w:val="24"/>
        </w:rPr>
        <w:t xml:space="preserve">Cytotoxic activity was evaluated against </w:t>
      </w:r>
      <w:r w:rsidR="00663130" w:rsidRPr="00663130">
        <w:rPr>
          <w:rFonts w:ascii="Arial" w:hAnsi="Arial" w:cs="Arial"/>
          <w:color w:val="000000"/>
          <w:sz w:val="24"/>
        </w:rPr>
        <w:t xml:space="preserve">the </w:t>
      </w:r>
      <w:r w:rsidR="00663130" w:rsidRPr="00663130">
        <w:rPr>
          <w:rFonts w:ascii="Arial" w:hAnsi="Arial" w:cs="Arial"/>
          <w:color w:val="000000" w:themeColor="text1"/>
          <w:sz w:val="24"/>
        </w:rPr>
        <w:t xml:space="preserve">K-562 cell lines </w:t>
      </w:r>
      <w:r w:rsidR="00663130" w:rsidRPr="00663130">
        <w:rPr>
          <w:rFonts w:ascii="Arial" w:hAnsi="Arial" w:cs="Arial"/>
          <w:color w:val="000000"/>
          <w:sz w:val="24"/>
        </w:rPr>
        <w:t>via</w:t>
      </w:r>
      <w:r w:rsidR="00663130" w:rsidRPr="00663130">
        <w:rPr>
          <w:rFonts w:ascii="Arial" w:hAnsi="Arial" w:cs="Arial"/>
          <w:color w:val="000000" w:themeColor="text1"/>
          <w:sz w:val="24"/>
        </w:rPr>
        <w:t xml:space="preserve"> a time-resolved fluorescence-based cytotoxicity assay (DELFIA®; </w:t>
      </w:r>
      <w:proofErr w:type="spellStart"/>
      <w:r w:rsidR="00663130" w:rsidRPr="00663130">
        <w:rPr>
          <w:rFonts w:ascii="Arial" w:hAnsi="Arial" w:cs="Arial"/>
          <w:color w:val="000000" w:themeColor="text1"/>
          <w:sz w:val="24"/>
        </w:rPr>
        <w:t>Revvity</w:t>
      </w:r>
      <w:proofErr w:type="spellEnd"/>
      <w:r w:rsidR="00663130" w:rsidRPr="00663130">
        <w:rPr>
          <w:rFonts w:ascii="Arial" w:hAnsi="Arial" w:cs="Arial"/>
          <w:color w:val="000000" w:themeColor="text1"/>
          <w:sz w:val="24"/>
        </w:rPr>
        <w:t xml:space="preserve">). Specific lysis was calculated after </w:t>
      </w:r>
      <w:r w:rsidR="00663130" w:rsidRPr="00663130">
        <w:rPr>
          <w:rFonts w:ascii="Arial" w:hAnsi="Arial" w:cs="Arial"/>
          <w:color w:val="000000"/>
          <w:sz w:val="24"/>
        </w:rPr>
        <w:t>coculture</w:t>
      </w:r>
      <w:r w:rsidR="00663130" w:rsidRPr="00663130">
        <w:rPr>
          <w:rFonts w:ascii="Arial" w:hAnsi="Arial" w:cs="Arial"/>
          <w:color w:val="000000" w:themeColor="text1"/>
          <w:sz w:val="24"/>
        </w:rPr>
        <w:t xml:space="preserve"> at various E:T ratios. Products </w:t>
      </w:r>
      <w:r w:rsidR="00663130" w:rsidRPr="00663130">
        <w:rPr>
          <w:rFonts w:ascii="Arial" w:hAnsi="Arial" w:cs="Arial"/>
          <w:color w:val="000000"/>
          <w:sz w:val="24"/>
        </w:rPr>
        <w:t>that achieved</w:t>
      </w:r>
      <w:r w:rsidR="00663130" w:rsidRPr="00663130">
        <w:rPr>
          <w:rFonts w:ascii="Arial" w:hAnsi="Arial" w:cs="Arial"/>
          <w:color w:val="000000" w:themeColor="text1"/>
          <w:sz w:val="24"/>
        </w:rPr>
        <w:t xml:space="preserve"> ≥ 40% specific lysis of K-562 </w:t>
      </w:r>
      <w:r w:rsidR="00663130" w:rsidRPr="00663130">
        <w:rPr>
          <w:rFonts w:ascii="Arial" w:hAnsi="Arial" w:cs="Arial"/>
          <w:color w:val="000000"/>
          <w:sz w:val="24"/>
        </w:rPr>
        <w:t xml:space="preserve">cells </w:t>
      </w:r>
      <w:r w:rsidR="00663130" w:rsidRPr="00663130">
        <w:rPr>
          <w:rFonts w:ascii="Arial" w:hAnsi="Arial" w:cs="Arial"/>
          <w:color w:val="000000" w:themeColor="text1"/>
          <w:sz w:val="24"/>
        </w:rPr>
        <w:t xml:space="preserve">at an E:T ratio of 2.5:1 were released from </w:t>
      </w:r>
      <w:r w:rsidR="00663130" w:rsidRPr="00663130">
        <w:rPr>
          <w:rFonts w:ascii="Arial" w:hAnsi="Arial" w:cs="Arial"/>
          <w:color w:val="000000"/>
          <w:sz w:val="24"/>
        </w:rPr>
        <w:t xml:space="preserve">the </w:t>
      </w:r>
      <w:r w:rsidR="00663130" w:rsidRPr="00663130">
        <w:rPr>
          <w:rFonts w:ascii="Arial" w:hAnsi="Arial" w:cs="Arial"/>
          <w:color w:val="000000" w:themeColor="text1"/>
          <w:sz w:val="24"/>
        </w:rPr>
        <w:t>infusion.</w:t>
      </w:r>
    </w:p>
    <w:bookmarkEnd w:id="4"/>
    <w:p w14:paraId="263495B9" w14:textId="09E43CBD" w:rsidR="00E138A7" w:rsidRPr="00663130" w:rsidRDefault="00E138A7" w:rsidP="00E138A7">
      <w:pPr>
        <w:spacing w:after="120" w:line="360" w:lineRule="auto"/>
        <w:ind w:firstLine="630"/>
        <w:rPr>
          <w:rFonts w:ascii="Arial" w:hAnsi="Arial" w:cs="Arial"/>
          <w:color w:val="000000" w:themeColor="text1"/>
          <w:sz w:val="24"/>
        </w:rPr>
      </w:pPr>
    </w:p>
    <w:bookmarkEnd w:id="2"/>
    <w:p w14:paraId="4E24E1C7" w14:textId="14B63440" w:rsidR="00FF52B2" w:rsidRPr="000F1525" w:rsidRDefault="0039394D">
      <w:pPr>
        <w:widowControl/>
        <w:spacing w:line="360" w:lineRule="auto"/>
        <w:rPr>
          <w:rFonts w:ascii="Arial" w:eastAsia="宋体" w:hAnsi="Arial" w:cs="Arial"/>
          <w:b/>
          <w:bCs/>
          <w:color w:val="000000"/>
          <w:kern w:val="0"/>
          <w:sz w:val="24"/>
          <w:lang w:bidi="ar"/>
        </w:rPr>
      </w:pPr>
      <w:r w:rsidRPr="000F1525">
        <w:rPr>
          <w:rFonts w:ascii="Arial" w:eastAsia="宋体" w:hAnsi="Arial" w:cs="Arial"/>
          <w:b/>
          <w:bCs/>
          <w:color w:val="000000"/>
          <w:kern w:val="0"/>
          <w:sz w:val="24"/>
          <w:lang w:bidi="ar"/>
        </w:rPr>
        <w:t>3.3.2 Infusion Environment:</w:t>
      </w:r>
    </w:p>
    <w:p w14:paraId="7F842366" w14:textId="77777777" w:rsidR="00FF52B2" w:rsidRDefault="00000000" w:rsidP="00DD7A0E">
      <w:pPr>
        <w:widowControl/>
        <w:spacing w:line="360" w:lineRule="auto"/>
        <w:ind w:firstLineChars="200" w:firstLine="480"/>
        <w:rPr>
          <w:rFonts w:ascii="Arial" w:eastAsia="宋体" w:hAnsi="Arial" w:cs="Arial"/>
          <w:color w:val="000000"/>
          <w:kern w:val="0"/>
          <w:sz w:val="24"/>
          <w:lang w:bidi="ar"/>
        </w:rPr>
      </w:pPr>
      <w:r w:rsidRPr="000F1525">
        <w:rPr>
          <w:rFonts w:ascii="Arial" w:eastAsia="宋体" w:hAnsi="Arial" w:cs="Arial"/>
          <w:color w:val="000000"/>
          <w:kern w:val="0"/>
          <w:sz w:val="24"/>
          <w:lang w:bidi="ar"/>
        </w:rPr>
        <w:t>The NK cell injection is administered on the final day of the patient's hospitalization, within the ward. Temperature and humidity control should follow the routine requirements of the hospital's nursing department.</w:t>
      </w:r>
    </w:p>
    <w:p w14:paraId="713F35D9" w14:textId="50CCA6B4" w:rsidR="00FF52B2" w:rsidRPr="000F1525" w:rsidRDefault="0039394D">
      <w:pPr>
        <w:widowControl/>
        <w:spacing w:line="360" w:lineRule="auto"/>
        <w:rPr>
          <w:rFonts w:ascii="Arial" w:eastAsia="宋体" w:hAnsi="Arial" w:cs="Arial"/>
          <w:b/>
          <w:bCs/>
          <w:color w:val="000000"/>
          <w:kern w:val="0"/>
          <w:sz w:val="24"/>
          <w:lang w:bidi="ar"/>
        </w:rPr>
      </w:pPr>
      <w:r w:rsidRPr="000F1525">
        <w:rPr>
          <w:rFonts w:ascii="Arial" w:eastAsia="宋体" w:hAnsi="Arial" w:cs="Arial"/>
          <w:b/>
          <w:bCs/>
          <w:color w:val="000000"/>
          <w:kern w:val="0"/>
          <w:sz w:val="24"/>
          <w:lang w:bidi="ar"/>
        </w:rPr>
        <w:lastRenderedPageBreak/>
        <w:t>3.3.3 Reception of NK Cells products:</w:t>
      </w:r>
    </w:p>
    <w:p w14:paraId="1A010616" w14:textId="77777777" w:rsidR="00FF52B2" w:rsidRPr="000F1525" w:rsidRDefault="00000000" w:rsidP="00DD7A0E">
      <w:pPr>
        <w:widowControl/>
        <w:spacing w:line="360" w:lineRule="auto"/>
        <w:ind w:firstLineChars="200" w:firstLine="480"/>
        <w:rPr>
          <w:rFonts w:ascii="Arial" w:eastAsia="宋体" w:hAnsi="Arial" w:cs="Arial"/>
          <w:color w:val="000000"/>
          <w:kern w:val="0"/>
          <w:sz w:val="24"/>
          <w:lang w:bidi="ar"/>
        </w:rPr>
      </w:pPr>
      <w:r w:rsidRPr="000F1525">
        <w:rPr>
          <w:rFonts w:ascii="Arial" w:eastAsia="宋体" w:hAnsi="Arial" w:cs="Arial"/>
          <w:color w:val="000000"/>
          <w:kern w:val="0"/>
          <w:sz w:val="24"/>
          <w:lang w:bidi="ar"/>
        </w:rPr>
        <w:t>Upon arrival at the hospital under cold condition, the NK cells products should be used immediately on the same day. A special person is responsible for receiving the NK cell products and registering it in the NK cell products registration form to describe the situation of the NK cells at the time of receipt. NK cell injection should be handled gently, not violently shaken, not squeezed.</w:t>
      </w:r>
    </w:p>
    <w:p w14:paraId="3BE14216" w14:textId="77777777" w:rsidR="00FF52B2" w:rsidRPr="000F1525" w:rsidRDefault="00FF52B2">
      <w:pPr>
        <w:widowControl/>
        <w:spacing w:line="360" w:lineRule="auto"/>
        <w:rPr>
          <w:rFonts w:ascii="Arial" w:eastAsia="宋体" w:hAnsi="Arial" w:cs="Arial"/>
          <w:color w:val="000000"/>
          <w:kern w:val="0"/>
          <w:sz w:val="24"/>
          <w:lang w:bidi="ar"/>
        </w:rPr>
      </w:pPr>
    </w:p>
    <w:p w14:paraId="1B7BAA00" w14:textId="3C921ECB" w:rsidR="00FF52B2" w:rsidRPr="000F1525" w:rsidRDefault="009D3485">
      <w:pPr>
        <w:widowControl/>
        <w:spacing w:line="360" w:lineRule="auto"/>
        <w:rPr>
          <w:rFonts w:ascii="Arial" w:eastAsia="宋体" w:hAnsi="Arial" w:cs="Arial"/>
          <w:b/>
          <w:bCs/>
          <w:color w:val="000000"/>
          <w:kern w:val="0"/>
          <w:sz w:val="24"/>
          <w:lang w:bidi="ar"/>
        </w:rPr>
      </w:pPr>
      <w:r w:rsidRPr="000F1525">
        <w:rPr>
          <w:rFonts w:ascii="Arial" w:eastAsia="宋体" w:hAnsi="Arial" w:cs="Arial"/>
          <w:b/>
          <w:bCs/>
          <w:color w:val="000000"/>
          <w:kern w:val="0"/>
          <w:sz w:val="24"/>
          <w:lang w:bidi="ar"/>
        </w:rPr>
        <w:t>3.3.4 Infusion Preparation:</w:t>
      </w:r>
    </w:p>
    <w:p w14:paraId="30D54741" w14:textId="77777777" w:rsidR="00FF52B2" w:rsidRPr="000F1525" w:rsidRDefault="00000000" w:rsidP="00DD7A0E">
      <w:pPr>
        <w:widowControl/>
        <w:spacing w:line="360" w:lineRule="auto"/>
        <w:ind w:firstLineChars="200" w:firstLine="480"/>
        <w:rPr>
          <w:rFonts w:ascii="Arial" w:eastAsia="宋体" w:hAnsi="Arial" w:cs="Arial"/>
          <w:color w:val="000000"/>
          <w:kern w:val="0"/>
          <w:sz w:val="24"/>
          <w:lang w:bidi="ar"/>
        </w:rPr>
      </w:pPr>
      <w:r w:rsidRPr="000F1525">
        <w:rPr>
          <w:rFonts w:ascii="Arial" w:eastAsia="宋体" w:hAnsi="Arial" w:cs="Arial"/>
          <w:color w:val="000000"/>
          <w:kern w:val="0"/>
          <w:sz w:val="24"/>
          <w:lang w:bidi="ar"/>
        </w:rPr>
        <w:t>The intravenous infusion of the NK cells is to be performed by a designated individual who has undergone specific training. The designated individual must wash their hands, change into work attire, and prepare the necessary items for infusion, including a treatment cart, a kidney dish, a disposable sterilization pack, an infusion set, a No. 7 scalp needle, 0.9% saline solution, scissors, infusion labels, and hand sanitizer.</w:t>
      </w:r>
    </w:p>
    <w:p w14:paraId="111ACF5E" w14:textId="77777777" w:rsidR="00FF52B2" w:rsidRPr="000F1525" w:rsidRDefault="00FF52B2">
      <w:pPr>
        <w:widowControl/>
        <w:spacing w:line="360" w:lineRule="auto"/>
        <w:rPr>
          <w:rFonts w:ascii="Arial" w:eastAsia="宋体" w:hAnsi="Arial" w:cs="Arial"/>
          <w:color w:val="000000"/>
          <w:kern w:val="0"/>
          <w:sz w:val="24"/>
          <w:lang w:bidi="ar"/>
        </w:rPr>
      </w:pPr>
    </w:p>
    <w:p w14:paraId="007B6ED1" w14:textId="4D75FD62" w:rsidR="00FF52B2" w:rsidRPr="000F1525" w:rsidRDefault="009D3485">
      <w:pPr>
        <w:widowControl/>
        <w:spacing w:line="360" w:lineRule="auto"/>
        <w:rPr>
          <w:rFonts w:ascii="Arial" w:eastAsia="宋体" w:hAnsi="Arial" w:cs="Arial"/>
          <w:b/>
          <w:bCs/>
          <w:color w:val="000000"/>
          <w:kern w:val="0"/>
          <w:sz w:val="24"/>
          <w:lang w:bidi="ar"/>
        </w:rPr>
      </w:pPr>
      <w:r w:rsidRPr="000F1525">
        <w:rPr>
          <w:rFonts w:ascii="Arial" w:eastAsia="宋体" w:hAnsi="Arial" w:cs="Arial"/>
          <w:b/>
          <w:bCs/>
          <w:color w:val="000000"/>
          <w:kern w:val="0"/>
          <w:sz w:val="24"/>
          <w:lang w:bidi="ar"/>
        </w:rPr>
        <w:t>3.3.5 Infusion Procedure:</w:t>
      </w:r>
    </w:p>
    <w:p w14:paraId="41E0D055" w14:textId="53E955E4" w:rsidR="00FF52B2" w:rsidRPr="000F1525" w:rsidRDefault="00000000" w:rsidP="001B04D6">
      <w:pPr>
        <w:widowControl/>
        <w:spacing w:after="120" w:line="360" w:lineRule="auto"/>
        <w:ind w:firstLineChars="200" w:firstLine="480"/>
        <w:rPr>
          <w:rFonts w:ascii="Arial" w:eastAsia="宋体" w:hAnsi="Arial" w:cs="Arial"/>
          <w:color w:val="000000"/>
          <w:kern w:val="0"/>
          <w:sz w:val="24"/>
          <w:lang w:bidi="ar"/>
        </w:rPr>
      </w:pPr>
      <w:r w:rsidRPr="000F1525">
        <w:rPr>
          <w:rFonts w:ascii="Arial" w:eastAsia="宋体" w:hAnsi="Arial" w:cs="Arial"/>
          <w:color w:val="000000"/>
          <w:kern w:val="0"/>
          <w:sz w:val="24"/>
          <w:lang w:bidi="ar"/>
        </w:rPr>
        <w:t>Thoroughly inspect the cell suspension for any flocculent material or turbidity. Verify that the patient information on the infusion label matches that on the cell label. Prepare all necessary items and transport the treatment cart to the patient's bedside. Wash hands again with hand sanitizer and wear a mask. Explain to the patient that the cell infusion is about to begin and ensure they are prepared.</w:t>
      </w:r>
      <w:r w:rsidR="00977D84" w:rsidRPr="000F1525">
        <w:rPr>
          <w:rFonts w:ascii="Arial" w:eastAsia="宋体" w:hAnsi="Arial" w:cs="Arial"/>
          <w:color w:val="000000"/>
          <w:kern w:val="0"/>
          <w:sz w:val="24"/>
          <w:lang w:bidi="ar"/>
        </w:rPr>
        <w:t xml:space="preserve"> </w:t>
      </w:r>
      <w:r w:rsidRPr="000F1525">
        <w:rPr>
          <w:rFonts w:ascii="Arial" w:eastAsia="宋体" w:hAnsi="Arial" w:cs="Arial"/>
          <w:color w:val="000000"/>
          <w:kern w:val="0"/>
          <w:sz w:val="24"/>
          <w:lang w:bidi="ar"/>
        </w:rPr>
        <w:t>Remove the infusion set from its packaging using scissors. Insert the large needle into the medication vial. Hold the Murphy's drip tube upside down, hang it on the infusion stand, and expel all air. Close the regulator and check for any air bubbles in the infusion tubing.</w:t>
      </w:r>
      <w:r w:rsidR="00481F77" w:rsidRPr="000F1525">
        <w:rPr>
          <w:rFonts w:ascii="Arial" w:eastAsia="宋体" w:hAnsi="Arial" w:cs="Arial"/>
          <w:color w:val="000000"/>
          <w:kern w:val="0"/>
          <w:sz w:val="24"/>
          <w:lang w:bidi="ar"/>
        </w:rPr>
        <w:t xml:space="preserve"> </w:t>
      </w:r>
      <w:r w:rsidRPr="000F1525">
        <w:rPr>
          <w:rFonts w:ascii="Arial" w:eastAsia="宋体" w:hAnsi="Arial" w:cs="Arial"/>
          <w:color w:val="000000"/>
          <w:kern w:val="0"/>
          <w:sz w:val="24"/>
          <w:lang w:bidi="ar"/>
        </w:rPr>
        <w:t>Select a peripheral vein in the forearm or elbow that is thick, straight, and elastic to ensure the required infusion rate for NK cells. Instruct the patient to assume a comfortable position.</w:t>
      </w:r>
    </w:p>
    <w:p w14:paraId="7145CD7D" w14:textId="77777777" w:rsidR="00FF52B2" w:rsidRPr="000F1525" w:rsidRDefault="00000000" w:rsidP="00E10F6D">
      <w:pPr>
        <w:widowControl/>
        <w:spacing w:after="120" w:line="360" w:lineRule="auto"/>
        <w:ind w:firstLine="480"/>
        <w:rPr>
          <w:rFonts w:ascii="Arial" w:eastAsia="宋体" w:hAnsi="Arial" w:cs="Arial"/>
          <w:color w:val="000000"/>
          <w:kern w:val="0"/>
          <w:sz w:val="24"/>
          <w:lang w:bidi="ar"/>
        </w:rPr>
      </w:pPr>
      <w:r w:rsidRPr="000F1525">
        <w:rPr>
          <w:rFonts w:ascii="Arial" w:eastAsia="宋体" w:hAnsi="Arial" w:cs="Arial"/>
          <w:color w:val="000000"/>
          <w:kern w:val="0"/>
          <w:sz w:val="24"/>
          <w:lang w:bidi="ar"/>
        </w:rPr>
        <w:lastRenderedPageBreak/>
        <w:t xml:space="preserve">Place a disposable treatment towel under the selected vein. Apply a tourniquet 5-6 cm above the puncture site. Perform routine skin disinfection with a diameter of at least 5 cm and allow it to dry. Prepare for venipuncture. Before the infusion of cells, gently reverse the infusion bag 3-4 times up and down to fully mix, and then infuse intravenously according to the routine infusion procedures, strictly in accordance with the principle of aseptic operation. NK cells are flushed with 0.9% normal saline before and after infusion so that all cells could be injected into the patient. Due to the large NK cell particles, the drip rate is controlled at about 15 drops/min in the first 10-15 minutes, and the drip rate is adjusted at about 40-60 drops/min after 15 minutes if there is no discomfort reaction. The patient's vital signs and general condition are closely observed by medical staff during the whole process of cell transfusion. If the patient experienced discomfort, the drip rate </w:t>
      </w:r>
      <w:proofErr w:type="gramStart"/>
      <w:r w:rsidRPr="000F1525">
        <w:rPr>
          <w:rFonts w:ascii="Arial" w:eastAsia="宋体" w:hAnsi="Arial" w:cs="Arial"/>
          <w:color w:val="000000"/>
          <w:kern w:val="0"/>
          <w:sz w:val="24"/>
          <w:lang w:bidi="ar"/>
        </w:rPr>
        <w:t>need</w:t>
      </w:r>
      <w:proofErr w:type="gramEnd"/>
      <w:r w:rsidRPr="000F1525">
        <w:rPr>
          <w:rFonts w:ascii="Arial" w:eastAsia="宋体" w:hAnsi="Arial" w:cs="Arial"/>
          <w:color w:val="000000"/>
          <w:kern w:val="0"/>
          <w:sz w:val="24"/>
          <w:lang w:bidi="ar"/>
        </w:rPr>
        <w:t xml:space="preserve"> slow down If symptoms persist, pause the infusion and provide symptomatic treatment. At the same time, Monitor the patient's temperature before and after the infusion. After needle removal, instruct the patient to apply pressure to the puncture site for at least 5 minutes. Observe the patient for one hour after the infusion and measure vital signs at the end of the one-hour observation period.</w:t>
      </w:r>
    </w:p>
    <w:p w14:paraId="20DD4E72" w14:textId="2CB08003" w:rsidR="000D1483" w:rsidRPr="000F1525" w:rsidRDefault="000D1483">
      <w:pPr>
        <w:widowControl/>
        <w:jc w:val="left"/>
        <w:rPr>
          <w:rFonts w:ascii="Arial" w:eastAsia="宋体" w:hAnsi="Arial" w:cs="Arial"/>
          <w:color w:val="000000"/>
          <w:kern w:val="0"/>
          <w:sz w:val="24"/>
          <w:lang w:bidi="ar"/>
        </w:rPr>
      </w:pPr>
    </w:p>
    <w:p w14:paraId="35F7D581" w14:textId="77777777" w:rsidR="00FF52B2" w:rsidRPr="000F1525" w:rsidRDefault="00000000">
      <w:pPr>
        <w:widowControl/>
        <w:spacing w:line="360" w:lineRule="auto"/>
        <w:rPr>
          <w:rFonts w:ascii="Arial" w:eastAsia="宋体" w:hAnsi="Arial" w:cs="Arial"/>
          <w:b/>
          <w:bCs/>
          <w:color w:val="000000"/>
          <w:kern w:val="0"/>
          <w:sz w:val="24"/>
          <w:lang w:bidi="ar"/>
        </w:rPr>
      </w:pPr>
      <w:r w:rsidRPr="000F1525">
        <w:rPr>
          <w:rFonts w:ascii="Arial" w:eastAsia="宋体" w:hAnsi="Arial" w:cs="Arial"/>
          <w:b/>
          <w:bCs/>
          <w:color w:val="000000"/>
          <w:kern w:val="0"/>
          <w:sz w:val="24"/>
          <w:lang w:bidi="ar"/>
        </w:rPr>
        <w:t>3.4 Dose modification</w:t>
      </w:r>
    </w:p>
    <w:p w14:paraId="7CE25722" w14:textId="77777777" w:rsidR="00FF52B2" w:rsidRPr="000F1525" w:rsidRDefault="00000000" w:rsidP="003C25C4">
      <w:pPr>
        <w:widowControl/>
        <w:spacing w:line="360" w:lineRule="auto"/>
        <w:ind w:firstLineChars="200" w:firstLine="480"/>
        <w:rPr>
          <w:rFonts w:ascii="Arial" w:eastAsia="宋体" w:hAnsi="Arial" w:cs="Arial"/>
          <w:color w:val="000000"/>
          <w:kern w:val="0"/>
          <w:sz w:val="24"/>
          <w:lang w:bidi="ar"/>
        </w:rPr>
      </w:pPr>
      <w:r w:rsidRPr="000F1525">
        <w:rPr>
          <w:rFonts w:ascii="Arial" w:eastAsia="宋体" w:hAnsi="Arial" w:cs="Arial"/>
          <w:color w:val="000000"/>
          <w:kern w:val="0"/>
          <w:sz w:val="24"/>
          <w:lang w:bidi="ar"/>
        </w:rPr>
        <w:t>The adverse reactions to the chemotherapy (gemcitabine plus S-1) would be managed by the investigator in accordance with the instructions.</w:t>
      </w:r>
    </w:p>
    <w:p w14:paraId="013CADDB" w14:textId="6266C1BD" w:rsidR="00FF52B2" w:rsidRPr="000F1525" w:rsidRDefault="00000000" w:rsidP="003A3CAD">
      <w:pPr>
        <w:widowControl/>
        <w:spacing w:line="360" w:lineRule="auto"/>
        <w:ind w:firstLine="480"/>
        <w:rPr>
          <w:rFonts w:ascii="Arial" w:eastAsia="宋体" w:hAnsi="Arial" w:cs="Arial"/>
          <w:color w:val="000000"/>
          <w:kern w:val="0"/>
          <w:sz w:val="24"/>
          <w:lang w:bidi="ar"/>
        </w:rPr>
      </w:pPr>
      <w:r w:rsidRPr="000F1525">
        <w:rPr>
          <w:rFonts w:ascii="Arial" w:eastAsia="宋体" w:hAnsi="Arial" w:cs="Arial"/>
          <w:color w:val="000000"/>
          <w:kern w:val="0"/>
          <w:sz w:val="24"/>
          <w:lang w:bidi="ar"/>
        </w:rPr>
        <w:t xml:space="preserve">For adverse reactions related to NK cells, The investigators identify the adverse events according to the National Cancer Institute's Common Terminology Criteria for Adverse Events (CTCAE V4.03), and they will use their clinical experience to distinguish whether the adverse reactions are caused by conventional chemotherapeutic agents or by NK cells. If the investigators determine that the adverse reaction is caused by NK cells, the following protocol will be followed: If dose-limiting toxicity occurs in 1 of the 3 cases in group 1, the enrollment of 3 patients in the next group may continue. If </w:t>
      </w:r>
      <w:r w:rsidRPr="000F1525">
        <w:rPr>
          <w:rFonts w:ascii="Arial" w:eastAsia="宋体" w:hAnsi="Arial" w:cs="Arial"/>
          <w:color w:val="000000"/>
          <w:kern w:val="0"/>
          <w:sz w:val="24"/>
          <w:lang w:bidi="ar"/>
        </w:rPr>
        <w:lastRenderedPageBreak/>
        <w:t>dose-limiting toxicity occurs in 1 more of the 3 patients in the next group, i.e., in 2 or more of the 6 patients, the amount of NK cells used should be halved to 0.5 x</w:t>
      </w:r>
      <w:r w:rsidR="001858BC">
        <w:rPr>
          <w:rFonts w:ascii="Arial" w:eastAsia="宋体" w:hAnsi="Arial" w:cs="Arial" w:hint="eastAsia"/>
          <w:color w:val="000000"/>
          <w:kern w:val="0"/>
          <w:sz w:val="24"/>
          <w:lang w:bidi="ar"/>
        </w:rPr>
        <w:t xml:space="preserve"> </w:t>
      </w:r>
      <w:r w:rsidRPr="000F1525">
        <w:rPr>
          <w:rFonts w:ascii="Arial" w:eastAsia="宋体" w:hAnsi="Arial" w:cs="Arial"/>
          <w:color w:val="000000"/>
          <w:kern w:val="0"/>
          <w:sz w:val="24"/>
          <w:lang w:bidi="ar"/>
        </w:rPr>
        <w:t>10</w:t>
      </w:r>
      <w:r w:rsidRPr="000F1525">
        <w:rPr>
          <w:rFonts w:ascii="Arial" w:eastAsia="宋体" w:hAnsi="Arial" w:cs="Arial"/>
          <w:color w:val="000000"/>
          <w:kern w:val="0"/>
          <w:sz w:val="24"/>
          <w:vertAlign w:val="superscript"/>
          <w:lang w:bidi="ar"/>
        </w:rPr>
        <w:t>9</w:t>
      </w:r>
      <w:r w:rsidRPr="000F1525">
        <w:rPr>
          <w:rFonts w:ascii="Arial" w:eastAsia="宋体" w:hAnsi="Arial" w:cs="Arial"/>
          <w:color w:val="000000"/>
          <w:kern w:val="0"/>
          <w:sz w:val="24"/>
          <w:lang w:bidi="ar"/>
        </w:rPr>
        <w:t>. If no DLT occurs at the current dose of 2</w:t>
      </w:r>
      <w:r w:rsidR="001858BC">
        <w:rPr>
          <w:rFonts w:ascii="Arial" w:eastAsia="宋体" w:hAnsi="Arial" w:cs="Arial" w:hint="eastAsia"/>
          <w:color w:val="000000"/>
          <w:kern w:val="0"/>
          <w:sz w:val="24"/>
          <w:lang w:bidi="ar"/>
        </w:rPr>
        <w:t xml:space="preserve"> </w:t>
      </w:r>
      <w:r w:rsidRPr="000F1525">
        <w:rPr>
          <w:rFonts w:ascii="Arial" w:eastAsia="宋体" w:hAnsi="Arial" w:cs="Arial"/>
          <w:color w:val="000000"/>
          <w:kern w:val="0"/>
          <w:sz w:val="24"/>
          <w:lang w:bidi="ar"/>
        </w:rPr>
        <w:t>x</w:t>
      </w:r>
      <w:r w:rsidR="001858BC">
        <w:rPr>
          <w:rFonts w:ascii="Arial" w:eastAsia="宋体" w:hAnsi="Arial" w:cs="Arial" w:hint="eastAsia"/>
          <w:color w:val="000000"/>
          <w:kern w:val="0"/>
          <w:sz w:val="24"/>
          <w:lang w:bidi="ar"/>
        </w:rPr>
        <w:t xml:space="preserve"> </w:t>
      </w:r>
      <w:r w:rsidRPr="000F1525">
        <w:rPr>
          <w:rFonts w:ascii="Arial" w:eastAsia="宋体" w:hAnsi="Arial" w:cs="Arial"/>
          <w:color w:val="000000"/>
          <w:kern w:val="0"/>
          <w:sz w:val="24"/>
          <w:lang w:bidi="ar"/>
        </w:rPr>
        <w:t>10</w:t>
      </w:r>
      <w:r w:rsidRPr="000F1525">
        <w:rPr>
          <w:rFonts w:ascii="Arial" w:eastAsia="宋体" w:hAnsi="Arial" w:cs="Arial"/>
          <w:color w:val="000000"/>
          <w:kern w:val="0"/>
          <w:sz w:val="24"/>
          <w:vertAlign w:val="superscript"/>
          <w:lang w:bidi="ar"/>
        </w:rPr>
        <w:t>9</w:t>
      </w:r>
      <w:r w:rsidRPr="000F1525">
        <w:rPr>
          <w:rFonts w:ascii="Arial" w:eastAsia="宋体" w:hAnsi="Arial" w:cs="Arial"/>
          <w:color w:val="000000"/>
          <w:kern w:val="0"/>
          <w:sz w:val="24"/>
          <w:lang w:bidi="ar"/>
        </w:rPr>
        <w:t>, the dose of NK cells will be escalated to 4</w:t>
      </w:r>
      <w:r w:rsidR="001858BC">
        <w:rPr>
          <w:rFonts w:ascii="Arial" w:eastAsia="宋体" w:hAnsi="Arial" w:cs="Arial" w:hint="eastAsia"/>
          <w:color w:val="000000"/>
          <w:kern w:val="0"/>
          <w:sz w:val="24"/>
          <w:lang w:bidi="ar"/>
        </w:rPr>
        <w:t xml:space="preserve"> </w:t>
      </w:r>
      <w:r w:rsidRPr="000F1525">
        <w:rPr>
          <w:rFonts w:ascii="Arial" w:eastAsia="宋体" w:hAnsi="Arial" w:cs="Arial"/>
          <w:color w:val="000000"/>
          <w:kern w:val="0"/>
          <w:sz w:val="24"/>
          <w:lang w:bidi="ar"/>
        </w:rPr>
        <w:t>x</w:t>
      </w:r>
      <w:r w:rsidR="001858BC">
        <w:rPr>
          <w:rFonts w:ascii="Arial" w:eastAsia="宋体" w:hAnsi="Arial" w:cs="Arial" w:hint="eastAsia"/>
          <w:color w:val="000000"/>
          <w:kern w:val="0"/>
          <w:sz w:val="24"/>
          <w:lang w:bidi="ar"/>
        </w:rPr>
        <w:t xml:space="preserve"> </w:t>
      </w:r>
      <w:r w:rsidRPr="000F1525">
        <w:rPr>
          <w:rFonts w:ascii="Arial" w:eastAsia="宋体" w:hAnsi="Arial" w:cs="Arial"/>
          <w:color w:val="000000"/>
          <w:kern w:val="0"/>
          <w:sz w:val="24"/>
          <w:lang w:bidi="ar"/>
        </w:rPr>
        <w:t>10</w:t>
      </w:r>
      <w:r w:rsidRPr="000F1525">
        <w:rPr>
          <w:rFonts w:ascii="Arial" w:eastAsia="宋体" w:hAnsi="Arial" w:cs="Arial"/>
          <w:color w:val="000000"/>
          <w:kern w:val="0"/>
          <w:sz w:val="24"/>
          <w:vertAlign w:val="superscript"/>
          <w:lang w:bidi="ar"/>
        </w:rPr>
        <w:t>9</w:t>
      </w:r>
      <w:r w:rsidRPr="000F1525">
        <w:rPr>
          <w:rFonts w:ascii="Arial" w:eastAsia="宋体" w:hAnsi="Arial" w:cs="Arial"/>
          <w:color w:val="000000"/>
          <w:kern w:val="0"/>
          <w:sz w:val="24"/>
          <w:lang w:bidi="ar"/>
        </w:rPr>
        <w:t xml:space="preserve"> units</w:t>
      </w:r>
      <w:r w:rsidR="00802A8A">
        <w:rPr>
          <w:rFonts w:ascii="Arial" w:eastAsia="宋体" w:hAnsi="Arial" w:cs="Arial" w:hint="eastAsia"/>
          <w:color w:val="000000"/>
          <w:kern w:val="0"/>
          <w:sz w:val="24"/>
          <w:lang w:bidi="ar"/>
        </w:rPr>
        <w:t xml:space="preserve">, </w:t>
      </w:r>
      <w:r w:rsidRPr="000F1525">
        <w:rPr>
          <w:rFonts w:ascii="Arial" w:eastAsia="宋体" w:hAnsi="Arial" w:cs="Arial"/>
          <w:color w:val="000000"/>
          <w:kern w:val="0"/>
          <w:sz w:val="24"/>
          <w:lang w:bidi="ar"/>
        </w:rPr>
        <w:t>with no dose-limiting toxicity, and the NK cell dose continues to be increased to 8 x 10</w:t>
      </w:r>
      <w:r w:rsidRPr="000F1525">
        <w:rPr>
          <w:rFonts w:ascii="Arial" w:eastAsia="宋体" w:hAnsi="Arial" w:cs="Arial"/>
          <w:color w:val="000000"/>
          <w:kern w:val="0"/>
          <w:sz w:val="24"/>
          <w:vertAlign w:val="superscript"/>
          <w:lang w:bidi="ar"/>
        </w:rPr>
        <w:t>9</w:t>
      </w:r>
      <w:r w:rsidRPr="000F1525">
        <w:rPr>
          <w:rFonts w:ascii="Arial" w:eastAsia="宋体" w:hAnsi="Arial" w:cs="Arial"/>
          <w:color w:val="000000"/>
          <w:kern w:val="0"/>
          <w:sz w:val="24"/>
          <w:lang w:bidi="ar"/>
        </w:rPr>
        <w:t xml:space="preserve"> units.</w:t>
      </w:r>
    </w:p>
    <w:p w14:paraId="016D5F2D" w14:textId="77777777" w:rsidR="00FF52B2" w:rsidRPr="000F1525" w:rsidRDefault="00FF52B2">
      <w:pPr>
        <w:widowControl/>
        <w:spacing w:line="360" w:lineRule="auto"/>
        <w:rPr>
          <w:rFonts w:ascii="Arial" w:eastAsia="宋体" w:hAnsi="Arial" w:cs="Arial"/>
          <w:color w:val="000000"/>
          <w:kern w:val="0"/>
          <w:sz w:val="24"/>
          <w:lang w:bidi="ar"/>
        </w:rPr>
      </w:pPr>
    </w:p>
    <w:p w14:paraId="7D6C1653" w14:textId="77777777" w:rsidR="00FF52B2" w:rsidRPr="000F1525" w:rsidRDefault="00000000">
      <w:pPr>
        <w:widowControl/>
        <w:spacing w:line="360" w:lineRule="auto"/>
        <w:rPr>
          <w:rFonts w:ascii="Arial" w:eastAsia="宋体" w:hAnsi="Arial" w:cs="Arial"/>
          <w:b/>
          <w:bCs/>
          <w:color w:val="000000"/>
          <w:kern w:val="0"/>
          <w:sz w:val="24"/>
          <w:lang w:bidi="ar"/>
        </w:rPr>
      </w:pPr>
      <w:r w:rsidRPr="000F1525">
        <w:rPr>
          <w:rFonts w:ascii="Arial" w:eastAsia="宋体" w:hAnsi="Arial" w:cs="Arial"/>
          <w:b/>
          <w:bCs/>
          <w:color w:val="000000"/>
          <w:kern w:val="0"/>
          <w:sz w:val="24"/>
          <w:lang w:bidi="ar"/>
        </w:rPr>
        <w:t>3.5. Safety evaluation</w:t>
      </w:r>
    </w:p>
    <w:p w14:paraId="14F3C0F2" w14:textId="77777777" w:rsidR="00FF52B2" w:rsidRPr="000F1525" w:rsidRDefault="00000000" w:rsidP="003C25C4">
      <w:pPr>
        <w:widowControl/>
        <w:spacing w:line="360" w:lineRule="auto"/>
        <w:ind w:firstLineChars="200" w:firstLine="480"/>
        <w:rPr>
          <w:rFonts w:ascii="Arial" w:eastAsia="宋体" w:hAnsi="Arial" w:cs="Arial"/>
          <w:color w:val="000000"/>
          <w:kern w:val="0"/>
          <w:sz w:val="24"/>
          <w:lang w:bidi="ar"/>
        </w:rPr>
      </w:pPr>
      <w:r w:rsidRPr="000F1525">
        <w:rPr>
          <w:rFonts w:ascii="Arial" w:eastAsia="宋体" w:hAnsi="Arial" w:cs="Arial"/>
          <w:color w:val="000000"/>
          <w:kern w:val="0"/>
          <w:sz w:val="24"/>
          <w:lang w:bidi="ar"/>
        </w:rPr>
        <w:t>Safety assessment will include monitoring and recording all adverse events (AEs), including serious adverse events (SAEs), laboratory tests (liver and kidney function, complete blood count, urinalysis, stool examination), electrocardiograms (ECGs), vital signs, and physical examinations.</w:t>
      </w:r>
    </w:p>
    <w:p w14:paraId="37E53114" w14:textId="77777777" w:rsidR="00FF52B2" w:rsidRPr="000F1525" w:rsidRDefault="00FF52B2">
      <w:pPr>
        <w:widowControl/>
        <w:spacing w:line="360" w:lineRule="auto"/>
        <w:rPr>
          <w:rFonts w:ascii="Arial" w:eastAsia="宋体" w:hAnsi="Arial" w:cs="Arial"/>
          <w:color w:val="000000"/>
          <w:kern w:val="0"/>
          <w:sz w:val="24"/>
          <w:lang w:bidi="ar"/>
        </w:rPr>
      </w:pPr>
    </w:p>
    <w:p w14:paraId="614C6E79" w14:textId="1B5DA462" w:rsidR="00FF52B2" w:rsidRPr="000F1525" w:rsidRDefault="001025AE">
      <w:pPr>
        <w:widowControl/>
        <w:spacing w:line="360" w:lineRule="auto"/>
        <w:rPr>
          <w:rFonts w:ascii="Arial" w:eastAsia="宋体" w:hAnsi="Arial" w:cs="Arial"/>
          <w:b/>
          <w:bCs/>
          <w:color w:val="000000"/>
          <w:kern w:val="0"/>
          <w:sz w:val="24"/>
          <w:lang w:bidi="ar"/>
        </w:rPr>
      </w:pPr>
      <w:r w:rsidRPr="000F1525">
        <w:rPr>
          <w:rFonts w:ascii="Arial" w:eastAsia="宋体" w:hAnsi="Arial" w:cs="Arial"/>
          <w:b/>
          <w:bCs/>
          <w:color w:val="000000"/>
          <w:kern w:val="0"/>
          <w:sz w:val="24"/>
          <w:lang w:bidi="ar"/>
        </w:rPr>
        <w:t>3.5.1 Definition of Adverse Events</w:t>
      </w:r>
    </w:p>
    <w:p w14:paraId="17C92861" w14:textId="77777777" w:rsidR="00FF52B2" w:rsidRDefault="00000000" w:rsidP="003C25C4">
      <w:pPr>
        <w:widowControl/>
        <w:spacing w:line="360" w:lineRule="auto"/>
        <w:ind w:firstLineChars="200" w:firstLine="480"/>
        <w:rPr>
          <w:rFonts w:ascii="Arial" w:eastAsia="宋体" w:hAnsi="Arial" w:cs="Arial"/>
          <w:color w:val="000000"/>
          <w:kern w:val="0"/>
          <w:sz w:val="24"/>
          <w:lang w:bidi="ar"/>
        </w:rPr>
      </w:pPr>
      <w:r w:rsidRPr="000F1525">
        <w:rPr>
          <w:rFonts w:ascii="Arial" w:eastAsia="宋体" w:hAnsi="Arial" w:cs="Arial"/>
          <w:color w:val="000000"/>
          <w:kern w:val="0"/>
          <w:sz w:val="24"/>
          <w:lang w:bidi="ar"/>
        </w:rPr>
        <w:t>An adverse event (AE) is defined as any untoward medical occurrence in a clinical trial that appears after the patient has signed the informed consent form. However, it does not necessarily have a causal relationship with the treatment. It includes any new event or any worsening in severity and frequency compared to the baseline condition, including abnormal results from diagnostic methods such as laboratory tests and physical examinations.</w:t>
      </w:r>
    </w:p>
    <w:p w14:paraId="082C041E" w14:textId="77777777" w:rsidR="00381C8B" w:rsidRPr="000F1525" w:rsidRDefault="00381C8B" w:rsidP="003C25C4">
      <w:pPr>
        <w:widowControl/>
        <w:spacing w:line="360" w:lineRule="auto"/>
        <w:ind w:firstLineChars="200" w:firstLine="480"/>
        <w:rPr>
          <w:rFonts w:ascii="Arial" w:eastAsia="宋体" w:hAnsi="Arial" w:cs="Arial"/>
          <w:color w:val="000000"/>
          <w:kern w:val="0"/>
          <w:sz w:val="24"/>
          <w:lang w:bidi="ar"/>
        </w:rPr>
      </w:pPr>
    </w:p>
    <w:p w14:paraId="165491C2" w14:textId="06EE6B72" w:rsidR="00FF52B2" w:rsidRPr="000F1525" w:rsidRDefault="005F623F">
      <w:pPr>
        <w:widowControl/>
        <w:spacing w:line="360" w:lineRule="auto"/>
        <w:rPr>
          <w:rFonts w:ascii="Arial" w:eastAsia="宋体" w:hAnsi="Arial" w:cs="Arial"/>
          <w:b/>
          <w:bCs/>
          <w:color w:val="000000"/>
          <w:kern w:val="0"/>
          <w:sz w:val="24"/>
          <w:lang w:bidi="ar"/>
        </w:rPr>
      </w:pPr>
      <w:r w:rsidRPr="000F1525">
        <w:rPr>
          <w:rFonts w:ascii="Arial" w:eastAsia="宋体" w:hAnsi="Arial" w:cs="Arial"/>
          <w:b/>
          <w:bCs/>
          <w:color w:val="000000"/>
          <w:kern w:val="0"/>
          <w:sz w:val="24"/>
          <w:lang w:bidi="ar"/>
        </w:rPr>
        <w:t>3.5.2 Collection and Recording of Adverse Events</w:t>
      </w:r>
    </w:p>
    <w:p w14:paraId="375BB34E" w14:textId="77777777" w:rsidR="00FF52B2" w:rsidRPr="000F1525" w:rsidRDefault="00000000" w:rsidP="004D1784">
      <w:pPr>
        <w:widowControl/>
        <w:spacing w:after="120" w:line="360" w:lineRule="auto"/>
        <w:ind w:firstLineChars="200" w:firstLine="480"/>
        <w:rPr>
          <w:rFonts w:ascii="Arial" w:eastAsia="宋体" w:hAnsi="Arial" w:cs="Arial"/>
          <w:color w:val="000000"/>
          <w:kern w:val="0"/>
          <w:sz w:val="24"/>
          <w:lang w:bidi="ar"/>
        </w:rPr>
      </w:pPr>
      <w:r w:rsidRPr="000F1525">
        <w:rPr>
          <w:rFonts w:ascii="Arial" w:eastAsia="宋体" w:hAnsi="Arial" w:cs="Arial"/>
          <w:color w:val="000000"/>
          <w:kern w:val="0"/>
          <w:sz w:val="24"/>
          <w:lang w:bidi="ar"/>
        </w:rPr>
        <w:t>Investigators are responsible for collecting and recording all adverse events for each patient from the time of signing the informed consent form until the end of the extended study period. Investigators are responsible for observing, recording, and following up on all adverse events that occur during the study process, regardless of their cause.</w:t>
      </w:r>
    </w:p>
    <w:p w14:paraId="0B7CF782" w14:textId="06B0BA3D" w:rsidR="00FF52B2" w:rsidRPr="000F1525" w:rsidRDefault="00000000" w:rsidP="004D1784">
      <w:pPr>
        <w:widowControl/>
        <w:spacing w:after="120" w:line="360" w:lineRule="auto"/>
        <w:ind w:firstLineChars="200" w:firstLine="480"/>
        <w:rPr>
          <w:rFonts w:ascii="Arial" w:eastAsia="宋体" w:hAnsi="Arial" w:cs="Arial"/>
          <w:color w:val="000000"/>
          <w:kern w:val="0"/>
          <w:sz w:val="24"/>
          <w:lang w:bidi="ar"/>
        </w:rPr>
      </w:pPr>
      <w:r w:rsidRPr="000F1525">
        <w:rPr>
          <w:rFonts w:ascii="Arial" w:eastAsia="宋体" w:hAnsi="Arial" w:cs="Arial"/>
          <w:color w:val="000000"/>
          <w:kern w:val="0"/>
          <w:sz w:val="24"/>
          <w:lang w:bidi="ar"/>
        </w:rPr>
        <w:t xml:space="preserve">Any adverse event that occurs during the trial, regardless of its severity or whether it is related to the investigational drug, must be recorded in the adverse event section of the electronic case report form. This includes the date </w:t>
      </w:r>
      <w:r w:rsidRPr="000F1525">
        <w:rPr>
          <w:rFonts w:ascii="Arial" w:eastAsia="宋体" w:hAnsi="Arial" w:cs="Arial"/>
          <w:color w:val="000000"/>
          <w:kern w:val="0"/>
          <w:sz w:val="24"/>
          <w:lang w:bidi="ar"/>
        </w:rPr>
        <w:lastRenderedPageBreak/>
        <w:t>of occurrence, symptoms, severity (CTCAE V</w:t>
      </w:r>
      <w:r w:rsidR="00A36C71" w:rsidRPr="000F1525">
        <w:rPr>
          <w:rFonts w:ascii="Arial" w:eastAsia="宋体" w:hAnsi="Arial" w:cs="Arial"/>
          <w:color w:val="000000"/>
          <w:kern w:val="0"/>
          <w:sz w:val="24"/>
          <w:lang w:bidi="ar"/>
        </w:rPr>
        <w:t>5.0</w:t>
      </w:r>
      <w:r w:rsidRPr="000F1525">
        <w:rPr>
          <w:rFonts w:ascii="Arial" w:eastAsia="宋体" w:hAnsi="Arial" w:cs="Arial"/>
          <w:color w:val="000000"/>
          <w:kern w:val="0"/>
          <w:sz w:val="24"/>
          <w:lang w:bidi="ar"/>
        </w:rPr>
        <w:t>), duration, management measures (continuation of medication, dose reduction, temporary discontinuation followed by resumption, permanent discontinuation, and others), and outcome (resolution with sequelae, resolution without sequelae, persistence, death, and others). Investigators must also evaluate the relationship with the investigational drug, considering comorbidities and concomitant medications/non-pharmacological treatments, and sign and date the records. Adverse events should be recorded using medical terminology, and a diagnosis of the disease should be provided rather than simply listing symptoms and signs.</w:t>
      </w:r>
    </w:p>
    <w:p w14:paraId="04D32F78" w14:textId="05B42EEA" w:rsidR="00FF52B2" w:rsidRPr="000F1525" w:rsidRDefault="00000000" w:rsidP="004D1784">
      <w:pPr>
        <w:widowControl/>
        <w:spacing w:after="120" w:line="360" w:lineRule="auto"/>
        <w:ind w:firstLineChars="200" w:firstLine="480"/>
        <w:rPr>
          <w:rFonts w:ascii="Arial" w:eastAsia="宋体" w:hAnsi="Arial" w:cs="Arial"/>
          <w:color w:val="000000"/>
          <w:kern w:val="0"/>
          <w:sz w:val="24"/>
          <w:lang w:bidi="ar"/>
        </w:rPr>
      </w:pPr>
      <w:r w:rsidRPr="000F1525">
        <w:rPr>
          <w:rFonts w:ascii="Arial" w:eastAsia="宋体" w:hAnsi="Arial" w:cs="Arial"/>
          <w:color w:val="000000"/>
          <w:kern w:val="0"/>
          <w:sz w:val="24"/>
          <w:lang w:bidi="ar"/>
        </w:rPr>
        <w:t>Investigators must determine whether abnormal laboratory test results are clinically significant. If an abnormal laboratory value is clinically significant, it should be judged whether it is an adverse event, and the judgment should be recorded in the source document and accordingly recorded in the electronic case report form.</w:t>
      </w:r>
      <w:r w:rsidR="00E62260" w:rsidRPr="000F1525">
        <w:rPr>
          <w:rFonts w:ascii="Arial" w:eastAsia="宋体" w:hAnsi="Arial" w:cs="Arial"/>
          <w:color w:val="000000"/>
          <w:kern w:val="0"/>
          <w:sz w:val="24"/>
          <w:lang w:bidi="ar"/>
        </w:rPr>
        <w:t xml:space="preserve"> </w:t>
      </w:r>
      <w:r w:rsidRPr="000F1525">
        <w:rPr>
          <w:rFonts w:ascii="Arial" w:eastAsia="宋体" w:hAnsi="Arial" w:cs="Arial"/>
          <w:color w:val="000000"/>
          <w:kern w:val="0"/>
          <w:sz w:val="24"/>
          <w:lang w:bidi="ar"/>
        </w:rPr>
        <w:t>If unexplained abnormal laboratory values occur, they must be retested or followed up until the values return to the normal range or baseline level and/or a reasonable and sufficient explanation is provided and recorded in the source document and electronic case report form.</w:t>
      </w:r>
    </w:p>
    <w:p w14:paraId="212EAB7B" w14:textId="1ECEBBA5" w:rsidR="00FF52B2" w:rsidRPr="000F1525" w:rsidRDefault="00000000" w:rsidP="004D1784">
      <w:pPr>
        <w:widowControl/>
        <w:spacing w:after="120" w:line="360" w:lineRule="auto"/>
        <w:ind w:firstLineChars="200" w:firstLine="480"/>
        <w:rPr>
          <w:rFonts w:ascii="Arial" w:eastAsia="宋体" w:hAnsi="Arial" w:cs="Arial"/>
          <w:color w:val="000000"/>
          <w:kern w:val="0"/>
          <w:sz w:val="24"/>
          <w:lang w:bidi="ar"/>
        </w:rPr>
      </w:pPr>
      <w:r w:rsidRPr="000F1525">
        <w:rPr>
          <w:rFonts w:ascii="Arial" w:eastAsia="宋体" w:hAnsi="Arial" w:cs="Arial"/>
          <w:color w:val="000000"/>
          <w:kern w:val="0"/>
          <w:sz w:val="24"/>
          <w:lang w:bidi="ar"/>
        </w:rPr>
        <w:t>Investigators should conduct clinical follow-up for patients experiencing adverse events until the adverse event resolves (returns to normal or baseline status), stabilizes, or has a reasonable explanation.</w:t>
      </w:r>
      <w:r w:rsidR="004669F7" w:rsidRPr="000F1525">
        <w:rPr>
          <w:rFonts w:ascii="Arial" w:eastAsia="宋体" w:hAnsi="Arial" w:cs="Arial"/>
          <w:color w:val="000000"/>
          <w:kern w:val="0"/>
          <w:sz w:val="24"/>
          <w:lang w:bidi="ar"/>
        </w:rPr>
        <w:t xml:space="preserve"> </w:t>
      </w:r>
      <w:r w:rsidRPr="000F1525">
        <w:rPr>
          <w:rFonts w:ascii="Arial" w:eastAsia="宋体" w:hAnsi="Arial" w:cs="Arial"/>
          <w:color w:val="000000"/>
          <w:kern w:val="0"/>
          <w:sz w:val="24"/>
          <w:lang w:bidi="ar"/>
        </w:rPr>
        <w:t>Disease progression recorded according to th</w:t>
      </w:r>
      <w:r w:rsidR="00FF3359" w:rsidRPr="000F1525">
        <w:rPr>
          <w:rFonts w:ascii="Arial" w:eastAsia="宋体" w:hAnsi="Arial" w:cs="Arial"/>
          <w:color w:val="000000"/>
          <w:kern w:val="0"/>
          <w:sz w:val="24"/>
          <w:lang w:bidi="ar"/>
        </w:rPr>
        <w:t xml:space="preserve">e </w:t>
      </w:r>
      <w:r w:rsidRPr="000F1525">
        <w:rPr>
          <w:rFonts w:ascii="Arial" w:eastAsia="宋体" w:hAnsi="Arial" w:cs="Arial"/>
          <w:color w:val="000000"/>
          <w:kern w:val="0"/>
          <w:sz w:val="24"/>
          <w:lang w:bidi="ar"/>
        </w:rPr>
        <w:t>RECIST V1.1 (including death due to disease progression) should not be reported as an AE or SAE. Deaths, hospitalizations/extended hospital stays, or disabilities caused by the tumor itself that meet the criteria for SAEs should not be reported as SAEs. However, direct complications of the tumor that meet the SAE criteria must be reported as SAEs.</w:t>
      </w:r>
    </w:p>
    <w:p w14:paraId="3DC9C5C9" w14:textId="77777777" w:rsidR="00FF52B2" w:rsidRPr="000F1525" w:rsidRDefault="00FF52B2" w:rsidP="00881699">
      <w:pPr>
        <w:widowControl/>
        <w:spacing w:after="120" w:line="360" w:lineRule="auto"/>
        <w:rPr>
          <w:rFonts w:ascii="Arial" w:eastAsia="宋体" w:hAnsi="Arial" w:cs="Arial"/>
          <w:color w:val="000000"/>
          <w:kern w:val="0"/>
          <w:sz w:val="24"/>
          <w:lang w:bidi="ar"/>
        </w:rPr>
      </w:pPr>
    </w:p>
    <w:p w14:paraId="7C1145AB" w14:textId="01B9896C" w:rsidR="00FF52B2" w:rsidRPr="000F1525" w:rsidRDefault="00740556">
      <w:pPr>
        <w:widowControl/>
        <w:spacing w:line="360" w:lineRule="auto"/>
        <w:rPr>
          <w:rFonts w:ascii="Arial" w:eastAsia="宋体" w:hAnsi="Arial" w:cs="Arial"/>
          <w:color w:val="000000"/>
          <w:kern w:val="0"/>
          <w:sz w:val="24"/>
          <w:lang w:bidi="ar"/>
        </w:rPr>
      </w:pPr>
      <w:r w:rsidRPr="000F1525">
        <w:rPr>
          <w:rFonts w:ascii="Arial" w:eastAsia="宋体" w:hAnsi="Arial" w:cs="Arial"/>
          <w:b/>
          <w:bCs/>
          <w:color w:val="000000"/>
          <w:kern w:val="0"/>
          <w:sz w:val="24"/>
          <w:lang w:bidi="ar"/>
        </w:rPr>
        <w:t>3.5.3 The criteria for assessing dose-limiting toxicity</w:t>
      </w:r>
    </w:p>
    <w:p w14:paraId="4F1BD742" w14:textId="77777777" w:rsidR="00FF52B2" w:rsidRPr="000F1525" w:rsidRDefault="00000000">
      <w:pPr>
        <w:widowControl/>
        <w:spacing w:line="360" w:lineRule="auto"/>
        <w:rPr>
          <w:rFonts w:ascii="Arial" w:eastAsia="宋体" w:hAnsi="Arial" w:cs="Arial"/>
          <w:i/>
          <w:iCs/>
          <w:color w:val="000000"/>
          <w:kern w:val="0"/>
          <w:sz w:val="24"/>
          <w:lang w:bidi="ar"/>
        </w:rPr>
      </w:pPr>
      <w:r w:rsidRPr="000F1525">
        <w:rPr>
          <w:rFonts w:ascii="Arial" w:eastAsia="宋体" w:hAnsi="Arial" w:cs="Arial"/>
          <w:i/>
          <w:iCs/>
          <w:color w:val="000000"/>
          <w:kern w:val="0"/>
          <w:sz w:val="24"/>
          <w:lang w:bidi="ar"/>
        </w:rPr>
        <w:lastRenderedPageBreak/>
        <w:t>Hematological:</w:t>
      </w:r>
    </w:p>
    <w:p w14:paraId="096C9985" w14:textId="77777777" w:rsidR="00FF52B2" w:rsidRPr="000F1525" w:rsidRDefault="00000000">
      <w:pPr>
        <w:widowControl/>
        <w:numPr>
          <w:ilvl w:val="0"/>
          <w:numId w:val="4"/>
        </w:numPr>
        <w:spacing w:line="360" w:lineRule="auto"/>
        <w:rPr>
          <w:rFonts w:ascii="Arial" w:eastAsia="宋体" w:hAnsi="Arial" w:cs="Arial"/>
          <w:color w:val="000000"/>
          <w:kern w:val="0"/>
          <w:sz w:val="24"/>
          <w:lang w:bidi="ar"/>
        </w:rPr>
      </w:pPr>
      <w:r w:rsidRPr="000F1525">
        <w:rPr>
          <w:rFonts w:ascii="Arial" w:eastAsia="宋体" w:hAnsi="Arial" w:cs="Arial"/>
          <w:color w:val="000000"/>
          <w:kern w:val="0"/>
          <w:sz w:val="24"/>
          <w:lang w:bidi="ar"/>
        </w:rPr>
        <w:t>Grade 4 neutropenia lasting for more than 7 days.</w:t>
      </w:r>
    </w:p>
    <w:p w14:paraId="0E50E815" w14:textId="77777777" w:rsidR="00FF52B2" w:rsidRPr="000F1525" w:rsidRDefault="00000000">
      <w:pPr>
        <w:widowControl/>
        <w:numPr>
          <w:ilvl w:val="0"/>
          <w:numId w:val="4"/>
        </w:numPr>
        <w:spacing w:line="360" w:lineRule="auto"/>
        <w:rPr>
          <w:rFonts w:ascii="Arial" w:eastAsia="宋体" w:hAnsi="Arial" w:cs="Arial"/>
          <w:color w:val="000000"/>
          <w:kern w:val="0"/>
          <w:sz w:val="24"/>
          <w:lang w:bidi="ar"/>
        </w:rPr>
      </w:pPr>
      <w:r w:rsidRPr="000F1525">
        <w:rPr>
          <w:rFonts w:ascii="Arial" w:eastAsia="宋体" w:hAnsi="Arial" w:cs="Arial"/>
          <w:color w:val="000000"/>
          <w:kern w:val="0"/>
          <w:sz w:val="24"/>
          <w:lang w:bidi="ar"/>
        </w:rPr>
        <w:t>Febrile neutropenia.</w:t>
      </w:r>
    </w:p>
    <w:p w14:paraId="0053A34B" w14:textId="0D024E66" w:rsidR="00FF52B2" w:rsidRPr="000F1525" w:rsidRDefault="005A065C">
      <w:pPr>
        <w:widowControl/>
        <w:numPr>
          <w:ilvl w:val="0"/>
          <w:numId w:val="4"/>
        </w:numPr>
        <w:spacing w:line="360" w:lineRule="auto"/>
        <w:rPr>
          <w:rFonts w:ascii="Arial" w:eastAsia="宋体" w:hAnsi="Arial" w:cs="Arial"/>
          <w:color w:val="000000"/>
          <w:kern w:val="0"/>
          <w:sz w:val="24"/>
          <w:lang w:bidi="ar"/>
        </w:rPr>
      </w:pPr>
      <w:r>
        <w:rPr>
          <w:rFonts w:ascii="Arial" w:eastAsia="宋体" w:hAnsi="Arial" w:cs="Arial" w:hint="eastAsia"/>
          <w:color w:val="000000"/>
          <w:kern w:val="0"/>
          <w:sz w:val="24"/>
          <w:lang w:bidi="ar"/>
        </w:rPr>
        <w:t>N</w:t>
      </w:r>
      <w:r w:rsidRPr="000F1525">
        <w:rPr>
          <w:rFonts w:ascii="Arial" w:eastAsia="宋体" w:hAnsi="Arial" w:cs="Arial"/>
          <w:color w:val="000000"/>
          <w:kern w:val="0"/>
          <w:sz w:val="24"/>
          <w:lang w:bidi="ar"/>
        </w:rPr>
        <w:t>eutropenic infection</w:t>
      </w:r>
      <w:r>
        <w:rPr>
          <w:rFonts w:ascii="Arial" w:eastAsia="宋体" w:hAnsi="Arial" w:cs="Arial" w:hint="eastAsia"/>
          <w:color w:val="000000"/>
          <w:kern w:val="0"/>
          <w:sz w:val="24"/>
          <w:lang w:bidi="ar"/>
        </w:rPr>
        <w:t xml:space="preserve"> of </w:t>
      </w:r>
      <w:r w:rsidRPr="000F1525">
        <w:rPr>
          <w:rFonts w:ascii="Arial" w:eastAsia="宋体" w:hAnsi="Arial" w:cs="Arial"/>
          <w:color w:val="000000"/>
          <w:kern w:val="0"/>
          <w:sz w:val="24"/>
          <w:lang w:bidi="ar"/>
        </w:rPr>
        <w:t xml:space="preserve">Grade 3 </w:t>
      </w:r>
      <w:r>
        <w:rPr>
          <w:rFonts w:ascii="Arial" w:eastAsia="宋体" w:hAnsi="Arial" w:cs="Arial" w:hint="eastAsia"/>
          <w:color w:val="000000"/>
          <w:kern w:val="0"/>
          <w:sz w:val="24"/>
          <w:lang w:bidi="ar"/>
        </w:rPr>
        <w:t>or higher</w:t>
      </w:r>
      <w:r w:rsidRPr="000F1525">
        <w:rPr>
          <w:rFonts w:ascii="Arial" w:eastAsia="宋体" w:hAnsi="Arial" w:cs="Arial"/>
          <w:color w:val="000000"/>
          <w:kern w:val="0"/>
          <w:sz w:val="24"/>
          <w:lang w:bidi="ar"/>
        </w:rPr>
        <w:t>.</w:t>
      </w:r>
    </w:p>
    <w:p w14:paraId="6CD43B08" w14:textId="4BE053C7" w:rsidR="00FF52B2" w:rsidRPr="000F1525" w:rsidRDefault="005A065C">
      <w:pPr>
        <w:widowControl/>
        <w:numPr>
          <w:ilvl w:val="0"/>
          <w:numId w:val="4"/>
        </w:numPr>
        <w:spacing w:line="360" w:lineRule="auto"/>
        <w:rPr>
          <w:rFonts w:ascii="Arial" w:eastAsia="宋体" w:hAnsi="Arial" w:cs="Arial"/>
          <w:color w:val="000000"/>
          <w:kern w:val="0"/>
          <w:sz w:val="24"/>
          <w:lang w:bidi="ar"/>
        </w:rPr>
      </w:pPr>
      <w:r>
        <w:rPr>
          <w:rFonts w:ascii="Arial" w:eastAsia="宋体" w:hAnsi="Arial" w:cs="Arial" w:hint="eastAsia"/>
          <w:color w:val="000000"/>
          <w:kern w:val="0"/>
          <w:sz w:val="24"/>
          <w:lang w:bidi="ar"/>
        </w:rPr>
        <w:t>T</w:t>
      </w:r>
      <w:r w:rsidRPr="000F1525">
        <w:rPr>
          <w:rFonts w:ascii="Arial" w:eastAsia="宋体" w:hAnsi="Arial" w:cs="Arial"/>
          <w:color w:val="000000"/>
          <w:kern w:val="0"/>
          <w:sz w:val="24"/>
          <w:lang w:bidi="ar"/>
        </w:rPr>
        <w:t>hrombocytopenia with bleeding</w:t>
      </w:r>
      <w:r>
        <w:rPr>
          <w:rFonts w:ascii="Arial" w:eastAsia="宋体" w:hAnsi="Arial" w:cs="Arial" w:hint="eastAsia"/>
          <w:color w:val="000000"/>
          <w:kern w:val="0"/>
          <w:sz w:val="24"/>
          <w:lang w:bidi="ar"/>
        </w:rPr>
        <w:t xml:space="preserve"> of </w:t>
      </w:r>
      <w:r w:rsidRPr="000F1525">
        <w:rPr>
          <w:rFonts w:ascii="Arial" w:eastAsia="宋体" w:hAnsi="Arial" w:cs="Arial"/>
          <w:color w:val="000000"/>
          <w:kern w:val="0"/>
          <w:sz w:val="24"/>
          <w:lang w:bidi="ar"/>
        </w:rPr>
        <w:t xml:space="preserve">Grade 3 </w:t>
      </w:r>
      <w:r>
        <w:rPr>
          <w:rFonts w:ascii="Arial" w:eastAsia="宋体" w:hAnsi="Arial" w:cs="Arial" w:hint="eastAsia"/>
          <w:color w:val="000000"/>
          <w:kern w:val="0"/>
          <w:sz w:val="24"/>
          <w:lang w:bidi="ar"/>
        </w:rPr>
        <w:t>or higher</w:t>
      </w:r>
      <w:r w:rsidRPr="000F1525">
        <w:rPr>
          <w:rFonts w:ascii="Arial" w:eastAsia="宋体" w:hAnsi="Arial" w:cs="Arial"/>
          <w:color w:val="000000"/>
          <w:kern w:val="0"/>
          <w:sz w:val="24"/>
          <w:lang w:bidi="ar"/>
        </w:rPr>
        <w:t>.</w:t>
      </w:r>
    </w:p>
    <w:p w14:paraId="4DF23FC5" w14:textId="77777777" w:rsidR="00FF52B2" w:rsidRPr="000F1525" w:rsidRDefault="00000000">
      <w:pPr>
        <w:widowControl/>
        <w:numPr>
          <w:ilvl w:val="0"/>
          <w:numId w:val="4"/>
        </w:numPr>
        <w:spacing w:line="360" w:lineRule="auto"/>
        <w:rPr>
          <w:rFonts w:ascii="Arial" w:eastAsia="宋体" w:hAnsi="Arial" w:cs="Arial"/>
          <w:color w:val="000000"/>
          <w:kern w:val="0"/>
          <w:sz w:val="24"/>
          <w:lang w:bidi="ar"/>
        </w:rPr>
      </w:pPr>
      <w:r w:rsidRPr="000F1525">
        <w:rPr>
          <w:rFonts w:ascii="Arial" w:eastAsia="宋体" w:hAnsi="Arial" w:cs="Arial"/>
          <w:color w:val="000000"/>
          <w:kern w:val="0"/>
          <w:sz w:val="24"/>
          <w:lang w:bidi="ar"/>
        </w:rPr>
        <w:t>Grade 4 thrombocytopenia.</w:t>
      </w:r>
    </w:p>
    <w:p w14:paraId="62A1D531" w14:textId="77777777" w:rsidR="00FF52B2" w:rsidRPr="000F1525" w:rsidRDefault="00000000">
      <w:pPr>
        <w:widowControl/>
        <w:numPr>
          <w:ilvl w:val="0"/>
          <w:numId w:val="4"/>
        </w:numPr>
        <w:spacing w:line="360" w:lineRule="auto"/>
        <w:rPr>
          <w:rFonts w:ascii="Arial" w:eastAsia="宋体" w:hAnsi="Arial" w:cs="Arial"/>
          <w:color w:val="000000"/>
          <w:kern w:val="0"/>
          <w:sz w:val="24"/>
          <w:lang w:bidi="ar"/>
        </w:rPr>
      </w:pPr>
      <w:r w:rsidRPr="000F1525">
        <w:rPr>
          <w:rFonts w:ascii="Arial" w:eastAsia="宋体" w:hAnsi="Arial" w:cs="Arial"/>
          <w:color w:val="000000"/>
          <w:kern w:val="0"/>
          <w:sz w:val="24"/>
          <w:lang w:bidi="ar"/>
        </w:rPr>
        <w:t>Grade 4 anemia.</w:t>
      </w:r>
    </w:p>
    <w:p w14:paraId="3485BE6E" w14:textId="77777777" w:rsidR="00FF52B2" w:rsidRPr="000F1525" w:rsidRDefault="00000000">
      <w:pPr>
        <w:widowControl/>
        <w:spacing w:line="360" w:lineRule="auto"/>
        <w:rPr>
          <w:rFonts w:ascii="Arial" w:eastAsia="宋体" w:hAnsi="Arial" w:cs="Arial"/>
          <w:i/>
          <w:iCs/>
          <w:color w:val="000000"/>
          <w:kern w:val="0"/>
          <w:sz w:val="24"/>
          <w:lang w:bidi="ar"/>
        </w:rPr>
      </w:pPr>
      <w:r w:rsidRPr="000F1525">
        <w:rPr>
          <w:rFonts w:ascii="Arial" w:eastAsia="宋体" w:hAnsi="Arial" w:cs="Arial"/>
          <w:i/>
          <w:iCs/>
          <w:color w:val="000000"/>
          <w:kern w:val="0"/>
          <w:sz w:val="24"/>
          <w:lang w:bidi="ar"/>
        </w:rPr>
        <w:t>Non-hematological:</w:t>
      </w:r>
    </w:p>
    <w:p w14:paraId="747A7A4E" w14:textId="77777777" w:rsidR="00FF52B2" w:rsidRPr="000F1525" w:rsidRDefault="00000000">
      <w:pPr>
        <w:widowControl/>
        <w:numPr>
          <w:ilvl w:val="0"/>
          <w:numId w:val="5"/>
        </w:numPr>
        <w:spacing w:line="360" w:lineRule="auto"/>
        <w:rPr>
          <w:rFonts w:ascii="Arial" w:eastAsia="宋体" w:hAnsi="Arial" w:cs="Arial"/>
          <w:color w:val="000000"/>
          <w:kern w:val="0"/>
          <w:sz w:val="24"/>
          <w:lang w:bidi="ar"/>
        </w:rPr>
      </w:pPr>
      <w:r w:rsidRPr="000F1525">
        <w:rPr>
          <w:rFonts w:ascii="Arial" w:eastAsia="宋体" w:hAnsi="Arial" w:cs="Arial"/>
          <w:color w:val="000000"/>
          <w:kern w:val="0"/>
          <w:sz w:val="24"/>
          <w:lang w:bidi="ar"/>
        </w:rPr>
        <w:t>Grade 3 or higher nausea, vomiting, and diarrhea despite optimal supportive care.</w:t>
      </w:r>
    </w:p>
    <w:p w14:paraId="225AAE25" w14:textId="77777777" w:rsidR="00FF52B2" w:rsidRPr="000F1525" w:rsidRDefault="00000000">
      <w:pPr>
        <w:widowControl/>
        <w:numPr>
          <w:ilvl w:val="0"/>
          <w:numId w:val="5"/>
        </w:numPr>
        <w:spacing w:line="360" w:lineRule="auto"/>
        <w:rPr>
          <w:rFonts w:ascii="Arial" w:eastAsia="宋体" w:hAnsi="Arial" w:cs="Arial"/>
          <w:color w:val="000000"/>
          <w:kern w:val="0"/>
          <w:sz w:val="24"/>
          <w:lang w:bidi="ar"/>
        </w:rPr>
      </w:pPr>
      <w:r w:rsidRPr="000F1525">
        <w:rPr>
          <w:rFonts w:ascii="Arial" w:eastAsia="宋体" w:hAnsi="Arial" w:cs="Arial"/>
          <w:color w:val="000000"/>
          <w:kern w:val="0"/>
          <w:sz w:val="24"/>
          <w:lang w:bidi="ar"/>
        </w:rPr>
        <w:t>Any other clinically significant non-hematological toxicity of Grade 3 or higher (excluding asymptomatic biochemical abnormalities without clinical significance that resolve to Grade 2 or lower within 7 days).</w:t>
      </w:r>
    </w:p>
    <w:p w14:paraId="052EAB05" w14:textId="77777777" w:rsidR="00FF52B2" w:rsidRPr="000F1525" w:rsidRDefault="00000000">
      <w:pPr>
        <w:widowControl/>
        <w:numPr>
          <w:ilvl w:val="0"/>
          <w:numId w:val="5"/>
        </w:numPr>
        <w:spacing w:line="360" w:lineRule="auto"/>
        <w:rPr>
          <w:rFonts w:ascii="Arial" w:eastAsia="宋体" w:hAnsi="Arial" w:cs="Arial"/>
          <w:color w:val="000000"/>
          <w:kern w:val="0"/>
          <w:sz w:val="24"/>
          <w:lang w:bidi="ar"/>
        </w:rPr>
      </w:pPr>
      <w:r w:rsidRPr="000F1525">
        <w:rPr>
          <w:rFonts w:ascii="Arial" w:eastAsia="宋体" w:hAnsi="Arial" w:cs="Arial"/>
          <w:color w:val="000000"/>
          <w:kern w:val="0"/>
          <w:sz w:val="24"/>
          <w:lang w:bidi="ar"/>
        </w:rPr>
        <w:t>Any grade of dose-limiting toxicity as determined by the investigator.</w:t>
      </w:r>
    </w:p>
    <w:p w14:paraId="12BC9CAB" w14:textId="77777777" w:rsidR="00FF52B2" w:rsidRPr="000F1525" w:rsidRDefault="00FF52B2">
      <w:pPr>
        <w:widowControl/>
        <w:spacing w:line="360" w:lineRule="auto"/>
        <w:rPr>
          <w:rFonts w:ascii="Arial" w:eastAsia="宋体" w:hAnsi="Arial" w:cs="Arial"/>
          <w:color w:val="000000"/>
          <w:kern w:val="0"/>
          <w:sz w:val="24"/>
          <w:lang w:bidi="ar"/>
        </w:rPr>
      </w:pPr>
    </w:p>
    <w:p w14:paraId="0A3CDF0B" w14:textId="108573E3" w:rsidR="00FF52B2" w:rsidRPr="000F1525" w:rsidRDefault="00000000">
      <w:pPr>
        <w:widowControl/>
        <w:spacing w:line="360" w:lineRule="auto"/>
        <w:rPr>
          <w:rFonts w:ascii="Arial" w:eastAsia="宋体" w:hAnsi="Arial" w:cs="Arial"/>
          <w:b/>
          <w:bCs/>
          <w:color w:val="000000"/>
          <w:kern w:val="0"/>
          <w:sz w:val="24"/>
          <w:lang w:bidi="ar"/>
        </w:rPr>
      </w:pPr>
      <w:r w:rsidRPr="000F1525">
        <w:rPr>
          <w:rFonts w:ascii="Arial" w:eastAsia="宋体" w:hAnsi="Arial" w:cs="Arial"/>
          <w:b/>
          <w:bCs/>
          <w:color w:val="000000"/>
          <w:kern w:val="0"/>
          <w:sz w:val="24"/>
          <w:lang w:bidi="ar"/>
        </w:rPr>
        <w:t>3.</w:t>
      </w:r>
      <w:r w:rsidR="00EE4778" w:rsidRPr="000F1525">
        <w:rPr>
          <w:rFonts w:ascii="Arial" w:eastAsia="宋体" w:hAnsi="Arial" w:cs="Arial"/>
          <w:b/>
          <w:bCs/>
          <w:color w:val="000000"/>
          <w:kern w:val="0"/>
          <w:sz w:val="24"/>
          <w:lang w:bidi="ar"/>
        </w:rPr>
        <w:t>6</w:t>
      </w:r>
      <w:r w:rsidRPr="000F1525">
        <w:rPr>
          <w:rFonts w:ascii="Arial" w:eastAsia="宋体" w:hAnsi="Arial" w:cs="Arial"/>
          <w:b/>
          <w:bCs/>
          <w:color w:val="000000"/>
          <w:kern w:val="0"/>
          <w:sz w:val="24"/>
          <w:lang w:bidi="ar"/>
        </w:rPr>
        <w:t>. Response evaluation</w:t>
      </w:r>
    </w:p>
    <w:p w14:paraId="2D9EFF9F" w14:textId="074E5E2E" w:rsidR="00FF52B2" w:rsidRPr="000F1525" w:rsidRDefault="00000000" w:rsidP="003C4953">
      <w:pPr>
        <w:widowControl/>
        <w:spacing w:line="360" w:lineRule="auto"/>
        <w:ind w:firstLineChars="200" w:firstLine="480"/>
        <w:rPr>
          <w:rFonts w:ascii="Arial" w:eastAsia="宋体" w:hAnsi="Arial" w:cs="Arial"/>
          <w:color w:val="000000"/>
          <w:kern w:val="0"/>
          <w:sz w:val="24"/>
          <w:lang w:bidi="ar"/>
        </w:rPr>
      </w:pPr>
      <w:r w:rsidRPr="000F1525">
        <w:rPr>
          <w:rFonts w:ascii="Arial" w:eastAsia="宋体" w:hAnsi="Arial" w:cs="Arial"/>
          <w:color w:val="000000"/>
          <w:kern w:val="0"/>
          <w:sz w:val="24"/>
          <w:lang w:bidi="ar"/>
        </w:rPr>
        <w:t xml:space="preserve">If a patient has undergone MRI or contrast-enhanced CT scans within 28 days prior to screening, and if these scans are deemed acceptable for the clinical study by the investigator, the results of these MRI or contrast-enhanced CT scans may be used for the screening evaluation. All patients participating in this study are required to undergo contrast-enhanced CT scans or MRI during the screening period, </w:t>
      </w:r>
      <w:r w:rsidR="00EE055F">
        <w:rPr>
          <w:rFonts w:ascii="Arial" w:eastAsia="宋体" w:hAnsi="Arial" w:cs="Arial" w:hint="eastAsia"/>
          <w:color w:val="000000"/>
          <w:kern w:val="0"/>
          <w:sz w:val="24"/>
          <w:lang w:bidi="ar"/>
        </w:rPr>
        <w:t xml:space="preserve">and every </w:t>
      </w:r>
      <w:r w:rsidRPr="000F1525">
        <w:rPr>
          <w:rFonts w:ascii="Arial" w:eastAsia="宋体" w:hAnsi="Arial" w:cs="Arial"/>
          <w:color w:val="000000"/>
          <w:kern w:val="0"/>
          <w:sz w:val="24"/>
          <w:lang w:bidi="ar"/>
        </w:rPr>
        <w:t>two cycles of treatment. All scan images obtained from the three time points must be analyzed using the same technique and evaluated for efficacy by designated researchers.</w:t>
      </w:r>
    </w:p>
    <w:p w14:paraId="4291163E" w14:textId="757A1418" w:rsidR="00FF52B2" w:rsidRDefault="00000000" w:rsidP="00FC5CA6">
      <w:pPr>
        <w:widowControl/>
        <w:spacing w:line="360" w:lineRule="auto"/>
        <w:ind w:firstLineChars="200" w:firstLine="480"/>
        <w:rPr>
          <w:rFonts w:ascii="Arial" w:eastAsia="宋体" w:hAnsi="Arial" w:cs="Arial"/>
          <w:color w:val="000000"/>
          <w:kern w:val="0"/>
          <w:sz w:val="24"/>
          <w:lang w:bidi="ar"/>
        </w:rPr>
      </w:pPr>
      <w:r w:rsidRPr="000F1525">
        <w:rPr>
          <w:rFonts w:ascii="Arial" w:eastAsia="宋体" w:hAnsi="Arial" w:cs="Arial"/>
          <w:color w:val="000000"/>
          <w:kern w:val="0"/>
          <w:sz w:val="24"/>
          <w:lang w:bidi="ar"/>
        </w:rPr>
        <w:t>Contrast-enhanced CT scans must meet the imaging standards for lesions in each organ. Tumor response will be evaluated according to the RECIST V1.1 criteria. For spiral CT, the minimum size of target lesions should be ≥</w:t>
      </w:r>
      <w:r w:rsidR="00594443">
        <w:rPr>
          <w:rFonts w:ascii="Arial" w:eastAsia="宋体" w:hAnsi="Arial" w:cs="Arial" w:hint="eastAsia"/>
          <w:color w:val="000000"/>
          <w:kern w:val="0"/>
          <w:sz w:val="24"/>
          <w:lang w:bidi="ar"/>
        </w:rPr>
        <w:t xml:space="preserve"> </w:t>
      </w:r>
      <w:r w:rsidRPr="000F1525">
        <w:rPr>
          <w:rFonts w:ascii="Arial" w:eastAsia="宋体" w:hAnsi="Arial" w:cs="Arial"/>
          <w:color w:val="000000"/>
          <w:kern w:val="0"/>
          <w:sz w:val="24"/>
          <w:lang w:bidi="ar"/>
        </w:rPr>
        <w:t>10 mm, while for conventional CT, the minimum size should be ≥</w:t>
      </w:r>
      <w:r w:rsidR="00212CE9" w:rsidRPr="000F1525">
        <w:rPr>
          <w:rFonts w:ascii="Arial" w:eastAsia="宋体" w:hAnsi="Arial" w:cs="Arial"/>
          <w:color w:val="000000"/>
          <w:kern w:val="0"/>
          <w:sz w:val="24"/>
          <w:lang w:bidi="ar"/>
        </w:rPr>
        <w:t xml:space="preserve"> </w:t>
      </w:r>
      <w:r w:rsidRPr="000F1525">
        <w:rPr>
          <w:rFonts w:ascii="Arial" w:eastAsia="宋体" w:hAnsi="Arial" w:cs="Arial"/>
          <w:color w:val="000000"/>
          <w:kern w:val="0"/>
          <w:sz w:val="24"/>
          <w:lang w:bidi="ar"/>
        </w:rPr>
        <w:t>20 mm. In this study, plain X-rays, ultrasound, and physical examination are not accepted as methods for monitoring measurable target lesions.</w:t>
      </w:r>
    </w:p>
    <w:p w14:paraId="7594A40F" w14:textId="75E671AB" w:rsidR="00FF52B2" w:rsidRPr="000F1525" w:rsidRDefault="00000000">
      <w:pPr>
        <w:widowControl/>
        <w:spacing w:line="360" w:lineRule="auto"/>
        <w:rPr>
          <w:rFonts w:ascii="Arial" w:eastAsia="宋体" w:hAnsi="Arial" w:cs="Arial"/>
          <w:b/>
          <w:bCs/>
          <w:color w:val="000000"/>
          <w:kern w:val="0"/>
          <w:sz w:val="24"/>
          <w:lang w:bidi="ar"/>
        </w:rPr>
      </w:pPr>
      <w:r w:rsidRPr="000F1525">
        <w:rPr>
          <w:rFonts w:ascii="Arial" w:eastAsia="宋体" w:hAnsi="Arial" w:cs="Arial"/>
          <w:b/>
          <w:bCs/>
          <w:color w:val="000000"/>
          <w:kern w:val="0"/>
          <w:sz w:val="24"/>
          <w:lang w:bidi="ar"/>
        </w:rPr>
        <w:lastRenderedPageBreak/>
        <w:t>3.</w:t>
      </w:r>
      <w:r w:rsidR="00C2251B" w:rsidRPr="000F1525">
        <w:rPr>
          <w:rFonts w:ascii="Arial" w:eastAsia="宋体" w:hAnsi="Arial" w:cs="Arial"/>
          <w:b/>
          <w:bCs/>
          <w:color w:val="000000"/>
          <w:kern w:val="0"/>
          <w:sz w:val="24"/>
          <w:lang w:bidi="ar"/>
        </w:rPr>
        <w:t>7</w:t>
      </w:r>
      <w:r w:rsidRPr="000F1525">
        <w:rPr>
          <w:rFonts w:ascii="Arial" w:eastAsia="宋体" w:hAnsi="Arial" w:cs="Arial"/>
          <w:b/>
          <w:bCs/>
          <w:color w:val="000000"/>
          <w:kern w:val="0"/>
          <w:sz w:val="24"/>
          <w:lang w:bidi="ar"/>
        </w:rPr>
        <w:t>. Follow-up</w:t>
      </w:r>
    </w:p>
    <w:p w14:paraId="4B613494" w14:textId="2CE9BA79" w:rsidR="00FF52B2" w:rsidRPr="000F1525" w:rsidRDefault="00000000" w:rsidP="00FC5CA6">
      <w:pPr>
        <w:widowControl/>
        <w:spacing w:line="360" w:lineRule="auto"/>
        <w:ind w:firstLineChars="200" w:firstLine="480"/>
        <w:rPr>
          <w:rFonts w:ascii="Arial" w:eastAsia="宋体" w:hAnsi="Arial" w:cs="Arial"/>
          <w:color w:val="000000"/>
          <w:kern w:val="0"/>
          <w:sz w:val="24"/>
          <w:lang w:bidi="ar"/>
        </w:rPr>
      </w:pPr>
      <w:r w:rsidRPr="000F1525">
        <w:rPr>
          <w:rFonts w:ascii="Arial" w:eastAsia="宋体" w:hAnsi="Arial" w:cs="Arial"/>
          <w:color w:val="000000"/>
          <w:kern w:val="0"/>
          <w:sz w:val="24"/>
          <w:lang w:bidi="ar"/>
        </w:rPr>
        <w:t xml:space="preserve">Patients will be followed up every 3 months for two years after the end of treatment. </w:t>
      </w:r>
    </w:p>
    <w:p w14:paraId="576BE874" w14:textId="77777777" w:rsidR="00FF52B2" w:rsidRPr="000F1525" w:rsidRDefault="00FF52B2">
      <w:pPr>
        <w:widowControl/>
        <w:spacing w:line="360" w:lineRule="auto"/>
        <w:rPr>
          <w:rFonts w:ascii="Arial" w:eastAsia="宋体" w:hAnsi="Arial" w:cs="Arial"/>
          <w:color w:val="000000"/>
          <w:kern w:val="0"/>
          <w:sz w:val="24"/>
          <w:lang w:bidi="ar"/>
        </w:rPr>
      </w:pPr>
    </w:p>
    <w:p w14:paraId="5B374301" w14:textId="51338EF8" w:rsidR="00FF52B2" w:rsidRPr="000F1525" w:rsidRDefault="00000000">
      <w:pPr>
        <w:widowControl/>
        <w:spacing w:line="360" w:lineRule="auto"/>
        <w:rPr>
          <w:rFonts w:ascii="Arial" w:eastAsia="宋体" w:hAnsi="Arial" w:cs="Arial"/>
          <w:b/>
          <w:bCs/>
          <w:color w:val="000000"/>
          <w:kern w:val="0"/>
          <w:sz w:val="24"/>
          <w:lang w:bidi="ar"/>
        </w:rPr>
      </w:pPr>
      <w:r w:rsidRPr="000F1525">
        <w:rPr>
          <w:rFonts w:ascii="Arial" w:eastAsia="宋体" w:hAnsi="Arial" w:cs="Arial"/>
          <w:b/>
          <w:bCs/>
          <w:color w:val="000000"/>
          <w:kern w:val="0"/>
          <w:sz w:val="24"/>
          <w:lang w:bidi="ar"/>
        </w:rPr>
        <w:t>3.</w:t>
      </w:r>
      <w:r w:rsidR="00540C86" w:rsidRPr="000F1525">
        <w:rPr>
          <w:rFonts w:ascii="Arial" w:eastAsia="宋体" w:hAnsi="Arial" w:cs="Arial"/>
          <w:b/>
          <w:bCs/>
          <w:color w:val="000000"/>
          <w:kern w:val="0"/>
          <w:sz w:val="24"/>
          <w:lang w:bidi="ar"/>
        </w:rPr>
        <w:t>8</w:t>
      </w:r>
      <w:r w:rsidRPr="000F1525">
        <w:rPr>
          <w:rFonts w:ascii="Arial" w:eastAsia="宋体" w:hAnsi="Arial" w:cs="Arial"/>
          <w:b/>
          <w:bCs/>
          <w:color w:val="000000"/>
          <w:kern w:val="0"/>
          <w:sz w:val="24"/>
          <w:lang w:bidi="ar"/>
        </w:rPr>
        <w:t>. Statistical analysis</w:t>
      </w:r>
    </w:p>
    <w:p w14:paraId="7F757AB8" w14:textId="3520F07C" w:rsidR="00543EE7" w:rsidRPr="00B86485" w:rsidRDefault="00B86485" w:rsidP="00B86485">
      <w:pPr>
        <w:tabs>
          <w:tab w:val="left" w:pos="0"/>
        </w:tabs>
        <w:spacing w:line="360" w:lineRule="auto"/>
        <w:ind w:firstLineChars="200" w:firstLine="480"/>
        <w:rPr>
          <w:rFonts w:ascii="Arial" w:hAnsi="Arial" w:cs="Arial"/>
          <w:sz w:val="24"/>
          <w:szCs w:val="32"/>
        </w:rPr>
      </w:pPr>
      <w:r w:rsidRPr="000F1525">
        <w:rPr>
          <w:rFonts w:ascii="Arial" w:hAnsi="Arial" w:cs="Arial"/>
          <w:sz w:val="24"/>
          <w:szCs w:val="32"/>
        </w:rPr>
        <w:t>In the initial phase of this study, we plan to recruit 30 participants diagnosed with advanced pancreatic cancer.</w:t>
      </w:r>
      <w:r>
        <w:rPr>
          <w:rFonts w:ascii="Arial" w:hAnsi="Arial" w:cs="Arial" w:hint="eastAsia"/>
          <w:sz w:val="24"/>
          <w:szCs w:val="32"/>
        </w:rPr>
        <w:t xml:space="preserve"> </w:t>
      </w:r>
      <w:r w:rsidR="00543EE7" w:rsidRPr="000F1525">
        <w:rPr>
          <w:rFonts w:ascii="Arial" w:eastAsia="宋体" w:hAnsi="Arial" w:cs="Arial"/>
          <w:color w:val="000000"/>
          <w:kern w:val="0"/>
          <w:sz w:val="24"/>
          <w:lang w:bidi="ar"/>
        </w:rPr>
        <w:t>Sample size estimation for this exploratory single-arm trial was determined according to the requirements of the project plan.</w:t>
      </w:r>
      <w:r w:rsidR="00487369" w:rsidRPr="000F1525">
        <w:rPr>
          <w:rFonts w:ascii="Arial" w:hAnsi="Arial" w:cs="Arial"/>
          <w:color w:val="060607"/>
          <w:spacing w:val="4"/>
          <w:szCs w:val="21"/>
          <w:shd w:val="clear" w:color="auto" w:fill="FFFFFF"/>
        </w:rPr>
        <w:t xml:space="preserve"> </w:t>
      </w:r>
      <w:r w:rsidR="00487369" w:rsidRPr="000F1525">
        <w:rPr>
          <w:rFonts w:ascii="Arial" w:eastAsia="宋体" w:hAnsi="Arial" w:cs="Arial"/>
          <w:color w:val="000000"/>
          <w:kern w:val="0"/>
          <w:sz w:val="24"/>
          <w:lang w:bidi="ar"/>
        </w:rPr>
        <w:t>After the clinical trial protocol is finalized, the statistical analysis plan will be developed by the statistical staff. If any changes occur in the statistical analysis, they will be documented in accordance with the operational procedures of the Clinical Research Steering Committee, with both the planned and additional statistical results clearly reported in the summary report. SAS 9.4 statistical software will be used.</w:t>
      </w:r>
    </w:p>
    <w:p w14:paraId="51DE9B43" w14:textId="11E31235" w:rsidR="00543EE7" w:rsidRPr="000F1525" w:rsidRDefault="000B75C7" w:rsidP="0070639C">
      <w:pPr>
        <w:spacing w:after="120" w:line="360" w:lineRule="auto"/>
        <w:ind w:firstLine="480"/>
        <w:rPr>
          <w:rFonts w:ascii="Arial" w:eastAsia="宋体" w:hAnsi="Arial" w:cs="Arial"/>
          <w:color w:val="000000"/>
          <w:kern w:val="0"/>
          <w:sz w:val="24"/>
          <w:lang w:bidi="ar"/>
        </w:rPr>
      </w:pPr>
      <w:r w:rsidRPr="000F1525">
        <w:rPr>
          <w:rFonts w:ascii="Arial" w:eastAsia="宋体" w:hAnsi="Arial" w:cs="Arial"/>
          <w:color w:val="000000"/>
          <w:kern w:val="0"/>
          <w:sz w:val="24"/>
          <w:lang w:bidi="ar"/>
        </w:rPr>
        <w:t>Descriptive statistical methods will be employed for the analysis of baseline data from enrolled subjects. This will include a descriptive analysis of the actual number of patients enrolled, the number of dropouts and excluded cases, as well as demographic and other baseline characteristics. For quantitative indicators, descriptive statistics will be calculated, including mean, standard deviation, median, minimum, maximum, lower quartile (Q1), and upper quartile (Q3). For categorical indicators, the number and percentage of cases in each category will be reported.</w:t>
      </w:r>
    </w:p>
    <w:p w14:paraId="4DE4E0B1" w14:textId="77777777" w:rsidR="00324CAC" w:rsidRPr="000F1525" w:rsidRDefault="00324CAC" w:rsidP="00A863B8">
      <w:pPr>
        <w:spacing w:line="360" w:lineRule="auto"/>
        <w:rPr>
          <w:rFonts w:ascii="Arial" w:eastAsia="宋体" w:hAnsi="Arial" w:cs="Arial"/>
          <w:color w:val="000000"/>
          <w:kern w:val="0"/>
          <w:sz w:val="24"/>
          <w:lang w:bidi="ar"/>
        </w:rPr>
      </w:pPr>
    </w:p>
    <w:p w14:paraId="09A8B5EF" w14:textId="631FC891" w:rsidR="00B23474" w:rsidRPr="000F1525" w:rsidRDefault="00324CAC" w:rsidP="00A863B8">
      <w:pPr>
        <w:spacing w:line="360" w:lineRule="auto"/>
        <w:rPr>
          <w:rFonts w:ascii="Arial" w:eastAsia="宋体" w:hAnsi="Arial" w:cs="Arial"/>
          <w:b/>
          <w:bCs/>
          <w:color w:val="000000"/>
          <w:kern w:val="0"/>
          <w:sz w:val="24"/>
          <w:lang w:bidi="ar"/>
        </w:rPr>
      </w:pPr>
      <w:r w:rsidRPr="000F1525">
        <w:rPr>
          <w:rFonts w:ascii="Arial" w:eastAsia="宋体" w:hAnsi="Arial" w:cs="Arial"/>
          <w:b/>
          <w:bCs/>
          <w:color w:val="000000"/>
          <w:kern w:val="0"/>
          <w:sz w:val="24"/>
          <w:lang w:bidi="ar"/>
        </w:rPr>
        <w:t>4.</w:t>
      </w:r>
      <w:r w:rsidR="00B23474" w:rsidRPr="000F1525">
        <w:rPr>
          <w:rFonts w:ascii="Arial" w:hAnsi="Arial" w:cs="Arial"/>
          <w:b/>
          <w:bCs/>
        </w:rPr>
        <w:t xml:space="preserve"> </w:t>
      </w:r>
      <w:r w:rsidR="00B23474" w:rsidRPr="000F1525">
        <w:rPr>
          <w:rFonts w:ascii="Arial" w:eastAsia="宋体" w:hAnsi="Arial" w:cs="Arial"/>
          <w:b/>
          <w:bCs/>
          <w:color w:val="000000"/>
          <w:kern w:val="0"/>
          <w:sz w:val="24"/>
          <w:lang w:bidi="ar"/>
        </w:rPr>
        <w:t>Quality Control</w:t>
      </w:r>
    </w:p>
    <w:p w14:paraId="53274D29" w14:textId="77777777" w:rsidR="00447089" w:rsidRPr="000F1525" w:rsidRDefault="00447089" w:rsidP="00D95D10">
      <w:pPr>
        <w:spacing w:after="120" w:line="360" w:lineRule="auto"/>
        <w:ind w:firstLineChars="200" w:firstLine="480"/>
        <w:rPr>
          <w:rFonts w:ascii="Arial" w:eastAsia="宋体" w:hAnsi="Arial" w:cs="Arial"/>
          <w:color w:val="000000"/>
          <w:kern w:val="0"/>
          <w:sz w:val="24"/>
          <w:lang w:bidi="ar"/>
        </w:rPr>
      </w:pPr>
      <w:r w:rsidRPr="000F1525">
        <w:rPr>
          <w:rFonts w:ascii="Arial" w:eastAsia="宋体" w:hAnsi="Arial" w:cs="Arial"/>
          <w:color w:val="000000"/>
          <w:kern w:val="0"/>
          <w:sz w:val="24"/>
          <w:lang w:bidi="ar"/>
        </w:rPr>
        <w:t>Both the sponsor and the investigators are required to fulfill their respective responsibilities and strictly adhere to the clinical trial protocol, employing standard operating procedures (SOPs) to ensure the implementation of a robust quality control and quality assurance system for the clinical trial.</w:t>
      </w:r>
    </w:p>
    <w:p w14:paraId="23EDD47E" w14:textId="73CF569A" w:rsidR="00FF52B2" w:rsidRPr="000F1525" w:rsidRDefault="002954B3" w:rsidP="00D95D10">
      <w:pPr>
        <w:spacing w:after="120" w:line="360" w:lineRule="auto"/>
        <w:ind w:firstLineChars="200" w:firstLine="480"/>
        <w:rPr>
          <w:rFonts w:ascii="Arial" w:eastAsia="宋体" w:hAnsi="Arial" w:cs="Arial"/>
          <w:color w:val="000000"/>
          <w:kern w:val="0"/>
          <w:sz w:val="24"/>
          <w:lang w:bidi="ar"/>
        </w:rPr>
      </w:pPr>
      <w:r w:rsidRPr="000F1525">
        <w:rPr>
          <w:rFonts w:ascii="Arial" w:eastAsia="宋体" w:hAnsi="Arial" w:cs="Arial"/>
          <w:color w:val="000000"/>
          <w:kern w:val="0"/>
          <w:sz w:val="24"/>
          <w:lang w:bidi="ar"/>
        </w:rPr>
        <w:lastRenderedPageBreak/>
        <w:t>Clinical researchers and m</w:t>
      </w:r>
      <w:r w:rsidR="00447089" w:rsidRPr="000F1525">
        <w:rPr>
          <w:rFonts w:ascii="Arial" w:eastAsia="宋体" w:hAnsi="Arial" w:cs="Arial"/>
          <w:color w:val="000000"/>
          <w:kern w:val="0"/>
          <w:sz w:val="24"/>
          <w:lang w:bidi="ar"/>
        </w:rPr>
        <w:t xml:space="preserve">onitors should be trained in Good Clinical Practice (GCP) and possess relevant experience in clinical trial monitoring. Their role is to safeguard the rights and welfare of patients participating in the clinical trial, ensure the authenticity, accuracy, and completeness of trial data records and reports, and verify that the trial is conducted in accordance with the approved protocol, the Good Clinical Practice guidelines, and relevant regulations. The frequency of monitor visits should be sufficient to meet the needs of quality control for the clinical trial. Following each visit, the monitor shall report the findings to the </w:t>
      </w:r>
      <w:r w:rsidR="00F43AD5" w:rsidRPr="000F1525">
        <w:rPr>
          <w:rFonts w:ascii="Arial" w:eastAsia="宋体" w:hAnsi="Arial" w:cs="Arial"/>
          <w:color w:val="000000"/>
          <w:kern w:val="0"/>
          <w:sz w:val="24"/>
          <w:lang w:bidi="ar"/>
        </w:rPr>
        <w:t>p</w:t>
      </w:r>
      <w:r w:rsidR="004C0C4A" w:rsidRPr="000F1525">
        <w:rPr>
          <w:rFonts w:ascii="Arial" w:eastAsia="宋体" w:hAnsi="Arial" w:cs="Arial"/>
          <w:color w:val="000000"/>
          <w:kern w:val="0"/>
          <w:sz w:val="24"/>
          <w:lang w:bidi="ar"/>
        </w:rPr>
        <w:t xml:space="preserve">rincipal </w:t>
      </w:r>
      <w:r w:rsidR="00F43AD5" w:rsidRPr="000F1525">
        <w:rPr>
          <w:rFonts w:ascii="Arial" w:eastAsia="宋体" w:hAnsi="Arial" w:cs="Arial"/>
          <w:color w:val="000000"/>
          <w:kern w:val="0"/>
          <w:sz w:val="24"/>
          <w:lang w:bidi="ar"/>
        </w:rPr>
        <w:t>i</w:t>
      </w:r>
      <w:r w:rsidR="004C0C4A" w:rsidRPr="000F1525">
        <w:rPr>
          <w:rFonts w:ascii="Arial" w:eastAsia="宋体" w:hAnsi="Arial" w:cs="Arial"/>
          <w:color w:val="000000"/>
          <w:kern w:val="0"/>
          <w:sz w:val="24"/>
          <w:lang w:bidi="ar"/>
        </w:rPr>
        <w:t>nvestigators</w:t>
      </w:r>
      <w:r w:rsidR="00447089" w:rsidRPr="000F1525">
        <w:rPr>
          <w:rFonts w:ascii="Arial" w:eastAsia="宋体" w:hAnsi="Arial" w:cs="Arial"/>
          <w:color w:val="000000"/>
          <w:kern w:val="0"/>
          <w:sz w:val="24"/>
          <w:lang w:bidi="ar"/>
        </w:rPr>
        <w:t>.</w:t>
      </w:r>
    </w:p>
    <w:p w14:paraId="2E141080" w14:textId="77777777" w:rsidR="00F26D54" w:rsidRPr="000F1525" w:rsidRDefault="00F26D54" w:rsidP="00213A45">
      <w:pPr>
        <w:spacing w:after="120" w:line="360" w:lineRule="auto"/>
        <w:rPr>
          <w:rFonts w:ascii="Arial" w:eastAsia="宋体" w:hAnsi="Arial" w:cs="Arial"/>
          <w:color w:val="000000"/>
          <w:kern w:val="0"/>
          <w:sz w:val="24"/>
          <w:lang w:bidi="ar"/>
        </w:rPr>
      </w:pPr>
    </w:p>
    <w:p w14:paraId="6E6F678D" w14:textId="3BA1EDB7" w:rsidR="00FF52B2" w:rsidRPr="000F1525" w:rsidRDefault="00905939" w:rsidP="00905939">
      <w:pPr>
        <w:tabs>
          <w:tab w:val="left" w:pos="283"/>
        </w:tabs>
        <w:spacing w:line="360" w:lineRule="auto"/>
        <w:rPr>
          <w:rFonts w:ascii="Arial" w:hAnsi="Arial" w:cs="Arial"/>
          <w:b/>
          <w:bCs/>
          <w:sz w:val="24"/>
          <w:szCs w:val="32"/>
        </w:rPr>
      </w:pPr>
      <w:r w:rsidRPr="000F1525">
        <w:rPr>
          <w:rFonts w:ascii="Arial" w:hAnsi="Arial" w:cs="Arial"/>
          <w:b/>
          <w:bCs/>
          <w:sz w:val="24"/>
          <w:szCs w:val="32"/>
        </w:rPr>
        <w:t>5. Right to Refuse Participation or Withdraw from the Study</w:t>
      </w:r>
    </w:p>
    <w:p w14:paraId="2C9F7E15" w14:textId="1A2355A0" w:rsidR="000022B5" w:rsidRPr="000F1525" w:rsidRDefault="000022B5" w:rsidP="00ED2BC9">
      <w:pPr>
        <w:tabs>
          <w:tab w:val="left" w:pos="283"/>
        </w:tabs>
        <w:spacing w:line="360" w:lineRule="auto"/>
        <w:ind w:firstLineChars="200" w:firstLine="480"/>
        <w:rPr>
          <w:rFonts w:ascii="Arial" w:hAnsi="Arial" w:cs="Arial"/>
          <w:sz w:val="24"/>
          <w:szCs w:val="32"/>
        </w:rPr>
      </w:pPr>
      <w:r w:rsidRPr="000F1525">
        <w:rPr>
          <w:rFonts w:ascii="Arial" w:hAnsi="Arial" w:cs="Arial"/>
          <w:sz w:val="24"/>
          <w:szCs w:val="32"/>
        </w:rPr>
        <w:t>The decision of a participant to not join or to discontinue involvement in this study will in no way affect their rights. Additionally, participants retain the right to withdraw from the study at any point in time. The researchers of this study reserve the right to determine whether participants are eligible for the study based on the specified inclusion criteria.</w:t>
      </w:r>
    </w:p>
    <w:p w14:paraId="21F59124" w14:textId="77777777" w:rsidR="000022B5" w:rsidRPr="000F1525" w:rsidRDefault="000022B5" w:rsidP="000022B5">
      <w:pPr>
        <w:tabs>
          <w:tab w:val="left" w:pos="283"/>
        </w:tabs>
        <w:spacing w:line="360" w:lineRule="auto"/>
        <w:rPr>
          <w:rFonts w:ascii="Arial" w:hAnsi="Arial" w:cs="Arial"/>
          <w:sz w:val="24"/>
          <w:szCs w:val="32"/>
        </w:rPr>
      </w:pPr>
    </w:p>
    <w:p w14:paraId="769128FE" w14:textId="3ED0F31D" w:rsidR="00FF52B2" w:rsidRPr="000F1525" w:rsidRDefault="00051A9A" w:rsidP="00051A9A">
      <w:pPr>
        <w:tabs>
          <w:tab w:val="left" w:pos="283"/>
        </w:tabs>
        <w:spacing w:line="360" w:lineRule="auto"/>
        <w:rPr>
          <w:rFonts w:ascii="Arial" w:hAnsi="Arial" w:cs="Arial"/>
          <w:b/>
          <w:bCs/>
          <w:sz w:val="24"/>
          <w:szCs w:val="32"/>
        </w:rPr>
      </w:pPr>
      <w:r w:rsidRPr="000F1525">
        <w:rPr>
          <w:rFonts w:ascii="Arial" w:hAnsi="Arial" w:cs="Arial"/>
          <w:b/>
          <w:bCs/>
          <w:sz w:val="24"/>
          <w:szCs w:val="32"/>
        </w:rPr>
        <w:t>6. Privacy and Confidentiality Issues</w:t>
      </w:r>
    </w:p>
    <w:p w14:paraId="66814BA1" w14:textId="02B3D30C" w:rsidR="00FF52B2" w:rsidRPr="000F1525" w:rsidRDefault="00F26D54" w:rsidP="00194D73">
      <w:pPr>
        <w:spacing w:line="360" w:lineRule="auto"/>
        <w:ind w:firstLineChars="200" w:firstLine="480"/>
        <w:rPr>
          <w:rFonts w:ascii="Arial" w:hAnsi="Arial" w:cs="Arial"/>
          <w:sz w:val="24"/>
          <w:szCs w:val="32"/>
        </w:rPr>
      </w:pPr>
      <w:r w:rsidRPr="000F1525">
        <w:rPr>
          <w:rFonts w:ascii="Arial" w:hAnsi="Arial" w:cs="Arial"/>
          <w:sz w:val="24"/>
          <w:szCs w:val="32"/>
        </w:rPr>
        <w:t>All medical and personal information obtained from participants will be rigorously safeguarded. During the course of the study, identifying details such as names and gender will be replaced with unique codes or numbers to ensure anonymity. This anonymized data will be the only information utilized in the study, and it will be handled with the strictest confidentiality.</w:t>
      </w:r>
      <w:r w:rsidR="00394F92" w:rsidRPr="000F1525">
        <w:rPr>
          <w:rFonts w:ascii="Arial" w:hAnsi="Arial" w:cs="Arial"/>
          <w:sz w:val="24"/>
          <w:szCs w:val="32"/>
        </w:rPr>
        <w:t xml:space="preserve"> </w:t>
      </w:r>
      <w:r w:rsidRPr="000F1525">
        <w:rPr>
          <w:rFonts w:ascii="Arial" w:hAnsi="Arial" w:cs="Arial"/>
          <w:sz w:val="24"/>
          <w:szCs w:val="32"/>
        </w:rPr>
        <w:t xml:space="preserve">When findings are disseminated through academic publications, no personally identifiable information will be disclosed. This measure ensures that participants' identities remain fully protected. All records pertaining to participants' involvement in the study, as well as any associated clinical and administrative documentation, will be securely maintained by Beijing Hospital. Access to these records will be strictly restricted to authorized personnel only, and unauthorized access is </w:t>
      </w:r>
      <w:r w:rsidRPr="000F1525">
        <w:rPr>
          <w:rFonts w:ascii="Arial" w:hAnsi="Arial" w:cs="Arial"/>
          <w:sz w:val="24"/>
          <w:szCs w:val="32"/>
        </w:rPr>
        <w:lastRenderedPageBreak/>
        <w:t>explicitly prohibited.</w:t>
      </w:r>
    </w:p>
    <w:sectPr w:rsidR="00FF52B2" w:rsidRPr="000F1525" w:rsidSect="008B67CB">
      <w:footerReference w:type="default" r:id="rId8"/>
      <w:pgSz w:w="11906" w:h="16838"/>
      <w:pgMar w:top="1440" w:right="1800" w:bottom="1440" w:left="1800"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9BE3D4" w14:textId="77777777" w:rsidR="00716AE4" w:rsidRDefault="00716AE4">
      <w:r>
        <w:separator/>
      </w:r>
    </w:p>
  </w:endnote>
  <w:endnote w:type="continuationSeparator" w:id="0">
    <w:p w14:paraId="5BF56BA8" w14:textId="77777777" w:rsidR="00716AE4" w:rsidRDefault="00716A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5903323"/>
      <w:docPartObj>
        <w:docPartGallery w:val="Page Numbers (Bottom of Page)"/>
        <w:docPartUnique/>
      </w:docPartObj>
    </w:sdtPr>
    <w:sdtContent>
      <w:p w14:paraId="063CED19" w14:textId="10227A30" w:rsidR="00EA1B40" w:rsidRDefault="00EA1B40">
        <w:pPr>
          <w:pStyle w:val="a3"/>
          <w:jc w:val="center"/>
        </w:pPr>
        <w:r>
          <w:fldChar w:fldCharType="begin"/>
        </w:r>
        <w:r>
          <w:instrText>PAGE   \* MERGEFORMAT</w:instrText>
        </w:r>
        <w:r>
          <w:fldChar w:fldCharType="separate"/>
        </w:r>
        <w:r>
          <w:rPr>
            <w:lang w:val="zh-CN"/>
          </w:rPr>
          <w:t>2</w:t>
        </w:r>
        <w:r>
          <w:fldChar w:fldCharType="end"/>
        </w:r>
      </w:p>
    </w:sdtContent>
  </w:sdt>
  <w:p w14:paraId="5C811BBC" w14:textId="77777777" w:rsidR="00EA1B40" w:rsidRDefault="00EA1B40">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83EA49" w14:textId="77777777" w:rsidR="00716AE4" w:rsidRDefault="00716AE4">
      <w:r>
        <w:separator/>
      </w:r>
    </w:p>
  </w:footnote>
  <w:footnote w:type="continuationSeparator" w:id="0">
    <w:p w14:paraId="0D52ADAC" w14:textId="77777777" w:rsidR="00716AE4" w:rsidRDefault="00716A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F1AA0" w14:textId="77777777" w:rsidR="00FF52B2" w:rsidRDefault="00000000">
    <w:pPr>
      <w:pStyle w:val="a5"/>
      <w:pBdr>
        <w:bottom w:val="single" w:sz="4" w:space="1" w:color="auto"/>
      </w:pBdr>
      <w:jc w:val="left"/>
      <w:rPr>
        <w:rFonts w:ascii="Arial" w:hAnsi="Arial" w:cs="Arial"/>
        <w:sz w:val="20"/>
        <w:szCs w:val="28"/>
      </w:rPr>
    </w:pPr>
    <w:r>
      <w:rPr>
        <w:rFonts w:ascii="Arial" w:hAnsi="Arial" w:cs="Arial"/>
        <w:sz w:val="20"/>
        <w:szCs w:val="28"/>
      </w:rPr>
      <w:t>Beijing Hospital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C8245D6"/>
    <w:multiLevelType w:val="singleLevel"/>
    <w:tmpl w:val="DC8245D6"/>
    <w:lvl w:ilvl="0">
      <w:start w:val="1"/>
      <w:numFmt w:val="decimal"/>
      <w:suff w:val="space"/>
      <w:lvlText w:val="%1."/>
      <w:lvlJc w:val="left"/>
    </w:lvl>
  </w:abstractNum>
  <w:abstractNum w:abstractNumId="1" w15:restartNumberingAfterBreak="0">
    <w:nsid w:val="341A0001"/>
    <w:multiLevelType w:val="hybridMultilevel"/>
    <w:tmpl w:val="BBF4EECA"/>
    <w:lvl w:ilvl="0" w:tplc="69789BDC">
      <w:start w:val="1"/>
      <w:numFmt w:val="decimal"/>
      <w:lvlText w:val="%1."/>
      <w:lvlJc w:val="left"/>
      <w:pPr>
        <w:ind w:left="630" w:hanging="63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 w15:restartNumberingAfterBreak="0">
    <w:nsid w:val="42899B05"/>
    <w:multiLevelType w:val="multilevel"/>
    <w:tmpl w:val="42899B05"/>
    <w:lvl w:ilvl="0">
      <w:start w:val="2"/>
      <w:numFmt w:val="decimal"/>
      <w:suff w:val="space"/>
      <w:lvlText w:val="%1."/>
      <w:lvlJc w:val="left"/>
      <w:pPr>
        <w:tabs>
          <w:tab w:val="left" w:pos="283"/>
        </w:tabs>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3" w15:restartNumberingAfterBreak="0">
    <w:nsid w:val="47C17479"/>
    <w:multiLevelType w:val="hybridMultilevel"/>
    <w:tmpl w:val="C21AD5FE"/>
    <w:lvl w:ilvl="0" w:tplc="69789BDC">
      <w:start w:val="1"/>
      <w:numFmt w:val="decimal"/>
      <w:lvlText w:val="%1."/>
      <w:lvlJc w:val="left"/>
      <w:pPr>
        <w:ind w:left="630" w:hanging="63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4" w15:restartNumberingAfterBreak="0">
    <w:nsid w:val="533C9C6C"/>
    <w:multiLevelType w:val="singleLevel"/>
    <w:tmpl w:val="533C9C6C"/>
    <w:lvl w:ilvl="0">
      <w:start w:val="1"/>
      <w:numFmt w:val="decimal"/>
      <w:lvlText w:val="%1."/>
      <w:lvlJc w:val="left"/>
      <w:pPr>
        <w:ind w:left="425" w:hanging="425"/>
      </w:pPr>
      <w:rPr>
        <w:rFonts w:hint="default"/>
      </w:rPr>
    </w:lvl>
  </w:abstractNum>
  <w:abstractNum w:abstractNumId="5" w15:restartNumberingAfterBreak="0">
    <w:nsid w:val="53610343"/>
    <w:multiLevelType w:val="hybridMultilevel"/>
    <w:tmpl w:val="B4C80402"/>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6" w15:restartNumberingAfterBreak="0">
    <w:nsid w:val="55A57142"/>
    <w:multiLevelType w:val="hybridMultilevel"/>
    <w:tmpl w:val="C6449FE0"/>
    <w:lvl w:ilvl="0" w:tplc="69789BDC">
      <w:start w:val="1"/>
      <w:numFmt w:val="decimal"/>
      <w:lvlText w:val="%1."/>
      <w:lvlJc w:val="left"/>
      <w:pPr>
        <w:ind w:left="630" w:hanging="63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7" w15:restartNumberingAfterBreak="0">
    <w:nsid w:val="6104B0FA"/>
    <w:multiLevelType w:val="singleLevel"/>
    <w:tmpl w:val="6104B0FA"/>
    <w:lvl w:ilvl="0">
      <w:start w:val="1"/>
      <w:numFmt w:val="decimal"/>
      <w:lvlText w:val="%1."/>
      <w:lvlJc w:val="left"/>
      <w:pPr>
        <w:ind w:left="425" w:hanging="425"/>
      </w:pPr>
      <w:rPr>
        <w:rFonts w:hint="default"/>
      </w:rPr>
    </w:lvl>
  </w:abstractNum>
  <w:abstractNum w:abstractNumId="8" w15:restartNumberingAfterBreak="0">
    <w:nsid w:val="72188706"/>
    <w:multiLevelType w:val="multilevel"/>
    <w:tmpl w:val="72188706"/>
    <w:lvl w:ilvl="0">
      <w:start w:val="1"/>
      <w:numFmt w:val="decimal"/>
      <w:suff w:val="space"/>
      <w:lvlText w:val="%1."/>
      <w:lvlJc w:val="left"/>
    </w:lvl>
    <w:lvl w:ilvl="1">
      <w:start w:val="1"/>
      <w:numFmt w:val="decimal"/>
      <w:suff w:val="space"/>
      <w:lvlText w:val="%1.%2"/>
      <w:lvlJc w:val="left"/>
      <w:pPr>
        <w:ind w:left="283" w:firstLine="0"/>
      </w:pPr>
      <w:rPr>
        <w:rFonts w:hint="default"/>
      </w:rPr>
    </w:lvl>
    <w:lvl w:ilvl="2">
      <w:start w:val="1"/>
      <w:numFmt w:val="decimal"/>
      <w:suff w:val="space"/>
      <w:lvlText w:val="%1.%2.%3"/>
      <w:lvlJc w:val="left"/>
      <w:pPr>
        <w:ind w:left="283" w:firstLine="0"/>
      </w:pPr>
      <w:rPr>
        <w:rFonts w:hint="default"/>
      </w:rPr>
    </w:lvl>
    <w:lvl w:ilvl="3">
      <w:start w:val="1"/>
      <w:numFmt w:val="decimal"/>
      <w:suff w:val="space"/>
      <w:lvlText w:val="%1.%2.%3.%4"/>
      <w:lvlJc w:val="left"/>
      <w:pPr>
        <w:ind w:left="283" w:firstLine="0"/>
      </w:pPr>
      <w:rPr>
        <w:rFonts w:hint="default"/>
      </w:rPr>
    </w:lvl>
    <w:lvl w:ilvl="4">
      <w:start w:val="1"/>
      <w:numFmt w:val="decimal"/>
      <w:suff w:val="space"/>
      <w:lvlText w:val="%1.%2.%3.%4.%5"/>
      <w:lvlJc w:val="left"/>
      <w:pPr>
        <w:ind w:left="283" w:firstLine="0"/>
      </w:pPr>
      <w:rPr>
        <w:rFonts w:hint="default"/>
      </w:rPr>
    </w:lvl>
    <w:lvl w:ilvl="5">
      <w:start w:val="1"/>
      <w:numFmt w:val="decimal"/>
      <w:suff w:val="space"/>
      <w:lvlText w:val="%1.%2.%3.%4.%5.%6"/>
      <w:lvlJc w:val="left"/>
      <w:pPr>
        <w:ind w:left="283" w:firstLine="0"/>
      </w:pPr>
      <w:rPr>
        <w:rFonts w:hint="default"/>
      </w:rPr>
    </w:lvl>
    <w:lvl w:ilvl="6">
      <w:start w:val="1"/>
      <w:numFmt w:val="decimal"/>
      <w:suff w:val="space"/>
      <w:lvlText w:val="%1.%2.%3.%4.%5.%6.%7"/>
      <w:lvlJc w:val="left"/>
      <w:pPr>
        <w:ind w:left="283" w:firstLine="0"/>
      </w:pPr>
      <w:rPr>
        <w:rFonts w:hint="default"/>
      </w:rPr>
    </w:lvl>
    <w:lvl w:ilvl="7">
      <w:start w:val="1"/>
      <w:numFmt w:val="decimal"/>
      <w:suff w:val="space"/>
      <w:lvlText w:val="%1.%2.%3.%4.%5.%6.%7.%8"/>
      <w:lvlJc w:val="left"/>
      <w:pPr>
        <w:ind w:left="283" w:firstLine="0"/>
      </w:pPr>
      <w:rPr>
        <w:rFonts w:hint="default"/>
      </w:rPr>
    </w:lvl>
    <w:lvl w:ilvl="8">
      <w:start w:val="1"/>
      <w:numFmt w:val="decimal"/>
      <w:suff w:val="space"/>
      <w:lvlText w:val="%1.%2.%3.%4.%5.%6.%7.%8.%9"/>
      <w:lvlJc w:val="left"/>
      <w:pPr>
        <w:ind w:left="283" w:firstLine="0"/>
      </w:pPr>
      <w:rPr>
        <w:rFonts w:hint="default"/>
      </w:rPr>
    </w:lvl>
  </w:abstractNum>
  <w:abstractNum w:abstractNumId="9" w15:restartNumberingAfterBreak="0">
    <w:nsid w:val="7AD06219"/>
    <w:multiLevelType w:val="hybridMultilevel"/>
    <w:tmpl w:val="EC9EEC9E"/>
    <w:lvl w:ilvl="0" w:tplc="26EED6F4">
      <w:start w:val="5"/>
      <w:numFmt w:val="decimal"/>
      <w:lvlText w:val="%1．"/>
      <w:lvlJc w:val="left"/>
      <w:pPr>
        <w:ind w:left="720" w:hanging="72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1728799497">
    <w:abstractNumId w:val="8"/>
  </w:num>
  <w:num w:numId="2" w16cid:durableId="1985161257">
    <w:abstractNumId w:val="0"/>
  </w:num>
  <w:num w:numId="3" w16cid:durableId="1549342579">
    <w:abstractNumId w:val="2"/>
  </w:num>
  <w:num w:numId="4" w16cid:durableId="2033677045">
    <w:abstractNumId w:val="7"/>
  </w:num>
  <w:num w:numId="5" w16cid:durableId="889194549">
    <w:abstractNumId w:val="4"/>
  </w:num>
  <w:num w:numId="6" w16cid:durableId="843401978">
    <w:abstractNumId w:val="9"/>
  </w:num>
  <w:num w:numId="7" w16cid:durableId="1713143287">
    <w:abstractNumId w:val="5"/>
  </w:num>
  <w:num w:numId="8" w16cid:durableId="1546596796">
    <w:abstractNumId w:val="6"/>
  </w:num>
  <w:num w:numId="9" w16cid:durableId="1902713828">
    <w:abstractNumId w:val="1"/>
  </w:num>
  <w:num w:numId="10" w16cid:durableId="120902495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bordersDoNotSurroundHeader/>
  <w:bordersDoNotSurroundFooter/>
  <w:proofState w:spelling="clean" w:grammar="clean"/>
  <w:defaultTabStop w:val="630"/>
  <w:drawingGridHorizontalSpacing w:val="105"/>
  <w:drawingGridVerticalSpacing w:val="156"/>
  <w:displayHorizontalDrawingGridEvery w:val="2"/>
  <w:displayVerticalDrawingGridEvery w:val="2"/>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KY_MEDREF_DOCUID" w:val="{02A45C95-E3C1-412E-878B-EED6DF393DE9}"/>
    <w:docVar w:name="KY_MEDREF_VERSION" w:val="3"/>
  </w:docVars>
  <w:rsids>
    <w:rsidRoot w:val="20EE168B"/>
    <w:rsid w:val="00001ACA"/>
    <w:rsid w:val="000022B5"/>
    <w:rsid w:val="00051A9A"/>
    <w:rsid w:val="0005775B"/>
    <w:rsid w:val="000833F9"/>
    <w:rsid w:val="000942F7"/>
    <w:rsid w:val="000A2F07"/>
    <w:rsid w:val="000A718E"/>
    <w:rsid w:val="000B75C7"/>
    <w:rsid w:val="000C4D02"/>
    <w:rsid w:val="000D1483"/>
    <w:rsid w:val="000F1525"/>
    <w:rsid w:val="000F4FA4"/>
    <w:rsid w:val="001025AE"/>
    <w:rsid w:val="00134BD1"/>
    <w:rsid w:val="0014162E"/>
    <w:rsid w:val="00141B1A"/>
    <w:rsid w:val="00160C87"/>
    <w:rsid w:val="001858BC"/>
    <w:rsid w:val="001932D8"/>
    <w:rsid w:val="00194D73"/>
    <w:rsid w:val="001B04D6"/>
    <w:rsid w:val="001C391B"/>
    <w:rsid w:val="001D1283"/>
    <w:rsid w:val="001E7C84"/>
    <w:rsid w:val="001F6D9C"/>
    <w:rsid w:val="00200051"/>
    <w:rsid w:val="00212093"/>
    <w:rsid w:val="00212CE9"/>
    <w:rsid w:val="00213A45"/>
    <w:rsid w:val="00216BC4"/>
    <w:rsid w:val="00240169"/>
    <w:rsid w:val="002607CC"/>
    <w:rsid w:val="002954B3"/>
    <w:rsid w:val="002A1B7A"/>
    <w:rsid w:val="002C2B18"/>
    <w:rsid w:val="00324CAC"/>
    <w:rsid w:val="00343AB4"/>
    <w:rsid w:val="003500C6"/>
    <w:rsid w:val="00371024"/>
    <w:rsid w:val="00381C8B"/>
    <w:rsid w:val="00385CFC"/>
    <w:rsid w:val="00387DE3"/>
    <w:rsid w:val="0039394D"/>
    <w:rsid w:val="00394F92"/>
    <w:rsid w:val="003A3CAD"/>
    <w:rsid w:val="003B6B02"/>
    <w:rsid w:val="003C25C4"/>
    <w:rsid w:val="003C4953"/>
    <w:rsid w:val="003C750C"/>
    <w:rsid w:val="00401FD2"/>
    <w:rsid w:val="00433921"/>
    <w:rsid w:val="00447089"/>
    <w:rsid w:val="004669F7"/>
    <w:rsid w:val="004726A4"/>
    <w:rsid w:val="00481F77"/>
    <w:rsid w:val="00487369"/>
    <w:rsid w:val="004A2FA7"/>
    <w:rsid w:val="004C0C4A"/>
    <w:rsid w:val="004C10B6"/>
    <w:rsid w:val="004D0225"/>
    <w:rsid w:val="004D1784"/>
    <w:rsid w:val="004E66F6"/>
    <w:rsid w:val="005366AD"/>
    <w:rsid w:val="00540C86"/>
    <w:rsid w:val="00543EE7"/>
    <w:rsid w:val="005709C1"/>
    <w:rsid w:val="00590017"/>
    <w:rsid w:val="00594443"/>
    <w:rsid w:val="005A065C"/>
    <w:rsid w:val="005B18F7"/>
    <w:rsid w:val="005C023E"/>
    <w:rsid w:val="005D145F"/>
    <w:rsid w:val="005E3F66"/>
    <w:rsid w:val="005F623F"/>
    <w:rsid w:val="00615C60"/>
    <w:rsid w:val="006262E1"/>
    <w:rsid w:val="00663130"/>
    <w:rsid w:val="006823BA"/>
    <w:rsid w:val="006907FF"/>
    <w:rsid w:val="0069471B"/>
    <w:rsid w:val="006E77C8"/>
    <w:rsid w:val="0070639C"/>
    <w:rsid w:val="00716AE4"/>
    <w:rsid w:val="00735A49"/>
    <w:rsid w:val="00740556"/>
    <w:rsid w:val="00744DE5"/>
    <w:rsid w:val="0077038B"/>
    <w:rsid w:val="0078692C"/>
    <w:rsid w:val="007A15E4"/>
    <w:rsid w:val="007A2391"/>
    <w:rsid w:val="007A77BF"/>
    <w:rsid w:val="007F0495"/>
    <w:rsid w:val="007F1266"/>
    <w:rsid w:val="00802A8A"/>
    <w:rsid w:val="008153AF"/>
    <w:rsid w:val="00850134"/>
    <w:rsid w:val="00852AED"/>
    <w:rsid w:val="00881699"/>
    <w:rsid w:val="008A5BC6"/>
    <w:rsid w:val="008B67CB"/>
    <w:rsid w:val="008D7C67"/>
    <w:rsid w:val="00905939"/>
    <w:rsid w:val="00906786"/>
    <w:rsid w:val="00934D0E"/>
    <w:rsid w:val="009460AF"/>
    <w:rsid w:val="00956FC1"/>
    <w:rsid w:val="009727D6"/>
    <w:rsid w:val="00977BB1"/>
    <w:rsid w:val="00977D84"/>
    <w:rsid w:val="009943A1"/>
    <w:rsid w:val="00994DE4"/>
    <w:rsid w:val="009D3485"/>
    <w:rsid w:val="009E5301"/>
    <w:rsid w:val="00A36BA1"/>
    <w:rsid w:val="00A36C71"/>
    <w:rsid w:val="00A4590B"/>
    <w:rsid w:val="00A65DFA"/>
    <w:rsid w:val="00A863B8"/>
    <w:rsid w:val="00AA3EA6"/>
    <w:rsid w:val="00AB76BA"/>
    <w:rsid w:val="00AC2339"/>
    <w:rsid w:val="00AD0B63"/>
    <w:rsid w:val="00AD23AC"/>
    <w:rsid w:val="00AD313F"/>
    <w:rsid w:val="00AD79FB"/>
    <w:rsid w:val="00AE74E9"/>
    <w:rsid w:val="00B160A7"/>
    <w:rsid w:val="00B22E4D"/>
    <w:rsid w:val="00B23474"/>
    <w:rsid w:val="00B423A6"/>
    <w:rsid w:val="00B51691"/>
    <w:rsid w:val="00B52CA2"/>
    <w:rsid w:val="00B56A83"/>
    <w:rsid w:val="00B669CE"/>
    <w:rsid w:val="00B86485"/>
    <w:rsid w:val="00BB15CF"/>
    <w:rsid w:val="00BB3EF4"/>
    <w:rsid w:val="00C11BF8"/>
    <w:rsid w:val="00C2251B"/>
    <w:rsid w:val="00C31F4B"/>
    <w:rsid w:val="00C435A4"/>
    <w:rsid w:val="00C6779A"/>
    <w:rsid w:val="00C80341"/>
    <w:rsid w:val="00C81E93"/>
    <w:rsid w:val="00CB6AAE"/>
    <w:rsid w:val="00CC722F"/>
    <w:rsid w:val="00CD3628"/>
    <w:rsid w:val="00D52E9B"/>
    <w:rsid w:val="00D66CE1"/>
    <w:rsid w:val="00D87026"/>
    <w:rsid w:val="00D95D10"/>
    <w:rsid w:val="00DA560B"/>
    <w:rsid w:val="00DB4F29"/>
    <w:rsid w:val="00DC06D5"/>
    <w:rsid w:val="00DD7A0E"/>
    <w:rsid w:val="00DE5DEF"/>
    <w:rsid w:val="00E10F6D"/>
    <w:rsid w:val="00E138A7"/>
    <w:rsid w:val="00E240D3"/>
    <w:rsid w:val="00E4287B"/>
    <w:rsid w:val="00E447F2"/>
    <w:rsid w:val="00E450A0"/>
    <w:rsid w:val="00E62260"/>
    <w:rsid w:val="00E62EBD"/>
    <w:rsid w:val="00E8498A"/>
    <w:rsid w:val="00EA1B40"/>
    <w:rsid w:val="00EA53A4"/>
    <w:rsid w:val="00EA57C2"/>
    <w:rsid w:val="00EB33DD"/>
    <w:rsid w:val="00ED2BC9"/>
    <w:rsid w:val="00EE055F"/>
    <w:rsid w:val="00EE4778"/>
    <w:rsid w:val="00EF0B09"/>
    <w:rsid w:val="00EF1BFF"/>
    <w:rsid w:val="00F20150"/>
    <w:rsid w:val="00F26D54"/>
    <w:rsid w:val="00F43AD5"/>
    <w:rsid w:val="00F94AAB"/>
    <w:rsid w:val="00FC5CA6"/>
    <w:rsid w:val="00FD422F"/>
    <w:rsid w:val="00FF3359"/>
    <w:rsid w:val="00FF52B2"/>
    <w:rsid w:val="01C57BB7"/>
    <w:rsid w:val="01F321C2"/>
    <w:rsid w:val="02076F1C"/>
    <w:rsid w:val="023D46EC"/>
    <w:rsid w:val="02A233C6"/>
    <w:rsid w:val="02BC1AB4"/>
    <w:rsid w:val="03B92296"/>
    <w:rsid w:val="03C52BEB"/>
    <w:rsid w:val="03EA2651"/>
    <w:rsid w:val="041B0894"/>
    <w:rsid w:val="042C4A18"/>
    <w:rsid w:val="04536561"/>
    <w:rsid w:val="04602913"/>
    <w:rsid w:val="046E6C8B"/>
    <w:rsid w:val="04893C18"/>
    <w:rsid w:val="04AC37A9"/>
    <w:rsid w:val="04E6106A"/>
    <w:rsid w:val="060D3141"/>
    <w:rsid w:val="072D2F81"/>
    <w:rsid w:val="076B39F3"/>
    <w:rsid w:val="079101CB"/>
    <w:rsid w:val="07944DAE"/>
    <w:rsid w:val="07AF7B6B"/>
    <w:rsid w:val="07FD5ED5"/>
    <w:rsid w:val="086250ED"/>
    <w:rsid w:val="08B35707"/>
    <w:rsid w:val="08D431F9"/>
    <w:rsid w:val="09581E0B"/>
    <w:rsid w:val="09B02282"/>
    <w:rsid w:val="09D92F4C"/>
    <w:rsid w:val="0A3208AE"/>
    <w:rsid w:val="0AD121BC"/>
    <w:rsid w:val="0B10325C"/>
    <w:rsid w:val="0B594ADB"/>
    <w:rsid w:val="0B882E7B"/>
    <w:rsid w:val="0C432748"/>
    <w:rsid w:val="0C984076"/>
    <w:rsid w:val="0D2131A7"/>
    <w:rsid w:val="0D417786"/>
    <w:rsid w:val="0D8E04F1"/>
    <w:rsid w:val="0DBA02A7"/>
    <w:rsid w:val="0DE01542"/>
    <w:rsid w:val="0E0D0DE3"/>
    <w:rsid w:val="0E5B4877"/>
    <w:rsid w:val="0EA65B99"/>
    <w:rsid w:val="0ECF0A84"/>
    <w:rsid w:val="0EF66235"/>
    <w:rsid w:val="102F5781"/>
    <w:rsid w:val="106C2C0F"/>
    <w:rsid w:val="111D2270"/>
    <w:rsid w:val="11B83D8F"/>
    <w:rsid w:val="1212349F"/>
    <w:rsid w:val="122715DE"/>
    <w:rsid w:val="12374CB3"/>
    <w:rsid w:val="129E2F84"/>
    <w:rsid w:val="12C9707E"/>
    <w:rsid w:val="12CF5AE2"/>
    <w:rsid w:val="13073902"/>
    <w:rsid w:val="136A730B"/>
    <w:rsid w:val="138A2A0C"/>
    <w:rsid w:val="13F61401"/>
    <w:rsid w:val="14071A60"/>
    <w:rsid w:val="14FD6A90"/>
    <w:rsid w:val="15BB3E4D"/>
    <w:rsid w:val="15D867AD"/>
    <w:rsid w:val="15E141A2"/>
    <w:rsid w:val="1638549E"/>
    <w:rsid w:val="165C73DE"/>
    <w:rsid w:val="17017F86"/>
    <w:rsid w:val="177366C3"/>
    <w:rsid w:val="17751F3A"/>
    <w:rsid w:val="17A96653"/>
    <w:rsid w:val="181E0E48"/>
    <w:rsid w:val="1887378A"/>
    <w:rsid w:val="1895081E"/>
    <w:rsid w:val="18BD623D"/>
    <w:rsid w:val="18FC27B3"/>
    <w:rsid w:val="1950652B"/>
    <w:rsid w:val="1969287C"/>
    <w:rsid w:val="1A2B77F4"/>
    <w:rsid w:val="1A8C7B66"/>
    <w:rsid w:val="1AE7638C"/>
    <w:rsid w:val="1B9F1A94"/>
    <w:rsid w:val="1CCD0F4C"/>
    <w:rsid w:val="1D2653DF"/>
    <w:rsid w:val="1D61177E"/>
    <w:rsid w:val="1D835251"/>
    <w:rsid w:val="1D8863CD"/>
    <w:rsid w:val="1DF61581"/>
    <w:rsid w:val="1E2307E2"/>
    <w:rsid w:val="1E433FD2"/>
    <w:rsid w:val="1EC06E49"/>
    <w:rsid w:val="1ECD2976"/>
    <w:rsid w:val="1EFF3AD1"/>
    <w:rsid w:val="1F0D777F"/>
    <w:rsid w:val="1F144E73"/>
    <w:rsid w:val="1F4D55DB"/>
    <w:rsid w:val="1FAA65AA"/>
    <w:rsid w:val="1FF40688"/>
    <w:rsid w:val="20516442"/>
    <w:rsid w:val="20EE168B"/>
    <w:rsid w:val="21352D06"/>
    <w:rsid w:val="215E3DDC"/>
    <w:rsid w:val="21725F49"/>
    <w:rsid w:val="21A45CBB"/>
    <w:rsid w:val="22105FB5"/>
    <w:rsid w:val="2215181E"/>
    <w:rsid w:val="222B622D"/>
    <w:rsid w:val="228D26CE"/>
    <w:rsid w:val="25E66CC5"/>
    <w:rsid w:val="264D464E"/>
    <w:rsid w:val="265D6E13"/>
    <w:rsid w:val="26655E3B"/>
    <w:rsid w:val="267C4F33"/>
    <w:rsid w:val="26B5698F"/>
    <w:rsid w:val="280B44BC"/>
    <w:rsid w:val="28324A94"/>
    <w:rsid w:val="28B11647"/>
    <w:rsid w:val="28F66353"/>
    <w:rsid w:val="291814EB"/>
    <w:rsid w:val="295273D4"/>
    <w:rsid w:val="297B1948"/>
    <w:rsid w:val="29EF1647"/>
    <w:rsid w:val="2A0776C6"/>
    <w:rsid w:val="2A691EB3"/>
    <w:rsid w:val="2A8E0898"/>
    <w:rsid w:val="2ADB5B0A"/>
    <w:rsid w:val="2B3758CC"/>
    <w:rsid w:val="2BD414DD"/>
    <w:rsid w:val="2BE11E8A"/>
    <w:rsid w:val="2C8E59C0"/>
    <w:rsid w:val="2CB40181"/>
    <w:rsid w:val="2CDC1669"/>
    <w:rsid w:val="2D4A7B39"/>
    <w:rsid w:val="2D5C5ABE"/>
    <w:rsid w:val="2DB72CF5"/>
    <w:rsid w:val="2DC20777"/>
    <w:rsid w:val="2DE7182C"/>
    <w:rsid w:val="2E114AFB"/>
    <w:rsid w:val="2E1F4A3C"/>
    <w:rsid w:val="2EA4771D"/>
    <w:rsid w:val="2EBC6814"/>
    <w:rsid w:val="2ED446AB"/>
    <w:rsid w:val="2EFC4E63"/>
    <w:rsid w:val="2F0D7070"/>
    <w:rsid w:val="2F307202"/>
    <w:rsid w:val="2F70205E"/>
    <w:rsid w:val="2F7075FF"/>
    <w:rsid w:val="2F9E23BE"/>
    <w:rsid w:val="306B2F08"/>
    <w:rsid w:val="308253DB"/>
    <w:rsid w:val="30990559"/>
    <w:rsid w:val="31A737AC"/>
    <w:rsid w:val="3264169D"/>
    <w:rsid w:val="335F33B8"/>
    <w:rsid w:val="3429576C"/>
    <w:rsid w:val="34BD790F"/>
    <w:rsid w:val="352436AD"/>
    <w:rsid w:val="355D66C9"/>
    <w:rsid w:val="3595432F"/>
    <w:rsid w:val="35B35012"/>
    <w:rsid w:val="35C10BB4"/>
    <w:rsid w:val="363D5511"/>
    <w:rsid w:val="366963C1"/>
    <w:rsid w:val="36AE1139"/>
    <w:rsid w:val="3711264A"/>
    <w:rsid w:val="37305FF2"/>
    <w:rsid w:val="375D66BB"/>
    <w:rsid w:val="3781777D"/>
    <w:rsid w:val="37841E99"/>
    <w:rsid w:val="379257ED"/>
    <w:rsid w:val="38100203"/>
    <w:rsid w:val="38262F51"/>
    <w:rsid w:val="384A6C3F"/>
    <w:rsid w:val="38D11547"/>
    <w:rsid w:val="3A483652"/>
    <w:rsid w:val="3A844E5B"/>
    <w:rsid w:val="3AD642BB"/>
    <w:rsid w:val="3B4B363B"/>
    <w:rsid w:val="3B7339AE"/>
    <w:rsid w:val="3B783AC3"/>
    <w:rsid w:val="3B901D96"/>
    <w:rsid w:val="3C3265A9"/>
    <w:rsid w:val="3C6B7014"/>
    <w:rsid w:val="3C7615F9"/>
    <w:rsid w:val="3CCF3BB7"/>
    <w:rsid w:val="3CDE5C4B"/>
    <w:rsid w:val="3D137F1D"/>
    <w:rsid w:val="3D273C34"/>
    <w:rsid w:val="3D2B758E"/>
    <w:rsid w:val="3D874C42"/>
    <w:rsid w:val="3DC91FE6"/>
    <w:rsid w:val="3E3A1504"/>
    <w:rsid w:val="3E5726F5"/>
    <w:rsid w:val="3EE836F9"/>
    <w:rsid w:val="3F2D22EA"/>
    <w:rsid w:val="3F4F7231"/>
    <w:rsid w:val="3F54175B"/>
    <w:rsid w:val="40550877"/>
    <w:rsid w:val="40C63523"/>
    <w:rsid w:val="40FD6DCE"/>
    <w:rsid w:val="41703F20"/>
    <w:rsid w:val="417F715C"/>
    <w:rsid w:val="42674891"/>
    <w:rsid w:val="42845684"/>
    <w:rsid w:val="428D254A"/>
    <w:rsid w:val="42FC216C"/>
    <w:rsid w:val="44020D16"/>
    <w:rsid w:val="44054242"/>
    <w:rsid w:val="44B85878"/>
    <w:rsid w:val="45B55914"/>
    <w:rsid w:val="46215C69"/>
    <w:rsid w:val="4698326B"/>
    <w:rsid w:val="472913D0"/>
    <w:rsid w:val="476615BC"/>
    <w:rsid w:val="47727274"/>
    <w:rsid w:val="478B4B7E"/>
    <w:rsid w:val="47C14A44"/>
    <w:rsid w:val="48A04659"/>
    <w:rsid w:val="48EC6F0F"/>
    <w:rsid w:val="48FD1AAC"/>
    <w:rsid w:val="491C4601"/>
    <w:rsid w:val="49951CE4"/>
    <w:rsid w:val="4A3D68BF"/>
    <w:rsid w:val="4A7C5E5F"/>
    <w:rsid w:val="4B06733D"/>
    <w:rsid w:val="4B1C5866"/>
    <w:rsid w:val="4B2E51AA"/>
    <w:rsid w:val="4BB55EDC"/>
    <w:rsid w:val="4C2832E3"/>
    <w:rsid w:val="4C79261D"/>
    <w:rsid w:val="4C806C7C"/>
    <w:rsid w:val="4CAD75F6"/>
    <w:rsid w:val="4DD20F69"/>
    <w:rsid w:val="4E4A75AF"/>
    <w:rsid w:val="4FA113E3"/>
    <w:rsid w:val="501A2F43"/>
    <w:rsid w:val="502F5ECA"/>
    <w:rsid w:val="50B047BD"/>
    <w:rsid w:val="5107796B"/>
    <w:rsid w:val="51275918"/>
    <w:rsid w:val="516129CF"/>
    <w:rsid w:val="51777630"/>
    <w:rsid w:val="517B288E"/>
    <w:rsid w:val="51825485"/>
    <w:rsid w:val="519A77AF"/>
    <w:rsid w:val="51B01DB1"/>
    <w:rsid w:val="522B1438"/>
    <w:rsid w:val="52743B51"/>
    <w:rsid w:val="52CA0C50"/>
    <w:rsid w:val="538C7778"/>
    <w:rsid w:val="539C6FDD"/>
    <w:rsid w:val="53BB4C94"/>
    <w:rsid w:val="53C102A5"/>
    <w:rsid w:val="53C5315C"/>
    <w:rsid w:val="540B32CF"/>
    <w:rsid w:val="548B08B3"/>
    <w:rsid w:val="54914216"/>
    <w:rsid w:val="54CA77E4"/>
    <w:rsid w:val="54F32F9C"/>
    <w:rsid w:val="54F91E0B"/>
    <w:rsid w:val="553601AB"/>
    <w:rsid w:val="561227A5"/>
    <w:rsid w:val="56D3737E"/>
    <w:rsid w:val="571C57F3"/>
    <w:rsid w:val="57330F18"/>
    <w:rsid w:val="582157B7"/>
    <w:rsid w:val="58401437"/>
    <w:rsid w:val="58586CFE"/>
    <w:rsid w:val="5994625F"/>
    <w:rsid w:val="5A8B33BB"/>
    <w:rsid w:val="5AFE3DCE"/>
    <w:rsid w:val="5B263EF5"/>
    <w:rsid w:val="5B61290C"/>
    <w:rsid w:val="5B995664"/>
    <w:rsid w:val="5BAA22F7"/>
    <w:rsid w:val="5BC54DF4"/>
    <w:rsid w:val="5C104144"/>
    <w:rsid w:val="5C142F3C"/>
    <w:rsid w:val="5CBE57B1"/>
    <w:rsid w:val="5CE5499D"/>
    <w:rsid w:val="5DBB1EB0"/>
    <w:rsid w:val="5DEF1EB3"/>
    <w:rsid w:val="5E102614"/>
    <w:rsid w:val="5E317DD6"/>
    <w:rsid w:val="5E761C8C"/>
    <w:rsid w:val="5F0F4D5A"/>
    <w:rsid w:val="5F103E8F"/>
    <w:rsid w:val="5F85487D"/>
    <w:rsid w:val="60025ECE"/>
    <w:rsid w:val="603C0925"/>
    <w:rsid w:val="60A510AE"/>
    <w:rsid w:val="61B42788"/>
    <w:rsid w:val="62061760"/>
    <w:rsid w:val="62782477"/>
    <w:rsid w:val="6283706E"/>
    <w:rsid w:val="629D1EDE"/>
    <w:rsid w:val="62AF39BF"/>
    <w:rsid w:val="635D3DB0"/>
    <w:rsid w:val="636C7B02"/>
    <w:rsid w:val="63911317"/>
    <w:rsid w:val="63C143B7"/>
    <w:rsid w:val="64093574"/>
    <w:rsid w:val="64A532CB"/>
    <w:rsid w:val="65130235"/>
    <w:rsid w:val="654B5927"/>
    <w:rsid w:val="65660CAD"/>
    <w:rsid w:val="662F5543"/>
    <w:rsid w:val="66795AED"/>
    <w:rsid w:val="667E3DD4"/>
    <w:rsid w:val="67FD341E"/>
    <w:rsid w:val="68353276"/>
    <w:rsid w:val="686878B5"/>
    <w:rsid w:val="68752646"/>
    <w:rsid w:val="69AC0C58"/>
    <w:rsid w:val="6ACD3022"/>
    <w:rsid w:val="6B0C67F9"/>
    <w:rsid w:val="6B4C2A77"/>
    <w:rsid w:val="6B714AD3"/>
    <w:rsid w:val="6BD6020E"/>
    <w:rsid w:val="6C172D01"/>
    <w:rsid w:val="6C3607BE"/>
    <w:rsid w:val="6C8251EB"/>
    <w:rsid w:val="6D286848"/>
    <w:rsid w:val="6DBE0F5A"/>
    <w:rsid w:val="6DDB40D5"/>
    <w:rsid w:val="6FD351BE"/>
    <w:rsid w:val="703E761F"/>
    <w:rsid w:val="70AC1146"/>
    <w:rsid w:val="714E7C4B"/>
    <w:rsid w:val="715C20BD"/>
    <w:rsid w:val="719C06EE"/>
    <w:rsid w:val="71CA6D36"/>
    <w:rsid w:val="71EF1C9F"/>
    <w:rsid w:val="72A946A6"/>
    <w:rsid w:val="72C25048"/>
    <w:rsid w:val="72C9287B"/>
    <w:rsid w:val="73007857"/>
    <w:rsid w:val="73691A00"/>
    <w:rsid w:val="7463285B"/>
    <w:rsid w:val="75220020"/>
    <w:rsid w:val="754601B3"/>
    <w:rsid w:val="75BE442E"/>
    <w:rsid w:val="75F5268D"/>
    <w:rsid w:val="7610713E"/>
    <w:rsid w:val="770A4F84"/>
    <w:rsid w:val="77AB55A9"/>
    <w:rsid w:val="77CD0717"/>
    <w:rsid w:val="77D64F00"/>
    <w:rsid w:val="77FF289B"/>
    <w:rsid w:val="7844403A"/>
    <w:rsid w:val="786B2D60"/>
    <w:rsid w:val="78941235"/>
    <w:rsid w:val="79207AC3"/>
    <w:rsid w:val="79786DA9"/>
    <w:rsid w:val="79800E71"/>
    <w:rsid w:val="79D8357B"/>
    <w:rsid w:val="7A230824"/>
    <w:rsid w:val="7B073F40"/>
    <w:rsid w:val="7BA33F17"/>
    <w:rsid w:val="7BE14AEE"/>
    <w:rsid w:val="7CF229CE"/>
    <w:rsid w:val="7D362954"/>
    <w:rsid w:val="7D3932B6"/>
    <w:rsid w:val="7D4E40A8"/>
    <w:rsid w:val="7D781125"/>
    <w:rsid w:val="7EF43F97"/>
    <w:rsid w:val="7F485EDA"/>
    <w:rsid w:val="7FBD72C3"/>
    <w:rsid w:val="7FD519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C6A65E"/>
  <w15:docId w15:val="{0AFF1C80-E13F-4B0B-86D6-393E38990E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uiPriority w:val="9"/>
    <w:qFormat/>
    <w:pPr>
      <w:keepNext/>
      <w:keepLines/>
      <w:spacing w:before="480"/>
      <w:outlineLvl w:val="0"/>
    </w:pPr>
    <w:rPr>
      <w:rFonts w:ascii="Cambria" w:hAnsi="Cambria"/>
      <w:b/>
      <w:bCs/>
      <w:color w:val="366091"/>
      <w:sz w:val="28"/>
      <w:szCs w:val="28"/>
    </w:rPr>
  </w:style>
  <w:style w:type="paragraph" w:styleId="4">
    <w:name w:val="heading 4"/>
    <w:basedOn w:val="a"/>
    <w:next w:val="a"/>
    <w:semiHidden/>
    <w:unhideWhenUsed/>
    <w:qFormat/>
    <w:pPr>
      <w:spacing w:beforeAutospacing="1" w:afterAutospacing="1"/>
      <w:jc w:val="left"/>
      <w:outlineLvl w:val="3"/>
    </w:pPr>
    <w:rPr>
      <w:rFonts w:ascii="宋体" w:eastAsia="宋体" w:hAnsi="宋体" w:cs="Times New Roman" w:hint="eastAsia"/>
      <w:b/>
      <w:bCs/>
      <w:kern w:val="0"/>
      <w:sz w:val="24"/>
    </w:rPr>
  </w:style>
  <w:style w:type="paragraph" w:styleId="5">
    <w:name w:val="heading 5"/>
    <w:basedOn w:val="a"/>
    <w:next w:val="a"/>
    <w:semiHidden/>
    <w:unhideWhenUsed/>
    <w:qFormat/>
    <w:pPr>
      <w:spacing w:beforeAutospacing="1" w:afterAutospacing="1"/>
      <w:jc w:val="left"/>
      <w:outlineLvl w:val="4"/>
    </w:pPr>
    <w:rPr>
      <w:rFonts w:ascii="宋体" w:eastAsia="宋体" w:hAnsi="宋体" w:cs="Times New Roman" w:hint="eastAsia"/>
      <w:b/>
      <w:bCs/>
      <w:kern w:val="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pPr>
      <w:tabs>
        <w:tab w:val="center" w:pos="4153"/>
        <w:tab w:val="right" w:pos="8306"/>
      </w:tabs>
      <w:snapToGrid w:val="0"/>
      <w:jc w:val="left"/>
    </w:pPr>
    <w:rPr>
      <w:sz w:val="18"/>
    </w:rPr>
  </w:style>
  <w:style w:type="paragraph" w:styleId="a5">
    <w:name w:val="header"/>
    <w:basedOn w:val="a"/>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6">
    <w:name w:val="Strong"/>
    <w:basedOn w:val="a0"/>
    <w:qFormat/>
    <w:rPr>
      <w:b/>
    </w:rPr>
  </w:style>
  <w:style w:type="paragraph" w:customStyle="1" w:styleId="ListParagraph1">
    <w:name w:val="List Paragraph1"/>
    <w:basedOn w:val="a"/>
    <w:uiPriority w:val="34"/>
    <w:qFormat/>
    <w:pPr>
      <w:ind w:left="720"/>
      <w:contextualSpacing/>
    </w:pPr>
  </w:style>
  <w:style w:type="paragraph" w:styleId="a7">
    <w:name w:val="List Paragraph"/>
    <w:basedOn w:val="a"/>
    <w:uiPriority w:val="34"/>
    <w:qFormat/>
    <w:pPr>
      <w:ind w:left="720"/>
      <w:contextualSpacing/>
    </w:pPr>
  </w:style>
  <w:style w:type="character" w:customStyle="1" w:styleId="a4">
    <w:name w:val="页脚 字符"/>
    <w:basedOn w:val="a0"/>
    <w:link w:val="a3"/>
    <w:uiPriority w:val="99"/>
    <w:rsid w:val="00EA1B40"/>
    <w:rPr>
      <w:rFonts w:asciiTheme="minorHAnsi" w:eastAsiaTheme="minorEastAsia" w:hAnsiTheme="minorHAnsi" w:cstheme="minorBidi"/>
      <w:kern w:val="2"/>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8484361">
      <w:bodyDiv w:val="1"/>
      <w:marLeft w:val="0"/>
      <w:marRight w:val="0"/>
      <w:marTop w:val="0"/>
      <w:marBottom w:val="0"/>
      <w:divBdr>
        <w:top w:val="none" w:sz="0" w:space="0" w:color="auto"/>
        <w:left w:val="none" w:sz="0" w:space="0" w:color="auto"/>
        <w:bottom w:val="none" w:sz="0" w:space="0" w:color="auto"/>
        <w:right w:val="none" w:sz="0" w:space="0" w:color="auto"/>
      </w:divBdr>
      <w:divsChild>
        <w:div w:id="251089338">
          <w:marLeft w:val="0"/>
          <w:marRight w:val="0"/>
          <w:marTop w:val="0"/>
          <w:marBottom w:val="206"/>
          <w:divBdr>
            <w:top w:val="none" w:sz="0" w:space="0" w:color="auto"/>
            <w:left w:val="none" w:sz="0" w:space="0" w:color="auto"/>
            <w:bottom w:val="none" w:sz="0" w:space="0" w:color="auto"/>
            <w:right w:val="none" w:sz="0" w:space="0" w:color="auto"/>
          </w:divBdr>
        </w:div>
        <w:div w:id="2041127081">
          <w:marLeft w:val="0"/>
          <w:marRight w:val="0"/>
          <w:marTop w:val="0"/>
          <w:marBottom w:val="0"/>
          <w:divBdr>
            <w:top w:val="none" w:sz="0" w:space="0" w:color="auto"/>
            <w:left w:val="none" w:sz="0" w:space="0" w:color="auto"/>
            <w:bottom w:val="none" w:sz="0" w:space="0" w:color="auto"/>
            <w:right w:val="none" w:sz="0" w:space="0" w:color="auto"/>
          </w:divBdr>
        </w:div>
      </w:divsChild>
    </w:div>
    <w:div w:id="1323042863">
      <w:bodyDiv w:val="1"/>
      <w:marLeft w:val="0"/>
      <w:marRight w:val="0"/>
      <w:marTop w:val="0"/>
      <w:marBottom w:val="0"/>
      <w:divBdr>
        <w:top w:val="none" w:sz="0" w:space="0" w:color="auto"/>
        <w:left w:val="none" w:sz="0" w:space="0" w:color="auto"/>
        <w:bottom w:val="none" w:sz="0" w:space="0" w:color="auto"/>
        <w:right w:val="none" w:sz="0" w:space="0" w:color="auto"/>
      </w:divBdr>
      <w:divsChild>
        <w:div w:id="61879760">
          <w:marLeft w:val="0"/>
          <w:marRight w:val="0"/>
          <w:marTop w:val="0"/>
          <w:marBottom w:val="206"/>
          <w:divBdr>
            <w:top w:val="none" w:sz="0" w:space="0" w:color="auto"/>
            <w:left w:val="none" w:sz="0" w:space="0" w:color="auto"/>
            <w:bottom w:val="none" w:sz="0" w:space="0" w:color="auto"/>
            <w:right w:val="none" w:sz="0" w:space="0" w:color="auto"/>
          </w:divBdr>
        </w:div>
        <w:div w:id="352388408">
          <w:marLeft w:val="0"/>
          <w:marRight w:val="0"/>
          <w:marTop w:val="0"/>
          <w:marBottom w:val="0"/>
          <w:divBdr>
            <w:top w:val="none" w:sz="0" w:space="0" w:color="auto"/>
            <w:left w:val="none" w:sz="0" w:space="0" w:color="auto"/>
            <w:bottom w:val="none" w:sz="0" w:space="0" w:color="auto"/>
            <w:right w:val="none" w:sz="0" w:space="0" w:color="auto"/>
          </w:divBdr>
        </w:div>
      </w:divsChild>
    </w:div>
    <w:div w:id="1844052014">
      <w:bodyDiv w:val="1"/>
      <w:marLeft w:val="0"/>
      <w:marRight w:val="0"/>
      <w:marTop w:val="0"/>
      <w:marBottom w:val="0"/>
      <w:divBdr>
        <w:top w:val="none" w:sz="0" w:space="0" w:color="auto"/>
        <w:left w:val="none" w:sz="0" w:space="0" w:color="auto"/>
        <w:bottom w:val="none" w:sz="0" w:space="0" w:color="auto"/>
        <w:right w:val="none" w:sz="0" w:space="0" w:color="auto"/>
      </w:divBdr>
      <w:divsChild>
        <w:div w:id="1861628172">
          <w:marLeft w:val="0"/>
          <w:marRight w:val="0"/>
          <w:marTop w:val="0"/>
          <w:marBottom w:val="206"/>
          <w:divBdr>
            <w:top w:val="none" w:sz="0" w:space="0" w:color="auto"/>
            <w:left w:val="none" w:sz="0" w:space="0" w:color="auto"/>
            <w:bottom w:val="none" w:sz="0" w:space="0" w:color="auto"/>
            <w:right w:val="none" w:sz="0" w:space="0" w:color="auto"/>
          </w:divBdr>
        </w:div>
        <w:div w:id="496192413">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153</TotalTime>
  <Pages>19</Pages>
  <Words>4604</Words>
  <Characters>26797</Characters>
  <Application>Microsoft Office Word</Application>
  <DocSecurity>0</DocSecurity>
  <Lines>535</Lines>
  <Paragraphs>174</Paragraphs>
  <ScaleCrop>false</ScaleCrop>
  <Company/>
  <LinksUpToDate>false</LinksUpToDate>
  <CharactersWithSpaces>31227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覃の</dc:creator>
  <cp:lastModifiedBy>qin qin</cp:lastModifiedBy>
  <cp:revision>174</cp:revision>
  <dcterms:created xsi:type="dcterms:W3CDTF">2025-03-27T01:49:00Z</dcterms:created>
  <dcterms:modified xsi:type="dcterms:W3CDTF">2025-10-29T08:19:00Z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A35602A24C7F478D8818E56F52215861_11</vt:lpwstr>
  </property>
  <property fmtid="{D5CDD505-2E9C-101B-9397-08002B2CF9AE}" pid="4" name="KSOTemplateDocerSaveRecord">
    <vt:lpwstr>eyJoZGlkIjoiMTMxNjQ4NGQxNTdmNWIzNTU2NjNlNmNmMWUwOWUwZjUiLCJ1c2VySWQiOiI1MDA2NTI1MDgifQ==</vt:lpwstr>
  </property>
</Properties>
</file>