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776A7" w14:textId="77777777" w:rsidR="008F21A0" w:rsidRPr="00EC152F" w:rsidRDefault="0092276A">
      <w:pPr>
        <w:jc w:val="center"/>
        <w:rPr>
          <w:b/>
          <w:szCs w:val="24"/>
        </w:rPr>
      </w:pPr>
      <w:r w:rsidRPr="00EC152F">
        <w:rPr>
          <w:b/>
          <w:szCs w:val="24"/>
        </w:rPr>
        <w:t>Supplementary Materials</w:t>
      </w:r>
    </w:p>
    <w:p w14:paraId="508F9F30" w14:textId="77777777" w:rsidR="008F21A0" w:rsidRPr="00EC152F" w:rsidRDefault="008F21A0">
      <w:pPr>
        <w:rPr>
          <w:szCs w:val="24"/>
        </w:rPr>
      </w:pPr>
    </w:p>
    <w:p w14:paraId="30DAC8F5" w14:textId="77777777" w:rsidR="008F21A0" w:rsidRPr="00EC152F" w:rsidRDefault="0092276A">
      <w:pPr>
        <w:jc w:val="center"/>
        <w:rPr>
          <w:szCs w:val="24"/>
        </w:rPr>
      </w:pPr>
      <w:r w:rsidRPr="00EC152F">
        <w:rPr>
          <w:szCs w:val="24"/>
        </w:rPr>
        <w:t>Targeting YTHDF1 Enhances Chemotherapy Response by Suppressing NOTCH1 Induced Stemness in Colorectal Cancer</w:t>
      </w:r>
    </w:p>
    <w:p w14:paraId="545C34A5" w14:textId="77777777" w:rsidR="008F21A0" w:rsidRPr="00EC152F" w:rsidRDefault="008F21A0">
      <w:pPr>
        <w:jc w:val="center"/>
        <w:rPr>
          <w:szCs w:val="24"/>
        </w:rPr>
      </w:pPr>
    </w:p>
    <w:p w14:paraId="55F2FA4B" w14:textId="39C30794" w:rsidR="005E0137" w:rsidRPr="00EC152F" w:rsidRDefault="005E0137" w:rsidP="005E0137">
      <w:pPr>
        <w:jc w:val="center"/>
        <w:rPr>
          <w:szCs w:val="24"/>
        </w:rPr>
      </w:pPr>
      <w:r w:rsidRPr="00EC152F">
        <w:rPr>
          <w:szCs w:val="24"/>
        </w:rPr>
        <w:t>Henley Cheung</w:t>
      </w:r>
      <w:r w:rsidRPr="00EC152F">
        <w:rPr>
          <w:szCs w:val="24"/>
          <w:vertAlign w:val="superscript"/>
        </w:rPr>
        <w:t>1</w:t>
      </w:r>
      <w:r w:rsidRPr="00EC152F">
        <w:rPr>
          <w:szCs w:val="24"/>
        </w:rPr>
        <w:t>, Huarong Chen</w:t>
      </w:r>
      <w:r w:rsidRPr="00EC152F">
        <w:rPr>
          <w:szCs w:val="24"/>
          <w:vertAlign w:val="superscript"/>
        </w:rPr>
        <w:t>1,2</w:t>
      </w:r>
      <w:r w:rsidRPr="00EC152F">
        <w:rPr>
          <w:szCs w:val="24"/>
        </w:rPr>
        <w:t>, Danyu Chen</w:t>
      </w:r>
      <w:r w:rsidRPr="00EC152F">
        <w:rPr>
          <w:szCs w:val="24"/>
          <w:vertAlign w:val="superscript"/>
        </w:rPr>
        <w:t>1</w:t>
      </w:r>
      <w:r w:rsidRPr="00EC152F">
        <w:rPr>
          <w:szCs w:val="24"/>
        </w:rPr>
        <w:t>, Heming Zhou</w:t>
      </w:r>
      <w:r w:rsidRPr="00EC152F">
        <w:rPr>
          <w:szCs w:val="24"/>
          <w:vertAlign w:val="superscript"/>
        </w:rPr>
        <w:t>1</w:t>
      </w:r>
      <w:r w:rsidRPr="00EC152F">
        <w:rPr>
          <w:szCs w:val="24"/>
        </w:rPr>
        <w:t>, Cong Liang</w:t>
      </w:r>
      <w:r w:rsidRPr="00EC152F">
        <w:rPr>
          <w:szCs w:val="24"/>
          <w:vertAlign w:val="superscript"/>
        </w:rPr>
        <w:t>1</w:t>
      </w:r>
      <w:r w:rsidRPr="00EC152F">
        <w:rPr>
          <w:szCs w:val="24"/>
        </w:rPr>
        <w:t>, Weixin Liu</w:t>
      </w:r>
      <w:r w:rsidRPr="00EC152F">
        <w:rPr>
          <w:szCs w:val="24"/>
          <w:vertAlign w:val="superscript"/>
        </w:rPr>
        <w:t>1</w:t>
      </w:r>
      <w:r w:rsidRPr="00EC152F">
        <w:rPr>
          <w:szCs w:val="24"/>
        </w:rPr>
        <w:t>, Alvin Ho-Kwan Cheung</w:t>
      </w:r>
      <w:r w:rsidRPr="00EC152F">
        <w:rPr>
          <w:szCs w:val="24"/>
          <w:vertAlign w:val="superscript"/>
        </w:rPr>
        <w:t>3</w:t>
      </w:r>
      <w:r w:rsidRPr="00EC152F">
        <w:rPr>
          <w:szCs w:val="24"/>
        </w:rPr>
        <w:t>, Yanqiang Ding</w:t>
      </w:r>
      <w:r w:rsidRPr="00EC152F">
        <w:rPr>
          <w:szCs w:val="24"/>
          <w:vertAlign w:val="superscript"/>
        </w:rPr>
        <w:t>1</w:t>
      </w:r>
      <w:r w:rsidRPr="00EC152F">
        <w:rPr>
          <w:szCs w:val="24"/>
        </w:rPr>
        <w:t>, Kai Yuan</w:t>
      </w:r>
      <w:r w:rsidRPr="00EC152F">
        <w:rPr>
          <w:szCs w:val="24"/>
          <w:vertAlign w:val="superscript"/>
        </w:rPr>
        <w:t>1</w:t>
      </w:r>
      <w:r w:rsidRPr="00EC152F">
        <w:rPr>
          <w:szCs w:val="24"/>
        </w:rPr>
        <w:t>, Xiaoxing Li</w:t>
      </w:r>
      <w:r w:rsidRPr="00EC152F">
        <w:rPr>
          <w:szCs w:val="24"/>
          <w:vertAlign w:val="superscript"/>
        </w:rPr>
        <w:t>4</w:t>
      </w:r>
      <w:r w:rsidRPr="00EC152F">
        <w:rPr>
          <w:szCs w:val="24"/>
        </w:rPr>
        <w:t xml:space="preserve">, </w:t>
      </w:r>
      <w:proofErr w:type="spellStart"/>
      <w:r w:rsidRPr="00EC152F">
        <w:rPr>
          <w:szCs w:val="24"/>
        </w:rPr>
        <w:t>Yongxin</w:t>
      </w:r>
      <w:proofErr w:type="spellEnd"/>
      <w:r w:rsidRPr="00EC152F">
        <w:rPr>
          <w:szCs w:val="24"/>
        </w:rPr>
        <w:t xml:space="preserve"> Zhang</w:t>
      </w:r>
      <w:r w:rsidRPr="00EC152F">
        <w:rPr>
          <w:szCs w:val="24"/>
          <w:vertAlign w:val="superscript"/>
        </w:rPr>
        <w:t>4</w:t>
      </w:r>
      <w:r w:rsidRPr="00EC152F">
        <w:rPr>
          <w:szCs w:val="24"/>
        </w:rPr>
        <w:t>, Shiyan Wang</w:t>
      </w:r>
      <w:r w:rsidRPr="00EC152F">
        <w:rPr>
          <w:szCs w:val="24"/>
          <w:vertAlign w:val="superscript"/>
        </w:rPr>
        <w:t>4</w:t>
      </w:r>
      <w:r w:rsidRPr="00EC152F">
        <w:rPr>
          <w:szCs w:val="24"/>
        </w:rPr>
        <w:t>, Wei Kang</w:t>
      </w:r>
      <w:r w:rsidRPr="00EC152F">
        <w:rPr>
          <w:szCs w:val="24"/>
          <w:vertAlign w:val="superscript"/>
        </w:rPr>
        <w:t>3</w:t>
      </w:r>
      <w:r w:rsidRPr="00EC152F">
        <w:rPr>
          <w:szCs w:val="24"/>
        </w:rPr>
        <w:t>, Ka-Fai To</w:t>
      </w:r>
      <w:r w:rsidRPr="00EC152F">
        <w:rPr>
          <w:szCs w:val="24"/>
          <w:vertAlign w:val="superscript"/>
        </w:rPr>
        <w:t>3</w:t>
      </w:r>
      <w:r w:rsidRPr="00EC152F">
        <w:rPr>
          <w:szCs w:val="24"/>
        </w:rPr>
        <w:t>, Housheng Hansen He</w:t>
      </w:r>
      <w:r w:rsidRPr="00EC152F">
        <w:rPr>
          <w:szCs w:val="24"/>
          <w:vertAlign w:val="superscript"/>
        </w:rPr>
        <w:t>5</w:t>
      </w:r>
      <w:r w:rsidRPr="00EC152F">
        <w:rPr>
          <w:szCs w:val="24"/>
        </w:rPr>
        <w:t>, Chi Chun Wong</w:t>
      </w:r>
      <w:r w:rsidRPr="00EC152F">
        <w:rPr>
          <w:szCs w:val="24"/>
          <w:vertAlign w:val="superscript"/>
        </w:rPr>
        <w:t>1</w:t>
      </w:r>
      <w:r w:rsidRPr="00EC152F">
        <w:rPr>
          <w:szCs w:val="24"/>
        </w:rPr>
        <w:t>*, Jun Yu</w:t>
      </w:r>
      <w:r w:rsidRPr="00EC152F">
        <w:rPr>
          <w:szCs w:val="24"/>
          <w:vertAlign w:val="superscript"/>
        </w:rPr>
        <w:t>1</w:t>
      </w:r>
      <w:r w:rsidRPr="00EC152F">
        <w:rPr>
          <w:szCs w:val="24"/>
        </w:rPr>
        <w:t>*</w:t>
      </w:r>
    </w:p>
    <w:p w14:paraId="705C8F61" w14:textId="6578FBAA" w:rsidR="008F21A0" w:rsidRPr="00EC152F" w:rsidRDefault="008F21A0">
      <w:pPr>
        <w:jc w:val="center"/>
        <w:rPr>
          <w:szCs w:val="24"/>
        </w:rPr>
      </w:pPr>
    </w:p>
    <w:p w14:paraId="29F57C98" w14:textId="77777777" w:rsidR="008F21A0" w:rsidRPr="00EC152F" w:rsidRDefault="008F21A0">
      <w:pPr>
        <w:jc w:val="center"/>
        <w:rPr>
          <w:szCs w:val="24"/>
        </w:rPr>
      </w:pPr>
    </w:p>
    <w:p w14:paraId="49B98C8A" w14:textId="77777777" w:rsidR="008F21A0" w:rsidRPr="00EC152F" w:rsidRDefault="0092276A">
      <w:pPr>
        <w:jc w:val="center"/>
        <w:rPr>
          <w:szCs w:val="24"/>
        </w:rPr>
      </w:pPr>
      <w:r w:rsidRPr="00EC152F">
        <w:rPr>
          <w:szCs w:val="24"/>
        </w:rPr>
        <w:t xml:space="preserve">Correspondence to: </w:t>
      </w:r>
      <w:hyperlink r:id="rId7" w:history="1">
        <w:r w:rsidRPr="00EC152F">
          <w:rPr>
            <w:rStyle w:val="Hyperlink"/>
            <w:szCs w:val="24"/>
          </w:rPr>
          <w:t>junyu@cuhk.edu.hk</w:t>
        </w:r>
      </w:hyperlink>
    </w:p>
    <w:p w14:paraId="6E51623F" w14:textId="77777777" w:rsidR="008F21A0" w:rsidRPr="00EC152F" w:rsidRDefault="008F21A0">
      <w:pPr>
        <w:rPr>
          <w:szCs w:val="24"/>
        </w:rPr>
      </w:pPr>
    </w:p>
    <w:p w14:paraId="4332FC1A" w14:textId="77777777" w:rsidR="008F21A0" w:rsidRPr="00EC152F" w:rsidRDefault="008F21A0">
      <w:pPr>
        <w:rPr>
          <w:b/>
          <w:szCs w:val="24"/>
        </w:rPr>
      </w:pPr>
    </w:p>
    <w:p w14:paraId="15FE5CF8" w14:textId="77777777" w:rsidR="008F21A0" w:rsidRPr="00EC152F" w:rsidRDefault="0092276A">
      <w:pPr>
        <w:rPr>
          <w:b/>
          <w:szCs w:val="24"/>
        </w:rPr>
      </w:pPr>
      <w:r w:rsidRPr="00EC152F">
        <w:rPr>
          <w:b/>
          <w:szCs w:val="24"/>
        </w:rPr>
        <w:t>This PDF file includes:</w:t>
      </w:r>
    </w:p>
    <w:p w14:paraId="5A4162AB" w14:textId="77777777" w:rsidR="008F21A0" w:rsidRPr="00EC152F" w:rsidRDefault="008F21A0">
      <w:pPr>
        <w:rPr>
          <w:szCs w:val="24"/>
        </w:rPr>
      </w:pPr>
    </w:p>
    <w:p w14:paraId="19732C64" w14:textId="77777777" w:rsidR="008F21A0" w:rsidRPr="00EC152F" w:rsidRDefault="0092276A">
      <w:pPr>
        <w:ind w:left="720"/>
        <w:rPr>
          <w:szCs w:val="24"/>
        </w:rPr>
      </w:pPr>
      <w:r w:rsidRPr="00EC152F">
        <w:rPr>
          <w:szCs w:val="24"/>
        </w:rPr>
        <w:t>Supplementary Materials and Methods</w:t>
      </w:r>
    </w:p>
    <w:p w14:paraId="727AABE0" w14:textId="77777777" w:rsidR="008F21A0" w:rsidRPr="00EC152F" w:rsidRDefault="0092276A">
      <w:pPr>
        <w:ind w:left="720"/>
        <w:rPr>
          <w:szCs w:val="24"/>
        </w:rPr>
      </w:pPr>
      <w:r w:rsidRPr="00EC152F">
        <w:rPr>
          <w:szCs w:val="24"/>
        </w:rPr>
        <w:t>Fig</w:t>
      </w:r>
      <w:r w:rsidRPr="00EC152F">
        <w:rPr>
          <w:szCs w:val="24"/>
          <w:lang w:eastAsia="zh-CN"/>
        </w:rPr>
        <w:t>ure</w:t>
      </w:r>
      <w:r w:rsidRPr="00EC152F">
        <w:rPr>
          <w:szCs w:val="24"/>
        </w:rPr>
        <w:t>s. S1 to S5</w:t>
      </w:r>
    </w:p>
    <w:p w14:paraId="6720AF60" w14:textId="77777777" w:rsidR="008F21A0" w:rsidRPr="00EC152F" w:rsidRDefault="0092276A">
      <w:pPr>
        <w:ind w:left="720"/>
        <w:rPr>
          <w:szCs w:val="24"/>
        </w:rPr>
      </w:pPr>
      <w:r w:rsidRPr="00EC152F">
        <w:rPr>
          <w:szCs w:val="24"/>
        </w:rPr>
        <w:t>Tables S1 to S6</w:t>
      </w:r>
    </w:p>
    <w:p w14:paraId="6BF4F194" w14:textId="77777777" w:rsidR="008F21A0" w:rsidRPr="00EC152F" w:rsidRDefault="0092276A">
      <w:pPr>
        <w:ind w:left="720"/>
        <w:rPr>
          <w:szCs w:val="24"/>
        </w:rPr>
      </w:pPr>
      <w:r w:rsidRPr="00EC152F">
        <w:rPr>
          <w:szCs w:val="24"/>
        </w:rPr>
        <w:br/>
      </w:r>
    </w:p>
    <w:p w14:paraId="2EE4B6B3" w14:textId="77777777" w:rsidR="008F21A0" w:rsidRPr="00EC152F" w:rsidRDefault="0092276A">
      <w:pPr>
        <w:pStyle w:val="SMHeading"/>
      </w:pPr>
      <w:r w:rsidRPr="00EC152F">
        <w:br w:type="page"/>
      </w:r>
      <w:bookmarkStart w:id="0" w:name="Tables"/>
      <w:bookmarkStart w:id="1" w:name="MaterialsMethods"/>
      <w:bookmarkEnd w:id="0"/>
      <w:bookmarkEnd w:id="1"/>
      <w:r w:rsidRPr="00EC152F">
        <w:lastRenderedPageBreak/>
        <w:t>Materials and Methods</w:t>
      </w:r>
    </w:p>
    <w:p w14:paraId="1741B54A" w14:textId="77777777" w:rsidR="00624D05" w:rsidRPr="00EC152F" w:rsidRDefault="00624D05">
      <w:pPr>
        <w:pStyle w:val="SMHeading"/>
      </w:pPr>
    </w:p>
    <w:p w14:paraId="4ED49D91"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Subcutaneous Xenograft Mouse Models</w:t>
      </w:r>
    </w:p>
    <w:p w14:paraId="4DAD9AAB"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For subcutaneous </w:t>
      </w:r>
      <w:r w:rsidRPr="00EC152F">
        <w:rPr>
          <w:i/>
          <w:iCs/>
          <w:color w:val="000000" w:themeColor="text1"/>
          <w:szCs w:val="24"/>
        </w:rPr>
        <w:t>in vivo</w:t>
      </w:r>
      <w:r w:rsidRPr="00EC152F">
        <w:rPr>
          <w:color w:val="000000" w:themeColor="text1"/>
          <w:szCs w:val="24"/>
        </w:rPr>
        <w:t xml:space="preserve"> limiting dilution, CSC28 and LS174TS were subcutaneously injected into the left and right flanks of 4-week-old male NSG mice. We injected 100, 1000, 5000, and 25000 YTHDF1-overexpressing cells or 100, 5000, 25000, and 50000 cells YTHDF1-knockdown cells. Tumor size was measured every 2 days with a digital caliper. Tumor volume (mm</w:t>
      </w:r>
      <w:r w:rsidRPr="00EC152F">
        <w:rPr>
          <w:color w:val="000000" w:themeColor="text1"/>
          <w:szCs w:val="24"/>
          <w:vertAlign w:val="superscript"/>
        </w:rPr>
        <w:t>3</w:t>
      </w:r>
      <w:r w:rsidRPr="00EC152F">
        <w:rPr>
          <w:color w:val="000000" w:themeColor="text1"/>
          <w:szCs w:val="24"/>
        </w:rPr>
        <w:t>) was calculated as follows: volume = (shortest diameter)</w:t>
      </w:r>
      <w:r w:rsidRPr="00EC152F">
        <w:rPr>
          <w:color w:val="000000" w:themeColor="text1"/>
          <w:szCs w:val="24"/>
          <w:vertAlign w:val="superscript"/>
        </w:rPr>
        <w:t>2</w:t>
      </w:r>
      <w:r w:rsidRPr="00EC152F">
        <w:rPr>
          <w:color w:val="000000" w:themeColor="text1"/>
          <w:szCs w:val="24"/>
        </w:rPr>
        <w:t xml:space="preserve"> × (longest diameter) × 0.5. At the endpoint, tumors were harvested and weighed. </w:t>
      </w:r>
    </w:p>
    <w:p w14:paraId="1813678B" w14:textId="77777777" w:rsidR="008F21A0" w:rsidRPr="00EC152F" w:rsidRDefault="008F21A0">
      <w:pPr>
        <w:spacing w:line="480" w:lineRule="auto"/>
        <w:jc w:val="both"/>
        <w:rPr>
          <w:color w:val="000000" w:themeColor="text1"/>
          <w:szCs w:val="24"/>
        </w:rPr>
      </w:pPr>
    </w:p>
    <w:p w14:paraId="3B77F5AB" w14:textId="77777777" w:rsidR="008F21A0" w:rsidRPr="00EC152F" w:rsidRDefault="0092276A">
      <w:pPr>
        <w:spacing w:line="480" w:lineRule="auto"/>
        <w:jc w:val="both"/>
        <w:rPr>
          <w:color w:val="000000" w:themeColor="text1"/>
          <w:szCs w:val="24"/>
        </w:rPr>
      </w:pPr>
      <w:r w:rsidRPr="00EC152F">
        <w:rPr>
          <w:color w:val="000000" w:themeColor="text1"/>
          <w:szCs w:val="24"/>
        </w:rPr>
        <w:t>To investigate the synergistic effect of YTHDF1 depletion and chemoresistance, mice were treated with 5-fluorouracil (50 mg/kg, MCE #HY-90006) or oxaliplatin (7.5 mg/kg, MCE #HY-17371) intraperitoneally twice per week. VNP-siNC/</w:t>
      </w:r>
      <w:r w:rsidRPr="00EC152F">
        <w:rPr>
          <w:i/>
          <w:iCs/>
          <w:color w:val="000000" w:themeColor="text1"/>
          <w:szCs w:val="24"/>
        </w:rPr>
        <w:t>siYTHDF1</w:t>
      </w:r>
      <w:r w:rsidRPr="00EC152F">
        <w:rPr>
          <w:color w:val="000000" w:themeColor="text1"/>
          <w:szCs w:val="24"/>
        </w:rPr>
        <w:t xml:space="preserve"> (0.5 OD per mouse injection intratumorally) was assembled as described and treatment was initiated when tumor volume reached an average of 100 mm</w:t>
      </w:r>
      <w:r w:rsidRPr="00EC152F">
        <w:rPr>
          <w:color w:val="000000" w:themeColor="text1"/>
          <w:szCs w:val="24"/>
          <w:vertAlign w:val="superscript"/>
        </w:rPr>
        <w:t>3</w:t>
      </w:r>
      <w:r w:rsidRPr="00EC152F">
        <w:rPr>
          <w:color w:val="000000" w:themeColor="text1"/>
          <w:szCs w:val="24"/>
        </w:rPr>
        <w:t> at a frequency of every 2 days. SAC (</w:t>
      </w:r>
      <w:proofErr w:type="spellStart"/>
      <w:r w:rsidRPr="00EC152F">
        <w:rPr>
          <w:color w:val="000000" w:themeColor="text1"/>
          <w:szCs w:val="24"/>
        </w:rPr>
        <w:t>Selleckchem</w:t>
      </w:r>
      <w:proofErr w:type="spellEnd"/>
      <w:r w:rsidRPr="00EC152F">
        <w:rPr>
          <w:color w:val="000000" w:themeColor="text1"/>
          <w:szCs w:val="24"/>
        </w:rPr>
        <w:t>, S0922) was administered intraperitoneally (50 mg/kg) twice per week when tumor volume reached an average of 100 mm</w:t>
      </w:r>
      <w:r w:rsidRPr="00EC152F">
        <w:rPr>
          <w:color w:val="000000" w:themeColor="text1"/>
          <w:szCs w:val="24"/>
          <w:vertAlign w:val="superscript"/>
        </w:rPr>
        <w:t>3</w:t>
      </w:r>
      <w:r w:rsidRPr="00EC152F">
        <w:rPr>
          <w:color w:val="000000" w:themeColor="text1"/>
          <w:szCs w:val="24"/>
        </w:rPr>
        <w:t xml:space="preserve"> at a frequency of every 2 days. All mice were sacrificed 4-6 weeks after injection. All animal experiments were approved by the Animal Experimentation Ethics Committee (Ref: 22-082-MIS) of The Chinese University of Hong Kong and Shenzhen Research Institute.</w:t>
      </w:r>
    </w:p>
    <w:p w14:paraId="0418877A" w14:textId="77777777" w:rsidR="008F21A0" w:rsidRPr="00EC152F" w:rsidRDefault="008F21A0">
      <w:pPr>
        <w:spacing w:line="480" w:lineRule="auto"/>
        <w:jc w:val="both"/>
        <w:rPr>
          <w:b/>
          <w:bCs/>
          <w:szCs w:val="24"/>
        </w:rPr>
      </w:pPr>
    </w:p>
    <w:p w14:paraId="3C120B71" w14:textId="77777777" w:rsidR="008F21A0" w:rsidRPr="00EC152F" w:rsidRDefault="0092276A">
      <w:pPr>
        <w:spacing w:line="480" w:lineRule="auto"/>
        <w:jc w:val="both"/>
        <w:rPr>
          <w:szCs w:val="24"/>
        </w:rPr>
      </w:pPr>
      <w:r w:rsidRPr="00EC152F">
        <w:rPr>
          <w:b/>
          <w:bCs/>
          <w:color w:val="000000" w:themeColor="text1"/>
          <w:szCs w:val="24"/>
        </w:rPr>
        <w:t>RNA-sequencing</w:t>
      </w:r>
    </w:p>
    <w:p w14:paraId="1B4DC9C4"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Total RNAs from control or YTHDF1-overexpressed CSC28 were extracted with </w:t>
      </w:r>
      <w:proofErr w:type="spellStart"/>
      <w:r w:rsidRPr="00EC152F">
        <w:rPr>
          <w:color w:val="000000" w:themeColor="text1"/>
          <w:szCs w:val="24"/>
        </w:rPr>
        <w:t>TRIzol</w:t>
      </w:r>
      <w:proofErr w:type="spellEnd"/>
      <w:r w:rsidRPr="00EC152F">
        <w:rPr>
          <w:color w:val="000000" w:themeColor="text1"/>
          <w:szCs w:val="24"/>
        </w:rPr>
        <w:t xml:space="preserve"> (Invitrogen) and sent to Shanghai Jiayin Biotechnology Ltd, Shanghai, China for RNA sequencing. A total amount of 3 µg RNA per sample was used as input material for the RNA sample </w:t>
      </w:r>
      <w:r w:rsidRPr="00EC152F">
        <w:rPr>
          <w:color w:val="000000" w:themeColor="text1"/>
          <w:szCs w:val="24"/>
        </w:rPr>
        <w:lastRenderedPageBreak/>
        <w:t xml:space="preserve">preparations. Sequencing libraries were generated using </w:t>
      </w:r>
      <w:proofErr w:type="spellStart"/>
      <w:r w:rsidRPr="00EC152F">
        <w:rPr>
          <w:color w:val="000000" w:themeColor="text1"/>
          <w:szCs w:val="24"/>
        </w:rPr>
        <w:t>NEBNext</w:t>
      </w:r>
      <w:proofErr w:type="spellEnd"/>
      <w:r w:rsidRPr="00EC152F">
        <w:rPr>
          <w:color w:val="000000" w:themeColor="text1"/>
          <w:szCs w:val="24"/>
        </w:rPr>
        <w:t xml:space="preserve">® </w:t>
      </w:r>
      <w:proofErr w:type="spellStart"/>
      <w:r w:rsidRPr="00EC152F">
        <w:rPr>
          <w:color w:val="000000" w:themeColor="text1"/>
          <w:szCs w:val="24"/>
        </w:rPr>
        <w:t>UltraTM</w:t>
      </w:r>
      <w:proofErr w:type="spellEnd"/>
      <w:r w:rsidRPr="00EC152F">
        <w:rPr>
          <w:color w:val="000000" w:themeColor="text1"/>
          <w:szCs w:val="24"/>
        </w:rPr>
        <w:t xml:space="preserve"> RNA Library Prep Kit for Illumina® (NEB, USA) following the manufacturer’s recommendations, and index codes were added to attribute sequences to each sample. The clustering of the index-coded samples was performed on a </w:t>
      </w:r>
      <w:proofErr w:type="spellStart"/>
      <w:r w:rsidRPr="00EC152F">
        <w:rPr>
          <w:color w:val="000000" w:themeColor="text1"/>
          <w:szCs w:val="24"/>
        </w:rPr>
        <w:t>cBot</w:t>
      </w:r>
      <w:proofErr w:type="spellEnd"/>
      <w:r w:rsidRPr="00EC152F">
        <w:rPr>
          <w:color w:val="000000" w:themeColor="text1"/>
          <w:szCs w:val="24"/>
        </w:rPr>
        <w:t xml:space="preserve"> Cluster Generation System using </w:t>
      </w:r>
      <w:proofErr w:type="spellStart"/>
      <w:r w:rsidRPr="00EC152F">
        <w:rPr>
          <w:color w:val="000000" w:themeColor="text1"/>
          <w:szCs w:val="24"/>
        </w:rPr>
        <w:t>TruSeq</w:t>
      </w:r>
      <w:proofErr w:type="spellEnd"/>
      <w:r w:rsidRPr="00EC152F">
        <w:rPr>
          <w:color w:val="000000" w:themeColor="text1"/>
          <w:szCs w:val="24"/>
        </w:rPr>
        <w:t xml:space="preserve"> PE Cluster Kit v3-cBot-HS (Illumina) according to the manufacturer’s instructions. After cluster generation, the library preparations were sequenced on an Illumina Novaseq6000 platform and 150 bp paired-end reads were generated.</w:t>
      </w:r>
    </w:p>
    <w:p w14:paraId="12422445" w14:textId="77777777" w:rsidR="008F21A0" w:rsidRPr="00EC152F" w:rsidRDefault="008F21A0">
      <w:pPr>
        <w:spacing w:line="480" w:lineRule="auto"/>
        <w:jc w:val="both"/>
        <w:rPr>
          <w:color w:val="000000" w:themeColor="text1"/>
          <w:szCs w:val="24"/>
        </w:rPr>
      </w:pPr>
    </w:p>
    <w:p w14:paraId="0E762A29"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Ribosome-sequencing</w:t>
      </w:r>
    </w:p>
    <w:p w14:paraId="663C181F"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To block translational elongation, cells with or without YTHDF1 overexpression were treated with 100 μg/ml cycloheximide (CHX) for 5 min at 37°C. The unprotected mRNA regions in the cells were excluded by treating with </w:t>
      </w:r>
      <w:proofErr w:type="spellStart"/>
      <w:r w:rsidRPr="00EC152F">
        <w:rPr>
          <w:color w:val="000000" w:themeColor="text1"/>
          <w:szCs w:val="24"/>
        </w:rPr>
        <w:t>RNAse</w:t>
      </w:r>
      <w:proofErr w:type="spellEnd"/>
      <w:r w:rsidRPr="00EC152F">
        <w:rPr>
          <w:color w:val="000000" w:themeColor="text1"/>
          <w:szCs w:val="24"/>
        </w:rPr>
        <w:t xml:space="preserve"> I. According to the ribosome-sequencing (Ribo-seq) protocol from the company (Gene Denovo, China), Ribo-seq libraries were constructed using </w:t>
      </w:r>
      <w:proofErr w:type="spellStart"/>
      <w:r w:rsidRPr="00EC152F">
        <w:rPr>
          <w:color w:val="000000" w:themeColor="text1"/>
          <w:szCs w:val="24"/>
        </w:rPr>
        <w:t>NEBNext</w:t>
      </w:r>
      <w:proofErr w:type="spellEnd"/>
      <w:r w:rsidRPr="00EC152F">
        <w:rPr>
          <w:color w:val="000000" w:themeColor="text1"/>
          <w:szCs w:val="24"/>
        </w:rPr>
        <w:t xml:space="preserve">® Multiple Small RNA Library Prep Set for Illumina® (catalog </w:t>
      </w:r>
      <w:proofErr w:type="gramStart"/>
      <w:r w:rsidRPr="00EC152F">
        <w:rPr>
          <w:color w:val="000000" w:themeColor="text1"/>
          <w:szCs w:val="24"/>
        </w:rPr>
        <w:t>no.E</w:t>
      </w:r>
      <w:proofErr w:type="gramEnd"/>
      <w:r w:rsidRPr="00EC152F">
        <w:rPr>
          <w:color w:val="000000" w:themeColor="text1"/>
          <w:szCs w:val="24"/>
        </w:rPr>
        <w:t>7300S, E7300L). The intact mRNA-ribosome complexes were sequenced by using Illumina HiSeq</w:t>
      </w:r>
      <w:r w:rsidRPr="00EC152F">
        <w:rPr>
          <w:color w:val="000000" w:themeColor="text1"/>
          <w:szCs w:val="24"/>
          <w:vertAlign w:val="superscript"/>
        </w:rPr>
        <w:t>TM</w:t>
      </w:r>
      <w:r w:rsidRPr="00EC152F">
        <w:rPr>
          <w:color w:val="000000" w:themeColor="text1"/>
          <w:szCs w:val="24"/>
        </w:rPr>
        <w:t xml:space="preserve"> X10. Reads mapping on human rRNAs, snoRNAs, snRNAs, and tRNAs from the GENCODE project (v30) were excluded. The residual reads were mapped on the human genome via bowtie2 (version 2.3.4.3) with option -L 10. The </w:t>
      </w:r>
      <w:proofErr w:type="spellStart"/>
      <w:r w:rsidRPr="00EC152F">
        <w:rPr>
          <w:color w:val="000000" w:themeColor="text1"/>
          <w:szCs w:val="24"/>
        </w:rPr>
        <w:t>featureCounts</w:t>
      </w:r>
      <w:proofErr w:type="spellEnd"/>
      <w:r w:rsidRPr="00EC152F">
        <w:rPr>
          <w:color w:val="000000" w:themeColor="text1"/>
          <w:szCs w:val="24"/>
        </w:rPr>
        <w:t xml:space="preserve"> (version 1.6.4) with the parameters (M –</w:t>
      </w:r>
      <w:proofErr w:type="spellStart"/>
      <w:r w:rsidRPr="00EC152F">
        <w:rPr>
          <w:color w:val="000000" w:themeColor="text1"/>
          <w:szCs w:val="24"/>
        </w:rPr>
        <w:t>fracOverlap</w:t>
      </w:r>
      <w:proofErr w:type="spellEnd"/>
      <w:r w:rsidRPr="00EC152F">
        <w:rPr>
          <w:color w:val="000000" w:themeColor="text1"/>
          <w:szCs w:val="24"/>
        </w:rPr>
        <w:t xml:space="preserve"> 0.4 –</w:t>
      </w:r>
      <w:proofErr w:type="spellStart"/>
      <w:r w:rsidRPr="00EC152F">
        <w:rPr>
          <w:color w:val="000000" w:themeColor="text1"/>
          <w:szCs w:val="24"/>
        </w:rPr>
        <w:t>largestOverlap</w:t>
      </w:r>
      <w:proofErr w:type="spellEnd"/>
      <w:r w:rsidRPr="00EC152F">
        <w:rPr>
          <w:color w:val="000000" w:themeColor="text1"/>
          <w:szCs w:val="24"/>
        </w:rPr>
        <w:t>) was utilized for calculating the expression of protein-coding genes. Pathway analysis of Ribo-seq was applied via Gene Set Enrichment Analysis (GSEA) methods.</w:t>
      </w:r>
    </w:p>
    <w:p w14:paraId="2A764411" w14:textId="77777777" w:rsidR="008F21A0" w:rsidRPr="00EC152F" w:rsidRDefault="008F21A0">
      <w:pPr>
        <w:spacing w:line="480" w:lineRule="auto"/>
        <w:jc w:val="both"/>
        <w:rPr>
          <w:color w:val="000000" w:themeColor="text1"/>
          <w:szCs w:val="24"/>
        </w:rPr>
      </w:pPr>
    </w:p>
    <w:p w14:paraId="161DFBBF"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MeRIP-sequencing</w:t>
      </w:r>
    </w:p>
    <w:p w14:paraId="174F9160" w14:textId="368F0D25" w:rsidR="008F21A0" w:rsidRPr="00EC152F" w:rsidRDefault="0092276A">
      <w:pPr>
        <w:spacing w:line="480" w:lineRule="auto"/>
        <w:jc w:val="both"/>
        <w:rPr>
          <w:color w:val="000000" w:themeColor="text1"/>
          <w:szCs w:val="24"/>
        </w:rPr>
      </w:pPr>
      <w:r w:rsidRPr="00EC152F">
        <w:rPr>
          <w:color w:val="000000" w:themeColor="text1"/>
          <w:szCs w:val="24"/>
        </w:rPr>
        <w:lastRenderedPageBreak/>
        <w:t xml:space="preserve">Total RNAs from CSC28 were extracted with </w:t>
      </w:r>
      <w:proofErr w:type="spellStart"/>
      <w:r w:rsidRPr="00EC152F">
        <w:rPr>
          <w:color w:val="000000" w:themeColor="text1"/>
          <w:szCs w:val="24"/>
        </w:rPr>
        <w:t>TRIzol</w:t>
      </w:r>
      <w:proofErr w:type="spellEnd"/>
      <w:r w:rsidRPr="00EC152F">
        <w:rPr>
          <w:color w:val="000000" w:themeColor="text1"/>
          <w:szCs w:val="24"/>
        </w:rPr>
        <w:t xml:space="preserve"> (Invitrogen) and sent to Shanghai Jiayin Biotechnology Ltd, Shanghai, China for MeRIP-sequencing, mRNA was fragmented and then incubated with m6A antibody for immunoprecipitation. Immunoprecipitated RNA was analyzed through high-throughput sequencing. MeRIP-seq was performed as described previously.</w:t>
      </w:r>
      <w:r w:rsidR="005144DD" w:rsidRPr="005144DD">
        <w:rPr>
          <w:color w:val="000000" w:themeColor="text1"/>
          <w:szCs w:val="24"/>
          <w:vertAlign w:val="superscript"/>
        </w:rPr>
        <w:t>1,2</w:t>
      </w:r>
      <w:r w:rsidRPr="00EC152F">
        <w:rPr>
          <w:color w:val="000000" w:themeColor="text1"/>
          <w:szCs w:val="24"/>
        </w:rPr>
        <w:t xml:space="preserve"> In brief, total RNA was isolated and fragmented into ~100-nucleotide-long fragments. Approximately 5% of fragmented RNA as input RNA, other RNA was analyzed by immunoprecipitation using affinity-purified anti-m6A polyclonal antibodies </w:t>
      </w:r>
      <w:bookmarkStart w:id="2" w:name="_Hlk28165625"/>
      <w:r w:rsidRPr="00EC152F">
        <w:rPr>
          <w:color w:val="000000" w:themeColor="text1"/>
          <w:szCs w:val="24"/>
        </w:rPr>
        <w:t>(ABE572, Millipore, Germany</w:t>
      </w:r>
      <w:bookmarkEnd w:id="2"/>
      <w:r w:rsidRPr="00EC152F">
        <w:rPr>
          <w:color w:val="000000" w:themeColor="text1"/>
          <w:szCs w:val="24"/>
        </w:rPr>
        <w:t>). Sequencing was carried out using an Illumina NovaSeq 6000 platform.</w:t>
      </w:r>
    </w:p>
    <w:p w14:paraId="6288D22F" w14:textId="77777777" w:rsidR="008F21A0" w:rsidRPr="00EC152F" w:rsidRDefault="008F21A0">
      <w:pPr>
        <w:spacing w:line="480" w:lineRule="auto"/>
        <w:jc w:val="both"/>
        <w:rPr>
          <w:color w:val="000000" w:themeColor="text1"/>
          <w:szCs w:val="24"/>
        </w:rPr>
      </w:pPr>
    </w:p>
    <w:p w14:paraId="35F44BC3"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MeRIP and RIP-qPCR</w:t>
      </w:r>
    </w:p>
    <w:p w14:paraId="780B46E3" w14:textId="77777777" w:rsidR="008F21A0" w:rsidRPr="00EC152F" w:rsidRDefault="0092276A">
      <w:pPr>
        <w:spacing w:line="480" w:lineRule="auto"/>
        <w:jc w:val="both"/>
        <w:rPr>
          <w:color w:val="000000" w:themeColor="text1"/>
          <w:szCs w:val="24"/>
        </w:rPr>
      </w:pPr>
      <w:r w:rsidRPr="00EC152F">
        <w:rPr>
          <w:color w:val="000000" w:themeColor="text1"/>
          <w:szCs w:val="24"/>
        </w:rPr>
        <w:t>MeRIP was performed using anti-m</w:t>
      </w:r>
      <w:r w:rsidRPr="00EC152F">
        <w:rPr>
          <w:color w:val="000000" w:themeColor="text1"/>
          <w:szCs w:val="24"/>
          <w:vertAlign w:val="superscript"/>
        </w:rPr>
        <w:t>6</w:t>
      </w:r>
      <w:r w:rsidRPr="00EC152F">
        <w:rPr>
          <w:color w:val="000000" w:themeColor="text1"/>
          <w:szCs w:val="24"/>
        </w:rPr>
        <w:t xml:space="preserve">A antibody (Merck Millipore, #ABE572), RIP was performed using an anti-YTHDF1 antibody (Proteintech #17479-1-AP) using </w:t>
      </w:r>
      <w:proofErr w:type="spellStart"/>
      <w:r w:rsidRPr="00EC152F">
        <w:rPr>
          <w:color w:val="000000" w:themeColor="text1"/>
          <w:szCs w:val="24"/>
        </w:rPr>
        <w:t>EZMagna</w:t>
      </w:r>
      <w:proofErr w:type="spellEnd"/>
      <w:r w:rsidRPr="00EC152F">
        <w:rPr>
          <w:color w:val="000000" w:themeColor="text1"/>
          <w:szCs w:val="24"/>
        </w:rPr>
        <w:t xml:space="preserve"> RIP™ RNA-Binding Protein Immunoprecipitation Kit (Sigma-Aldrich #17-701) according to the manufacturer’s instructions. Briefly, cell pellets were lysed with the RIP Lysis Buffer. The cell lysates were then incubated with magnetic beads bound with the anti-YTHDF1 antibody overnight at 4°C. The beads were then washed with the RIP Wash Buffer for a total of 6 times and the RNAs were released by digesting the antibody with proteinase K in 1% (w/v) SDS at 55°C for 30 min. The RNAs then were isolated with phenol: chloroform: isoamyl alcohol (Fisher #BP1754I-100) and precipitated by ethanol. The resuspended RNAs were then subjected to RT-qPCR as described above. The primer sequences are listed in </w:t>
      </w:r>
      <w:r w:rsidRPr="00EC152F">
        <w:rPr>
          <w:b/>
          <w:bCs/>
          <w:color w:val="000000" w:themeColor="text1"/>
          <w:szCs w:val="24"/>
        </w:rPr>
        <w:t>S Table 5</w:t>
      </w:r>
      <w:r w:rsidRPr="00EC152F">
        <w:rPr>
          <w:color w:val="000000" w:themeColor="text1"/>
          <w:szCs w:val="24"/>
        </w:rPr>
        <w:t>.</w:t>
      </w:r>
    </w:p>
    <w:p w14:paraId="63AB6481" w14:textId="77777777" w:rsidR="008F21A0" w:rsidRPr="00EC152F" w:rsidRDefault="008F21A0">
      <w:pPr>
        <w:spacing w:line="480" w:lineRule="auto"/>
        <w:jc w:val="both"/>
        <w:rPr>
          <w:color w:val="000000" w:themeColor="text1"/>
          <w:szCs w:val="24"/>
        </w:rPr>
      </w:pPr>
    </w:p>
    <w:p w14:paraId="413B9463"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Ribosome-nascent chain complex qPCR </w:t>
      </w:r>
    </w:p>
    <w:p w14:paraId="25B8668B" w14:textId="77777777" w:rsidR="008F21A0" w:rsidRPr="00EC152F" w:rsidRDefault="0092276A">
      <w:pPr>
        <w:spacing w:line="480" w:lineRule="auto"/>
        <w:jc w:val="both"/>
        <w:rPr>
          <w:color w:val="000000" w:themeColor="text1"/>
          <w:szCs w:val="24"/>
        </w:rPr>
      </w:pPr>
      <w:r w:rsidRPr="00EC152F">
        <w:rPr>
          <w:color w:val="000000" w:themeColor="text1"/>
          <w:szCs w:val="24"/>
        </w:rPr>
        <w:lastRenderedPageBreak/>
        <w:t xml:space="preserve">Ribosome nascent-chain complex-bound mRNA-qPCR (RNC-qPCR) was conducted as previously reported </w:t>
      </w:r>
      <w:r w:rsidRPr="00EC152F">
        <w:rPr>
          <w:color w:val="000000" w:themeColor="text1"/>
          <w:szCs w:val="24"/>
        </w:rPr>
        <w:fldChar w:fldCharType="begin">
          <w:fldData xml:space="preserve">PEVuZE5vdGU+PENpdGU+PEF1dGhvcj5TdTwvQXV0aG9yPjxZZWFyPjIwMjE8L1llYXI+PFJlY051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</w:fldData>
        </w:fldChar>
      </w:r>
      <w:r w:rsidRPr="00EC152F">
        <w:rPr>
          <w:color w:val="000000" w:themeColor="text1"/>
          <w:szCs w:val="24"/>
        </w:rPr>
        <w:instrText xml:space="preserve"> ADDIN EN.CITE </w:instrText>
      </w:r>
      <w:r w:rsidRPr="00EC152F">
        <w:rPr>
          <w:color w:val="000000" w:themeColor="text1"/>
          <w:szCs w:val="24"/>
        </w:rPr>
        <w:fldChar w:fldCharType="begin">
          <w:fldData xml:space="preserve">PEVuZE5vdGU+PENpdGU+PEF1dGhvcj5TdTwvQXV0aG9yPjxZZWFyPjIwMjE8L1llYXI+PFJlY051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</w:fldData>
        </w:fldChar>
      </w:r>
      <w:r w:rsidRPr="00EC152F">
        <w:rPr>
          <w:color w:val="000000" w:themeColor="text1"/>
          <w:szCs w:val="24"/>
        </w:rPr>
        <w:instrText xml:space="preserve"> ADDIN EN.CITE.DATA </w:instrText>
      </w:r>
      <w:r w:rsidRPr="00EC152F">
        <w:rPr>
          <w:color w:val="000000" w:themeColor="text1"/>
          <w:szCs w:val="24"/>
        </w:rPr>
      </w:r>
      <w:r w:rsidRPr="00EC152F">
        <w:rPr>
          <w:color w:val="000000" w:themeColor="text1"/>
          <w:szCs w:val="24"/>
        </w:rPr>
        <w:fldChar w:fldCharType="end"/>
      </w:r>
      <w:r w:rsidRPr="00EC152F">
        <w:rPr>
          <w:color w:val="000000" w:themeColor="text1"/>
          <w:szCs w:val="24"/>
        </w:rPr>
      </w:r>
      <w:r w:rsidRPr="00EC152F">
        <w:rPr>
          <w:color w:val="000000" w:themeColor="text1"/>
          <w:szCs w:val="24"/>
        </w:rPr>
        <w:fldChar w:fldCharType="separate"/>
      </w:r>
      <w:r w:rsidRPr="00EC152F">
        <w:rPr>
          <w:color w:val="000000" w:themeColor="text1"/>
          <w:szCs w:val="24"/>
        </w:rPr>
        <w:t>(43)</w:t>
      </w:r>
      <w:r w:rsidRPr="00EC152F">
        <w:rPr>
          <w:color w:val="000000" w:themeColor="text1"/>
          <w:szCs w:val="24"/>
        </w:rPr>
        <w:fldChar w:fldCharType="end"/>
      </w:r>
      <w:r w:rsidRPr="00EC152F">
        <w:rPr>
          <w:color w:val="000000" w:themeColor="text1"/>
          <w:szCs w:val="24"/>
        </w:rPr>
        <w:t xml:space="preserve">. Briefly, cells were pretreated with cycloheximide at the concentration of 100 μg/ml for 15 min at 37 °C, before being lysed in lysis buffer on ice for 30 min. Lysis buffer was prepared by adding 1% Triton X-100 into ribosome buffer (RB buffer) (20 mM HEPES-KOH [pH = 7.4], 15 mM MgCl2, 200 mM </w:t>
      </w:r>
      <w:proofErr w:type="spellStart"/>
      <w:r w:rsidRPr="00EC152F">
        <w:rPr>
          <w:color w:val="000000" w:themeColor="text1"/>
          <w:szCs w:val="24"/>
        </w:rPr>
        <w:t>KCl</w:t>
      </w:r>
      <w:proofErr w:type="spellEnd"/>
      <w:r w:rsidRPr="00EC152F">
        <w:rPr>
          <w:color w:val="000000" w:themeColor="text1"/>
          <w:szCs w:val="24"/>
        </w:rPr>
        <w:t xml:space="preserve">, 100 mg/ml cycloheximide and 2 mM dithiothreitol). Cell lysate was extracted by centrifuging at 4 °C for 10 min at 16,200 g. 10% lysate was used as input control, another lysate was loaded onto 30% sucrose buffer and subsequently ultracentrifuged at 4 °C for 5 h at 174,900 g. The cell pellets were harvested and extracted by </w:t>
      </w:r>
      <w:proofErr w:type="spellStart"/>
      <w:r w:rsidRPr="00EC152F">
        <w:rPr>
          <w:color w:val="000000" w:themeColor="text1"/>
          <w:szCs w:val="24"/>
        </w:rPr>
        <w:t>TRIzol</w:t>
      </w:r>
      <w:proofErr w:type="spellEnd"/>
      <w:r w:rsidRPr="00EC152F">
        <w:rPr>
          <w:color w:val="000000" w:themeColor="text1"/>
          <w:szCs w:val="24"/>
        </w:rPr>
        <w:t>. Total RNA isolated from the input control and RNC samples were used for RT-qPCR for further analysis.</w:t>
      </w:r>
    </w:p>
    <w:p w14:paraId="2E42AE66" w14:textId="77777777" w:rsidR="008F21A0" w:rsidRPr="00EC152F" w:rsidRDefault="008F21A0">
      <w:pPr>
        <w:spacing w:line="480" w:lineRule="auto"/>
        <w:jc w:val="both"/>
        <w:rPr>
          <w:b/>
          <w:bCs/>
          <w:color w:val="000000" w:themeColor="text1"/>
          <w:szCs w:val="24"/>
        </w:rPr>
      </w:pPr>
    </w:p>
    <w:p w14:paraId="4F2958F8"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Cell Culture Media and Condition</w:t>
      </w:r>
    </w:p>
    <w:p w14:paraId="0046FABD" w14:textId="0A068CFD" w:rsidR="008F21A0" w:rsidRPr="00EC152F" w:rsidRDefault="0092276A">
      <w:pPr>
        <w:spacing w:line="480" w:lineRule="auto"/>
        <w:jc w:val="both"/>
        <w:rPr>
          <w:color w:val="000000" w:themeColor="text1"/>
          <w:szCs w:val="24"/>
        </w:rPr>
      </w:pPr>
      <w:bookmarkStart w:id="3" w:name="_Hlk206086238"/>
      <w:r w:rsidRPr="00EC152F">
        <w:rPr>
          <w:color w:val="000000" w:themeColor="text1"/>
          <w:szCs w:val="24"/>
        </w:rPr>
        <w:t xml:space="preserve">Cancer stem cell culture medium contained </w:t>
      </w:r>
      <w:r w:rsidRPr="00EC152F">
        <w:rPr>
          <w:rFonts w:ascii="Tahoma" w:hAnsi="Tahoma" w:cs="Tahoma"/>
          <w:color w:val="000000" w:themeColor="text1"/>
          <w:szCs w:val="24"/>
        </w:rPr>
        <w:t>﻿</w:t>
      </w:r>
      <w:r w:rsidRPr="00EC152F">
        <w:rPr>
          <w:color w:val="000000" w:themeColor="text1"/>
          <w:szCs w:val="24"/>
        </w:rPr>
        <w:t xml:space="preserve">DMEM/F-12 (Thermo Fisher Scientific #11320033). supplemented with 1% antibiotic-antimycotic (Thermo Fisher Scientific #15240096), GlutaMAX (1:100, Thermo Fisher Scientific #35050061), HEPES (1:100, Thermo Fisher Scientific #15630080), MEM Non-Essential Amino Acids Solution (1:100, Thermo Fisher Scientific #11140050), Sodium Pyruvate (1:100, Thermo Fisher Scientific #11360070), N-2 Supplement (1:100, Thermo Fisher Scientific #17502048), NeuroCult™ SM1 Neuronal Supplement (1:250, STEMCELL Technologies #05711), Heparin (4 μg/ml, Sigma-Aldrich #H4784), Lipids (0.2%, Sigma-Aldrich #L0288), EGF (20 ng/ml, STEMCELL Technologies #78006.1) and basic FGF (10 ng/ml, STEMCELL Technologies #78003). Cancer stem cells are routinely sorted </w:t>
      </w:r>
      <w:r w:rsidR="00F822DF" w:rsidRPr="00EC152F">
        <w:rPr>
          <w:color w:val="000000" w:themeColor="text1"/>
          <w:szCs w:val="24"/>
        </w:rPr>
        <w:t xml:space="preserve">to enrich </w:t>
      </w:r>
      <w:r w:rsidRPr="00EC152F">
        <w:rPr>
          <w:color w:val="000000" w:themeColor="text1"/>
          <w:szCs w:val="24"/>
        </w:rPr>
        <w:t>CD133</w:t>
      </w:r>
      <w:r w:rsidRPr="00EC152F">
        <w:rPr>
          <w:color w:val="000000" w:themeColor="text1"/>
          <w:szCs w:val="24"/>
          <w:vertAlign w:val="superscript"/>
        </w:rPr>
        <w:t>+</w:t>
      </w:r>
      <w:r w:rsidRPr="00EC152F">
        <w:rPr>
          <w:color w:val="000000" w:themeColor="text1"/>
          <w:szCs w:val="24"/>
        </w:rPr>
        <w:t>/LGR5</w:t>
      </w:r>
      <w:r w:rsidRPr="00EC152F">
        <w:rPr>
          <w:color w:val="000000" w:themeColor="text1"/>
          <w:szCs w:val="24"/>
          <w:vertAlign w:val="superscript"/>
        </w:rPr>
        <w:t>+</w:t>
      </w:r>
      <w:r w:rsidRPr="00EC152F">
        <w:rPr>
          <w:color w:val="000000" w:themeColor="text1"/>
          <w:szCs w:val="24"/>
        </w:rPr>
        <w:t xml:space="preserve"> populations using MojoSort™ Nanobeads. </w:t>
      </w:r>
      <w:r w:rsidRPr="00EC152F">
        <w:rPr>
          <w:szCs w:val="24"/>
        </w:rPr>
        <w:t xml:space="preserve">The choice of cell lines for </w:t>
      </w:r>
      <w:r w:rsidRPr="00EC152F">
        <w:rPr>
          <w:i/>
          <w:szCs w:val="24"/>
        </w:rPr>
        <w:t>in vitro</w:t>
      </w:r>
      <w:r w:rsidRPr="00EC152F">
        <w:rPr>
          <w:szCs w:val="24"/>
        </w:rPr>
        <w:t xml:space="preserve"> </w:t>
      </w:r>
      <w:r w:rsidRPr="00EC152F">
        <w:rPr>
          <w:szCs w:val="24"/>
        </w:rPr>
        <w:lastRenderedPageBreak/>
        <w:t xml:space="preserve">and </w:t>
      </w:r>
      <w:r w:rsidRPr="00EC152F">
        <w:rPr>
          <w:i/>
          <w:szCs w:val="24"/>
        </w:rPr>
        <w:t>in vivo</w:t>
      </w:r>
      <w:r w:rsidRPr="00EC152F">
        <w:rPr>
          <w:szCs w:val="24"/>
        </w:rPr>
        <w:t xml:space="preserve"> experiments was based on their differential YTHDF1 expression levels: LS174TS (low), CSC28 (moderate), and POP66 (high) </w:t>
      </w:r>
      <w:r w:rsidRPr="00EC152F">
        <w:rPr>
          <w:b/>
          <w:bCs/>
          <w:szCs w:val="24"/>
        </w:rPr>
        <w:t>(Supplementary figure 5l)</w:t>
      </w:r>
      <w:r w:rsidRPr="00EC152F">
        <w:rPr>
          <w:szCs w:val="24"/>
        </w:rPr>
        <w:t>.</w:t>
      </w:r>
    </w:p>
    <w:bookmarkEnd w:id="3"/>
    <w:p w14:paraId="3E0DD391" w14:textId="77777777" w:rsidR="008F21A0" w:rsidRPr="00EC152F" w:rsidRDefault="008F21A0">
      <w:pPr>
        <w:spacing w:line="480" w:lineRule="auto"/>
        <w:jc w:val="both"/>
        <w:rPr>
          <w:color w:val="000000" w:themeColor="text1"/>
          <w:szCs w:val="24"/>
        </w:rPr>
      </w:pPr>
    </w:p>
    <w:p w14:paraId="337A3047" w14:textId="77777777" w:rsidR="008F21A0" w:rsidRPr="00EC152F" w:rsidRDefault="0092276A">
      <w:pPr>
        <w:spacing w:line="480" w:lineRule="auto"/>
        <w:jc w:val="both"/>
        <w:rPr>
          <w:color w:val="000000" w:themeColor="text1"/>
          <w:szCs w:val="24"/>
        </w:rPr>
      </w:pPr>
      <w:r w:rsidRPr="00EC152F">
        <w:rPr>
          <w:color w:val="000000" w:themeColor="text1"/>
          <w:szCs w:val="24"/>
        </w:rPr>
        <w:t>Organoids were cultured in Corning Growth Factor Reduced Matrigel matrix (Corning) in advanced DMEM/F12 medium (Thermo Fisher Scientific #12634028) supplemented with 1% Penicillin-Streptomycin (Thermo Fisher Scientific #15140148), HEPES (10 µM; Thermo Fisher Scientific #15630106), GlutaMAX™ Supplement (1:100; Thermo Fisher Scientific #35050061), serum-free B-27™ Supplement (1: 50; Thermo Fisher Scientific #17504044), 1.25 mM N-Acetyl-L-cysteine (</w:t>
      </w:r>
      <w:proofErr w:type="spellStart"/>
      <w:r w:rsidRPr="00EC152F">
        <w:rPr>
          <w:color w:val="000000" w:themeColor="text1"/>
          <w:szCs w:val="24"/>
        </w:rPr>
        <w:t>MilliporeSigma</w:t>
      </w:r>
      <w:proofErr w:type="spellEnd"/>
      <w:r w:rsidRPr="00EC152F">
        <w:rPr>
          <w:color w:val="000000" w:themeColor="text1"/>
          <w:szCs w:val="24"/>
        </w:rPr>
        <w:t>), 10 nM [Leu15]-Gastrin I human (</w:t>
      </w:r>
      <w:proofErr w:type="spellStart"/>
      <w:r w:rsidRPr="00EC152F">
        <w:rPr>
          <w:color w:val="000000" w:themeColor="text1"/>
          <w:szCs w:val="24"/>
        </w:rPr>
        <w:t>MilliporeSigma</w:t>
      </w:r>
      <w:proofErr w:type="spellEnd"/>
      <w:r w:rsidRPr="00EC152F">
        <w:rPr>
          <w:color w:val="000000" w:themeColor="text1"/>
          <w:szCs w:val="24"/>
        </w:rPr>
        <w:t>), 50 ng/mL recombinant murine epithelial growth factor (Thermo Fisher Scientific), 100 ng/mL murine Noggin (</w:t>
      </w:r>
      <w:proofErr w:type="spellStart"/>
      <w:r w:rsidRPr="00EC152F">
        <w:rPr>
          <w:color w:val="000000" w:themeColor="text1"/>
          <w:szCs w:val="24"/>
        </w:rPr>
        <w:t>Peprotech</w:t>
      </w:r>
      <w:proofErr w:type="spellEnd"/>
      <w:r w:rsidRPr="00EC152F">
        <w:rPr>
          <w:color w:val="000000" w:themeColor="text1"/>
          <w:szCs w:val="24"/>
        </w:rPr>
        <w:t>) and 0.5 µM A 83-01 (Tocris Bioscience). All cultures were maintained at 37°C in a humidified incubator with 5% CO2. Regular assessments were conducted to ensure they were free of mycoplasma contamination.</w:t>
      </w:r>
    </w:p>
    <w:p w14:paraId="719AEA68" w14:textId="77777777" w:rsidR="008F21A0" w:rsidRPr="00EC152F" w:rsidRDefault="008F21A0">
      <w:pPr>
        <w:spacing w:line="480" w:lineRule="auto"/>
        <w:jc w:val="both"/>
        <w:rPr>
          <w:color w:val="000000" w:themeColor="text1"/>
          <w:szCs w:val="24"/>
        </w:rPr>
      </w:pPr>
    </w:p>
    <w:p w14:paraId="5F1F9715"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Lentivirus Production</w:t>
      </w:r>
    </w:p>
    <w:p w14:paraId="59F3F1D8" w14:textId="77777777" w:rsidR="008F21A0" w:rsidRPr="00EC152F" w:rsidRDefault="0092276A">
      <w:pPr>
        <w:spacing w:line="480" w:lineRule="auto"/>
        <w:jc w:val="both"/>
        <w:rPr>
          <w:color w:val="000000" w:themeColor="text1"/>
          <w:szCs w:val="24"/>
        </w:rPr>
      </w:pPr>
      <w:r w:rsidRPr="00EC152F">
        <w:rPr>
          <w:szCs w:val="24"/>
        </w:rPr>
        <w:t>HEK293T cells were used for lentivirus production. HEK293T cells in a 10-cm dish were transfected with 8 μg of plasmid DNA, 6 μg of psPAX2 (Addgene #12260), 2 μg of pMD2.G (Addgene #12259), and 36 μL of lipofectamine 2000 (</w:t>
      </w:r>
      <w:r w:rsidRPr="00EC152F">
        <w:rPr>
          <w:color w:val="000000" w:themeColor="text1"/>
          <w:szCs w:val="24"/>
        </w:rPr>
        <w:t>Invitrogen #11668019</w:t>
      </w:r>
      <w:r w:rsidRPr="00EC152F">
        <w:rPr>
          <w:szCs w:val="24"/>
        </w:rPr>
        <w:t xml:space="preserve">). Media was changed 6 hours after transfection, and the supernatant was collected at 72 hours after transfection </w:t>
      </w:r>
      <w:r w:rsidRPr="00EC152F">
        <w:rPr>
          <w:color w:val="000000" w:themeColor="text1"/>
          <w:szCs w:val="24"/>
        </w:rPr>
        <w:t>and filtered with 0.22 µm filter to remove cell debris</w:t>
      </w:r>
      <w:r w:rsidRPr="00EC152F">
        <w:rPr>
          <w:szCs w:val="24"/>
        </w:rPr>
        <w:t>. Two shRNAs targeting YTHDF1 (shYTHDF1-1: 5’-GATACAGTTCATGACAATGA-3’ and shYTHDF1-2: 5’-CAGGCTGGAGAATAACGACAA-3’) and a nontargeting RNA sequence (</w:t>
      </w:r>
      <w:proofErr w:type="spellStart"/>
      <w:r w:rsidRPr="00EC152F">
        <w:rPr>
          <w:color w:val="000000" w:themeColor="text1"/>
          <w:szCs w:val="24"/>
        </w:rPr>
        <w:t>shCtrl</w:t>
      </w:r>
      <w:proofErr w:type="spellEnd"/>
      <w:r w:rsidRPr="00EC152F">
        <w:rPr>
          <w:color w:val="000000" w:themeColor="text1"/>
          <w:szCs w:val="24"/>
        </w:rPr>
        <w:t xml:space="preserve">: 5’-TTCTCCGAACGTGTCACGT-3’) </w:t>
      </w:r>
      <w:r w:rsidRPr="00EC152F">
        <w:rPr>
          <w:szCs w:val="24"/>
        </w:rPr>
        <w:t xml:space="preserve">serving as negative control were introduced using the </w:t>
      </w:r>
      <w:r w:rsidRPr="00EC152F">
        <w:rPr>
          <w:szCs w:val="24"/>
        </w:rPr>
        <w:lastRenderedPageBreak/>
        <w:t>pLKO.1-puro vector (Addgene #8453).</w:t>
      </w:r>
      <w:r w:rsidRPr="00EC152F">
        <w:rPr>
          <w:color w:val="000000" w:themeColor="text1"/>
          <w:szCs w:val="24"/>
        </w:rPr>
        <w:t xml:space="preserve"> Human-wide type YTHDF1 or YTHDF1 mutant (K395A, Y397A) was cloned into </w:t>
      </w:r>
      <w:proofErr w:type="spellStart"/>
      <w:r w:rsidRPr="00EC152F">
        <w:rPr>
          <w:color w:val="000000" w:themeColor="text1"/>
          <w:szCs w:val="24"/>
        </w:rPr>
        <w:t>pLenti</w:t>
      </w:r>
      <w:proofErr w:type="spellEnd"/>
      <w:r w:rsidRPr="00EC152F">
        <w:rPr>
          <w:color w:val="000000" w:themeColor="text1"/>
          <w:szCs w:val="24"/>
        </w:rPr>
        <w:t xml:space="preserve"> CMV Blast empty (Addgene #17486).</w:t>
      </w:r>
    </w:p>
    <w:p w14:paraId="7E91D6EA" w14:textId="77777777" w:rsidR="008F21A0" w:rsidRPr="00EC152F" w:rsidRDefault="008F21A0">
      <w:pPr>
        <w:spacing w:line="480" w:lineRule="auto"/>
        <w:jc w:val="both"/>
        <w:rPr>
          <w:color w:val="000000" w:themeColor="text1"/>
          <w:szCs w:val="24"/>
        </w:rPr>
      </w:pPr>
    </w:p>
    <w:p w14:paraId="3BEEBAFB"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siRNA transfection</w:t>
      </w:r>
    </w:p>
    <w:p w14:paraId="5087FF48"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For siRNA transfection, we used Lipofectamine RNAiMAX reagent (Thermo Fisher #13778150) following the manufacturer’s protocol. Cells were transfected with siRNA for 72 h and harvested for qPCR and Western blot. siRNAs were purchased from </w:t>
      </w:r>
      <w:proofErr w:type="spellStart"/>
      <w:r w:rsidRPr="00EC152F">
        <w:rPr>
          <w:color w:val="000000" w:themeColor="text1"/>
          <w:szCs w:val="24"/>
        </w:rPr>
        <w:t>GenePharma</w:t>
      </w:r>
      <w:proofErr w:type="spellEnd"/>
      <w:r w:rsidRPr="00EC152F">
        <w:rPr>
          <w:color w:val="000000" w:themeColor="text1"/>
          <w:szCs w:val="24"/>
        </w:rPr>
        <w:t xml:space="preserve"> Co. Ltd (Shanghai, China). The sequencing of human YTHDF1 siRNA: sense (CCACUCAAACUCUUUCGGGTT), antisense (CCCGAAAGAGUUUGAGUGGAA); human NOTCH1 siRNA: sense (GGAUCCACUGUGAGAACAATT), antisense (UUGUUCUCACAGUGGAUCCTT). </w:t>
      </w:r>
    </w:p>
    <w:p w14:paraId="0C594DAB" w14:textId="77777777" w:rsidR="008F21A0" w:rsidRPr="00EC152F" w:rsidRDefault="008F21A0">
      <w:pPr>
        <w:spacing w:line="480" w:lineRule="auto"/>
        <w:jc w:val="both"/>
        <w:rPr>
          <w:color w:val="000000" w:themeColor="text1"/>
          <w:szCs w:val="24"/>
        </w:rPr>
      </w:pPr>
    </w:p>
    <w:p w14:paraId="59054ACC"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Reverse transcription-quantitative PCR (RT-qPCR)</w:t>
      </w:r>
    </w:p>
    <w:p w14:paraId="3B135E5C"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Total RNA was extracted from cells using </w:t>
      </w:r>
      <w:proofErr w:type="spellStart"/>
      <w:r w:rsidRPr="00EC152F">
        <w:rPr>
          <w:color w:val="000000" w:themeColor="text1"/>
          <w:szCs w:val="24"/>
        </w:rPr>
        <w:t>TRIzol</w:t>
      </w:r>
      <w:proofErr w:type="spellEnd"/>
      <w:r w:rsidRPr="00EC152F">
        <w:rPr>
          <w:color w:val="000000" w:themeColor="text1"/>
          <w:szCs w:val="24"/>
        </w:rPr>
        <w:t xml:space="preserve"> Reagent (ThermoFisher). RNA purity and concentration were measured by ND-1000 (NanoDrop Technologies). RNA (1 µg) was reverse transcribed using PrimeScript Reverse Transcription Master Mix (TaKaRa #RR036A). qPCR was performed with SYBR Green (Takara) in a QuantStudio Flex 7 Real-Time PCR system (</w:t>
      </w:r>
      <w:proofErr w:type="spellStart"/>
      <w:r w:rsidRPr="00EC152F">
        <w:rPr>
          <w:color w:val="000000" w:themeColor="text1"/>
          <w:szCs w:val="24"/>
        </w:rPr>
        <w:t>Quantstudio</w:t>
      </w:r>
      <w:proofErr w:type="spellEnd"/>
      <w:r w:rsidRPr="00EC152F">
        <w:rPr>
          <w:color w:val="000000" w:themeColor="text1"/>
          <w:szCs w:val="24"/>
        </w:rPr>
        <w:t xml:space="preserve"> Real-Time PCR software v1.7.2, Applied Biosystems) as follows: 10 min at 95 °C, and then 40 cycles of 15 s at 95 °C, 30 s at 60 °C and 30 s at 72 °C. All reactions were run in triplicates and normalized to GAPDH by the 2</w:t>
      </w:r>
      <w:r w:rsidRPr="00EC152F">
        <w:rPr>
          <w:color w:val="000000" w:themeColor="text1"/>
          <w:szCs w:val="24"/>
          <w:vertAlign w:val="superscript"/>
        </w:rPr>
        <w:t>−ΔΔCT</w:t>
      </w:r>
      <w:r w:rsidRPr="00EC152F">
        <w:rPr>
          <w:color w:val="000000" w:themeColor="text1"/>
          <w:szCs w:val="24"/>
        </w:rPr>
        <w:t xml:space="preserve"> method. Primer sequences are listed in </w:t>
      </w:r>
      <w:r w:rsidRPr="00EC152F">
        <w:rPr>
          <w:b/>
          <w:bCs/>
          <w:color w:val="000000" w:themeColor="text1"/>
          <w:szCs w:val="24"/>
        </w:rPr>
        <w:t>S Table 6</w:t>
      </w:r>
      <w:r w:rsidRPr="00EC152F">
        <w:rPr>
          <w:color w:val="000000" w:themeColor="text1"/>
          <w:szCs w:val="24"/>
        </w:rPr>
        <w:t>.</w:t>
      </w:r>
    </w:p>
    <w:p w14:paraId="7117B8A0" w14:textId="77777777" w:rsidR="008F21A0" w:rsidRPr="00EC152F" w:rsidRDefault="008F21A0">
      <w:pPr>
        <w:spacing w:line="480" w:lineRule="auto"/>
        <w:jc w:val="both"/>
        <w:rPr>
          <w:color w:val="000000" w:themeColor="text1"/>
          <w:szCs w:val="24"/>
        </w:rPr>
      </w:pPr>
    </w:p>
    <w:p w14:paraId="3612BDB9" w14:textId="77777777" w:rsidR="008F21A0" w:rsidRPr="00EC152F" w:rsidRDefault="008F21A0">
      <w:pPr>
        <w:spacing w:line="480" w:lineRule="auto"/>
        <w:jc w:val="both"/>
        <w:rPr>
          <w:color w:val="000000" w:themeColor="text1"/>
          <w:szCs w:val="24"/>
        </w:rPr>
      </w:pPr>
    </w:p>
    <w:p w14:paraId="080535C1" w14:textId="77777777" w:rsidR="008F21A0" w:rsidRPr="00EC152F" w:rsidRDefault="008F21A0">
      <w:pPr>
        <w:spacing w:line="480" w:lineRule="auto"/>
        <w:jc w:val="both"/>
        <w:rPr>
          <w:b/>
          <w:bCs/>
          <w:color w:val="000000" w:themeColor="text1"/>
          <w:szCs w:val="24"/>
        </w:rPr>
      </w:pPr>
    </w:p>
    <w:p w14:paraId="4AEBF4E5"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lastRenderedPageBreak/>
        <w:t>MTT assay</w:t>
      </w:r>
    </w:p>
    <w:p w14:paraId="591ECF7B" w14:textId="77777777" w:rsidR="008F21A0" w:rsidRPr="00EC152F" w:rsidRDefault="0092276A">
      <w:pPr>
        <w:spacing w:line="480" w:lineRule="auto"/>
        <w:jc w:val="both"/>
        <w:rPr>
          <w:color w:val="000000" w:themeColor="text1"/>
          <w:szCs w:val="24"/>
        </w:rPr>
      </w:pPr>
      <w:r w:rsidRPr="00EC152F">
        <w:rPr>
          <w:color w:val="000000" w:themeColor="text1"/>
          <w:szCs w:val="24"/>
        </w:rPr>
        <w:t>For cell viability assay, we used 3-(4,5-dimethylthiazol-2-yl)-2,5-diphenyltetrazolium (MTT, 5 mg/mL; Invitrogen). One thousand cells per well were seeded onto a 96-well plate. Cell viability was determined by incubation with MTT for 4 hours, followed by the addition of DMSO and measurement of absorbance at 570 nm. All experiments were conducted with 5 to 10 replicates per group.</w:t>
      </w:r>
    </w:p>
    <w:p w14:paraId="0E0A76CE" w14:textId="77777777" w:rsidR="008F21A0" w:rsidRPr="00EC152F" w:rsidRDefault="008F21A0">
      <w:pPr>
        <w:spacing w:line="480" w:lineRule="auto"/>
        <w:jc w:val="both"/>
        <w:rPr>
          <w:b/>
          <w:bCs/>
          <w:color w:val="000000" w:themeColor="text1"/>
          <w:szCs w:val="24"/>
        </w:rPr>
      </w:pPr>
    </w:p>
    <w:p w14:paraId="427C7D80"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Apoptosis assays</w:t>
      </w:r>
    </w:p>
    <w:p w14:paraId="3CE767F9" w14:textId="77777777" w:rsidR="008F21A0" w:rsidRPr="00EC152F" w:rsidRDefault="0092276A" w:rsidP="00EC152F">
      <w:pPr>
        <w:spacing w:line="480" w:lineRule="auto"/>
        <w:jc w:val="both"/>
        <w:rPr>
          <w:color w:val="000000" w:themeColor="text1"/>
          <w:szCs w:val="24"/>
        </w:rPr>
      </w:pPr>
      <w:r w:rsidRPr="00EC152F">
        <w:rPr>
          <w:color w:val="000000" w:themeColor="text1"/>
          <w:szCs w:val="24"/>
        </w:rPr>
        <w:t>Apoptosis was evaluated by FITC Annexin V Apoptosis Detection Kit (BD Biosciences) according to manufacturer’s instructions. All stained cells were analyzed by flow cytometer (BD FACSCelesta Flow Cytometer, BD Biosciences). Data were analyzed by FlowJo (version 10.4; RRID: SCR_008520).</w:t>
      </w:r>
    </w:p>
    <w:p w14:paraId="148C9872" w14:textId="77777777" w:rsidR="008F21A0" w:rsidRPr="00EC152F" w:rsidRDefault="008F21A0" w:rsidP="00EC152F">
      <w:pPr>
        <w:spacing w:line="480" w:lineRule="auto"/>
        <w:jc w:val="both"/>
        <w:rPr>
          <w:b/>
          <w:bCs/>
          <w:color w:val="000000" w:themeColor="text1"/>
          <w:szCs w:val="24"/>
        </w:rPr>
      </w:pPr>
    </w:p>
    <w:p w14:paraId="70C110D9" w14:textId="77777777" w:rsidR="008F21A0" w:rsidRPr="00EC152F" w:rsidRDefault="0092276A" w:rsidP="00EC152F">
      <w:pPr>
        <w:spacing w:line="480" w:lineRule="auto"/>
        <w:jc w:val="both"/>
        <w:rPr>
          <w:b/>
          <w:bCs/>
          <w:color w:val="000000" w:themeColor="text1"/>
          <w:szCs w:val="24"/>
        </w:rPr>
      </w:pPr>
      <w:r w:rsidRPr="00EC152F">
        <w:rPr>
          <w:b/>
          <w:bCs/>
          <w:color w:val="000000" w:themeColor="text1"/>
          <w:szCs w:val="24"/>
        </w:rPr>
        <w:t>Immunohistochemistry and Immunofluorescence</w:t>
      </w:r>
    </w:p>
    <w:p w14:paraId="39B040F4" w14:textId="77777777" w:rsidR="008F21A0" w:rsidRPr="00EC152F" w:rsidRDefault="0092276A" w:rsidP="00EC152F">
      <w:pPr>
        <w:spacing w:line="480" w:lineRule="auto"/>
        <w:jc w:val="both"/>
        <w:rPr>
          <w:color w:val="000000" w:themeColor="text1"/>
          <w:szCs w:val="24"/>
          <w:lang w:val="en-GB"/>
        </w:rPr>
      </w:pPr>
      <w:r w:rsidRPr="00EC152F">
        <w:rPr>
          <w:color w:val="000000" w:themeColor="text1"/>
          <w:szCs w:val="24"/>
        </w:rPr>
        <w:t xml:space="preserve">Paraffin-embedded tissues were sectioned, deparaffinized with xylene, and rehydrated in alcohol. Antigen retrieval was performed in the microwave with sodium citrate buffer (10 mM sodium citrate, 0.05% tween 20, pH 6.0) for 30 min. Hydrogen peroxide (3%) was used to block the endogenous peroxidase activity. Slides were blocked with 5% bovine serum albumin (BSA) and incubated with primary antibodies in 1% BSA overnight. After washing, slides were incubated with rabbit on rodent HRP-polymer (BioCare Medical #RMR622L) for 40 min and then developed with DAB Plus (ThermoFisher). The sections were further counterstained with hematoxylin. </w:t>
      </w:r>
      <w:r w:rsidRPr="00EC152F">
        <w:rPr>
          <w:color w:val="000000" w:themeColor="text1"/>
          <w:szCs w:val="24"/>
          <w:lang w:val="en-GB"/>
        </w:rPr>
        <w:t xml:space="preserve">Images were captured by light microscope equipped with </w:t>
      </w:r>
      <w:proofErr w:type="spellStart"/>
      <w:r w:rsidRPr="00EC152F">
        <w:rPr>
          <w:color w:val="000000" w:themeColor="text1"/>
          <w:szCs w:val="24"/>
          <w:lang w:val="en-GB"/>
        </w:rPr>
        <w:t>Metafer</w:t>
      </w:r>
      <w:proofErr w:type="spellEnd"/>
      <w:r w:rsidRPr="00EC152F">
        <w:rPr>
          <w:color w:val="000000" w:themeColor="text1"/>
          <w:szCs w:val="24"/>
          <w:lang w:val="en-GB"/>
        </w:rPr>
        <w:t xml:space="preserve"> Automatic Slide Scanning and </w:t>
      </w:r>
      <w:r w:rsidRPr="00EC152F">
        <w:rPr>
          <w:color w:val="000000" w:themeColor="text1"/>
          <w:szCs w:val="24"/>
          <w:lang w:val="en-GB"/>
        </w:rPr>
        <w:lastRenderedPageBreak/>
        <w:t>Imaging System. The proportion of Ki-67-positive cells in each random field was measured by ImageJ with the plugin IHC Profiler.</w:t>
      </w:r>
    </w:p>
    <w:p w14:paraId="39B8AEAD" w14:textId="77777777" w:rsidR="008F21A0" w:rsidRPr="00EC152F" w:rsidRDefault="008F21A0">
      <w:pPr>
        <w:spacing w:line="480" w:lineRule="auto"/>
        <w:jc w:val="both"/>
        <w:rPr>
          <w:color w:val="000000" w:themeColor="text1"/>
          <w:szCs w:val="24"/>
        </w:rPr>
      </w:pPr>
    </w:p>
    <w:p w14:paraId="7D11FB1C"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For immunofluorescence, after antigen retrieval, the sections were further permeabilized with 0.25% Triton X-100 for 15 mins, blocked with 5% BSA, and incubated with primary antibodies in 1% BSA overnight at 4 ℃, followed by secondary incubation at room temperature for 1 hour. The sections were then washed with PBS twice, stained with Hoechst 33342 (Thermo Fisher Scientific #H3570), and further washed with PBS three times, followed by mounting with </w:t>
      </w:r>
      <w:proofErr w:type="spellStart"/>
      <w:r w:rsidRPr="00EC152F">
        <w:rPr>
          <w:color w:val="000000" w:themeColor="text1"/>
          <w:szCs w:val="24"/>
        </w:rPr>
        <w:t>ProLong</w:t>
      </w:r>
      <w:proofErr w:type="spellEnd"/>
      <w:r w:rsidRPr="00EC152F">
        <w:rPr>
          <w:color w:val="000000" w:themeColor="text1"/>
          <w:szCs w:val="24"/>
        </w:rPr>
        <w:t xml:space="preserve">™ Glass Antifade </w:t>
      </w:r>
      <w:proofErr w:type="spellStart"/>
      <w:r w:rsidRPr="00EC152F">
        <w:rPr>
          <w:color w:val="000000" w:themeColor="text1"/>
          <w:szCs w:val="24"/>
        </w:rPr>
        <w:t>Mountant</w:t>
      </w:r>
      <w:proofErr w:type="spellEnd"/>
      <w:r w:rsidRPr="00EC152F">
        <w:rPr>
          <w:color w:val="000000" w:themeColor="text1"/>
          <w:szCs w:val="24"/>
        </w:rPr>
        <w:t xml:space="preserve"> (Thermo Fisher Scientific #P36980). The fluorescence images were acquired with the Leica TCS SP8 multiphoton system. </w:t>
      </w:r>
    </w:p>
    <w:p w14:paraId="35DB6053" w14:textId="77777777" w:rsidR="008F21A0" w:rsidRPr="00EC152F" w:rsidRDefault="008F21A0">
      <w:pPr>
        <w:spacing w:line="480" w:lineRule="auto"/>
        <w:jc w:val="both"/>
        <w:rPr>
          <w:color w:val="000000" w:themeColor="text1"/>
          <w:szCs w:val="24"/>
        </w:rPr>
      </w:pPr>
    </w:p>
    <w:p w14:paraId="3C0B336F"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Western blot</w:t>
      </w:r>
    </w:p>
    <w:p w14:paraId="14C0F6A7" w14:textId="77777777" w:rsidR="008F21A0" w:rsidRPr="00EC152F" w:rsidRDefault="0092276A">
      <w:pPr>
        <w:spacing w:line="480" w:lineRule="auto"/>
        <w:jc w:val="both"/>
        <w:rPr>
          <w:color w:val="000000" w:themeColor="text1"/>
          <w:szCs w:val="24"/>
          <w:lang w:val="en-GB"/>
        </w:rPr>
      </w:pPr>
      <w:r w:rsidRPr="00EC152F">
        <w:rPr>
          <w:color w:val="000000" w:themeColor="text1"/>
          <w:szCs w:val="24"/>
          <w:lang w:val="en-GB"/>
        </w:rPr>
        <w:t xml:space="preserve">Total proteins were extracted by CytoBuster Protein Extraction Reagent (Merck Millipore) </w:t>
      </w:r>
      <w:r w:rsidRPr="00EC152F">
        <w:rPr>
          <w:color w:val="000000" w:themeColor="text1"/>
          <w:szCs w:val="24"/>
        </w:rPr>
        <w:t xml:space="preserve">containing protease and phosphatase inhibitors (Roche). </w:t>
      </w:r>
      <w:r w:rsidRPr="00EC152F">
        <w:rPr>
          <w:color w:val="000000" w:themeColor="text1"/>
          <w:szCs w:val="24"/>
          <w:lang w:val="en-GB"/>
        </w:rPr>
        <w:t>Protein concentration was measured by Pierce BCA Protein Assay Kit (Thermo Fisher Scientific) according to the manufacturer’s instructions. 20-40 mg of the extracted proteins were separated by 10% SDS-PAGE gel electrophoresis (80-100V for 2 hours) and transferred onto PVDF membranes (100V for 2 hours) with pore size of 0.45 µm (Merck Millipore). Membranes were then blocked by 5% bovine serum albumin for 60 minutes, and incubated with primary antibodies at 4</w:t>
      </w:r>
      <w:r w:rsidRPr="00EC152F">
        <w:rPr>
          <w:color w:val="000000" w:themeColor="text1"/>
          <w:szCs w:val="24"/>
          <w:vertAlign w:val="superscript"/>
          <w:lang w:val="en-GB"/>
        </w:rPr>
        <w:t xml:space="preserve"> °</w:t>
      </w:r>
      <w:r w:rsidRPr="00EC152F">
        <w:rPr>
          <w:color w:val="000000" w:themeColor="text1"/>
          <w:szCs w:val="24"/>
          <w:lang w:val="en-GB"/>
        </w:rPr>
        <w:t xml:space="preserve">C overnight, followed by 60 minutes of incubation of secondary antibodies at room temperature. Upon substantial wash by detergent (Tris-buffered saline with 0.1% Tween-20), proteins of interest were visualized by </w:t>
      </w:r>
      <w:proofErr w:type="spellStart"/>
      <w:r w:rsidRPr="00EC152F">
        <w:rPr>
          <w:color w:val="000000" w:themeColor="text1"/>
          <w:szCs w:val="24"/>
          <w:lang w:val="en-GB"/>
        </w:rPr>
        <w:t>SuperSignal</w:t>
      </w:r>
      <w:proofErr w:type="spellEnd"/>
      <w:r w:rsidRPr="00EC152F">
        <w:rPr>
          <w:color w:val="000000" w:themeColor="text1"/>
          <w:szCs w:val="24"/>
          <w:lang w:val="en-GB"/>
        </w:rPr>
        <w:t xml:space="preserve"> West </w:t>
      </w:r>
      <w:proofErr w:type="spellStart"/>
      <w:r w:rsidRPr="00EC152F">
        <w:rPr>
          <w:color w:val="000000" w:themeColor="text1"/>
          <w:szCs w:val="24"/>
          <w:lang w:val="en-GB"/>
        </w:rPr>
        <w:t>Femto</w:t>
      </w:r>
      <w:proofErr w:type="spellEnd"/>
      <w:r w:rsidRPr="00EC152F">
        <w:rPr>
          <w:color w:val="000000" w:themeColor="text1"/>
          <w:szCs w:val="24"/>
          <w:lang w:val="en-GB"/>
        </w:rPr>
        <w:t xml:space="preserve"> Maximum Sensitivity Substrate (Thermo Fisher Scientific) using </w:t>
      </w:r>
      <w:r w:rsidRPr="00EC152F">
        <w:rPr>
          <w:color w:val="000000" w:themeColor="text1"/>
          <w:szCs w:val="24"/>
          <w:lang w:val="en-GB"/>
        </w:rPr>
        <w:lastRenderedPageBreak/>
        <w:t xml:space="preserve">ChemiDoc XRS+ System (Bio-Rad, Hercules, CA). Antibodies used for Western blot are listed in </w:t>
      </w:r>
      <w:r w:rsidRPr="00EC152F">
        <w:rPr>
          <w:b/>
          <w:bCs/>
          <w:color w:val="000000" w:themeColor="text1"/>
          <w:szCs w:val="24"/>
          <w:lang w:val="en-GB"/>
        </w:rPr>
        <w:t>S Table 2</w:t>
      </w:r>
      <w:r w:rsidRPr="00EC152F">
        <w:rPr>
          <w:color w:val="000000" w:themeColor="text1"/>
          <w:szCs w:val="24"/>
          <w:lang w:val="en-GB"/>
        </w:rPr>
        <w:t xml:space="preserve">. </w:t>
      </w:r>
    </w:p>
    <w:p w14:paraId="49C32987" w14:textId="77777777" w:rsidR="008F21A0" w:rsidRPr="00EC152F" w:rsidRDefault="008F21A0">
      <w:pPr>
        <w:spacing w:line="480" w:lineRule="auto"/>
        <w:jc w:val="both"/>
        <w:rPr>
          <w:color w:val="000000" w:themeColor="text1"/>
          <w:szCs w:val="24"/>
        </w:rPr>
      </w:pPr>
    </w:p>
    <w:p w14:paraId="5F1CF71C"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Luciferase reporter assay</w:t>
      </w:r>
    </w:p>
    <w:p w14:paraId="7540C98E" w14:textId="77777777" w:rsidR="008F21A0" w:rsidRPr="00EC152F" w:rsidRDefault="0092276A">
      <w:pPr>
        <w:spacing w:line="480" w:lineRule="auto"/>
        <w:jc w:val="both"/>
        <w:rPr>
          <w:color w:val="000000" w:themeColor="text1"/>
          <w:szCs w:val="24"/>
        </w:rPr>
      </w:pPr>
      <w:r w:rsidRPr="00EC152F">
        <w:rPr>
          <w:color w:val="000000" w:themeColor="text1"/>
          <w:szCs w:val="24"/>
        </w:rPr>
        <w:t xml:space="preserve">Cells were co-transfected with pmiRGLO-NOTCH1- 3′UTR or pmiRGLO-NOTCH1-Mut-3′ UTR in a 12-well plate, together with </w:t>
      </w:r>
      <w:proofErr w:type="spellStart"/>
      <w:r w:rsidRPr="00EC152F">
        <w:rPr>
          <w:color w:val="000000" w:themeColor="text1"/>
          <w:szCs w:val="24"/>
        </w:rPr>
        <w:t>pRL</w:t>
      </w:r>
      <w:proofErr w:type="spellEnd"/>
      <w:r w:rsidRPr="00EC152F">
        <w:rPr>
          <w:color w:val="000000" w:themeColor="text1"/>
          <w:szCs w:val="24"/>
        </w:rPr>
        <w:t>-TK (RRID: Addgene_11313). At 24 hours post transfection, cells were lysed (Promega, E3971) and analyzed with the Dual-Glo Luciferase Assay (Promega). Luciferase (F-</w:t>
      </w:r>
      <w:proofErr w:type="spellStart"/>
      <w:r w:rsidRPr="00EC152F">
        <w:rPr>
          <w:color w:val="000000" w:themeColor="text1"/>
          <w:szCs w:val="24"/>
        </w:rPr>
        <w:t>luc</w:t>
      </w:r>
      <w:proofErr w:type="spellEnd"/>
      <w:r w:rsidRPr="00EC152F">
        <w:rPr>
          <w:color w:val="000000" w:themeColor="text1"/>
          <w:szCs w:val="24"/>
        </w:rPr>
        <w:t>) activity was normalized to </w:t>
      </w:r>
      <w:r w:rsidRPr="00EC152F">
        <w:rPr>
          <w:i/>
          <w:iCs/>
          <w:color w:val="000000" w:themeColor="text1"/>
          <w:szCs w:val="24"/>
        </w:rPr>
        <w:t>Renilla</w:t>
      </w:r>
      <w:r w:rsidRPr="00EC152F">
        <w:rPr>
          <w:color w:val="000000" w:themeColor="text1"/>
          <w:szCs w:val="24"/>
        </w:rPr>
        <w:t>(R-</w:t>
      </w:r>
      <w:proofErr w:type="spellStart"/>
      <w:r w:rsidRPr="00EC152F">
        <w:rPr>
          <w:color w:val="000000" w:themeColor="text1"/>
          <w:szCs w:val="24"/>
        </w:rPr>
        <w:t>luc</w:t>
      </w:r>
      <w:proofErr w:type="spellEnd"/>
      <w:r w:rsidRPr="00EC152F">
        <w:rPr>
          <w:color w:val="000000" w:themeColor="text1"/>
          <w:szCs w:val="24"/>
        </w:rPr>
        <w:t>) activity.</w:t>
      </w:r>
    </w:p>
    <w:p w14:paraId="51814B5D" w14:textId="77777777" w:rsidR="008F21A0" w:rsidRPr="00EC152F" w:rsidRDefault="008F21A0">
      <w:pPr>
        <w:spacing w:line="480" w:lineRule="auto"/>
        <w:jc w:val="both"/>
        <w:rPr>
          <w:b/>
          <w:bCs/>
          <w:color w:val="000000" w:themeColor="text1"/>
          <w:szCs w:val="24"/>
        </w:rPr>
      </w:pPr>
    </w:p>
    <w:p w14:paraId="68351582" w14:textId="77777777" w:rsidR="008F21A0" w:rsidRPr="00EC152F" w:rsidRDefault="0092276A">
      <w:pPr>
        <w:spacing w:line="480" w:lineRule="auto"/>
        <w:jc w:val="both"/>
        <w:rPr>
          <w:b/>
          <w:bCs/>
          <w:color w:val="000000" w:themeColor="text1"/>
          <w:szCs w:val="24"/>
        </w:rPr>
      </w:pPr>
      <w:r w:rsidRPr="00EC152F">
        <w:rPr>
          <w:b/>
          <w:bCs/>
          <w:color w:val="000000" w:themeColor="text1"/>
          <w:szCs w:val="24"/>
        </w:rPr>
        <w:t>Statistical analysis</w:t>
      </w:r>
    </w:p>
    <w:p w14:paraId="57871D8D" w14:textId="2D7F03D0" w:rsidR="008F21A0" w:rsidRDefault="0092276A">
      <w:pPr>
        <w:spacing w:line="480" w:lineRule="auto"/>
        <w:jc w:val="both"/>
        <w:rPr>
          <w:color w:val="000000" w:themeColor="text1"/>
          <w:szCs w:val="24"/>
        </w:rPr>
      </w:pPr>
      <w:r w:rsidRPr="00EC152F">
        <w:rPr>
          <w:color w:val="000000" w:themeColor="text1"/>
          <w:szCs w:val="24"/>
        </w:rPr>
        <w:t>All measurements were performed in biological replicates. GraphPad Prism version 8 (GraphPad Software; San Diego, CA) was used for data analysis, and the data were shown as means ± </w:t>
      </w:r>
      <w:proofErr w:type="spellStart"/>
      <w:r w:rsidRPr="00EC152F">
        <w:rPr>
          <w:color w:val="000000" w:themeColor="text1"/>
          <w:szCs w:val="24"/>
        </w:rPr>
        <w:t>s.d.</w:t>
      </w:r>
      <w:proofErr w:type="spellEnd"/>
      <w:r w:rsidRPr="00EC152F">
        <w:rPr>
          <w:color w:val="000000" w:themeColor="text1"/>
          <w:szCs w:val="24"/>
        </w:rPr>
        <w:t xml:space="preserve">, unless stated otherwise. A </w:t>
      </w:r>
      <w:r w:rsidRPr="00EC152F">
        <w:rPr>
          <w:i/>
          <w:iCs/>
          <w:color w:val="000000" w:themeColor="text1"/>
          <w:szCs w:val="24"/>
        </w:rPr>
        <w:t>p</w:t>
      </w:r>
      <w:r w:rsidRPr="00EC152F">
        <w:rPr>
          <w:color w:val="000000" w:themeColor="text1"/>
          <w:szCs w:val="24"/>
        </w:rPr>
        <w:t>-value lower than 0.05 was regarded as statistically significant unless stated otherwise.</w:t>
      </w:r>
    </w:p>
    <w:p w14:paraId="7CC20F36" w14:textId="3BCE83DA" w:rsidR="00DE7D32" w:rsidRDefault="00DE7D32">
      <w:pPr>
        <w:spacing w:line="480" w:lineRule="auto"/>
        <w:jc w:val="both"/>
        <w:rPr>
          <w:color w:val="000000" w:themeColor="text1"/>
          <w:szCs w:val="24"/>
        </w:rPr>
      </w:pPr>
    </w:p>
    <w:p w14:paraId="7CA51822" w14:textId="6B68AD37" w:rsidR="00DE7D32" w:rsidRPr="00DE7D32" w:rsidRDefault="00DE7D32">
      <w:pPr>
        <w:spacing w:line="480" w:lineRule="auto"/>
        <w:jc w:val="both"/>
        <w:rPr>
          <w:b/>
          <w:color w:val="000000" w:themeColor="text1"/>
          <w:szCs w:val="24"/>
        </w:rPr>
      </w:pPr>
      <w:r w:rsidRPr="00DE7D32">
        <w:rPr>
          <w:b/>
          <w:color w:val="000000" w:themeColor="text1"/>
          <w:szCs w:val="24"/>
        </w:rPr>
        <w:t>References</w:t>
      </w:r>
    </w:p>
    <w:p w14:paraId="0E3FB99E" w14:textId="644EB10E" w:rsidR="00DE7D32" w:rsidRPr="009878C8" w:rsidRDefault="00DE7D32" w:rsidP="00DE7D32">
      <w:pPr>
        <w:pStyle w:val="EndNoteBibliography"/>
        <w:spacing w:after="0" w:line="480" w:lineRule="auto"/>
        <w:jc w:val="both"/>
        <w:rPr>
          <w:rFonts w:ascii="Times New Roman" w:hAnsi="Times New Roman" w:cs="Times New Roman"/>
          <w:sz w:val="24"/>
          <w:szCs w:val="24"/>
        </w:rPr>
      </w:pPr>
      <w:r w:rsidRPr="009878C8">
        <w:rPr>
          <w:rFonts w:ascii="Times New Roman" w:hAnsi="Times New Roman" w:cs="Times New Roman"/>
          <w:sz w:val="24"/>
          <w:szCs w:val="24"/>
        </w:rPr>
        <w:t>1.</w:t>
      </w:r>
      <w:r>
        <w:rPr>
          <w:rFonts w:ascii="Times New Roman" w:hAnsi="Times New Roman" w:cs="Times New Roman"/>
          <w:sz w:val="24"/>
          <w:szCs w:val="24"/>
        </w:rPr>
        <w:t xml:space="preserve"> </w:t>
      </w:r>
      <w:r w:rsidRPr="009878C8">
        <w:rPr>
          <w:rFonts w:ascii="Times New Roman" w:hAnsi="Times New Roman" w:cs="Times New Roman"/>
          <w:sz w:val="24"/>
          <w:szCs w:val="24"/>
        </w:rPr>
        <w:t>Chen</w:t>
      </w:r>
      <w:r>
        <w:rPr>
          <w:rFonts w:ascii="Times New Roman" w:hAnsi="Times New Roman" w:cs="Times New Roman"/>
          <w:sz w:val="24"/>
          <w:szCs w:val="24"/>
        </w:rPr>
        <w:t>,</w:t>
      </w:r>
      <w:r w:rsidRPr="009878C8">
        <w:rPr>
          <w:rFonts w:ascii="Times New Roman" w:hAnsi="Times New Roman" w:cs="Times New Roman"/>
          <w:sz w:val="24"/>
          <w:szCs w:val="24"/>
        </w:rPr>
        <w:t xml:space="preserve"> H</w:t>
      </w:r>
      <w:r>
        <w:rPr>
          <w:rFonts w:ascii="Times New Roman" w:hAnsi="Times New Roman" w:cs="Times New Roman"/>
          <w:sz w:val="24"/>
          <w:szCs w:val="24"/>
        </w:rPr>
        <w:t>.</w:t>
      </w:r>
      <w:r w:rsidRPr="009878C8">
        <w:rPr>
          <w:rFonts w:ascii="Times New Roman" w:hAnsi="Times New Roman" w:cs="Times New Roman"/>
          <w:sz w:val="24"/>
          <w:szCs w:val="24"/>
        </w:rPr>
        <w:t>, et al. RNA N</w:t>
      </w:r>
      <w:r w:rsidRPr="00134B6C">
        <w:rPr>
          <w:rFonts w:ascii="Times New Roman" w:hAnsi="Times New Roman" w:cs="Times New Roman"/>
          <w:sz w:val="24"/>
          <w:szCs w:val="24"/>
          <w:vertAlign w:val="superscript"/>
        </w:rPr>
        <w:t>6</w:t>
      </w:r>
      <w:r w:rsidRPr="009878C8">
        <w:rPr>
          <w:rFonts w:ascii="Times New Roman" w:hAnsi="Times New Roman" w:cs="Times New Roman"/>
          <w:sz w:val="24"/>
          <w:szCs w:val="24"/>
        </w:rPr>
        <w:t>-</w:t>
      </w:r>
      <w:r>
        <w:rPr>
          <w:rFonts w:ascii="Times New Roman" w:hAnsi="Times New Roman" w:cs="Times New Roman"/>
          <w:sz w:val="24"/>
          <w:szCs w:val="24"/>
        </w:rPr>
        <w:t>m</w:t>
      </w:r>
      <w:r w:rsidRPr="009878C8">
        <w:rPr>
          <w:rFonts w:ascii="Times New Roman" w:hAnsi="Times New Roman" w:cs="Times New Roman"/>
          <w:sz w:val="24"/>
          <w:szCs w:val="24"/>
        </w:rPr>
        <w:t xml:space="preserve">ethyladenosine </w:t>
      </w:r>
      <w:r>
        <w:rPr>
          <w:rFonts w:ascii="Times New Roman" w:hAnsi="Times New Roman" w:cs="Times New Roman"/>
          <w:sz w:val="24"/>
          <w:szCs w:val="24"/>
        </w:rPr>
        <w:t>m</w:t>
      </w:r>
      <w:r w:rsidRPr="009878C8">
        <w:rPr>
          <w:rFonts w:ascii="Times New Roman" w:hAnsi="Times New Roman" w:cs="Times New Roman"/>
          <w:sz w:val="24"/>
          <w:szCs w:val="24"/>
        </w:rPr>
        <w:t xml:space="preserve">ethyltransferase METTL3 </w:t>
      </w:r>
      <w:r>
        <w:rPr>
          <w:rFonts w:ascii="Times New Roman" w:hAnsi="Times New Roman" w:cs="Times New Roman"/>
          <w:sz w:val="24"/>
          <w:szCs w:val="24"/>
        </w:rPr>
        <w:t>f</w:t>
      </w:r>
      <w:r w:rsidRPr="009878C8">
        <w:rPr>
          <w:rFonts w:ascii="Times New Roman" w:hAnsi="Times New Roman" w:cs="Times New Roman"/>
          <w:sz w:val="24"/>
          <w:szCs w:val="24"/>
        </w:rPr>
        <w:t xml:space="preserve">acilitates </w:t>
      </w:r>
      <w:r>
        <w:rPr>
          <w:rFonts w:ascii="Times New Roman" w:hAnsi="Times New Roman" w:cs="Times New Roman"/>
          <w:sz w:val="24"/>
          <w:szCs w:val="24"/>
        </w:rPr>
        <w:t>co</w:t>
      </w:r>
      <w:r w:rsidRPr="009878C8">
        <w:rPr>
          <w:rFonts w:ascii="Times New Roman" w:hAnsi="Times New Roman" w:cs="Times New Roman"/>
          <w:sz w:val="24"/>
          <w:szCs w:val="24"/>
        </w:rPr>
        <w:t xml:space="preserve">lorectal </w:t>
      </w:r>
      <w:r>
        <w:rPr>
          <w:rFonts w:ascii="Times New Roman" w:hAnsi="Times New Roman" w:cs="Times New Roman"/>
          <w:sz w:val="24"/>
          <w:szCs w:val="24"/>
        </w:rPr>
        <w:t>c</w:t>
      </w:r>
      <w:r w:rsidRPr="009878C8">
        <w:rPr>
          <w:rFonts w:ascii="Times New Roman" w:hAnsi="Times New Roman" w:cs="Times New Roman"/>
          <w:sz w:val="24"/>
          <w:szCs w:val="24"/>
        </w:rPr>
        <w:t xml:space="preserve">ancer by </w:t>
      </w:r>
      <w:r>
        <w:rPr>
          <w:rFonts w:ascii="Times New Roman" w:hAnsi="Times New Roman" w:cs="Times New Roman"/>
          <w:sz w:val="24"/>
          <w:szCs w:val="24"/>
        </w:rPr>
        <w:t>a</w:t>
      </w:r>
      <w:r w:rsidRPr="009878C8">
        <w:rPr>
          <w:rFonts w:ascii="Times New Roman" w:hAnsi="Times New Roman" w:cs="Times New Roman"/>
          <w:sz w:val="24"/>
          <w:szCs w:val="24"/>
        </w:rPr>
        <w:t>ctivating the m</w:t>
      </w:r>
      <w:r w:rsidRPr="00134B6C">
        <w:rPr>
          <w:rFonts w:ascii="Times New Roman" w:hAnsi="Times New Roman" w:cs="Times New Roman"/>
          <w:sz w:val="24"/>
          <w:szCs w:val="24"/>
          <w:vertAlign w:val="superscript"/>
        </w:rPr>
        <w:t>6</w:t>
      </w:r>
      <w:r w:rsidRPr="009878C8">
        <w:rPr>
          <w:rFonts w:ascii="Times New Roman" w:hAnsi="Times New Roman" w:cs="Times New Roman"/>
          <w:sz w:val="24"/>
          <w:szCs w:val="24"/>
        </w:rPr>
        <w:t xml:space="preserve">A-GLUT1-mTORC1 </w:t>
      </w:r>
      <w:r>
        <w:rPr>
          <w:rFonts w:ascii="Times New Roman" w:hAnsi="Times New Roman" w:cs="Times New Roman"/>
          <w:sz w:val="24"/>
          <w:szCs w:val="24"/>
        </w:rPr>
        <w:t>a</w:t>
      </w:r>
      <w:r w:rsidRPr="009878C8">
        <w:rPr>
          <w:rFonts w:ascii="Times New Roman" w:hAnsi="Times New Roman" w:cs="Times New Roman"/>
          <w:sz w:val="24"/>
          <w:szCs w:val="24"/>
        </w:rPr>
        <w:t xml:space="preserve">xis and </w:t>
      </w:r>
      <w:r>
        <w:rPr>
          <w:rFonts w:ascii="Times New Roman" w:hAnsi="Times New Roman" w:cs="Times New Roman"/>
          <w:sz w:val="24"/>
          <w:szCs w:val="24"/>
        </w:rPr>
        <w:t>i</w:t>
      </w:r>
      <w:r w:rsidRPr="009878C8">
        <w:rPr>
          <w:rFonts w:ascii="Times New Roman" w:hAnsi="Times New Roman" w:cs="Times New Roman"/>
          <w:sz w:val="24"/>
          <w:szCs w:val="24"/>
        </w:rPr>
        <w:t xml:space="preserve">s a </w:t>
      </w:r>
      <w:r>
        <w:rPr>
          <w:rFonts w:ascii="Times New Roman" w:hAnsi="Times New Roman" w:cs="Times New Roman"/>
          <w:sz w:val="24"/>
          <w:szCs w:val="24"/>
        </w:rPr>
        <w:t>t</w:t>
      </w:r>
      <w:r w:rsidRPr="009878C8">
        <w:rPr>
          <w:rFonts w:ascii="Times New Roman" w:hAnsi="Times New Roman" w:cs="Times New Roman"/>
          <w:sz w:val="24"/>
          <w:szCs w:val="24"/>
        </w:rPr>
        <w:t xml:space="preserve">herapeutic </w:t>
      </w:r>
      <w:r>
        <w:rPr>
          <w:rFonts w:ascii="Times New Roman" w:hAnsi="Times New Roman" w:cs="Times New Roman"/>
          <w:sz w:val="24"/>
          <w:szCs w:val="24"/>
        </w:rPr>
        <w:t>t</w:t>
      </w:r>
      <w:r w:rsidRPr="009878C8">
        <w:rPr>
          <w:rFonts w:ascii="Times New Roman" w:hAnsi="Times New Roman" w:cs="Times New Roman"/>
          <w:sz w:val="24"/>
          <w:szCs w:val="24"/>
        </w:rPr>
        <w:t xml:space="preserve">arget. </w:t>
      </w:r>
      <w:r w:rsidRPr="00134B6C">
        <w:rPr>
          <w:rFonts w:ascii="Times New Roman" w:hAnsi="Times New Roman" w:cs="Times New Roman"/>
          <w:i/>
          <w:iCs/>
          <w:sz w:val="24"/>
          <w:szCs w:val="24"/>
        </w:rPr>
        <w:t>Gastroenterology</w:t>
      </w:r>
      <w:r w:rsidRPr="009878C8">
        <w:rPr>
          <w:rFonts w:ascii="Times New Roman" w:hAnsi="Times New Roman" w:cs="Times New Roman"/>
          <w:sz w:val="24"/>
          <w:szCs w:val="24"/>
        </w:rPr>
        <w:t xml:space="preserve"> </w:t>
      </w:r>
      <w:r w:rsidRPr="00134B6C">
        <w:rPr>
          <w:rFonts w:ascii="Times New Roman" w:hAnsi="Times New Roman" w:cs="Times New Roman"/>
          <w:b/>
          <w:bCs/>
          <w:sz w:val="24"/>
          <w:szCs w:val="24"/>
        </w:rPr>
        <w:t>160</w:t>
      </w:r>
      <w:r>
        <w:rPr>
          <w:rFonts w:ascii="Times New Roman" w:hAnsi="Times New Roman" w:cs="Times New Roman"/>
          <w:sz w:val="24"/>
          <w:szCs w:val="24"/>
        </w:rPr>
        <w:t xml:space="preserve">, </w:t>
      </w:r>
      <w:r w:rsidRPr="009878C8">
        <w:rPr>
          <w:rFonts w:ascii="Times New Roman" w:hAnsi="Times New Roman" w:cs="Times New Roman"/>
          <w:sz w:val="24"/>
          <w:szCs w:val="24"/>
        </w:rPr>
        <w:t>1284-</w:t>
      </w:r>
      <w:r>
        <w:rPr>
          <w:rFonts w:ascii="Times New Roman" w:hAnsi="Times New Roman" w:cs="Times New Roman"/>
          <w:sz w:val="24"/>
          <w:szCs w:val="24"/>
        </w:rPr>
        <w:t>1</w:t>
      </w:r>
      <w:r w:rsidRPr="009878C8">
        <w:rPr>
          <w:rFonts w:ascii="Times New Roman" w:hAnsi="Times New Roman" w:cs="Times New Roman"/>
          <w:sz w:val="24"/>
          <w:szCs w:val="24"/>
        </w:rPr>
        <w:t>300</w:t>
      </w:r>
      <w:r>
        <w:rPr>
          <w:rFonts w:ascii="Times New Roman" w:hAnsi="Times New Roman" w:cs="Times New Roman"/>
          <w:sz w:val="24"/>
          <w:szCs w:val="24"/>
        </w:rPr>
        <w:t xml:space="preserve"> (2021).</w:t>
      </w:r>
    </w:p>
    <w:p w14:paraId="1EB01628" w14:textId="12E602EB" w:rsidR="00DE7D32" w:rsidRPr="009878C8" w:rsidRDefault="00DE7D32" w:rsidP="00DE7D32">
      <w:pPr>
        <w:pStyle w:val="EndNoteBibliography"/>
        <w:spacing w:after="0" w:line="480" w:lineRule="auto"/>
        <w:jc w:val="both"/>
        <w:rPr>
          <w:rFonts w:ascii="Times New Roman" w:hAnsi="Times New Roman" w:cs="Times New Roman"/>
          <w:sz w:val="24"/>
          <w:szCs w:val="24"/>
        </w:rPr>
      </w:pPr>
      <w:r>
        <w:rPr>
          <w:rFonts w:ascii="Times New Roman" w:hAnsi="Times New Roman" w:cs="Times New Roman"/>
          <w:sz w:val="24"/>
          <w:szCs w:val="24"/>
        </w:rPr>
        <w:t>2</w:t>
      </w:r>
      <w:r w:rsidRPr="009878C8">
        <w:rPr>
          <w:rFonts w:ascii="Times New Roman" w:hAnsi="Times New Roman" w:cs="Times New Roman"/>
          <w:sz w:val="24"/>
          <w:szCs w:val="24"/>
        </w:rPr>
        <w:t>.</w:t>
      </w:r>
      <w:r>
        <w:rPr>
          <w:rFonts w:ascii="Times New Roman" w:hAnsi="Times New Roman" w:cs="Times New Roman"/>
          <w:sz w:val="24"/>
          <w:szCs w:val="24"/>
        </w:rPr>
        <w:t xml:space="preserve"> </w:t>
      </w:r>
      <w:r w:rsidRPr="009878C8">
        <w:rPr>
          <w:rFonts w:ascii="Times New Roman" w:hAnsi="Times New Roman" w:cs="Times New Roman"/>
          <w:sz w:val="24"/>
          <w:szCs w:val="24"/>
        </w:rPr>
        <w:t>Zhai</w:t>
      </w:r>
      <w:r>
        <w:rPr>
          <w:rFonts w:ascii="Times New Roman" w:hAnsi="Times New Roman" w:cs="Times New Roman"/>
          <w:sz w:val="24"/>
          <w:szCs w:val="24"/>
        </w:rPr>
        <w:t>,</w:t>
      </w:r>
      <w:r w:rsidRPr="009878C8">
        <w:rPr>
          <w:rFonts w:ascii="Times New Roman" w:hAnsi="Times New Roman" w:cs="Times New Roman"/>
          <w:sz w:val="24"/>
          <w:szCs w:val="24"/>
        </w:rPr>
        <w:t xml:space="preserve"> J</w:t>
      </w:r>
      <w:r>
        <w:rPr>
          <w:rFonts w:ascii="Times New Roman" w:hAnsi="Times New Roman" w:cs="Times New Roman"/>
          <w:sz w:val="24"/>
          <w:szCs w:val="24"/>
        </w:rPr>
        <w:t>.</w:t>
      </w:r>
      <w:r w:rsidRPr="009878C8">
        <w:rPr>
          <w:rFonts w:ascii="Times New Roman" w:hAnsi="Times New Roman" w:cs="Times New Roman"/>
          <w:sz w:val="24"/>
          <w:szCs w:val="24"/>
        </w:rPr>
        <w:t xml:space="preserve">, et al. ALKBH5 </w:t>
      </w:r>
      <w:r>
        <w:rPr>
          <w:rFonts w:ascii="Times New Roman" w:hAnsi="Times New Roman" w:cs="Times New Roman"/>
          <w:sz w:val="24"/>
          <w:szCs w:val="24"/>
        </w:rPr>
        <w:t>d</w:t>
      </w:r>
      <w:r w:rsidRPr="009878C8">
        <w:rPr>
          <w:rFonts w:ascii="Times New Roman" w:hAnsi="Times New Roman" w:cs="Times New Roman"/>
          <w:sz w:val="24"/>
          <w:szCs w:val="24"/>
        </w:rPr>
        <w:t xml:space="preserve">rives </w:t>
      </w:r>
      <w:r>
        <w:rPr>
          <w:rFonts w:ascii="Times New Roman" w:hAnsi="Times New Roman" w:cs="Times New Roman"/>
          <w:sz w:val="24"/>
          <w:szCs w:val="24"/>
        </w:rPr>
        <w:t>i</w:t>
      </w:r>
      <w:r w:rsidRPr="009878C8">
        <w:rPr>
          <w:rFonts w:ascii="Times New Roman" w:hAnsi="Times New Roman" w:cs="Times New Roman"/>
          <w:sz w:val="24"/>
          <w:szCs w:val="24"/>
        </w:rPr>
        <w:t xml:space="preserve">mmune </w:t>
      </w:r>
      <w:r>
        <w:rPr>
          <w:rFonts w:ascii="Times New Roman" w:hAnsi="Times New Roman" w:cs="Times New Roman"/>
          <w:sz w:val="24"/>
          <w:szCs w:val="24"/>
        </w:rPr>
        <w:t>s</w:t>
      </w:r>
      <w:r w:rsidRPr="009878C8">
        <w:rPr>
          <w:rFonts w:ascii="Times New Roman" w:hAnsi="Times New Roman" w:cs="Times New Roman"/>
          <w:sz w:val="24"/>
          <w:szCs w:val="24"/>
        </w:rPr>
        <w:t xml:space="preserve">uppression </w:t>
      </w:r>
      <w:r>
        <w:rPr>
          <w:rFonts w:ascii="Times New Roman" w:hAnsi="Times New Roman" w:cs="Times New Roman"/>
          <w:sz w:val="24"/>
          <w:szCs w:val="24"/>
        </w:rPr>
        <w:t>v</w:t>
      </w:r>
      <w:r w:rsidRPr="009878C8">
        <w:rPr>
          <w:rFonts w:ascii="Times New Roman" w:hAnsi="Times New Roman" w:cs="Times New Roman"/>
          <w:sz w:val="24"/>
          <w:szCs w:val="24"/>
        </w:rPr>
        <w:t xml:space="preserve">ia </w:t>
      </w:r>
      <w:r>
        <w:rPr>
          <w:rFonts w:ascii="Times New Roman" w:hAnsi="Times New Roman" w:cs="Times New Roman"/>
          <w:sz w:val="24"/>
          <w:szCs w:val="24"/>
        </w:rPr>
        <w:t>t</w:t>
      </w:r>
      <w:r w:rsidRPr="009878C8">
        <w:rPr>
          <w:rFonts w:ascii="Times New Roman" w:hAnsi="Times New Roman" w:cs="Times New Roman"/>
          <w:sz w:val="24"/>
          <w:szCs w:val="24"/>
        </w:rPr>
        <w:t xml:space="preserve">argeting AXIN2 to </w:t>
      </w:r>
      <w:r>
        <w:rPr>
          <w:rFonts w:ascii="Times New Roman" w:hAnsi="Times New Roman" w:cs="Times New Roman"/>
          <w:sz w:val="24"/>
          <w:szCs w:val="24"/>
        </w:rPr>
        <w:t>p</w:t>
      </w:r>
      <w:r w:rsidRPr="009878C8">
        <w:rPr>
          <w:rFonts w:ascii="Times New Roman" w:hAnsi="Times New Roman" w:cs="Times New Roman"/>
          <w:sz w:val="24"/>
          <w:szCs w:val="24"/>
        </w:rPr>
        <w:t xml:space="preserve">romote </w:t>
      </w:r>
      <w:r>
        <w:rPr>
          <w:rFonts w:ascii="Times New Roman" w:hAnsi="Times New Roman" w:cs="Times New Roman"/>
          <w:sz w:val="24"/>
          <w:szCs w:val="24"/>
        </w:rPr>
        <w:t>c</w:t>
      </w:r>
      <w:r w:rsidRPr="009878C8">
        <w:rPr>
          <w:rFonts w:ascii="Times New Roman" w:hAnsi="Times New Roman" w:cs="Times New Roman"/>
          <w:sz w:val="24"/>
          <w:szCs w:val="24"/>
        </w:rPr>
        <w:t xml:space="preserve">olorectal </w:t>
      </w:r>
      <w:r>
        <w:rPr>
          <w:rFonts w:ascii="Times New Roman" w:hAnsi="Times New Roman" w:cs="Times New Roman"/>
          <w:sz w:val="24"/>
          <w:szCs w:val="24"/>
        </w:rPr>
        <w:t>c</w:t>
      </w:r>
      <w:r w:rsidRPr="009878C8">
        <w:rPr>
          <w:rFonts w:ascii="Times New Roman" w:hAnsi="Times New Roman" w:cs="Times New Roman"/>
          <w:sz w:val="24"/>
          <w:szCs w:val="24"/>
        </w:rPr>
        <w:t xml:space="preserve">ancer and </w:t>
      </w:r>
      <w:r>
        <w:rPr>
          <w:rFonts w:ascii="Times New Roman" w:hAnsi="Times New Roman" w:cs="Times New Roman"/>
          <w:sz w:val="24"/>
          <w:szCs w:val="24"/>
        </w:rPr>
        <w:t>i</w:t>
      </w:r>
      <w:r w:rsidRPr="009878C8">
        <w:rPr>
          <w:rFonts w:ascii="Times New Roman" w:hAnsi="Times New Roman" w:cs="Times New Roman"/>
          <w:sz w:val="24"/>
          <w:szCs w:val="24"/>
        </w:rPr>
        <w:t xml:space="preserve">s a </w:t>
      </w:r>
      <w:r>
        <w:rPr>
          <w:rFonts w:ascii="Times New Roman" w:hAnsi="Times New Roman" w:cs="Times New Roman"/>
          <w:sz w:val="24"/>
          <w:szCs w:val="24"/>
        </w:rPr>
        <w:t>t</w:t>
      </w:r>
      <w:r w:rsidRPr="009878C8">
        <w:rPr>
          <w:rFonts w:ascii="Times New Roman" w:hAnsi="Times New Roman" w:cs="Times New Roman"/>
          <w:sz w:val="24"/>
          <w:szCs w:val="24"/>
        </w:rPr>
        <w:t xml:space="preserve">arget for </w:t>
      </w:r>
      <w:r>
        <w:rPr>
          <w:rFonts w:ascii="Times New Roman" w:hAnsi="Times New Roman" w:cs="Times New Roman"/>
          <w:sz w:val="24"/>
          <w:szCs w:val="24"/>
        </w:rPr>
        <w:t>b</w:t>
      </w:r>
      <w:r w:rsidRPr="009878C8">
        <w:rPr>
          <w:rFonts w:ascii="Times New Roman" w:hAnsi="Times New Roman" w:cs="Times New Roman"/>
          <w:sz w:val="24"/>
          <w:szCs w:val="24"/>
        </w:rPr>
        <w:t xml:space="preserve">oosting </w:t>
      </w:r>
      <w:r>
        <w:rPr>
          <w:rFonts w:ascii="Times New Roman" w:hAnsi="Times New Roman" w:cs="Times New Roman"/>
          <w:sz w:val="24"/>
          <w:szCs w:val="24"/>
        </w:rPr>
        <w:t>i</w:t>
      </w:r>
      <w:r w:rsidRPr="009878C8">
        <w:rPr>
          <w:rFonts w:ascii="Times New Roman" w:hAnsi="Times New Roman" w:cs="Times New Roman"/>
          <w:sz w:val="24"/>
          <w:szCs w:val="24"/>
        </w:rPr>
        <w:t xml:space="preserve">mmunotherapy. </w:t>
      </w:r>
      <w:r w:rsidRPr="00134B6C">
        <w:rPr>
          <w:rFonts w:ascii="Times New Roman" w:hAnsi="Times New Roman" w:cs="Times New Roman"/>
          <w:i/>
          <w:iCs/>
          <w:sz w:val="24"/>
          <w:szCs w:val="24"/>
        </w:rPr>
        <w:t>Gastroenterology</w:t>
      </w:r>
      <w:r>
        <w:rPr>
          <w:rFonts w:ascii="Times New Roman" w:hAnsi="Times New Roman" w:cs="Times New Roman"/>
          <w:sz w:val="24"/>
          <w:szCs w:val="24"/>
        </w:rPr>
        <w:t xml:space="preserve"> </w:t>
      </w:r>
      <w:r w:rsidRPr="00134B6C">
        <w:rPr>
          <w:rFonts w:ascii="Times New Roman" w:hAnsi="Times New Roman" w:cs="Times New Roman"/>
          <w:b/>
          <w:bCs/>
          <w:sz w:val="24"/>
          <w:szCs w:val="24"/>
        </w:rPr>
        <w:t>165</w:t>
      </w:r>
      <w:r>
        <w:rPr>
          <w:rFonts w:ascii="Times New Roman" w:hAnsi="Times New Roman" w:cs="Times New Roman"/>
          <w:sz w:val="24"/>
          <w:szCs w:val="24"/>
        </w:rPr>
        <w:t xml:space="preserve">, </w:t>
      </w:r>
      <w:r w:rsidRPr="009878C8">
        <w:rPr>
          <w:rFonts w:ascii="Times New Roman" w:hAnsi="Times New Roman" w:cs="Times New Roman"/>
          <w:sz w:val="24"/>
          <w:szCs w:val="24"/>
        </w:rPr>
        <w:t>445-</w:t>
      </w:r>
      <w:r>
        <w:rPr>
          <w:rFonts w:ascii="Times New Roman" w:hAnsi="Times New Roman" w:cs="Times New Roman"/>
          <w:sz w:val="24"/>
          <w:szCs w:val="24"/>
        </w:rPr>
        <w:t>4</w:t>
      </w:r>
      <w:r w:rsidRPr="009878C8">
        <w:rPr>
          <w:rFonts w:ascii="Times New Roman" w:hAnsi="Times New Roman" w:cs="Times New Roman"/>
          <w:sz w:val="24"/>
          <w:szCs w:val="24"/>
        </w:rPr>
        <w:t>62</w:t>
      </w:r>
      <w:r>
        <w:rPr>
          <w:rFonts w:ascii="Times New Roman" w:hAnsi="Times New Roman" w:cs="Times New Roman"/>
          <w:sz w:val="24"/>
          <w:szCs w:val="24"/>
        </w:rPr>
        <w:t xml:space="preserve"> (2023)</w:t>
      </w:r>
      <w:r w:rsidRPr="009878C8">
        <w:rPr>
          <w:rFonts w:ascii="Times New Roman" w:hAnsi="Times New Roman" w:cs="Times New Roman"/>
          <w:sz w:val="24"/>
          <w:szCs w:val="24"/>
        </w:rPr>
        <w:t>.</w:t>
      </w:r>
    </w:p>
    <w:p w14:paraId="29CA037A" w14:textId="77777777" w:rsidR="00DE7D32" w:rsidRPr="00EC152F" w:rsidRDefault="00DE7D32">
      <w:pPr>
        <w:spacing w:line="480" w:lineRule="auto"/>
        <w:jc w:val="both"/>
        <w:rPr>
          <w:color w:val="000000" w:themeColor="text1"/>
          <w:szCs w:val="24"/>
        </w:rPr>
      </w:pPr>
    </w:p>
    <w:p w14:paraId="758597B1" w14:textId="77777777" w:rsidR="008F21A0" w:rsidRPr="00EC152F" w:rsidRDefault="0092276A">
      <w:pPr>
        <w:rPr>
          <w:szCs w:val="24"/>
        </w:rPr>
      </w:pPr>
      <w:r w:rsidRPr="00EC152F">
        <w:rPr>
          <w:szCs w:val="24"/>
        </w:rPr>
        <w:br w:type="page"/>
      </w:r>
    </w:p>
    <w:p w14:paraId="11BAD22F" w14:textId="5CB2A87F" w:rsidR="00252BED" w:rsidRPr="00EC152F" w:rsidRDefault="00957917" w:rsidP="001C5114">
      <w:pPr>
        <w:spacing w:line="480" w:lineRule="auto"/>
        <w:jc w:val="center"/>
        <w:rPr>
          <w:szCs w:val="24"/>
        </w:rPr>
      </w:pPr>
      <w:r>
        <w:rPr>
          <w:noProof/>
          <w:szCs w:val="24"/>
        </w:rPr>
        <w:lastRenderedPageBreak/>
        <w:drawing>
          <wp:inline distT="0" distB="0" distL="0" distR="0" wp14:anchorId="4CF6FCA2" wp14:editId="147F4FF9">
            <wp:extent cx="5943600" cy="5443870"/>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 (1)-Revised.tif"/>
                    <pic:cNvPicPr/>
                  </pic:nvPicPr>
                  <pic:blipFill rotWithShape="1">
                    <a:blip r:embed="rId8" cstate="hqprint">
                      <a:extLst>
                        <a:ext uri="{28A0092B-C50C-407E-A947-70E740481C1C}">
                          <a14:useLocalDpi xmlns:a14="http://schemas.microsoft.com/office/drawing/2010/main"/>
                        </a:ext>
                      </a:extLst>
                    </a:blip>
                    <a:srcRect b="16058"/>
                    <a:stretch/>
                  </pic:blipFill>
                  <pic:spPr bwMode="auto">
                    <a:xfrm>
                      <a:off x="0" y="0"/>
                      <a:ext cx="5943600" cy="5443870"/>
                    </a:xfrm>
                    <a:prstGeom prst="rect">
                      <a:avLst/>
                    </a:prstGeom>
                    <a:ln>
                      <a:noFill/>
                    </a:ln>
                    <a:extLst>
                      <a:ext uri="{53640926-AAD7-44D8-BBD7-CCE9431645EC}">
                        <a14:shadowObscured xmlns:a14="http://schemas.microsoft.com/office/drawing/2010/main"/>
                      </a:ext>
                    </a:extLst>
                  </pic:spPr>
                </pic:pic>
              </a:graphicData>
            </a:graphic>
          </wp:inline>
        </w:drawing>
      </w:r>
    </w:p>
    <w:p w14:paraId="3629CAC9" w14:textId="3E81DAA9" w:rsidR="00252BED" w:rsidRPr="00EC152F" w:rsidRDefault="00252BED" w:rsidP="00EC152F">
      <w:pPr>
        <w:spacing w:line="480" w:lineRule="auto"/>
        <w:jc w:val="both"/>
        <w:rPr>
          <w:kern w:val="32"/>
          <w:szCs w:val="24"/>
        </w:rPr>
      </w:pPr>
      <w:r w:rsidRPr="00EC152F">
        <w:rPr>
          <w:b/>
          <w:bCs/>
          <w:kern w:val="32"/>
          <w:szCs w:val="24"/>
        </w:rPr>
        <w:t xml:space="preserve">Figure. S1. (a) </w:t>
      </w:r>
      <w:r w:rsidRPr="00EC152F">
        <w:rPr>
          <w:kern w:val="32"/>
          <w:szCs w:val="24"/>
        </w:rPr>
        <w:t xml:space="preserve">Effect of YTHDF1 overexpression and knockdown on CSC28, LS174TS, and POP66 viability. </w:t>
      </w:r>
      <w:r w:rsidRPr="00EC152F">
        <w:rPr>
          <w:b/>
          <w:bCs/>
          <w:kern w:val="32"/>
          <w:szCs w:val="24"/>
        </w:rPr>
        <w:t xml:space="preserve">(b) </w:t>
      </w:r>
      <w:r w:rsidRPr="00EC152F">
        <w:rPr>
          <w:kern w:val="32"/>
          <w:szCs w:val="24"/>
        </w:rPr>
        <w:t xml:space="preserve">Western blot of YTHDF1 overexpression and mutant. </w:t>
      </w:r>
      <w:r w:rsidRPr="00EC152F">
        <w:rPr>
          <w:b/>
          <w:bCs/>
          <w:kern w:val="32"/>
          <w:szCs w:val="24"/>
        </w:rPr>
        <w:t xml:space="preserve">(c) </w:t>
      </w:r>
      <w:r w:rsidRPr="00EC152F">
        <w:rPr>
          <w:kern w:val="32"/>
          <w:szCs w:val="24"/>
        </w:rPr>
        <w:t xml:space="preserve">Effect of YTHDF1 mutant on CSC28 and LS174TS viability. </w:t>
      </w:r>
      <w:r w:rsidRPr="00EC152F">
        <w:rPr>
          <w:b/>
          <w:bCs/>
          <w:kern w:val="32"/>
          <w:szCs w:val="24"/>
        </w:rPr>
        <w:t xml:space="preserve">(d) </w:t>
      </w:r>
      <w:r w:rsidRPr="00EC152F">
        <w:rPr>
          <w:kern w:val="32"/>
          <w:szCs w:val="24"/>
        </w:rPr>
        <w:t>Cell dose and response of in vivo limiting dilution assays. *, p &lt; 0.05; **, p &lt; 0.01; ***, p &lt; 0.001; ****, p &lt; 0.0001; Two way-ANOVA (A, C).</w:t>
      </w:r>
    </w:p>
    <w:p w14:paraId="3E2F0984" w14:textId="77777777" w:rsidR="00252BED" w:rsidRPr="00EC152F" w:rsidRDefault="00252BED" w:rsidP="00EC152F">
      <w:pPr>
        <w:spacing w:line="480" w:lineRule="auto"/>
        <w:rPr>
          <w:szCs w:val="24"/>
        </w:rPr>
      </w:pPr>
    </w:p>
    <w:p w14:paraId="62296CCA" w14:textId="16AE605C" w:rsidR="008F21A0" w:rsidRPr="00EC152F" w:rsidRDefault="008F21A0" w:rsidP="00EC152F">
      <w:pPr>
        <w:spacing w:line="480" w:lineRule="auto"/>
        <w:rPr>
          <w:szCs w:val="24"/>
        </w:rPr>
      </w:pPr>
    </w:p>
    <w:p w14:paraId="6A3F6509" w14:textId="77777777" w:rsidR="008F21A0" w:rsidRPr="00EC152F" w:rsidRDefault="0092276A" w:rsidP="00EC152F">
      <w:pPr>
        <w:spacing w:line="480" w:lineRule="auto"/>
        <w:rPr>
          <w:b/>
          <w:bCs/>
          <w:kern w:val="32"/>
          <w:szCs w:val="24"/>
        </w:rPr>
      </w:pPr>
      <w:r w:rsidRPr="00EC152F">
        <w:rPr>
          <w:szCs w:val="24"/>
        </w:rPr>
        <w:br w:type="page"/>
      </w:r>
    </w:p>
    <w:p w14:paraId="1D13FA71" w14:textId="694AC833" w:rsidR="008F21A0" w:rsidRPr="00EC152F" w:rsidRDefault="00957917" w:rsidP="00EC152F">
      <w:pPr>
        <w:spacing w:line="480" w:lineRule="auto"/>
        <w:jc w:val="center"/>
        <w:rPr>
          <w:szCs w:val="24"/>
        </w:rPr>
      </w:pPr>
      <w:r>
        <w:rPr>
          <w:noProof/>
          <w:szCs w:val="24"/>
        </w:rPr>
        <w:lastRenderedPageBreak/>
        <w:drawing>
          <wp:inline distT="0" distB="0" distL="0" distR="0" wp14:anchorId="74EF3653" wp14:editId="732BBAC0">
            <wp:extent cx="4986670" cy="7184496"/>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ure (2)-Revised.tif"/>
                    <pic:cNvPicPr/>
                  </pic:nvPicPr>
                  <pic:blipFill rotWithShape="1">
                    <a:blip r:embed="rId9" cstate="hqprint">
                      <a:extLst>
                        <a:ext uri="{28A0092B-C50C-407E-A947-70E740481C1C}">
                          <a14:useLocalDpi xmlns:a14="http://schemas.microsoft.com/office/drawing/2010/main"/>
                        </a:ext>
                      </a:extLst>
                    </a:blip>
                    <a:srcRect b="21060"/>
                    <a:stretch/>
                  </pic:blipFill>
                  <pic:spPr bwMode="auto">
                    <a:xfrm>
                      <a:off x="0" y="0"/>
                      <a:ext cx="4991992" cy="7192163"/>
                    </a:xfrm>
                    <a:prstGeom prst="rect">
                      <a:avLst/>
                    </a:prstGeom>
                    <a:ln>
                      <a:noFill/>
                    </a:ln>
                    <a:extLst>
                      <a:ext uri="{53640926-AAD7-44D8-BBD7-CCE9431645EC}">
                        <a14:shadowObscured xmlns:a14="http://schemas.microsoft.com/office/drawing/2010/main"/>
                      </a:ext>
                    </a:extLst>
                  </pic:spPr>
                </pic:pic>
              </a:graphicData>
            </a:graphic>
          </wp:inline>
        </w:drawing>
      </w:r>
    </w:p>
    <w:p w14:paraId="7E71458E" w14:textId="7F8CE28A" w:rsidR="00411E5B" w:rsidRPr="00EC152F" w:rsidRDefault="00411E5B" w:rsidP="00EC152F">
      <w:pPr>
        <w:spacing w:line="480" w:lineRule="auto"/>
        <w:jc w:val="both"/>
        <w:rPr>
          <w:szCs w:val="24"/>
        </w:rPr>
      </w:pPr>
      <w:r w:rsidRPr="00EC152F">
        <w:rPr>
          <w:b/>
          <w:bCs/>
          <w:szCs w:val="24"/>
        </w:rPr>
        <w:t xml:space="preserve">Figure. S2. (a) </w:t>
      </w:r>
      <w:r w:rsidRPr="00EC152F">
        <w:rPr>
          <w:szCs w:val="24"/>
        </w:rPr>
        <w:t>Representative images of YTHDF1 and NOTCH1 staining of tumor tissues in CRC tissue microarrays (N=184) (</w:t>
      </w:r>
      <w:r w:rsidRPr="00EC152F">
        <w:rPr>
          <w:i/>
          <w:iCs/>
          <w:szCs w:val="24"/>
        </w:rPr>
        <w:t>top left</w:t>
      </w:r>
      <w:r w:rsidRPr="00EC152F">
        <w:rPr>
          <w:szCs w:val="24"/>
        </w:rPr>
        <w:t xml:space="preserve">). Scale bar = 100 μm. Pearson correlation analysis of </w:t>
      </w:r>
      <w:r w:rsidRPr="00EC152F">
        <w:rPr>
          <w:szCs w:val="24"/>
        </w:rPr>
        <w:lastRenderedPageBreak/>
        <w:t>YTHDF1 and protein expression (</w:t>
      </w:r>
      <w:r w:rsidRPr="00EC152F">
        <w:rPr>
          <w:i/>
          <w:iCs/>
          <w:szCs w:val="24"/>
        </w:rPr>
        <w:t>top right</w:t>
      </w:r>
      <w:r w:rsidRPr="00EC152F">
        <w:rPr>
          <w:szCs w:val="24"/>
        </w:rPr>
        <w:t xml:space="preserve">). Representative images of YTHDF1 and NOTCH1 staining of normal tissues in CRC tissue microarrays (N=184) </w:t>
      </w:r>
      <w:r w:rsidRPr="00EC152F">
        <w:rPr>
          <w:i/>
          <w:iCs/>
          <w:szCs w:val="24"/>
        </w:rPr>
        <w:t xml:space="preserve">(bottom left). </w:t>
      </w:r>
      <w:r w:rsidRPr="00EC152F">
        <w:rPr>
          <w:szCs w:val="24"/>
        </w:rPr>
        <w:t xml:space="preserve">Scale bar = 100 μm. Pearson correlation analysis of YTHDF1 and NOTCH1 protein expression </w:t>
      </w:r>
      <w:r w:rsidRPr="00EC152F">
        <w:rPr>
          <w:i/>
          <w:iCs/>
          <w:szCs w:val="24"/>
        </w:rPr>
        <w:t>(bottom right)</w:t>
      </w:r>
      <w:r w:rsidRPr="00EC152F">
        <w:rPr>
          <w:szCs w:val="24"/>
        </w:rPr>
        <w:t xml:space="preserve">. </w:t>
      </w:r>
      <w:r w:rsidRPr="00EC152F">
        <w:rPr>
          <w:b/>
          <w:bCs/>
          <w:szCs w:val="24"/>
        </w:rPr>
        <w:t xml:space="preserve">(b) </w:t>
      </w:r>
      <w:r w:rsidRPr="00EC152F">
        <w:rPr>
          <w:szCs w:val="24"/>
        </w:rPr>
        <w:t xml:space="preserve">NOTCH1 is overexpressed in CRC patient tumor tissues compared to adjacent normal. </w:t>
      </w:r>
      <w:r w:rsidRPr="00EC152F">
        <w:rPr>
          <w:b/>
          <w:bCs/>
          <w:szCs w:val="24"/>
        </w:rPr>
        <w:t xml:space="preserve">(c) </w:t>
      </w:r>
      <w:r w:rsidRPr="00EC152F">
        <w:rPr>
          <w:szCs w:val="24"/>
        </w:rPr>
        <w:t xml:space="preserve">Level of </w:t>
      </w:r>
      <w:r w:rsidRPr="00EC152F">
        <w:rPr>
          <w:i/>
          <w:iCs/>
          <w:szCs w:val="24"/>
        </w:rPr>
        <w:t>NOTCH1</w:t>
      </w:r>
      <w:r w:rsidRPr="00EC152F">
        <w:rPr>
          <w:szCs w:val="24"/>
        </w:rPr>
        <w:t xml:space="preserve"> mRNA in CSCs. *, p &lt; 0.05; **, p &lt; 0.01; ***, p &lt; 0.001; ****, p &lt; 0.0001; Pearson chi-square test (a), Paired t-test (b), 2-tailed t-test (c).</w:t>
      </w:r>
    </w:p>
    <w:p w14:paraId="3BA1D7AC" w14:textId="60410237" w:rsidR="004657F1" w:rsidRPr="00EC152F" w:rsidRDefault="00957917" w:rsidP="00957917">
      <w:pPr>
        <w:spacing w:line="480" w:lineRule="auto"/>
        <w:jc w:val="center"/>
        <w:rPr>
          <w:szCs w:val="24"/>
        </w:rPr>
      </w:pPr>
      <w:r>
        <w:rPr>
          <w:noProof/>
          <w:szCs w:val="24"/>
        </w:rPr>
        <w:lastRenderedPageBreak/>
        <w:drawing>
          <wp:inline distT="0" distB="0" distL="0" distR="0" wp14:anchorId="0F5108C9" wp14:editId="6FA859E6">
            <wp:extent cx="4582632" cy="7266458"/>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ary Figure (3)-Revised.tif"/>
                    <pic:cNvPicPr/>
                  </pic:nvPicPr>
                  <pic:blipFill rotWithShape="1">
                    <a:blip r:embed="rId10" cstate="hqprint">
                      <a:extLst>
                        <a:ext uri="{28A0092B-C50C-407E-A947-70E740481C1C}">
                          <a14:useLocalDpi xmlns:a14="http://schemas.microsoft.com/office/drawing/2010/main"/>
                        </a:ext>
                      </a:extLst>
                    </a:blip>
                    <a:srcRect b="15763"/>
                    <a:stretch/>
                  </pic:blipFill>
                  <pic:spPr bwMode="auto">
                    <a:xfrm>
                      <a:off x="0" y="0"/>
                      <a:ext cx="4589987" cy="7278120"/>
                    </a:xfrm>
                    <a:prstGeom prst="rect">
                      <a:avLst/>
                    </a:prstGeom>
                    <a:ln>
                      <a:noFill/>
                    </a:ln>
                    <a:extLst>
                      <a:ext uri="{53640926-AAD7-44D8-BBD7-CCE9431645EC}">
                        <a14:shadowObscured xmlns:a14="http://schemas.microsoft.com/office/drawing/2010/main"/>
                      </a:ext>
                    </a:extLst>
                  </pic:spPr>
                </pic:pic>
              </a:graphicData>
            </a:graphic>
          </wp:inline>
        </w:drawing>
      </w:r>
    </w:p>
    <w:p w14:paraId="14611A6A" w14:textId="0AB99930" w:rsidR="00CE1A34" w:rsidRPr="00EC152F" w:rsidRDefault="00CE1A34" w:rsidP="00EC152F">
      <w:pPr>
        <w:spacing w:line="480" w:lineRule="auto"/>
        <w:jc w:val="both"/>
        <w:rPr>
          <w:szCs w:val="24"/>
        </w:rPr>
      </w:pPr>
      <w:r w:rsidRPr="00EC152F">
        <w:rPr>
          <w:b/>
          <w:bCs/>
          <w:szCs w:val="24"/>
        </w:rPr>
        <w:t xml:space="preserve">Figure. S3. (a) </w:t>
      </w:r>
      <w:r w:rsidRPr="00EC152F">
        <w:rPr>
          <w:szCs w:val="24"/>
        </w:rPr>
        <w:t>Western blots quantification of NOTCH1 and NICD in YTHDF1 overexpressed CSCs (n=3, biological triplicate).</w:t>
      </w:r>
      <w:r w:rsidRPr="00EC152F">
        <w:rPr>
          <w:b/>
          <w:bCs/>
          <w:szCs w:val="24"/>
        </w:rPr>
        <w:t xml:space="preserve"> (b) </w:t>
      </w:r>
      <w:r w:rsidRPr="00EC152F">
        <w:rPr>
          <w:szCs w:val="24"/>
        </w:rPr>
        <w:t xml:space="preserve">Western blot of NOTCH1 in YTHDF1-knockdown CSCs. </w:t>
      </w:r>
      <w:r w:rsidRPr="00EC152F">
        <w:rPr>
          <w:b/>
          <w:bCs/>
          <w:szCs w:val="24"/>
        </w:rPr>
        <w:lastRenderedPageBreak/>
        <w:t xml:space="preserve">(c) </w:t>
      </w:r>
      <w:r w:rsidRPr="00EC152F">
        <w:rPr>
          <w:szCs w:val="24"/>
        </w:rPr>
        <w:t xml:space="preserve">Effect of siNOTCH1 on YTHDF1-overexpressed CSC28 and LS174TS viability. </w:t>
      </w:r>
      <w:r w:rsidRPr="00EC152F">
        <w:rPr>
          <w:b/>
          <w:bCs/>
          <w:szCs w:val="24"/>
        </w:rPr>
        <w:t>(d)</w:t>
      </w:r>
      <w:r w:rsidRPr="00EC152F">
        <w:rPr>
          <w:szCs w:val="24"/>
        </w:rPr>
        <w:t xml:space="preserve"> Effect of DAPT on YTHDF1-overexpressed CSC28 and LS174TS viability. *, p &lt; 0.05; **, p &lt; 0.01; ***, p &lt; 0.001; ****, p &lt; 0.0001; Multiple t-tests (a); Two way-ANOVA (c, d).</w:t>
      </w:r>
    </w:p>
    <w:p w14:paraId="5470A77A" w14:textId="1E41906A" w:rsidR="001C5114" w:rsidRDefault="00957917" w:rsidP="001C5114">
      <w:pPr>
        <w:spacing w:line="480" w:lineRule="auto"/>
        <w:jc w:val="center"/>
        <w:rPr>
          <w:b/>
          <w:bCs/>
          <w:szCs w:val="24"/>
        </w:rPr>
      </w:pPr>
      <w:r>
        <w:rPr>
          <w:b/>
          <w:bCs/>
          <w:noProof/>
          <w:szCs w:val="24"/>
        </w:rPr>
        <w:lastRenderedPageBreak/>
        <w:drawing>
          <wp:inline distT="0" distB="0" distL="0" distR="0" wp14:anchorId="544DEFA6" wp14:editId="288DBA07">
            <wp:extent cx="5781298" cy="747468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plementary Figure (4)-Revised.tif"/>
                    <pic:cNvPicPr/>
                  </pic:nvPicPr>
                  <pic:blipFill rotWithShape="1">
                    <a:blip r:embed="rId11" cstate="hqprint">
                      <a:extLst>
                        <a:ext uri="{28A0092B-C50C-407E-A947-70E740481C1C}">
                          <a14:useLocalDpi xmlns:a14="http://schemas.microsoft.com/office/drawing/2010/main"/>
                        </a:ext>
                      </a:extLst>
                    </a:blip>
                    <a:srcRect b="18605"/>
                    <a:stretch/>
                  </pic:blipFill>
                  <pic:spPr bwMode="auto">
                    <a:xfrm>
                      <a:off x="0" y="0"/>
                      <a:ext cx="5787486" cy="7482689"/>
                    </a:xfrm>
                    <a:prstGeom prst="rect">
                      <a:avLst/>
                    </a:prstGeom>
                    <a:ln>
                      <a:noFill/>
                    </a:ln>
                    <a:extLst>
                      <a:ext uri="{53640926-AAD7-44D8-BBD7-CCE9431645EC}">
                        <a14:shadowObscured xmlns:a14="http://schemas.microsoft.com/office/drawing/2010/main"/>
                      </a:ext>
                    </a:extLst>
                  </pic:spPr>
                </pic:pic>
              </a:graphicData>
            </a:graphic>
          </wp:inline>
        </w:drawing>
      </w:r>
    </w:p>
    <w:p w14:paraId="006637F0" w14:textId="70890ACF" w:rsidR="0075682D" w:rsidRPr="00EC152F" w:rsidRDefault="0075682D" w:rsidP="001C5114">
      <w:pPr>
        <w:spacing w:line="480" w:lineRule="auto"/>
        <w:jc w:val="both"/>
        <w:rPr>
          <w:szCs w:val="24"/>
        </w:rPr>
      </w:pPr>
      <w:r w:rsidRPr="00EC152F">
        <w:rPr>
          <w:b/>
          <w:bCs/>
          <w:szCs w:val="24"/>
        </w:rPr>
        <w:t>Figure. S4. (a)</w:t>
      </w:r>
      <w:r w:rsidRPr="00EC152F">
        <w:rPr>
          <w:szCs w:val="24"/>
        </w:rPr>
        <w:t xml:space="preserve"> IC</w:t>
      </w:r>
      <w:r w:rsidRPr="00EC152F">
        <w:rPr>
          <w:szCs w:val="24"/>
          <w:vertAlign w:val="subscript"/>
        </w:rPr>
        <w:t>50</w:t>
      </w:r>
      <w:r w:rsidRPr="00EC152F">
        <w:rPr>
          <w:szCs w:val="24"/>
        </w:rPr>
        <w:t xml:space="preserve"> values of YTHDF1-overexpressed LS174TS with strengthened chemoresistance against oxaliplatin and 5-fluorouracil.</w:t>
      </w:r>
      <w:r w:rsidRPr="00EC152F">
        <w:rPr>
          <w:b/>
          <w:bCs/>
          <w:szCs w:val="24"/>
        </w:rPr>
        <w:t xml:space="preserve"> (b) </w:t>
      </w:r>
      <w:r w:rsidRPr="00EC152F">
        <w:rPr>
          <w:szCs w:val="24"/>
        </w:rPr>
        <w:t xml:space="preserve">Western blots quantification of </w:t>
      </w:r>
      <w:r w:rsidRPr="00EC152F">
        <w:rPr>
          <w:szCs w:val="24"/>
        </w:rPr>
        <w:lastRenderedPageBreak/>
        <w:t>NOTCH1 and NICD in YTHDF1 overexpressed CSCs (n=3, biological triplicate).</w:t>
      </w:r>
      <w:r w:rsidRPr="00EC152F">
        <w:rPr>
          <w:b/>
          <w:bCs/>
          <w:szCs w:val="24"/>
        </w:rPr>
        <w:t xml:space="preserve"> (c) </w:t>
      </w:r>
      <w:r w:rsidRPr="00EC152F">
        <w:rPr>
          <w:szCs w:val="24"/>
        </w:rPr>
        <w:t xml:space="preserve">H2AX control in CSC28 </w:t>
      </w:r>
      <w:r w:rsidR="00E01F99" w:rsidRPr="00EC152F">
        <w:rPr>
          <w:szCs w:val="24"/>
        </w:rPr>
        <w:t>treated with</w:t>
      </w:r>
      <w:r w:rsidRPr="00EC152F">
        <w:rPr>
          <w:szCs w:val="24"/>
        </w:rPr>
        <w:t xml:space="preserve"> Veh, OXA, 5-FU, or the combined treatment. </w:t>
      </w:r>
      <w:r w:rsidRPr="00EC152F">
        <w:rPr>
          <w:b/>
          <w:bCs/>
          <w:szCs w:val="24"/>
        </w:rPr>
        <w:t xml:space="preserve">(d) </w:t>
      </w:r>
      <w:r w:rsidRPr="00EC152F">
        <w:rPr>
          <w:szCs w:val="24"/>
        </w:rPr>
        <w:t xml:space="preserve">Serum markers and body weight at end point from xenograft mice bearing POP66 tumors that were treated with the indicated vesicle-like nanoparticles (VNP). Pink box indicates the reference interval of each indicator. </w:t>
      </w:r>
      <w:r w:rsidRPr="00EC152F">
        <w:rPr>
          <w:b/>
          <w:bCs/>
          <w:szCs w:val="24"/>
        </w:rPr>
        <w:t xml:space="preserve">(e) </w:t>
      </w:r>
      <w:r w:rsidRPr="00EC152F">
        <w:rPr>
          <w:szCs w:val="24"/>
        </w:rPr>
        <w:t xml:space="preserve">Representative image of H&amp;E of liver and kidney from xenograft mice bearing POP66 tumors that were treated with the indicated vesicle-like nanoparticles. Scale bar = 100 μm. </w:t>
      </w:r>
      <w:r w:rsidRPr="00EC152F">
        <w:rPr>
          <w:b/>
          <w:bCs/>
          <w:szCs w:val="24"/>
        </w:rPr>
        <w:t xml:space="preserve">(f) </w:t>
      </w:r>
      <w:r w:rsidRPr="00EC152F">
        <w:rPr>
          <w:szCs w:val="24"/>
        </w:rPr>
        <w:t xml:space="preserve">Effect of SAC on YTHDF1-overexpressed CSC28 and LS174TS proliferation. </w:t>
      </w:r>
      <w:r w:rsidRPr="00EC152F">
        <w:rPr>
          <w:b/>
          <w:bCs/>
          <w:szCs w:val="24"/>
        </w:rPr>
        <w:t xml:space="preserve">(g) </w:t>
      </w:r>
      <w:r w:rsidRPr="00EC152F">
        <w:rPr>
          <w:szCs w:val="24"/>
        </w:rPr>
        <w:t xml:space="preserve">Effect of SAC on CSC28 and LS174TS spheroid formation ability. Scale bar = 100 μm. </w:t>
      </w:r>
      <w:r w:rsidRPr="00EC152F">
        <w:rPr>
          <w:b/>
          <w:bCs/>
          <w:szCs w:val="24"/>
        </w:rPr>
        <w:t>(h)</w:t>
      </w:r>
      <w:r w:rsidRPr="00EC152F">
        <w:rPr>
          <w:szCs w:val="24"/>
        </w:rPr>
        <w:t xml:space="preserve"> IC</w:t>
      </w:r>
      <w:r w:rsidRPr="00EC152F">
        <w:rPr>
          <w:szCs w:val="24"/>
          <w:vertAlign w:val="subscript"/>
        </w:rPr>
        <w:t>50</w:t>
      </w:r>
      <w:r w:rsidRPr="00EC152F">
        <w:rPr>
          <w:szCs w:val="24"/>
        </w:rPr>
        <w:t xml:space="preserve"> values of SAC-treated CSC28 and POP66 with weakened chemoresistance against oxaliplatin and 5-fluorouracil. *, p &lt; 0.05; **, p &lt; 0.01; ***, p &lt; 0.001; ****, p &lt; 0.0001; nonlinear regression (a, h); Multiple t-tests (b</w:t>
      </w:r>
      <w:r w:rsidR="008519D1" w:rsidRPr="00EC152F">
        <w:rPr>
          <w:szCs w:val="24"/>
        </w:rPr>
        <w:t>); 2-tailed t-test (d)</w:t>
      </w:r>
      <w:r w:rsidRPr="00EC152F">
        <w:rPr>
          <w:szCs w:val="24"/>
        </w:rPr>
        <w:t>; Two way-ANOVA (f); one way-ANOVA (g).</w:t>
      </w:r>
    </w:p>
    <w:p w14:paraId="50CE7331" w14:textId="29FBC994" w:rsidR="008F21A0" w:rsidRPr="00EC152F" w:rsidRDefault="008F21A0" w:rsidP="00EC152F">
      <w:pPr>
        <w:spacing w:line="480" w:lineRule="auto"/>
        <w:rPr>
          <w:kern w:val="32"/>
          <w:szCs w:val="24"/>
        </w:rPr>
      </w:pPr>
    </w:p>
    <w:p w14:paraId="1B260887" w14:textId="28317F6E" w:rsidR="008F21A0" w:rsidRPr="00EC152F" w:rsidRDefault="00957917" w:rsidP="00EC152F">
      <w:pPr>
        <w:spacing w:line="480" w:lineRule="auto"/>
        <w:jc w:val="center"/>
        <w:rPr>
          <w:szCs w:val="24"/>
        </w:rPr>
      </w:pPr>
      <w:bookmarkStart w:id="4" w:name="_GoBack"/>
      <w:r>
        <w:rPr>
          <w:noProof/>
          <w:szCs w:val="24"/>
        </w:rPr>
        <w:lastRenderedPageBreak/>
        <w:drawing>
          <wp:inline distT="0" distB="0" distL="0" distR="0" wp14:anchorId="0DF26DA4" wp14:editId="6026608E">
            <wp:extent cx="5943600" cy="504305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ementary Figure (5)-Revised-Dennis.tif"/>
                    <pic:cNvPicPr/>
                  </pic:nvPicPr>
                  <pic:blipFill rotWithShape="1">
                    <a:blip r:embed="rId12" cstate="hqprint">
                      <a:extLst>
                        <a:ext uri="{28A0092B-C50C-407E-A947-70E740481C1C}">
                          <a14:useLocalDpi xmlns:a14="http://schemas.microsoft.com/office/drawing/2010/main"/>
                        </a:ext>
                      </a:extLst>
                    </a:blip>
                    <a:srcRect b="19397"/>
                    <a:stretch/>
                  </pic:blipFill>
                  <pic:spPr bwMode="auto">
                    <a:xfrm>
                      <a:off x="0" y="0"/>
                      <a:ext cx="5943600" cy="5043055"/>
                    </a:xfrm>
                    <a:prstGeom prst="rect">
                      <a:avLst/>
                    </a:prstGeom>
                    <a:ln>
                      <a:noFill/>
                    </a:ln>
                    <a:extLst>
                      <a:ext uri="{53640926-AAD7-44D8-BBD7-CCE9431645EC}">
                        <a14:shadowObscured xmlns:a14="http://schemas.microsoft.com/office/drawing/2010/main"/>
                      </a:ext>
                    </a:extLst>
                  </pic:spPr>
                </pic:pic>
              </a:graphicData>
            </a:graphic>
          </wp:inline>
        </w:drawing>
      </w:r>
      <w:bookmarkEnd w:id="4"/>
    </w:p>
    <w:p w14:paraId="42A232D9" w14:textId="101E4151" w:rsidR="000622E2" w:rsidRPr="00EC152F" w:rsidRDefault="000622E2" w:rsidP="00EC152F">
      <w:pPr>
        <w:spacing w:line="480" w:lineRule="auto"/>
        <w:jc w:val="both"/>
        <w:rPr>
          <w:szCs w:val="24"/>
        </w:rPr>
      </w:pPr>
      <w:r w:rsidRPr="00EC152F">
        <w:rPr>
          <w:b/>
          <w:bCs/>
          <w:szCs w:val="24"/>
        </w:rPr>
        <w:t xml:space="preserve">Figure. S5. (a) </w:t>
      </w:r>
      <w:r w:rsidRPr="00EC152F">
        <w:rPr>
          <w:szCs w:val="24"/>
        </w:rPr>
        <w:t xml:space="preserve">ACTB mRNA is not correlated with CD133 or LGR5 in tumor tissues. </w:t>
      </w:r>
      <w:r w:rsidRPr="00EC152F">
        <w:rPr>
          <w:b/>
          <w:bCs/>
          <w:szCs w:val="24"/>
        </w:rPr>
        <w:t xml:space="preserve">(b) </w:t>
      </w:r>
      <w:r w:rsidRPr="00EC152F">
        <w:rPr>
          <w:szCs w:val="24"/>
        </w:rPr>
        <w:t xml:space="preserve">Representative images of YTHDF1, CD133, and LGR5 staining of normal tissues in CRC tissue microarrays (N=184) </w:t>
      </w:r>
      <w:r w:rsidRPr="00EC152F">
        <w:rPr>
          <w:i/>
          <w:iCs/>
          <w:szCs w:val="24"/>
        </w:rPr>
        <w:t xml:space="preserve">(top). </w:t>
      </w:r>
      <w:r w:rsidRPr="00EC152F">
        <w:rPr>
          <w:szCs w:val="24"/>
        </w:rPr>
        <w:t xml:space="preserve">Scale bar = 100 μm. Pearson correlation analysis of YTHDF1, CD133, and LGR5 protein expression </w:t>
      </w:r>
      <w:r w:rsidRPr="00EC152F">
        <w:rPr>
          <w:i/>
          <w:iCs/>
          <w:szCs w:val="24"/>
        </w:rPr>
        <w:t>(bottom)</w:t>
      </w:r>
      <w:r w:rsidRPr="00EC152F">
        <w:rPr>
          <w:szCs w:val="24"/>
        </w:rPr>
        <w:t xml:space="preserve">. </w:t>
      </w:r>
      <w:r w:rsidRPr="00EC152F">
        <w:rPr>
          <w:b/>
          <w:bCs/>
          <w:szCs w:val="24"/>
        </w:rPr>
        <w:t xml:space="preserve">(c) </w:t>
      </w:r>
      <w:r w:rsidRPr="00EC152F">
        <w:rPr>
          <w:szCs w:val="24"/>
        </w:rPr>
        <w:t xml:space="preserve">YTHDF1, CD133, and LGR5 proteins are overexpressed in CRC patient tumor tissues compared to adjacent normal tissues with positive correlations between YTHDF1, CD133 and LGR5. </w:t>
      </w:r>
      <w:r w:rsidRPr="00EC152F">
        <w:rPr>
          <w:b/>
          <w:bCs/>
          <w:szCs w:val="24"/>
        </w:rPr>
        <w:t xml:space="preserve">(d) </w:t>
      </w:r>
      <w:r w:rsidRPr="00EC152F">
        <w:rPr>
          <w:szCs w:val="24"/>
        </w:rPr>
        <w:t xml:space="preserve">YTHDF1 mRNA is positively correlated with LGR5 in TCGA cohort. </w:t>
      </w:r>
      <w:r w:rsidRPr="00EC152F">
        <w:rPr>
          <w:b/>
          <w:bCs/>
          <w:szCs w:val="24"/>
        </w:rPr>
        <w:t xml:space="preserve">(e) </w:t>
      </w:r>
      <w:r w:rsidRPr="00EC152F">
        <w:rPr>
          <w:szCs w:val="24"/>
        </w:rPr>
        <w:t xml:space="preserve">YTHDF1 </w:t>
      </w:r>
      <w:r w:rsidRPr="00EC152F">
        <w:rPr>
          <w:i/>
          <w:iCs/>
          <w:szCs w:val="24"/>
        </w:rPr>
        <w:t>(left</w:t>
      </w:r>
      <w:r w:rsidRPr="00EC152F">
        <w:rPr>
          <w:szCs w:val="24"/>
        </w:rPr>
        <w:t>)</w:t>
      </w:r>
      <w:r w:rsidRPr="00EC152F">
        <w:rPr>
          <w:i/>
          <w:iCs/>
          <w:szCs w:val="24"/>
        </w:rPr>
        <w:t xml:space="preserve"> </w:t>
      </w:r>
      <w:r w:rsidRPr="00EC152F">
        <w:rPr>
          <w:szCs w:val="24"/>
        </w:rPr>
        <w:t>and LGR5 (</w:t>
      </w:r>
      <w:r w:rsidRPr="00EC152F">
        <w:rPr>
          <w:i/>
          <w:iCs/>
          <w:szCs w:val="24"/>
        </w:rPr>
        <w:t>right</w:t>
      </w:r>
      <w:r w:rsidRPr="00EC152F">
        <w:rPr>
          <w:szCs w:val="24"/>
        </w:rPr>
        <w:t xml:space="preserve">) are enriched in tumor tissues at mRNA level in TCGA cohort. </w:t>
      </w:r>
      <w:r w:rsidRPr="00EC152F">
        <w:rPr>
          <w:b/>
          <w:bCs/>
          <w:szCs w:val="24"/>
        </w:rPr>
        <w:t>(f)</w:t>
      </w:r>
      <w:r w:rsidRPr="00EC152F">
        <w:rPr>
          <w:szCs w:val="24"/>
        </w:rPr>
        <w:t xml:space="preserve"> LGR5-expressing tumor cell population </w:t>
      </w:r>
      <w:r w:rsidR="003E36A9" w:rsidRPr="00EC152F">
        <w:rPr>
          <w:szCs w:val="24"/>
        </w:rPr>
        <w:t>correlates</w:t>
      </w:r>
      <w:r w:rsidRPr="00EC152F">
        <w:rPr>
          <w:szCs w:val="24"/>
        </w:rPr>
        <w:t xml:space="preserve"> with YTHDF1-expressing cells in a publicly available patient-derived </w:t>
      </w:r>
      <w:proofErr w:type="spellStart"/>
      <w:r w:rsidRPr="00EC152F">
        <w:rPr>
          <w:szCs w:val="24"/>
        </w:rPr>
        <w:t>scRNAseq</w:t>
      </w:r>
      <w:proofErr w:type="spellEnd"/>
      <w:r w:rsidRPr="00EC152F">
        <w:rPr>
          <w:szCs w:val="24"/>
        </w:rPr>
        <w:t xml:space="preserve"> dataset. </w:t>
      </w:r>
      <w:r w:rsidRPr="00EC152F">
        <w:rPr>
          <w:b/>
          <w:bCs/>
          <w:szCs w:val="24"/>
        </w:rPr>
        <w:t xml:space="preserve">(g) </w:t>
      </w:r>
      <w:r w:rsidRPr="00EC152F">
        <w:rPr>
          <w:szCs w:val="24"/>
        </w:rPr>
        <w:t xml:space="preserve">Number </w:t>
      </w:r>
      <w:r w:rsidRPr="00EC152F">
        <w:rPr>
          <w:szCs w:val="24"/>
        </w:rPr>
        <w:lastRenderedPageBreak/>
        <w:t>of double positive CD133</w:t>
      </w:r>
      <w:r w:rsidRPr="00EC152F">
        <w:rPr>
          <w:szCs w:val="24"/>
          <w:vertAlign w:val="superscript"/>
        </w:rPr>
        <w:t>+</w:t>
      </w:r>
      <w:r w:rsidRPr="00EC152F">
        <w:rPr>
          <w:szCs w:val="24"/>
        </w:rPr>
        <w:t>/LGR5</w:t>
      </w:r>
      <w:r w:rsidRPr="00EC152F">
        <w:rPr>
          <w:szCs w:val="24"/>
          <w:vertAlign w:val="superscript"/>
        </w:rPr>
        <w:t>+</w:t>
      </w:r>
      <w:r w:rsidRPr="00EC152F">
        <w:rPr>
          <w:szCs w:val="24"/>
        </w:rPr>
        <w:t xml:space="preserve"> cancer stem cell in tumor tissues compared to normal tissues.</w:t>
      </w:r>
      <w:r w:rsidRPr="00EC152F">
        <w:rPr>
          <w:b/>
          <w:bCs/>
          <w:szCs w:val="24"/>
        </w:rPr>
        <w:t xml:space="preserve"> (h) </w:t>
      </w:r>
      <w:r w:rsidRPr="00EC152F">
        <w:rPr>
          <w:szCs w:val="24"/>
        </w:rPr>
        <w:t>YTHDF1 expression is positively correlated with LGR5 stem cell signature in Agilent platform.</w:t>
      </w:r>
      <w:r w:rsidRPr="00EC152F">
        <w:rPr>
          <w:b/>
          <w:bCs/>
          <w:szCs w:val="24"/>
        </w:rPr>
        <w:t xml:space="preserve"> (i) </w:t>
      </w:r>
      <w:r w:rsidRPr="00EC152F">
        <w:rPr>
          <w:szCs w:val="24"/>
        </w:rPr>
        <w:t xml:space="preserve">Random forest model predicting chemotherapy response based on YTHDF1 expression. </w:t>
      </w:r>
      <w:r w:rsidRPr="00EC152F">
        <w:rPr>
          <w:b/>
          <w:bCs/>
          <w:szCs w:val="24"/>
        </w:rPr>
        <w:t xml:space="preserve">(j) </w:t>
      </w:r>
      <w:r w:rsidRPr="00EC152F">
        <w:rPr>
          <w:szCs w:val="24"/>
        </w:rPr>
        <w:t xml:space="preserve">Western blots quantification of CD133 and LGR5 in YTHDF1 overexpressed CSCs (n=3, biological triplicate). </w:t>
      </w:r>
      <w:r w:rsidRPr="00EC152F">
        <w:rPr>
          <w:b/>
          <w:bCs/>
          <w:szCs w:val="24"/>
        </w:rPr>
        <w:t xml:space="preserve">(k) </w:t>
      </w:r>
      <w:r w:rsidRPr="00EC152F">
        <w:rPr>
          <w:szCs w:val="24"/>
        </w:rPr>
        <w:t xml:space="preserve">KRT20 level in CSC28 and LS174TS YTHDF1 overexpressed CSCs. </w:t>
      </w:r>
      <w:r w:rsidRPr="00EC152F">
        <w:rPr>
          <w:b/>
          <w:bCs/>
          <w:szCs w:val="24"/>
        </w:rPr>
        <w:t xml:space="preserve">(l) </w:t>
      </w:r>
      <w:r w:rsidRPr="00EC152F">
        <w:rPr>
          <w:szCs w:val="24"/>
        </w:rPr>
        <w:t>Level of YTHDF1 in CSCs (CSC28, POP66, LS174TS). *, p &lt; 0.05; **, p &lt; 0.01; ***, p &lt; 0.001; ****, p &lt; 0.0001; Pearson chi-square test (a), Pearson correlation (b, e, i), Paired t-test (d, e).</w:t>
      </w:r>
    </w:p>
    <w:p w14:paraId="6795E2C1" w14:textId="77777777" w:rsidR="009F720D" w:rsidRDefault="009F720D">
      <w:pPr>
        <w:rPr>
          <w:rFonts w:eastAsia="新細明體"/>
          <w:b/>
          <w:bCs/>
          <w:kern w:val="2"/>
          <w:szCs w:val="24"/>
          <w:lang w:eastAsia="zh-TW"/>
          <w14:ligatures w14:val="standardContextual"/>
        </w:rPr>
      </w:pPr>
      <w:r>
        <w:rPr>
          <w:rFonts w:eastAsia="新細明體"/>
          <w:b/>
          <w:bCs/>
          <w:kern w:val="2"/>
          <w:szCs w:val="24"/>
          <w:lang w:eastAsia="zh-TW"/>
          <w14:ligatures w14:val="standardContextual"/>
        </w:rPr>
        <w:br w:type="page"/>
      </w:r>
    </w:p>
    <w:p w14:paraId="76F0B101" w14:textId="60F30F11" w:rsidR="008F21A0" w:rsidRPr="00EC152F" w:rsidRDefault="0092276A" w:rsidP="004106EB">
      <w:pPr>
        <w:spacing w:line="480" w:lineRule="auto"/>
        <w:rPr>
          <w:rFonts w:eastAsia="Arial"/>
          <w:b/>
          <w:bCs/>
          <w:kern w:val="2"/>
          <w:szCs w:val="24"/>
          <w:lang w:eastAsia="zh-TW"/>
          <w14:ligatures w14:val="standardContextual"/>
        </w:rPr>
      </w:pPr>
      <w:r w:rsidRPr="00EC152F">
        <w:rPr>
          <w:rFonts w:eastAsia="新細明體"/>
          <w:b/>
          <w:bCs/>
          <w:kern w:val="2"/>
          <w:szCs w:val="24"/>
          <w:lang w:eastAsia="zh-TW"/>
          <w14:ligatures w14:val="standardContextual"/>
        </w:rPr>
        <w:lastRenderedPageBreak/>
        <w:t>Table S1. Clinical features YTHDF1 in CRC patients (Cohort I)</w:t>
      </w:r>
    </w:p>
    <w:tbl>
      <w:tblPr>
        <w:tblStyle w:val="PlainTable21"/>
        <w:tblW w:w="8422" w:type="dxa"/>
        <w:tblLayout w:type="fixed"/>
        <w:tblLook w:val="04A0" w:firstRow="1" w:lastRow="0" w:firstColumn="1" w:lastColumn="0" w:noHBand="0" w:noVBand="1"/>
      </w:tblPr>
      <w:tblGrid>
        <w:gridCol w:w="2410"/>
        <w:gridCol w:w="1985"/>
        <w:gridCol w:w="1134"/>
        <w:gridCol w:w="2126"/>
        <w:gridCol w:w="767"/>
      </w:tblGrid>
      <w:tr w:rsidR="008F21A0" w:rsidRPr="00EC152F" w14:paraId="571434C1" w14:textId="77777777" w:rsidTr="008F21A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AC362A3"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Clinical feature</w:t>
            </w:r>
          </w:p>
        </w:tc>
        <w:tc>
          <w:tcPr>
            <w:tcW w:w="1985" w:type="dxa"/>
            <w:vAlign w:val="center"/>
          </w:tcPr>
          <w:p w14:paraId="04ABB0A7" w14:textId="77777777" w:rsidR="008F21A0" w:rsidRPr="00EC152F" w:rsidRDefault="0092276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High expression (n=104)</w:t>
            </w:r>
          </w:p>
        </w:tc>
        <w:tc>
          <w:tcPr>
            <w:tcW w:w="1134" w:type="dxa"/>
            <w:vAlign w:val="center"/>
          </w:tcPr>
          <w:p w14:paraId="49A4BB4D" w14:textId="77777777" w:rsidR="008F21A0" w:rsidRPr="00EC152F" w:rsidRDefault="0092276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w:t>
            </w:r>
          </w:p>
        </w:tc>
        <w:tc>
          <w:tcPr>
            <w:tcW w:w="2126" w:type="dxa"/>
            <w:vAlign w:val="center"/>
          </w:tcPr>
          <w:p w14:paraId="4FB2617F" w14:textId="77777777" w:rsidR="008F21A0" w:rsidRPr="00EC152F" w:rsidRDefault="0092276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Low expression (n=80)</w:t>
            </w:r>
          </w:p>
        </w:tc>
        <w:tc>
          <w:tcPr>
            <w:tcW w:w="767" w:type="dxa"/>
            <w:vAlign w:val="center"/>
          </w:tcPr>
          <w:p w14:paraId="09532DE4" w14:textId="77777777" w:rsidR="008F21A0" w:rsidRPr="00EC152F" w:rsidRDefault="0092276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w:t>
            </w:r>
          </w:p>
        </w:tc>
      </w:tr>
      <w:tr w:rsidR="008F21A0" w:rsidRPr="00EC152F" w14:paraId="297C7D99"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D38C168" w14:textId="77777777" w:rsidR="008F21A0" w:rsidRPr="00EC152F" w:rsidRDefault="008F21A0">
            <w:pPr>
              <w:spacing w:line="360" w:lineRule="auto"/>
              <w:jc w:val="center"/>
              <w:rPr>
                <w:rFonts w:ascii="Times New Roman" w:eastAsia="Arial" w:hAnsi="Times New Roman" w:cs="Times New Roman"/>
                <w:b w:val="0"/>
                <w:bCs w:val="0"/>
                <w:kern w:val="2"/>
                <w:szCs w:val="24"/>
                <w:lang w:eastAsia="zh-TW"/>
                <w14:ligatures w14:val="standardContextual"/>
              </w:rPr>
            </w:pPr>
          </w:p>
          <w:p w14:paraId="45607ED5"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Age</w:t>
            </w:r>
          </w:p>
        </w:tc>
        <w:tc>
          <w:tcPr>
            <w:tcW w:w="1985" w:type="dxa"/>
            <w:vAlign w:val="center"/>
          </w:tcPr>
          <w:p w14:paraId="21EE993B"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p w14:paraId="59793CD5"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57.9±11.8</w:t>
            </w:r>
          </w:p>
        </w:tc>
        <w:tc>
          <w:tcPr>
            <w:tcW w:w="1134" w:type="dxa"/>
            <w:vAlign w:val="center"/>
          </w:tcPr>
          <w:p w14:paraId="1B1F8D66"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2126" w:type="dxa"/>
            <w:vAlign w:val="center"/>
          </w:tcPr>
          <w:p w14:paraId="2480499D"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p w14:paraId="6894D16B"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59.7±12.4</w:t>
            </w:r>
          </w:p>
        </w:tc>
        <w:tc>
          <w:tcPr>
            <w:tcW w:w="767" w:type="dxa"/>
            <w:vAlign w:val="center"/>
          </w:tcPr>
          <w:p w14:paraId="3032D75B"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r>
      <w:tr w:rsidR="008F21A0" w:rsidRPr="00EC152F" w14:paraId="128A8544"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7EB319F" w14:textId="77777777" w:rsidR="008F21A0" w:rsidRPr="00EC152F" w:rsidRDefault="008F21A0">
            <w:pPr>
              <w:spacing w:line="360" w:lineRule="auto"/>
              <w:jc w:val="center"/>
              <w:rPr>
                <w:rFonts w:ascii="Times New Roman" w:eastAsia="Arial" w:hAnsi="Times New Roman" w:cs="Times New Roman"/>
                <w:b w:val="0"/>
                <w:bCs w:val="0"/>
                <w:kern w:val="2"/>
                <w:szCs w:val="24"/>
                <w:lang w:eastAsia="zh-TW"/>
                <w14:ligatures w14:val="standardContextual"/>
              </w:rPr>
            </w:pPr>
          </w:p>
          <w:p w14:paraId="04DB6ED7"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Gender</w:t>
            </w:r>
          </w:p>
        </w:tc>
        <w:tc>
          <w:tcPr>
            <w:tcW w:w="1985" w:type="dxa"/>
            <w:vAlign w:val="center"/>
          </w:tcPr>
          <w:p w14:paraId="7137EBEB"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1134" w:type="dxa"/>
            <w:vAlign w:val="center"/>
          </w:tcPr>
          <w:p w14:paraId="096290F5"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2126" w:type="dxa"/>
            <w:vAlign w:val="center"/>
          </w:tcPr>
          <w:p w14:paraId="255FC0C7"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767" w:type="dxa"/>
            <w:vAlign w:val="center"/>
          </w:tcPr>
          <w:p w14:paraId="6573477D"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r>
      <w:tr w:rsidR="008F21A0" w:rsidRPr="00EC152F" w14:paraId="6CD5486F"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7274908"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M</w:t>
            </w:r>
          </w:p>
        </w:tc>
        <w:tc>
          <w:tcPr>
            <w:tcW w:w="1985" w:type="dxa"/>
            <w:vAlign w:val="center"/>
          </w:tcPr>
          <w:p w14:paraId="6929B51C"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61</w:t>
            </w:r>
          </w:p>
        </w:tc>
        <w:tc>
          <w:tcPr>
            <w:tcW w:w="1134" w:type="dxa"/>
            <w:vAlign w:val="center"/>
          </w:tcPr>
          <w:p w14:paraId="0015E105"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58.7</w:t>
            </w:r>
          </w:p>
        </w:tc>
        <w:tc>
          <w:tcPr>
            <w:tcW w:w="2126" w:type="dxa"/>
            <w:vAlign w:val="center"/>
          </w:tcPr>
          <w:p w14:paraId="62663B3B"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42</w:t>
            </w:r>
          </w:p>
        </w:tc>
        <w:tc>
          <w:tcPr>
            <w:tcW w:w="767" w:type="dxa"/>
            <w:vAlign w:val="center"/>
          </w:tcPr>
          <w:p w14:paraId="06FB2C0B"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52.5</w:t>
            </w:r>
          </w:p>
        </w:tc>
      </w:tr>
      <w:tr w:rsidR="008F21A0" w:rsidRPr="00EC152F" w14:paraId="2A6A00F9"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D48AB22"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F</w:t>
            </w:r>
          </w:p>
        </w:tc>
        <w:tc>
          <w:tcPr>
            <w:tcW w:w="1985" w:type="dxa"/>
            <w:vAlign w:val="center"/>
          </w:tcPr>
          <w:p w14:paraId="77DA04E6"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43</w:t>
            </w:r>
          </w:p>
        </w:tc>
        <w:tc>
          <w:tcPr>
            <w:tcW w:w="1134" w:type="dxa"/>
            <w:vAlign w:val="center"/>
          </w:tcPr>
          <w:p w14:paraId="01FAEBB0"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41.3</w:t>
            </w:r>
          </w:p>
        </w:tc>
        <w:tc>
          <w:tcPr>
            <w:tcW w:w="2126" w:type="dxa"/>
            <w:vAlign w:val="center"/>
          </w:tcPr>
          <w:p w14:paraId="1230636E"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38</w:t>
            </w:r>
          </w:p>
        </w:tc>
        <w:tc>
          <w:tcPr>
            <w:tcW w:w="767" w:type="dxa"/>
            <w:vAlign w:val="center"/>
          </w:tcPr>
          <w:p w14:paraId="6563380C"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47.5</w:t>
            </w:r>
          </w:p>
        </w:tc>
      </w:tr>
      <w:tr w:rsidR="008F21A0" w:rsidRPr="00EC152F" w14:paraId="2B2429F4"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FB4176A" w14:textId="77777777" w:rsidR="008F21A0" w:rsidRPr="00EC152F" w:rsidRDefault="008F21A0">
            <w:pPr>
              <w:spacing w:line="360" w:lineRule="auto"/>
              <w:jc w:val="center"/>
              <w:rPr>
                <w:rFonts w:ascii="Times New Roman" w:eastAsia="Arial" w:hAnsi="Times New Roman" w:cs="Times New Roman"/>
                <w:b w:val="0"/>
                <w:bCs w:val="0"/>
                <w:kern w:val="2"/>
                <w:szCs w:val="24"/>
                <w:lang w:eastAsia="zh-TW"/>
                <w14:ligatures w14:val="standardContextual"/>
              </w:rPr>
            </w:pPr>
          </w:p>
          <w:p w14:paraId="7AF317DE"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TNM</w:t>
            </w:r>
          </w:p>
        </w:tc>
        <w:tc>
          <w:tcPr>
            <w:tcW w:w="1985" w:type="dxa"/>
            <w:vAlign w:val="center"/>
          </w:tcPr>
          <w:p w14:paraId="5AE7A219"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1134" w:type="dxa"/>
            <w:vAlign w:val="center"/>
          </w:tcPr>
          <w:p w14:paraId="03427C11"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2126" w:type="dxa"/>
            <w:vAlign w:val="center"/>
          </w:tcPr>
          <w:p w14:paraId="289E49A1"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767" w:type="dxa"/>
            <w:vAlign w:val="center"/>
          </w:tcPr>
          <w:p w14:paraId="5B7B7AD5"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r>
      <w:tr w:rsidR="008F21A0" w:rsidRPr="00EC152F" w14:paraId="741F471B"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56A30B0"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I</w:t>
            </w:r>
          </w:p>
        </w:tc>
        <w:tc>
          <w:tcPr>
            <w:tcW w:w="1985" w:type="dxa"/>
            <w:vAlign w:val="center"/>
          </w:tcPr>
          <w:p w14:paraId="75DA8881"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w:t>
            </w:r>
          </w:p>
        </w:tc>
        <w:tc>
          <w:tcPr>
            <w:tcW w:w="1134" w:type="dxa"/>
            <w:vAlign w:val="center"/>
          </w:tcPr>
          <w:p w14:paraId="5BB3C262"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4.8</w:t>
            </w:r>
          </w:p>
        </w:tc>
        <w:tc>
          <w:tcPr>
            <w:tcW w:w="2126" w:type="dxa"/>
            <w:vAlign w:val="center"/>
          </w:tcPr>
          <w:p w14:paraId="1A351DD1"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11</w:t>
            </w:r>
          </w:p>
        </w:tc>
        <w:tc>
          <w:tcPr>
            <w:tcW w:w="767" w:type="dxa"/>
            <w:vAlign w:val="center"/>
          </w:tcPr>
          <w:p w14:paraId="02C5AA34"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13.7</w:t>
            </w:r>
          </w:p>
        </w:tc>
      </w:tr>
      <w:tr w:rsidR="008F21A0" w:rsidRPr="00EC152F" w14:paraId="021DAD2F"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EF7DC2E"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II</w:t>
            </w:r>
          </w:p>
        </w:tc>
        <w:tc>
          <w:tcPr>
            <w:tcW w:w="1985" w:type="dxa"/>
            <w:vAlign w:val="center"/>
          </w:tcPr>
          <w:p w14:paraId="35C6CDEB"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38</w:t>
            </w:r>
          </w:p>
        </w:tc>
        <w:tc>
          <w:tcPr>
            <w:tcW w:w="1134" w:type="dxa"/>
            <w:vAlign w:val="center"/>
          </w:tcPr>
          <w:p w14:paraId="26D677EE"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36.5</w:t>
            </w:r>
          </w:p>
        </w:tc>
        <w:tc>
          <w:tcPr>
            <w:tcW w:w="2126" w:type="dxa"/>
            <w:vAlign w:val="center"/>
          </w:tcPr>
          <w:p w14:paraId="0CC3AAD9"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34</w:t>
            </w:r>
          </w:p>
        </w:tc>
        <w:tc>
          <w:tcPr>
            <w:tcW w:w="767" w:type="dxa"/>
            <w:vAlign w:val="center"/>
          </w:tcPr>
          <w:p w14:paraId="497E01F3"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42.5</w:t>
            </w:r>
          </w:p>
        </w:tc>
      </w:tr>
      <w:tr w:rsidR="008F21A0" w:rsidRPr="00EC152F" w14:paraId="6CC72B71"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78998C0"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III</w:t>
            </w:r>
          </w:p>
        </w:tc>
        <w:tc>
          <w:tcPr>
            <w:tcW w:w="1985" w:type="dxa"/>
            <w:vAlign w:val="center"/>
          </w:tcPr>
          <w:p w14:paraId="04B5CBD5"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57</w:t>
            </w:r>
          </w:p>
        </w:tc>
        <w:tc>
          <w:tcPr>
            <w:tcW w:w="1134" w:type="dxa"/>
            <w:vAlign w:val="center"/>
          </w:tcPr>
          <w:p w14:paraId="4D5958D5"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54.8</w:t>
            </w:r>
          </w:p>
        </w:tc>
        <w:tc>
          <w:tcPr>
            <w:tcW w:w="2126" w:type="dxa"/>
            <w:vAlign w:val="center"/>
          </w:tcPr>
          <w:p w14:paraId="77B1D4E4"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30</w:t>
            </w:r>
          </w:p>
        </w:tc>
        <w:tc>
          <w:tcPr>
            <w:tcW w:w="767" w:type="dxa"/>
            <w:vAlign w:val="center"/>
          </w:tcPr>
          <w:p w14:paraId="7C413625"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37.5</w:t>
            </w:r>
          </w:p>
        </w:tc>
      </w:tr>
      <w:tr w:rsidR="008F21A0" w:rsidRPr="00EC152F" w14:paraId="14CE4758"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FDA6D96"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IV</w:t>
            </w:r>
          </w:p>
        </w:tc>
        <w:tc>
          <w:tcPr>
            <w:tcW w:w="1985" w:type="dxa"/>
            <w:vAlign w:val="center"/>
          </w:tcPr>
          <w:p w14:paraId="69AADDBE"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w:t>
            </w:r>
          </w:p>
        </w:tc>
        <w:tc>
          <w:tcPr>
            <w:tcW w:w="1134" w:type="dxa"/>
            <w:vAlign w:val="center"/>
          </w:tcPr>
          <w:p w14:paraId="5B09C273"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3.9</w:t>
            </w:r>
          </w:p>
        </w:tc>
        <w:tc>
          <w:tcPr>
            <w:tcW w:w="2126" w:type="dxa"/>
            <w:vAlign w:val="center"/>
          </w:tcPr>
          <w:p w14:paraId="20759C5B"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w:t>
            </w:r>
          </w:p>
        </w:tc>
        <w:tc>
          <w:tcPr>
            <w:tcW w:w="767" w:type="dxa"/>
            <w:vAlign w:val="center"/>
          </w:tcPr>
          <w:p w14:paraId="5AFC1C15"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6.3</w:t>
            </w:r>
          </w:p>
        </w:tc>
      </w:tr>
      <w:tr w:rsidR="008F21A0" w:rsidRPr="00EC152F" w14:paraId="350B0DA5"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893BC28" w14:textId="77777777" w:rsidR="008F21A0" w:rsidRPr="00EC152F" w:rsidRDefault="008F21A0">
            <w:pPr>
              <w:spacing w:line="360" w:lineRule="auto"/>
              <w:jc w:val="center"/>
              <w:rPr>
                <w:rFonts w:ascii="Times New Roman" w:eastAsia="Arial" w:hAnsi="Times New Roman" w:cs="Times New Roman"/>
                <w:b w:val="0"/>
                <w:bCs w:val="0"/>
                <w:kern w:val="2"/>
                <w:szCs w:val="24"/>
                <w:lang w:eastAsia="zh-TW"/>
                <w14:ligatures w14:val="standardContextual"/>
              </w:rPr>
            </w:pPr>
          </w:p>
          <w:p w14:paraId="66A6256B"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Localization</w:t>
            </w:r>
          </w:p>
        </w:tc>
        <w:tc>
          <w:tcPr>
            <w:tcW w:w="1985" w:type="dxa"/>
            <w:vAlign w:val="center"/>
          </w:tcPr>
          <w:p w14:paraId="0EF66060"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1134" w:type="dxa"/>
            <w:vAlign w:val="center"/>
          </w:tcPr>
          <w:p w14:paraId="1CDC08EF"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2126" w:type="dxa"/>
            <w:vAlign w:val="center"/>
          </w:tcPr>
          <w:p w14:paraId="404F8C4B"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767" w:type="dxa"/>
            <w:vAlign w:val="center"/>
          </w:tcPr>
          <w:p w14:paraId="46C6006C"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r>
      <w:tr w:rsidR="008F21A0" w:rsidRPr="00EC152F" w14:paraId="00172487"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41747B0"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Colon</w:t>
            </w:r>
          </w:p>
        </w:tc>
        <w:tc>
          <w:tcPr>
            <w:tcW w:w="1985" w:type="dxa"/>
            <w:vAlign w:val="center"/>
          </w:tcPr>
          <w:p w14:paraId="0C25EF20"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57</w:t>
            </w:r>
          </w:p>
        </w:tc>
        <w:tc>
          <w:tcPr>
            <w:tcW w:w="1134" w:type="dxa"/>
            <w:vAlign w:val="center"/>
          </w:tcPr>
          <w:p w14:paraId="26535D58"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54.8</w:t>
            </w:r>
          </w:p>
        </w:tc>
        <w:tc>
          <w:tcPr>
            <w:tcW w:w="2126" w:type="dxa"/>
            <w:vAlign w:val="center"/>
          </w:tcPr>
          <w:p w14:paraId="6730ADB7"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42</w:t>
            </w:r>
          </w:p>
        </w:tc>
        <w:tc>
          <w:tcPr>
            <w:tcW w:w="767" w:type="dxa"/>
            <w:vAlign w:val="center"/>
          </w:tcPr>
          <w:p w14:paraId="518540E3"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52.5</w:t>
            </w:r>
          </w:p>
        </w:tc>
      </w:tr>
      <w:tr w:rsidR="008F21A0" w:rsidRPr="00EC152F" w14:paraId="2277292B"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2E0FD47"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Rectum</w:t>
            </w:r>
          </w:p>
        </w:tc>
        <w:tc>
          <w:tcPr>
            <w:tcW w:w="1985" w:type="dxa"/>
            <w:vAlign w:val="center"/>
          </w:tcPr>
          <w:p w14:paraId="5C61430B"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47</w:t>
            </w:r>
          </w:p>
        </w:tc>
        <w:tc>
          <w:tcPr>
            <w:tcW w:w="1134" w:type="dxa"/>
            <w:vAlign w:val="center"/>
          </w:tcPr>
          <w:p w14:paraId="1A55D19D"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45.2</w:t>
            </w:r>
          </w:p>
        </w:tc>
        <w:tc>
          <w:tcPr>
            <w:tcW w:w="2126" w:type="dxa"/>
            <w:vAlign w:val="center"/>
          </w:tcPr>
          <w:p w14:paraId="6957226A"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38</w:t>
            </w:r>
          </w:p>
        </w:tc>
        <w:tc>
          <w:tcPr>
            <w:tcW w:w="767" w:type="dxa"/>
            <w:vAlign w:val="center"/>
          </w:tcPr>
          <w:p w14:paraId="4ED0270E"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47.5</w:t>
            </w:r>
          </w:p>
        </w:tc>
      </w:tr>
      <w:tr w:rsidR="008F21A0" w:rsidRPr="00EC152F" w14:paraId="56A11750" w14:textId="77777777" w:rsidTr="008F21A0">
        <w:trPr>
          <w:trHeight w:val="227"/>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0730B5F" w14:textId="77777777" w:rsidR="008F21A0" w:rsidRPr="00EC152F" w:rsidRDefault="008F21A0">
            <w:pPr>
              <w:spacing w:line="360" w:lineRule="auto"/>
              <w:jc w:val="center"/>
              <w:rPr>
                <w:rFonts w:ascii="Times New Roman" w:eastAsia="Arial" w:hAnsi="Times New Roman" w:cs="Times New Roman"/>
                <w:b w:val="0"/>
                <w:bCs w:val="0"/>
                <w:kern w:val="2"/>
                <w:szCs w:val="24"/>
                <w:lang w:eastAsia="zh-TW"/>
                <w14:ligatures w14:val="standardContextual"/>
              </w:rPr>
            </w:pPr>
          </w:p>
          <w:p w14:paraId="6888108E"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Differentiation</w:t>
            </w:r>
          </w:p>
        </w:tc>
        <w:tc>
          <w:tcPr>
            <w:tcW w:w="1985" w:type="dxa"/>
            <w:vAlign w:val="center"/>
          </w:tcPr>
          <w:p w14:paraId="46EFF7A5"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1134" w:type="dxa"/>
            <w:vAlign w:val="center"/>
          </w:tcPr>
          <w:p w14:paraId="7EFC4988"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2126" w:type="dxa"/>
            <w:vAlign w:val="center"/>
          </w:tcPr>
          <w:p w14:paraId="2F9DE962"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c>
          <w:tcPr>
            <w:tcW w:w="767" w:type="dxa"/>
            <w:vAlign w:val="center"/>
          </w:tcPr>
          <w:p w14:paraId="580F1B8F" w14:textId="77777777" w:rsidR="008F21A0" w:rsidRPr="00EC152F" w:rsidRDefault="008F21A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p>
        </w:tc>
      </w:tr>
      <w:tr w:rsidR="008F21A0" w:rsidRPr="00EC152F" w14:paraId="3095A30E" w14:textId="77777777" w:rsidTr="008F21A0">
        <w:trPr>
          <w:trHeight w:val="283"/>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D083425"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Low</w:t>
            </w:r>
          </w:p>
        </w:tc>
        <w:tc>
          <w:tcPr>
            <w:tcW w:w="1985" w:type="dxa"/>
            <w:vAlign w:val="center"/>
          </w:tcPr>
          <w:p w14:paraId="3EC578B6"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31</w:t>
            </w:r>
          </w:p>
        </w:tc>
        <w:tc>
          <w:tcPr>
            <w:tcW w:w="1134" w:type="dxa"/>
            <w:vAlign w:val="center"/>
          </w:tcPr>
          <w:p w14:paraId="38B4AEF7"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29.8</w:t>
            </w:r>
          </w:p>
        </w:tc>
        <w:tc>
          <w:tcPr>
            <w:tcW w:w="2126" w:type="dxa"/>
            <w:vAlign w:val="center"/>
          </w:tcPr>
          <w:p w14:paraId="06A91333"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22</w:t>
            </w:r>
          </w:p>
        </w:tc>
        <w:tc>
          <w:tcPr>
            <w:tcW w:w="767" w:type="dxa"/>
            <w:vAlign w:val="center"/>
          </w:tcPr>
          <w:p w14:paraId="1F523A5C"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27.5</w:t>
            </w:r>
          </w:p>
        </w:tc>
      </w:tr>
      <w:tr w:rsidR="008F21A0" w:rsidRPr="00EC152F" w14:paraId="4F6D66A9" w14:textId="77777777" w:rsidTr="008F21A0">
        <w:trPr>
          <w:trHeight w:val="74"/>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79D1C6F" w14:textId="77777777" w:rsidR="008F21A0" w:rsidRPr="00EC152F" w:rsidRDefault="0092276A">
            <w:pPr>
              <w:spacing w:line="360" w:lineRule="auto"/>
              <w:jc w:val="center"/>
              <w:rPr>
                <w:rFonts w:ascii="Times New Roman" w:eastAsia="Arial" w:hAnsi="Times New Roman" w:cs="Times New Roman"/>
                <w:b w:val="0"/>
                <w:bCs w:val="0"/>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High</w:t>
            </w:r>
          </w:p>
        </w:tc>
        <w:tc>
          <w:tcPr>
            <w:tcW w:w="1985" w:type="dxa"/>
            <w:vAlign w:val="center"/>
          </w:tcPr>
          <w:p w14:paraId="6158D20C"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73</w:t>
            </w:r>
          </w:p>
        </w:tc>
        <w:tc>
          <w:tcPr>
            <w:tcW w:w="1134" w:type="dxa"/>
            <w:vAlign w:val="center"/>
          </w:tcPr>
          <w:p w14:paraId="277EFCCA"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70.2</w:t>
            </w:r>
          </w:p>
        </w:tc>
        <w:tc>
          <w:tcPr>
            <w:tcW w:w="2126" w:type="dxa"/>
            <w:vAlign w:val="center"/>
          </w:tcPr>
          <w:p w14:paraId="4DB49079"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58</w:t>
            </w:r>
          </w:p>
        </w:tc>
        <w:tc>
          <w:tcPr>
            <w:tcW w:w="767" w:type="dxa"/>
            <w:vAlign w:val="center"/>
          </w:tcPr>
          <w:p w14:paraId="2317498D" w14:textId="77777777" w:rsidR="008F21A0" w:rsidRPr="00EC152F" w:rsidRDefault="0092276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kern w:val="2"/>
                <w:szCs w:val="24"/>
                <w:lang w:eastAsia="zh-TW"/>
                <w14:ligatures w14:val="standardContextual"/>
              </w:rPr>
            </w:pPr>
            <w:r w:rsidRPr="00EC152F">
              <w:rPr>
                <w:rFonts w:ascii="Times New Roman" w:eastAsia="Arial" w:hAnsi="Times New Roman" w:cs="Times New Roman"/>
                <w:kern w:val="2"/>
                <w:szCs w:val="24"/>
                <w:lang w:eastAsia="zh-TW"/>
                <w14:ligatures w14:val="standardContextual"/>
              </w:rPr>
              <w:t>72.5</w:t>
            </w:r>
          </w:p>
        </w:tc>
      </w:tr>
    </w:tbl>
    <w:p w14:paraId="33084354" w14:textId="77777777" w:rsidR="008F21A0" w:rsidRPr="00EC152F" w:rsidRDefault="008F21A0">
      <w:pPr>
        <w:spacing w:line="480" w:lineRule="auto"/>
        <w:rPr>
          <w:rFonts w:eastAsia="Arial"/>
          <w:kern w:val="2"/>
          <w:szCs w:val="24"/>
          <w:lang w:eastAsia="zh-TW"/>
          <w14:ligatures w14:val="standardContextual"/>
        </w:rPr>
      </w:pPr>
    </w:p>
    <w:p w14:paraId="5F0BB080" w14:textId="77777777" w:rsidR="008F21A0" w:rsidRPr="00EC152F" w:rsidRDefault="0092276A">
      <w:pPr>
        <w:spacing w:after="160" w:line="259" w:lineRule="auto"/>
        <w:rPr>
          <w:rFonts w:eastAsia="新細明體"/>
          <w:kern w:val="2"/>
          <w:szCs w:val="24"/>
          <w:lang w:eastAsia="zh-TW"/>
          <w14:ligatures w14:val="standardContextual"/>
        </w:rPr>
      </w:pPr>
      <w:r w:rsidRPr="00EC152F">
        <w:rPr>
          <w:rFonts w:eastAsia="新細明體"/>
          <w:kern w:val="2"/>
          <w:szCs w:val="24"/>
          <w:lang w:eastAsia="zh-TW"/>
          <w14:ligatures w14:val="standardContextual"/>
        </w:rPr>
        <w:br w:type="page"/>
      </w:r>
    </w:p>
    <w:p w14:paraId="5E7F072C" w14:textId="7F615430" w:rsidR="008F21A0" w:rsidRPr="00EC152F" w:rsidRDefault="0092276A" w:rsidP="00EC152F">
      <w:pPr>
        <w:keepNext/>
        <w:keepLines/>
        <w:spacing w:before="240" w:line="480" w:lineRule="auto"/>
        <w:outlineLvl w:val="0"/>
        <w:rPr>
          <w:rFonts w:eastAsia="新細明體"/>
          <w:b/>
          <w:bCs/>
          <w:kern w:val="2"/>
          <w:szCs w:val="24"/>
          <w:lang w:eastAsia="zh-TW"/>
          <w14:ligatures w14:val="standardContextual"/>
        </w:rPr>
      </w:pPr>
      <w:r w:rsidRPr="00EC152F">
        <w:rPr>
          <w:rFonts w:eastAsia="新細明體"/>
          <w:b/>
          <w:bCs/>
          <w:kern w:val="2"/>
          <w:szCs w:val="24"/>
          <w:lang w:eastAsia="zh-TW"/>
          <w14:ligatures w14:val="standardContextual"/>
        </w:rPr>
        <w:lastRenderedPageBreak/>
        <w:t xml:space="preserve">Table S2. Clinical features of chemotherapy </w:t>
      </w:r>
      <w:r w:rsidR="00EC152F">
        <w:rPr>
          <w:rFonts w:eastAsia="新細明體"/>
          <w:b/>
          <w:bCs/>
          <w:kern w:val="2"/>
          <w:szCs w:val="24"/>
          <w:lang w:eastAsia="zh-TW"/>
          <w14:ligatures w14:val="standardContextual"/>
        </w:rPr>
        <w:t>Responder</w:t>
      </w:r>
      <w:r w:rsidRPr="00EC152F">
        <w:rPr>
          <w:rFonts w:eastAsia="新細明體"/>
          <w:b/>
          <w:bCs/>
          <w:kern w:val="2"/>
          <w:szCs w:val="24"/>
          <w:lang w:eastAsia="zh-TW"/>
          <w14:ligatures w14:val="standardContextual"/>
        </w:rPr>
        <w:t xml:space="preserve">s and </w:t>
      </w:r>
      <w:r w:rsidR="00EC152F">
        <w:rPr>
          <w:rFonts w:eastAsia="新細明體"/>
          <w:b/>
          <w:bCs/>
          <w:kern w:val="2"/>
          <w:szCs w:val="24"/>
          <w:lang w:eastAsia="zh-TW"/>
          <w14:ligatures w14:val="standardContextual"/>
        </w:rPr>
        <w:t>Non-Responder</w:t>
      </w:r>
      <w:r w:rsidRPr="00EC152F">
        <w:rPr>
          <w:rFonts w:eastAsia="新細明體"/>
          <w:b/>
          <w:bCs/>
          <w:kern w:val="2"/>
          <w:szCs w:val="24"/>
          <w:lang w:eastAsia="zh-TW"/>
          <w14:ligatures w14:val="standardContextual"/>
        </w:rPr>
        <w:t>s in CRC patients (Cohort V)</w:t>
      </w:r>
    </w:p>
    <w:p w14:paraId="0B3CAA8A" w14:textId="53E7BBC8" w:rsidR="008F21A0" w:rsidRPr="00EC152F" w:rsidRDefault="0092276A" w:rsidP="00EC152F">
      <w:pPr>
        <w:spacing w:after="160" w:line="480" w:lineRule="auto"/>
        <w:jc w:val="both"/>
        <w:rPr>
          <w:rFonts w:eastAsia="新細明體"/>
          <w:kern w:val="2"/>
          <w:szCs w:val="24"/>
          <w:lang w:eastAsia="zh-TW"/>
          <w14:ligatures w14:val="standardContextual"/>
        </w:rPr>
      </w:pPr>
      <w:r w:rsidRPr="00EC152F">
        <w:rPr>
          <w:rFonts w:eastAsia="新細明體"/>
          <w:kern w:val="2"/>
          <w:szCs w:val="24"/>
          <w:lang w:eastAsia="zh-TW"/>
          <w14:ligatures w14:val="standardContextual"/>
        </w:rPr>
        <w:t xml:space="preserve">This cohort contains 83 patients with unresectable CRC treated with FOLFOX therapy between April 2007 and December 2010 at </w:t>
      </w:r>
      <w:proofErr w:type="spellStart"/>
      <w:r w:rsidRPr="00EC152F">
        <w:rPr>
          <w:rFonts w:eastAsia="新細明體"/>
          <w:kern w:val="2"/>
          <w:szCs w:val="24"/>
          <w:lang w:eastAsia="zh-TW"/>
          <w14:ligatures w14:val="standardContextual"/>
        </w:rPr>
        <w:t>Teikyo</w:t>
      </w:r>
      <w:proofErr w:type="spellEnd"/>
      <w:r w:rsidRPr="00EC152F">
        <w:rPr>
          <w:rFonts w:eastAsia="新細明體"/>
          <w:kern w:val="2"/>
          <w:szCs w:val="24"/>
          <w:lang w:eastAsia="zh-TW"/>
          <w14:ligatures w14:val="standardContextual"/>
        </w:rPr>
        <w:t xml:space="preserve"> University Hospital at </w:t>
      </w:r>
      <w:proofErr w:type="spellStart"/>
      <w:r w:rsidRPr="00EC152F">
        <w:rPr>
          <w:rFonts w:eastAsia="新細明體"/>
          <w:kern w:val="2"/>
          <w:szCs w:val="24"/>
          <w:lang w:eastAsia="zh-TW"/>
          <w14:ligatures w14:val="standardContextual"/>
        </w:rPr>
        <w:t>Mizonokuchi</w:t>
      </w:r>
      <w:proofErr w:type="spellEnd"/>
      <w:r w:rsidRPr="00EC152F">
        <w:rPr>
          <w:rFonts w:eastAsia="新細明體"/>
          <w:kern w:val="2"/>
          <w:szCs w:val="24"/>
          <w:lang w:eastAsia="zh-TW"/>
          <w14:ligatures w14:val="standardContextual"/>
        </w:rPr>
        <w:t xml:space="preserve"> and Gifu University Hospital. CRC samples, collected prior to mFOLFOX6 therapy, included 56 primary tumors and 27 metastatic lesions (23 liver, 1 lung, and 3 peritoneal). None of the patients had received prior chemotherapy or radiotherapy. The mFOLFOX6 regimen consisted of 85 mg/m² oxaliplatin, 200 mg/m² leucovorin, and 400 mg/m² 5-FU bolus on day 1, followed by 2400 mg/m² 5-FU as a 46-hour continuous infusion, repeated every 2 weeks. After four cycles, tumor response was evaluated by computed tomography and classified according to modified Response Evaluation Criteria in Solid Tumors (RECIST) as complete response (CR, complete disappearance of all target lesions), partial response (PR, ≥10% decrease in the sum of the longest diameters of target lesions), progressive disease (PD, ≥10% increase in the sum of the longest diameters of target lesions), or stable disease (SD, neither sufficient shrinkage for PR nor increase for PD). (M, male; F, female; CR, complete response; PR, partial response; SD, stable disease; PD, progressive disease.)</w:t>
      </w:r>
    </w:p>
    <w:tbl>
      <w:tblPr>
        <w:tblStyle w:val="PlainTable41"/>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990"/>
        <w:gridCol w:w="1430"/>
        <w:gridCol w:w="1366"/>
        <w:gridCol w:w="1527"/>
        <w:gridCol w:w="1800"/>
        <w:gridCol w:w="1440"/>
      </w:tblGrid>
      <w:tr w:rsidR="008F21A0" w:rsidRPr="00EC152F" w14:paraId="1E22A2AF" w14:textId="77777777" w:rsidTr="00EC152F">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3167157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Accession</w:t>
            </w:r>
          </w:p>
        </w:tc>
        <w:tc>
          <w:tcPr>
            <w:tcW w:w="990" w:type="dxa"/>
            <w:noWrap/>
            <w:vAlign w:val="center"/>
          </w:tcPr>
          <w:p w14:paraId="5AAEA1C9"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Gender</w:t>
            </w:r>
          </w:p>
        </w:tc>
        <w:tc>
          <w:tcPr>
            <w:tcW w:w="1430" w:type="dxa"/>
            <w:noWrap/>
            <w:vAlign w:val="center"/>
          </w:tcPr>
          <w:p w14:paraId="78818105"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Tumor location</w:t>
            </w:r>
          </w:p>
        </w:tc>
        <w:tc>
          <w:tcPr>
            <w:tcW w:w="1366" w:type="dxa"/>
            <w:noWrap/>
            <w:vAlign w:val="center"/>
          </w:tcPr>
          <w:p w14:paraId="1B3F9754"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Lesion</w:t>
            </w:r>
          </w:p>
        </w:tc>
        <w:tc>
          <w:tcPr>
            <w:tcW w:w="1527" w:type="dxa"/>
            <w:noWrap/>
            <w:vAlign w:val="center"/>
          </w:tcPr>
          <w:p w14:paraId="719D2464"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Regimen</w:t>
            </w:r>
          </w:p>
        </w:tc>
        <w:tc>
          <w:tcPr>
            <w:tcW w:w="1800" w:type="dxa"/>
            <w:noWrap/>
            <w:vAlign w:val="center"/>
          </w:tcPr>
          <w:p w14:paraId="3489F6FB"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Response status</w:t>
            </w:r>
          </w:p>
        </w:tc>
        <w:tc>
          <w:tcPr>
            <w:tcW w:w="1440" w:type="dxa"/>
            <w:noWrap/>
            <w:vAlign w:val="center"/>
          </w:tcPr>
          <w:p w14:paraId="2BD4CF54"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MS PGothic" w:hAnsi="Times New Roman"/>
                <w:color w:val="000000"/>
                <w:szCs w:val="24"/>
                <w:lang w:eastAsia="zh-TW"/>
              </w:rPr>
              <w:t xml:space="preserve">Response </w:t>
            </w:r>
            <w:r w:rsidRPr="00EC152F">
              <w:rPr>
                <w:rFonts w:ascii="Times New Roman" w:eastAsia="Times New Roman" w:hAnsi="Times New Roman"/>
                <w:color w:val="000000"/>
                <w:szCs w:val="24"/>
                <w:lang w:eastAsia="zh-TW"/>
              </w:rPr>
              <w:t>category</w:t>
            </w:r>
          </w:p>
        </w:tc>
      </w:tr>
      <w:tr w:rsidR="008F21A0" w:rsidRPr="00EC152F" w14:paraId="1007347A"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31C7CCE5"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GSM710801</w:t>
            </w:r>
          </w:p>
        </w:tc>
        <w:tc>
          <w:tcPr>
            <w:tcW w:w="990" w:type="dxa"/>
            <w:shd w:val="clear" w:color="auto" w:fill="F2F2F2"/>
            <w:noWrap/>
            <w:vAlign w:val="center"/>
          </w:tcPr>
          <w:p w14:paraId="590C454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46CBB28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0F8DB6A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4AA5AA1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507B2ABE" w14:textId="7759F60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2023949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30B10AB0"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F74EFD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GSM710802</w:t>
            </w:r>
          </w:p>
        </w:tc>
        <w:tc>
          <w:tcPr>
            <w:tcW w:w="990" w:type="dxa"/>
            <w:noWrap/>
            <w:vAlign w:val="center"/>
          </w:tcPr>
          <w:p w14:paraId="44218B1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55E264A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693C05F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3EBE213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1F0CE2D8" w14:textId="202361B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4C67443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5BAB43D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12F3BC7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GSM710803</w:t>
            </w:r>
          </w:p>
        </w:tc>
        <w:tc>
          <w:tcPr>
            <w:tcW w:w="990" w:type="dxa"/>
            <w:shd w:val="clear" w:color="auto" w:fill="F2F2F2"/>
            <w:noWrap/>
            <w:vAlign w:val="center"/>
          </w:tcPr>
          <w:p w14:paraId="2B91A90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0E0E20D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Descending</w:t>
            </w:r>
          </w:p>
        </w:tc>
        <w:tc>
          <w:tcPr>
            <w:tcW w:w="1366" w:type="dxa"/>
            <w:shd w:val="clear" w:color="auto" w:fill="F2F2F2"/>
            <w:noWrap/>
            <w:vAlign w:val="center"/>
          </w:tcPr>
          <w:p w14:paraId="4F0E09B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689824E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FCD5158" w14:textId="3919017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72B66E1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B6CF273"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5457AD3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GSM710804</w:t>
            </w:r>
          </w:p>
        </w:tc>
        <w:tc>
          <w:tcPr>
            <w:tcW w:w="990" w:type="dxa"/>
            <w:noWrap/>
            <w:vAlign w:val="center"/>
          </w:tcPr>
          <w:p w14:paraId="429DADD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3623D3A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Transverse</w:t>
            </w:r>
          </w:p>
        </w:tc>
        <w:tc>
          <w:tcPr>
            <w:tcW w:w="1366" w:type="dxa"/>
            <w:noWrap/>
            <w:vAlign w:val="center"/>
          </w:tcPr>
          <w:p w14:paraId="177C45E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15926F4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2DC3F81F" w14:textId="2C910F8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5212845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3AD44E38"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D9DF9A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GSM710805</w:t>
            </w:r>
          </w:p>
        </w:tc>
        <w:tc>
          <w:tcPr>
            <w:tcW w:w="990" w:type="dxa"/>
            <w:shd w:val="clear" w:color="auto" w:fill="F2F2F2"/>
            <w:noWrap/>
            <w:vAlign w:val="center"/>
          </w:tcPr>
          <w:p w14:paraId="007E2C6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037ACEA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1957997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50A74EA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D81C7ED" w14:textId="0214BA0B"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36DF97E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16B8AEB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DC97C2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GSM710806</w:t>
            </w:r>
          </w:p>
        </w:tc>
        <w:tc>
          <w:tcPr>
            <w:tcW w:w="990" w:type="dxa"/>
            <w:noWrap/>
            <w:vAlign w:val="center"/>
          </w:tcPr>
          <w:p w14:paraId="35ABEA4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1F46D1F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Cecum</w:t>
            </w:r>
          </w:p>
        </w:tc>
        <w:tc>
          <w:tcPr>
            <w:tcW w:w="1366" w:type="dxa"/>
            <w:noWrap/>
            <w:vAlign w:val="center"/>
          </w:tcPr>
          <w:p w14:paraId="7AF1274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107D8E8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3BD113D4" w14:textId="45AD77EF"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5EF2767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3AACDB0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4614893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GSM710807</w:t>
            </w:r>
          </w:p>
        </w:tc>
        <w:tc>
          <w:tcPr>
            <w:tcW w:w="990" w:type="dxa"/>
            <w:shd w:val="clear" w:color="auto" w:fill="F2F2F2"/>
            <w:noWrap/>
            <w:vAlign w:val="center"/>
          </w:tcPr>
          <w:p w14:paraId="1CE1B75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A423C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shd w:val="clear" w:color="auto" w:fill="F2F2F2"/>
            <w:noWrap/>
            <w:vAlign w:val="center"/>
          </w:tcPr>
          <w:p w14:paraId="7A2520E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7D6D2AF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60164422" w14:textId="4411FCF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5140B6A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401B4B31"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45B364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GSM710808</w:t>
            </w:r>
          </w:p>
        </w:tc>
        <w:tc>
          <w:tcPr>
            <w:tcW w:w="990" w:type="dxa"/>
            <w:noWrap/>
            <w:vAlign w:val="center"/>
          </w:tcPr>
          <w:p w14:paraId="0A3EAF2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21D2C8E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2E714BC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4B75350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A7F8981" w14:textId="05E1471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39CB1CC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7D27E817"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7220754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GSM710809</w:t>
            </w:r>
          </w:p>
        </w:tc>
        <w:tc>
          <w:tcPr>
            <w:tcW w:w="990" w:type="dxa"/>
            <w:shd w:val="clear" w:color="auto" w:fill="F2F2F2"/>
            <w:noWrap/>
            <w:vAlign w:val="center"/>
          </w:tcPr>
          <w:p w14:paraId="62404D3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57DFB6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3C76FB6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3B96697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1458E109" w14:textId="60526B4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30BDD1D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7E83EF3B"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EFFA30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GSM710810</w:t>
            </w:r>
          </w:p>
        </w:tc>
        <w:tc>
          <w:tcPr>
            <w:tcW w:w="990" w:type="dxa"/>
            <w:noWrap/>
            <w:vAlign w:val="center"/>
          </w:tcPr>
          <w:p w14:paraId="301E3A4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12AF986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7577827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04D5B6A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15CDC66B" w14:textId="222D545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1241B9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79A0B08A"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267DA11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GSM710811</w:t>
            </w:r>
          </w:p>
        </w:tc>
        <w:tc>
          <w:tcPr>
            <w:tcW w:w="990" w:type="dxa"/>
            <w:shd w:val="clear" w:color="auto" w:fill="F2F2F2"/>
            <w:noWrap/>
            <w:vAlign w:val="center"/>
          </w:tcPr>
          <w:p w14:paraId="3C9AF15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F2855B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696E1F0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40A95AE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C1170CA" w14:textId="253C325F"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0420CE8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6DA90B19"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24A19C9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GSM710812</w:t>
            </w:r>
          </w:p>
        </w:tc>
        <w:tc>
          <w:tcPr>
            <w:tcW w:w="990" w:type="dxa"/>
            <w:noWrap/>
            <w:vAlign w:val="center"/>
          </w:tcPr>
          <w:p w14:paraId="6701FDE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5275D8E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0E0F4E9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7C47D3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A86AFC5" w14:textId="721DE87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4C121B2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096EB43D"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91BAD0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GSM710813</w:t>
            </w:r>
          </w:p>
        </w:tc>
        <w:tc>
          <w:tcPr>
            <w:tcW w:w="990" w:type="dxa"/>
            <w:shd w:val="clear" w:color="auto" w:fill="F2F2F2"/>
            <w:noWrap/>
            <w:vAlign w:val="center"/>
          </w:tcPr>
          <w:p w14:paraId="05CAA60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4A4F963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Peritoneum</w:t>
            </w:r>
          </w:p>
        </w:tc>
        <w:tc>
          <w:tcPr>
            <w:tcW w:w="1366" w:type="dxa"/>
            <w:shd w:val="clear" w:color="auto" w:fill="F2F2F2"/>
            <w:noWrap/>
            <w:vAlign w:val="center"/>
          </w:tcPr>
          <w:p w14:paraId="6A42564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0DF4D8A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0527757A" w14:textId="6F64847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55D28CC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1009C875"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7053FC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lastRenderedPageBreak/>
              <w:t>GSM710814</w:t>
            </w:r>
          </w:p>
        </w:tc>
        <w:tc>
          <w:tcPr>
            <w:tcW w:w="990" w:type="dxa"/>
            <w:noWrap/>
            <w:vAlign w:val="center"/>
          </w:tcPr>
          <w:p w14:paraId="1F6BC6C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04B576E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409FD8C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4F4D42F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20E8EF6" w14:textId="381C4AA8"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638F6B0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D4E3C4A"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625BECF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GSM710815</w:t>
            </w:r>
          </w:p>
        </w:tc>
        <w:tc>
          <w:tcPr>
            <w:tcW w:w="990" w:type="dxa"/>
            <w:shd w:val="clear" w:color="auto" w:fill="F2F2F2"/>
            <w:noWrap/>
            <w:vAlign w:val="center"/>
          </w:tcPr>
          <w:p w14:paraId="7B9ED65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7917ED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43BB5FE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065B3FC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75AA1F09" w14:textId="3FBB32B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1A759E7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48DBC3F8"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2D6BA7A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GSM710816</w:t>
            </w:r>
          </w:p>
        </w:tc>
        <w:tc>
          <w:tcPr>
            <w:tcW w:w="990" w:type="dxa"/>
            <w:noWrap/>
            <w:vAlign w:val="center"/>
          </w:tcPr>
          <w:p w14:paraId="160C1B3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697D13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Peritoneum</w:t>
            </w:r>
          </w:p>
        </w:tc>
        <w:tc>
          <w:tcPr>
            <w:tcW w:w="1366" w:type="dxa"/>
            <w:noWrap/>
            <w:vAlign w:val="center"/>
          </w:tcPr>
          <w:p w14:paraId="7E6F6A3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134B6A0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4F3017B7" w14:textId="0BD577C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030A9AA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CR</w:t>
            </w:r>
          </w:p>
        </w:tc>
      </w:tr>
      <w:tr w:rsidR="008F21A0" w:rsidRPr="00EC152F" w14:paraId="4A9BE290"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31F9EFF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GSM710817</w:t>
            </w:r>
          </w:p>
        </w:tc>
        <w:tc>
          <w:tcPr>
            <w:tcW w:w="990" w:type="dxa"/>
            <w:shd w:val="clear" w:color="auto" w:fill="F2F2F2"/>
            <w:noWrap/>
            <w:vAlign w:val="center"/>
          </w:tcPr>
          <w:p w14:paraId="5C78A72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BB1991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Peritoneum</w:t>
            </w:r>
          </w:p>
        </w:tc>
        <w:tc>
          <w:tcPr>
            <w:tcW w:w="1366" w:type="dxa"/>
            <w:shd w:val="clear" w:color="auto" w:fill="F2F2F2"/>
            <w:noWrap/>
            <w:vAlign w:val="center"/>
          </w:tcPr>
          <w:p w14:paraId="074B3FA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6CD6C9C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0706DF43" w14:textId="71DC44C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2DAFC1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6BA356AD"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594F8D1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GSM710818</w:t>
            </w:r>
          </w:p>
        </w:tc>
        <w:tc>
          <w:tcPr>
            <w:tcW w:w="990" w:type="dxa"/>
            <w:noWrap/>
            <w:vAlign w:val="center"/>
          </w:tcPr>
          <w:p w14:paraId="5BE4C94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730B8B4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1CEB09B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7FE1AE0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0FDEA4AE" w14:textId="771BA02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6B60622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4DAA306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74410E4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GSM710819</w:t>
            </w:r>
          </w:p>
        </w:tc>
        <w:tc>
          <w:tcPr>
            <w:tcW w:w="990" w:type="dxa"/>
            <w:shd w:val="clear" w:color="auto" w:fill="F2F2F2"/>
            <w:noWrap/>
            <w:vAlign w:val="center"/>
          </w:tcPr>
          <w:p w14:paraId="7ECD952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FDEFD0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189D36D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624D3B9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47F3916E" w14:textId="7C0F823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661EFBA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073C998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510CD39"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GSM710820</w:t>
            </w:r>
          </w:p>
        </w:tc>
        <w:tc>
          <w:tcPr>
            <w:tcW w:w="990" w:type="dxa"/>
            <w:noWrap/>
            <w:vAlign w:val="center"/>
          </w:tcPr>
          <w:p w14:paraId="409DAE5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7C36270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448344A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7AEE8FA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2D0A5F66" w14:textId="60F2BAF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01FAA29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CR</w:t>
            </w:r>
          </w:p>
        </w:tc>
      </w:tr>
      <w:tr w:rsidR="008F21A0" w:rsidRPr="00EC152F" w14:paraId="272ABDE3"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3ADBAB7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GSM710821</w:t>
            </w:r>
          </w:p>
        </w:tc>
        <w:tc>
          <w:tcPr>
            <w:tcW w:w="990" w:type="dxa"/>
            <w:shd w:val="clear" w:color="auto" w:fill="F2F2F2"/>
            <w:noWrap/>
            <w:vAlign w:val="center"/>
          </w:tcPr>
          <w:p w14:paraId="184EAF2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DA1F9B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69F5515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033F815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65148DC" w14:textId="62799FA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6764F57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52D01DCD"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2DC3828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GSM710822</w:t>
            </w:r>
          </w:p>
        </w:tc>
        <w:tc>
          <w:tcPr>
            <w:tcW w:w="990" w:type="dxa"/>
            <w:noWrap/>
            <w:vAlign w:val="center"/>
          </w:tcPr>
          <w:p w14:paraId="4072954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06D5E61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noWrap/>
            <w:vAlign w:val="center"/>
          </w:tcPr>
          <w:p w14:paraId="56E9C32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60F04FC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E30C633" w14:textId="43BB7F6C"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303094F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565CDE0B"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1514194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GSM710823</w:t>
            </w:r>
          </w:p>
        </w:tc>
        <w:tc>
          <w:tcPr>
            <w:tcW w:w="990" w:type="dxa"/>
            <w:shd w:val="clear" w:color="auto" w:fill="F2F2F2"/>
            <w:noWrap/>
            <w:vAlign w:val="center"/>
          </w:tcPr>
          <w:p w14:paraId="3F1B013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0A0AE3A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shd w:val="clear" w:color="auto" w:fill="F2F2F2"/>
            <w:noWrap/>
            <w:vAlign w:val="center"/>
          </w:tcPr>
          <w:p w14:paraId="5ECBCEB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4BC5140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629EEF97" w14:textId="1E7BB72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065A6EE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31D8CB59"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43BF353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GSM710824</w:t>
            </w:r>
          </w:p>
        </w:tc>
        <w:tc>
          <w:tcPr>
            <w:tcW w:w="990" w:type="dxa"/>
            <w:noWrap/>
            <w:vAlign w:val="center"/>
          </w:tcPr>
          <w:p w14:paraId="196899E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5CE50B7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59F6625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5C27C30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C72B7F0" w14:textId="6181D60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580779C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0FEBE5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64FDE44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GSM710825</w:t>
            </w:r>
          </w:p>
        </w:tc>
        <w:tc>
          <w:tcPr>
            <w:tcW w:w="990" w:type="dxa"/>
            <w:shd w:val="clear" w:color="auto" w:fill="F2F2F2"/>
            <w:noWrap/>
            <w:vAlign w:val="center"/>
          </w:tcPr>
          <w:p w14:paraId="7B2C6F6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72BAD8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0507DA1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1945493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1215AB2E" w14:textId="042F4293"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6454B70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398AE3D"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67D9FDC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GSM710826</w:t>
            </w:r>
          </w:p>
        </w:tc>
        <w:tc>
          <w:tcPr>
            <w:tcW w:w="990" w:type="dxa"/>
            <w:noWrap/>
            <w:vAlign w:val="center"/>
          </w:tcPr>
          <w:p w14:paraId="30E9AF2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0FF07E2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182446A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42B66BA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B4BAA7F" w14:textId="08DB31D0"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50D8AE0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57EAC33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33612B6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GSM710827</w:t>
            </w:r>
          </w:p>
        </w:tc>
        <w:tc>
          <w:tcPr>
            <w:tcW w:w="990" w:type="dxa"/>
            <w:shd w:val="clear" w:color="auto" w:fill="F2F2F2"/>
            <w:noWrap/>
            <w:vAlign w:val="center"/>
          </w:tcPr>
          <w:p w14:paraId="31CA248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32E8CF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shd w:val="clear" w:color="auto" w:fill="F2F2F2"/>
            <w:noWrap/>
            <w:vAlign w:val="center"/>
          </w:tcPr>
          <w:p w14:paraId="286B384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345B034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2990AC4" w14:textId="514DE51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643ECA7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7DB686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64513DA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GSM710828</w:t>
            </w:r>
          </w:p>
        </w:tc>
        <w:tc>
          <w:tcPr>
            <w:tcW w:w="990" w:type="dxa"/>
            <w:noWrap/>
            <w:vAlign w:val="center"/>
          </w:tcPr>
          <w:p w14:paraId="1BB7DE0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77CCA32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009B0FD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57BC7A4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4AB222C" w14:textId="3BE1422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644AE26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546C6DAC"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2740DDA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GSM710829</w:t>
            </w:r>
          </w:p>
        </w:tc>
        <w:tc>
          <w:tcPr>
            <w:tcW w:w="990" w:type="dxa"/>
            <w:shd w:val="clear" w:color="auto" w:fill="F2F2F2"/>
            <w:noWrap/>
            <w:vAlign w:val="center"/>
          </w:tcPr>
          <w:p w14:paraId="7E835BC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063D50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60F0462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7CC14E5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1EE75492" w14:textId="24030BB3"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2BA42D5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3128B95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5EB83E1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GSM710830</w:t>
            </w:r>
          </w:p>
        </w:tc>
        <w:tc>
          <w:tcPr>
            <w:tcW w:w="990" w:type="dxa"/>
            <w:noWrap/>
            <w:vAlign w:val="center"/>
          </w:tcPr>
          <w:p w14:paraId="5D33EE8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2C534F0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130C3F3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57E1581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AFCB4DA" w14:textId="12B7027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4BB31B3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0E7AC8A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25C2C8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GSM710831</w:t>
            </w:r>
          </w:p>
        </w:tc>
        <w:tc>
          <w:tcPr>
            <w:tcW w:w="990" w:type="dxa"/>
            <w:shd w:val="clear" w:color="auto" w:fill="F2F2F2"/>
            <w:noWrap/>
            <w:vAlign w:val="center"/>
          </w:tcPr>
          <w:p w14:paraId="2526228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4307277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Cecum</w:t>
            </w:r>
          </w:p>
        </w:tc>
        <w:tc>
          <w:tcPr>
            <w:tcW w:w="1366" w:type="dxa"/>
            <w:shd w:val="clear" w:color="auto" w:fill="F2F2F2"/>
            <w:noWrap/>
            <w:vAlign w:val="center"/>
          </w:tcPr>
          <w:p w14:paraId="0482580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1777BCD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67936136" w14:textId="40DAB02C"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1C0532C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7A6FA6B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771656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GSM710832</w:t>
            </w:r>
          </w:p>
        </w:tc>
        <w:tc>
          <w:tcPr>
            <w:tcW w:w="990" w:type="dxa"/>
            <w:noWrap/>
            <w:vAlign w:val="center"/>
          </w:tcPr>
          <w:p w14:paraId="744BB7A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17D11A9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noWrap/>
            <w:vAlign w:val="center"/>
          </w:tcPr>
          <w:p w14:paraId="4BF70BF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5F930A8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2706AF70" w14:textId="01C0E32F"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4685147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73A7B223"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285CD51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GSM710833</w:t>
            </w:r>
          </w:p>
        </w:tc>
        <w:tc>
          <w:tcPr>
            <w:tcW w:w="990" w:type="dxa"/>
            <w:shd w:val="clear" w:color="auto" w:fill="F2F2F2"/>
            <w:noWrap/>
            <w:vAlign w:val="center"/>
          </w:tcPr>
          <w:p w14:paraId="0C6795D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7CEB512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shd w:val="clear" w:color="auto" w:fill="F2F2F2"/>
            <w:noWrap/>
            <w:vAlign w:val="center"/>
          </w:tcPr>
          <w:p w14:paraId="6A96653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26B6EE6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52E43743" w14:textId="055D0A7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1828E36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493A18EA"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0369E7D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GSM710834</w:t>
            </w:r>
          </w:p>
        </w:tc>
        <w:tc>
          <w:tcPr>
            <w:tcW w:w="990" w:type="dxa"/>
            <w:noWrap/>
            <w:vAlign w:val="center"/>
          </w:tcPr>
          <w:p w14:paraId="10F112E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0B7001C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noWrap/>
            <w:vAlign w:val="center"/>
          </w:tcPr>
          <w:p w14:paraId="6301673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47E28C9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5938593E" w14:textId="52A8C67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61C477F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5B8BA20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54DAA3F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GSM710835</w:t>
            </w:r>
          </w:p>
        </w:tc>
        <w:tc>
          <w:tcPr>
            <w:tcW w:w="990" w:type="dxa"/>
            <w:shd w:val="clear" w:color="auto" w:fill="F2F2F2"/>
            <w:noWrap/>
            <w:vAlign w:val="center"/>
          </w:tcPr>
          <w:p w14:paraId="62D14E9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2BFD29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63FFA4E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61652F6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01D7FF80" w14:textId="2C5C56F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567181C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6B4370E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6D4D4D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GSM710836</w:t>
            </w:r>
          </w:p>
        </w:tc>
        <w:tc>
          <w:tcPr>
            <w:tcW w:w="990" w:type="dxa"/>
            <w:noWrap/>
            <w:vAlign w:val="center"/>
          </w:tcPr>
          <w:p w14:paraId="7DF7240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0D2F445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695E99C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6D3F042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258FD664" w14:textId="04CDA0A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1A207C0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39B6C4B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155070D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GSM710837</w:t>
            </w:r>
          </w:p>
        </w:tc>
        <w:tc>
          <w:tcPr>
            <w:tcW w:w="990" w:type="dxa"/>
            <w:shd w:val="clear" w:color="auto" w:fill="F2F2F2"/>
            <w:noWrap/>
            <w:vAlign w:val="center"/>
          </w:tcPr>
          <w:p w14:paraId="4A05D73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5D1E8DD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7834F6D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22EE0EE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1BEF011" w14:textId="73C4E09E"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350C737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54B2BD77"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33A69A6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GSM710839</w:t>
            </w:r>
          </w:p>
        </w:tc>
        <w:tc>
          <w:tcPr>
            <w:tcW w:w="990" w:type="dxa"/>
            <w:noWrap/>
            <w:vAlign w:val="center"/>
          </w:tcPr>
          <w:p w14:paraId="197EDC3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32D28E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52BF4AD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0FA6E76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11095230" w14:textId="4829DDE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2DA2AC2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1700A1D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681B56A5"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GSM710841</w:t>
            </w:r>
          </w:p>
        </w:tc>
        <w:tc>
          <w:tcPr>
            <w:tcW w:w="990" w:type="dxa"/>
            <w:shd w:val="clear" w:color="auto" w:fill="F2F2F2"/>
            <w:noWrap/>
            <w:vAlign w:val="center"/>
          </w:tcPr>
          <w:p w14:paraId="7BD7DEA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386211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6BB0103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5C6C371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E8B9261" w14:textId="0F5E1AB8"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0B7B5F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2BB9B26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0E4E6FC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GSM710843</w:t>
            </w:r>
          </w:p>
        </w:tc>
        <w:tc>
          <w:tcPr>
            <w:tcW w:w="990" w:type="dxa"/>
            <w:noWrap/>
            <w:vAlign w:val="center"/>
          </w:tcPr>
          <w:p w14:paraId="7224077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6B3FC4C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086C46F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3CEBD27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3DF508ED" w14:textId="63BA0D6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7C6437B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3CC93889"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DFF0F1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GSM710845</w:t>
            </w:r>
          </w:p>
        </w:tc>
        <w:tc>
          <w:tcPr>
            <w:tcW w:w="990" w:type="dxa"/>
            <w:shd w:val="clear" w:color="auto" w:fill="F2F2F2"/>
            <w:noWrap/>
            <w:vAlign w:val="center"/>
          </w:tcPr>
          <w:p w14:paraId="0CF292C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50F51F8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Lung</w:t>
            </w:r>
          </w:p>
        </w:tc>
        <w:tc>
          <w:tcPr>
            <w:tcW w:w="1366" w:type="dxa"/>
            <w:shd w:val="clear" w:color="auto" w:fill="F2F2F2"/>
            <w:noWrap/>
            <w:vAlign w:val="center"/>
          </w:tcPr>
          <w:p w14:paraId="66C74BF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06BA3F5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21CA2B4" w14:textId="65C89EBB"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0F9AB2C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0875C4E8"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0E8ABB1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GSM710846</w:t>
            </w:r>
          </w:p>
        </w:tc>
        <w:tc>
          <w:tcPr>
            <w:tcW w:w="990" w:type="dxa"/>
            <w:noWrap/>
            <w:vAlign w:val="center"/>
          </w:tcPr>
          <w:p w14:paraId="7B38E4C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50ACBA2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0D6EFFC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76574E4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0E63FE73" w14:textId="751EF96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2D253B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58013740"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290FC04A"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GSM710849</w:t>
            </w:r>
          </w:p>
        </w:tc>
        <w:tc>
          <w:tcPr>
            <w:tcW w:w="990" w:type="dxa"/>
            <w:shd w:val="clear" w:color="auto" w:fill="F2F2F2"/>
            <w:noWrap/>
            <w:vAlign w:val="center"/>
          </w:tcPr>
          <w:p w14:paraId="5C509FB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1C0BF83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123EFDF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15A1193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60500BF8" w14:textId="323CA9CC"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79E8188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6E100E23"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41B16E3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GSM710853</w:t>
            </w:r>
          </w:p>
        </w:tc>
        <w:tc>
          <w:tcPr>
            <w:tcW w:w="990" w:type="dxa"/>
            <w:noWrap/>
            <w:vAlign w:val="center"/>
          </w:tcPr>
          <w:p w14:paraId="4EDCFC6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0ECBFAE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426415B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14A25CC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33CF3BAE" w14:textId="3BDD3BDB"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30314AD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6276B6A1"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78FB493A"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GSM710855</w:t>
            </w:r>
          </w:p>
        </w:tc>
        <w:tc>
          <w:tcPr>
            <w:tcW w:w="990" w:type="dxa"/>
            <w:shd w:val="clear" w:color="auto" w:fill="F2F2F2"/>
            <w:noWrap/>
            <w:vAlign w:val="center"/>
          </w:tcPr>
          <w:p w14:paraId="5B35214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204B116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7AE6E65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071EAC1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EBC88CE" w14:textId="1D7F9F6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61D9253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227EFD0F"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F49290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GSM710858</w:t>
            </w:r>
          </w:p>
        </w:tc>
        <w:tc>
          <w:tcPr>
            <w:tcW w:w="990" w:type="dxa"/>
            <w:noWrap/>
            <w:vAlign w:val="center"/>
          </w:tcPr>
          <w:p w14:paraId="34B8235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1730E88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4A55125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3CACFC7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535DC31C" w14:textId="2F19B47B"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4F12E24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59B87E33"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7CBEDE5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GSM710860</w:t>
            </w:r>
          </w:p>
        </w:tc>
        <w:tc>
          <w:tcPr>
            <w:tcW w:w="990" w:type="dxa"/>
            <w:shd w:val="clear" w:color="auto" w:fill="F2F2F2"/>
            <w:noWrap/>
            <w:vAlign w:val="center"/>
          </w:tcPr>
          <w:p w14:paraId="4163E0A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FAD6F9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2B9F757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1F69F5C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F0698D4" w14:textId="568638CC"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7B21C61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3DABB4F7"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5CE467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GSM710862</w:t>
            </w:r>
          </w:p>
        </w:tc>
        <w:tc>
          <w:tcPr>
            <w:tcW w:w="990" w:type="dxa"/>
            <w:noWrap/>
            <w:vAlign w:val="center"/>
          </w:tcPr>
          <w:p w14:paraId="2572183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2517359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0670C71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2F937FC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48999969" w14:textId="3BCC64D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479F19C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3382C231"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7F4A35E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GSM710863</w:t>
            </w:r>
          </w:p>
        </w:tc>
        <w:tc>
          <w:tcPr>
            <w:tcW w:w="990" w:type="dxa"/>
            <w:shd w:val="clear" w:color="auto" w:fill="F2F2F2"/>
            <w:noWrap/>
            <w:vAlign w:val="center"/>
          </w:tcPr>
          <w:p w14:paraId="5D01E3E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C904BB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36B5739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6A1F2B1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48C5BC2B" w14:textId="3341ED5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64D0A62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16C0E67A"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3A60A91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GSM710865</w:t>
            </w:r>
          </w:p>
        </w:tc>
        <w:tc>
          <w:tcPr>
            <w:tcW w:w="990" w:type="dxa"/>
            <w:noWrap/>
            <w:vAlign w:val="center"/>
          </w:tcPr>
          <w:p w14:paraId="2943C8A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2875545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38320EE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7372D10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16CA6904" w14:textId="69719DF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6E2B860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1ADFC8F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156919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GSM710867</w:t>
            </w:r>
          </w:p>
        </w:tc>
        <w:tc>
          <w:tcPr>
            <w:tcW w:w="990" w:type="dxa"/>
            <w:shd w:val="clear" w:color="auto" w:fill="F2F2F2"/>
            <w:noWrap/>
            <w:vAlign w:val="center"/>
          </w:tcPr>
          <w:p w14:paraId="711C1B5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5E515EA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72A9ED4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7C00EC9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4A80A256" w14:textId="3F0C37DE"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43E09C7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3CF51429"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62E757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GSM710869</w:t>
            </w:r>
          </w:p>
        </w:tc>
        <w:tc>
          <w:tcPr>
            <w:tcW w:w="990" w:type="dxa"/>
            <w:noWrap/>
            <w:vAlign w:val="center"/>
          </w:tcPr>
          <w:p w14:paraId="0F5E259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29D5AC6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054410B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1F41E4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3DE4AF98" w14:textId="6167038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0931221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6983CD45"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211339E5"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GSM710871</w:t>
            </w:r>
          </w:p>
        </w:tc>
        <w:tc>
          <w:tcPr>
            <w:tcW w:w="990" w:type="dxa"/>
            <w:shd w:val="clear" w:color="auto" w:fill="F2F2F2"/>
            <w:noWrap/>
            <w:vAlign w:val="center"/>
          </w:tcPr>
          <w:p w14:paraId="79A0C73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807EF6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537771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2847088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481E5FFB" w14:textId="01BEF0D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50550A9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6585157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0066B36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GSM710873</w:t>
            </w:r>
          </w:p>
        </w:tc>
        <w:tc>
          <w:tcPr>
            <w:tcW w:w="990" w:type="dxa"/>
            <w:noWrap/>
            <w:vAlign w:val="center"/>
          </w:tcPr>
          <w:p w14:paraId="7EFE0A8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72E6C42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19FFA5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7F741C3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246B1CC9" w14:textId="66E479C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3C3C047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07828721"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3D9538D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GSM710875</w:t>
            </w:r>
          </w:p>
        </w:tc>
        <w:tc>
          <w:tcPr>
            <w:tcW w:w="990" w:type="dxa"/>
            <w:shd w:val="clear" w:color="auto" w:fill="F2F2F2"/>
            <w:noWrap/>
            <w:vAlign w:val="center"/>
          </w:tcPr>
          <w:p w14:paraId="20B27C4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7A577AE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0912BD1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2EED1F2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59D1086A" w14:textId="4EE2C6D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433C9DE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1C117AF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3586B92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GSM710877</w:t>
            </w:r>
          </w:p>
        </w:tc>
        <w:tc>
          <w:tcPr>
            <w:tcW w:w="990" w:type="dxa"/>
            <w:noWrap/>
            <w:vAlign w:val="center"/>
          </w:tcPr>
          <w:p w14:paraId="0C7A07E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408DF0A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2054FD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778BD7A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4ADD0852" w14:textId="5209D80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1C9505F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14D7BD88"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65A81B9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GSM710879</w:t>
            </w:r>
          </w:p>
        </w:tc>
        <w:tc>
          <w:tcPr>
            <w:tcW w:w="990" w:type="dxa"/>
            <w:shd w:val="clear" w:color="auto" w:fill="F2F2F2"/>
            <w:noWrap/>
            <w:vAlign w:val="center"/>
          </w:tcPr>
          <w:p w14:paraId="7D376E5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5290A41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11F4183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5C52CF1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6FDFE458" w14:textId="4A38A91E"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7B48043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C97B74D"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338EB96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lastRenderedPageBreak/>
              <w:t>GSM710881</w:t>
            </w:r>
          </w:p>
        </w:tc>
        <w:tc>
          <w:tcPr>
            <w:tcW w:w="990" w:type="dxa"/>
            <w:noWrap/>
            <w:vAlign w:val="center"/>
          </w:tcPr>
          <w:p w14:paraId="056AE08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7034ABE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2FB2B4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75D0C81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59808D8" w14:textId="34DC17F0"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14982A3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30D8BBD7"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535FD77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GSM710883</w:t>
            </w:r>
          </w:p>
        </w:tc>
        <w:tc>
          <w:tcPr>
            <w:tcW w:w="990" w:type="dxa"/>
            <w:shd w:val="clear" w:color="auto" w:fill="F2F2F2"/>
            <w:noWrap/>
            <w:vAlign w:val="center"/>
          </w:tcPr>
          <w:p w14:paraId="1ED9EFE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9D584E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7F5861C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7CAC745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7EF85ECF" w14:textId="606DE7A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195A1B5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113A85E7"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05AB070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GSM710885</w:t>
            </w:r>
          </w:p>
        </w:tc>
        <w:tc>
          <w:tcPr>
            <w:tcW w:w="990" w:type="dxa"/>
            <w:noWrap/>
            <w:vAlign w:val="center"/>
          </w:tcPr>
          <w:p w14:paraId="0D38EB1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5BA0760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35DCB0C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6E75972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3034B877" w14:textId="5C28BA6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71958C7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3C2E8BC8"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D2FAC4A"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GSM710886</w:t>
            </w:r>
          </w:p>
        </w:tc>
        <w:tc>
          <w:tcPr>
            <w:tcW w:w="990" w:type="dxa"/>
            <w:shd w:val="clear" w:color="auto" w:fill="F2F2F2"/>
            <w:noWrap/>
            <w:vAlign w:val="center"/>
          </w:tcPr>
          <w:p w14:paraId="78F13D4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59C938B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Descending</w:t>
            </w:r>
          </w:p>
        </w:tc>
        <w:tc>
          <w:tcPr>
            <w:tcW w:w="1366" w:type="dxa"/>
            <w:shd w:val="clear" w:color="auto" w:fill="F2F2F2"/>
            <w:noWrap/>
            <w:vAlign w:val="center"/>
          </w:tcPr>
          <w:p w14:paraId="1792AA6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70A072B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565E620C" w14:textId="49120D5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7DE458C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8C0D122"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60B5483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GSM710888</w:t>
            </w:r>
          </w:p>
        </w:tc>
        <w:tc>
          <w:tcPr>
            <w:tcW w:w="990" w:type="dxa"/>
            <w:noWrap/>
            <w:vAlign w:val="center"/>
          </w:tcPr>
          <w:p w14:paraId="259FD6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0002022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681931E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299D9EA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1EDB510B" w14:textId="51CBD93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5EC0E29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42029C09"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823D3E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GSM710890</w:t>
            </w:r>
          </w:p>
        </w:tc>
        <w:tc>
          <w:tcPr>
            <w:tcW w:w="990" w:type="dxa"/>
            <w:shd w:val="clear" w:color="auto" w:fill="F2F2F2"/>
            <w:noWrap/>
            <w:vAlign w:val="center"/>
          </w:tcPr>
          <w:p w14:paraId="6184200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24CC81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549E90F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622B33F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E761A7F" w14:textId="1658CA50"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03E34CB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01568E9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928EEC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GSM710892</w:t>
            </w:r>
          </w:p>
        </w:tc>
        <w:tc>
          <w:tcPr>
            <w:tcW w:w="990" w:type="dxa"/>
            <w:noWrap/>
            <w:vAlign w:val="center"/>
          </w:tcPr>
          <w:p w14:paraId="325CCBD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2D03D91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07ABD16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658CF69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BDC0193" w14:textId="6E622F2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723549A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73AEC38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70A9F0E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GSM710894</w:t>
            </w:r>
          </w:p>
        </w:tc>
        <w:tc>
          <w:tcPr>
            <w:tcW w:w="990" w:type="dxa"/>
            <w:shd w:val="clear" w:color="auto" w:fill="F2F2F2"/>
            <w:noWrap/>
            <w:vAlign w:val="center"/>
          </w:tcPr>
          <w:p w14:paraId="428ACB6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61A9B70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46DFA9D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0D8361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04355918" w14:textId="007DF22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0DA7A69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663CDC6B"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128FCF4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GSM710896</w:t>
            </w:r>
          </w:p>
        </w:tc>
        <w:tc>
          <w:tcPr>
            <w:tcW w:w="990" w:type="dxa"/>
            <w:noWrap/>
            <w:vAlign w:val="center"/>
          </w:tcPr>
          <w:p w14:paraId="320F004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048978F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28F223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6C46C1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1784E56" w14:textId="1204B76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2F62394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633B5E5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47E0DD79"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GSM710898</w:t>
            </w:r>
          </w:p>
        </w:tc>
        <w:tc>
          <w:tcPr>
            <w:tcW w:w="990" w:type="dxa"/>
            <w:shd w:val="clear" w:color="auto" w:fill="F2F2F2"/>
            <w:noWrap/>
            <w:vAlign w:val="center"/>
          </w:tcPr>
          <w:p w14:paraId="189D345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61ECB43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50CB2D1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1D8E06F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6CAE7810" w14:textId="31B3D23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7C40F67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28B70EF2"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79EEAD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GSM710900</w:t>
            </w:r>
          </w:p>
        </w:tc>
        <w:tc>
          <w:tcPr>
            <w:tcW w:w="990" w:type="dxa"/>
            <w:noWrap/>
            <w:vAlign w:val="center"/>
          </w:tcPr>
          <w:p w14:paraId="26A560D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31815E2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Cecum</w:t>
            </w:r>
          </w:p>
        </w:tc>
        <w:tc>
          <w:tcPr>
            <w:tcW w:w="1366" w:type="dxa"/>
            <w:noWrap/>
            <w:vAlign w:val="center"/>
          </w:tcPr>
          <w:p w14:paraId="4B0567D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296D780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7A16A1F" w14:textId="00BD2B9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noWrap/>
            <w:vAlign w:val="center"/>
          </w:tcPr>
          <w:p w14:paraId="3671041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1FE94164"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11C527E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GSM710902</w:t>
            </w:r>
          </w:p>
        </w:tc>
        <w:tc>
          <w:tcPr>
            <w:tcW w:w="990" w:type="dxa"/>
            <w:shd w:val="clear" w:color="auto" w:fill="F2F2F2"/>
            <w:noWrap/>
            <w:vAlign w:val="center"/>
          </w:tcPr>
          <w:p w14:paraId="539919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336951A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shd w:val="clear" w:color="auto" w:fill="F2F2F2"/>
            <w:noWrap/>
            <w:vAlign w:val="center"/>
          </w:tcPr>
          <w:p w14:paraId="6A6F865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538149F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1FF4F77" w14:textId="79A976F3"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1440" w:type="dxa"/>
            <w:shd w:val="clear" w:color="auto" w:fill="F2F2F2"/>
            <w:noWrap/>
            <w:vAlign w:val="center"/>
          </w:tcPr>
          <w:p w14:paraId="5A984DB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PR</w:t>
            </w:r>
          </w:p>
        </w:tc>
      </w:tr>
      <w:tr w:rsidR="008F21A0" w:rsidRPr="00EC152F" w14:paraId="7FC4100A"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527E54B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GSM710905</w:t>
            </w:r>
          </w:p>
        </w:tc>
        <w:tc>
          <w:tcPr>
            <w:tcW w:w="990" w:type="dxa"/>
            <w:noWrap/>
            <w:vAlign w:val="center"/>
          </w:tcPr>
          <w:p w14:paraId="5385FEC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568CC90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7208E11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59B111F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90C0BDF" w14:textId="717DE1C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5E30589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7220F652"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1FA858C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GSM710906</w:t>
            </w:r>
          </w:p>
        </w:tc>
        <w:tc>
          <w:tcPr>
            <w:tcW w:w="990" w:type="dxa"/>
            <w:shd w:val="clear" w:color="auto" w:fill="F2F2F2"/>
            <w:noWrap/>
            <w:vAlign w:val="center"/>
          </w:tcPr>
          <w:p w14:paraId="1861A72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755732A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2D3E16B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41F953C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1510AE9A" w14:textId="5E2663CE"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3C06F63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75B287D4"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75968D2A"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GSM710908</w:t>
            </w:r>
          </w:p>
        </w:tc>
        <w:tc>
          <w:tcPr>
            <w:tcW w:w="990" w:type="dxa"/>
            <w:noWrap/>
            <w:vAlign w:val="center"/>
          </w:tcPr>
          <w:p w14:paraId="2BB27B5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7931C46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054814B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3950330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54C39A38" w14:textId="1900611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6F00330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77CEBDB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5D11CC9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GSM710911</w:t>
            </w:r>
          </w:p>
        </w:tc>
        <w:tc>
          <w:tcPr>
            <w:tcW w:w="990" w:type="dxa"/>
            <w:shd w:val="clear" w:color="auto" w:fill="F2F2F2"/>
            <w:noWrap/>
            <w:vAlign w:val="center"/>
          </w:tcPr>
          <w:p w14:paraId="0EE3CC4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542165F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shd w:val="clear" w:color="auto" w:fill="F2F2F2"/>
            <w:noWrap/>
            <w:vAlign w:val="center"/>
          </w:tcPr>
          <w:p w14:paraId="20516CD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6EC9C2E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4D4724B5" w14:textId="2AEDB2BC"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3D58194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6208E27D"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5150F829"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GSM710913</w:t>
            </w:r>
          </w:p>
        </w:tc>
        <w:tc>
          <w:tcPr>
            <w:tcW w:w="990" w:type="dxa"/>
            <w:noWrap/>
            <w:vAlign w:val="center"/>
          </w:tcPr>
          <w:p w14:paraId="2A4D1F4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6BB5AD3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33C35A0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6861447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768C4A1E" w14:textId="0D66D1B8"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7F0446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5493CEE5"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9E5C76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GSM710915</w:t>
            </w:r>
          </w:p>
        </w:tc>
        <w:tc>
          <w:tcPr>
            <w:tcW w:w="990" w:type="dxa"/>
            <w:shd w:val="clear" w:color="auto" w:fill="F2F2F2"/>
            <w:noWrap/>
            <w:vAlign w:val="center"/>
          </w:tcPr>
          <w:p w14:paraId="4F1E924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62DE96E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1050892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7CAA06C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1D25B21" w14:textId="5259091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1DFED73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2662B760"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4575069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GSM710916</w:t>
            </w:r>
          </w:p>
        </w:tc>
        <w:tc>
          <w:tcPr>
            <w:tcW w:w="990" w:type="dxa"/>
            <w:noWrap/>
            <w:vAlign w:val="center"/>
          </w:tcPr>
          <w:p w14:paraId="358A180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0DC7E01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noWrap/>
            <w:vAlign w:val="center"/>
          </w:tcPr>
          <w:p w14:paraId="47EBAFC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noWrap/>
            <w:vAlign w:val="center"/>
          </w:tcPr>
          <w:p w14:paraId="37C29F8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406F207D" w14:textId="17F1B3F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023E2D7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3873B2E7"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3421978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GSM710918</w:t>
            </w:r>
          </w:p>
        </w:tc>
        <w:tc>
          <w:tcPr>
            <w:tcW w:w="990" w:type="dxa"/>
            <w:shd w:val="clear" w:color="auto" w:fill="F2F2F2"/>
            <w:noWrap/>
            <w:vAlign w:val="center"/>
          </w:tcPr>
          <w:p w14:paraId="07BDC7C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16A581D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Liver</w:t>
            </w:r>
          </w:p>
        </w:tc>
        <w:tc>
          <w:tcPr>
            <w:tcW w:w="1366" w:type="dxa"/>
            <w:shd w:val="clear" w:color="auto" w:fill="F2F2F2"/>
            <w:noWrap/>
            <w:vAlign w:val="center"/>
          </w:tcPr>
          <w:p w14:paraId="66740F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Metastasis</w:t>
            </w:r>
          </w:p>
        </w:tc>
        <w:tc>
          <w:tcPr>
            <w:tcW w:w="1527" w:type="dxa"/>
            <w:shd w:val="clear" w:color="auto" w:fill="F2F2F2"/>
            <w:noWrap/>
            <w:vAlign w:val="center"/>
          </w:tcPr>
          <w:p w14:paraId="0D8059A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0FFD51F0" w14:textId="0F2AE99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043D22F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4A736E78"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49A318D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GSM710920</w:t>
            </w:r>
          </w:p>
        </w:tc>
        <w:tc>
          <w:tcPr>
            <w:tcW w:w="990" w:type="dxa"/>
            <w:noWrap/>
            <w:vAlign w:val="center"/>
          </w:tcPr>
          <w:p w14:paraId="10FCD08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4DD90F3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1366" w:type="dxa"/>
            <w:noWrap/>
            <w:vAlign w:val="center"/>
          </w:tcPr>
          <w:p w14:paraId="1B292C4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1593CF2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627F93BD" w14:textId="1BF31610"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5353A1C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34FEE8FB"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4961DD7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GSM710922</w:t>
            </w:r>
          </w:p>
        </w:tc>
        <w:tc>
          <w:tcPr>
            <w:tcW w:w="990" w:type="dxa"/>
            <w:shd w:val="clear" w:color="auto" w:fill="F2F2F2"/>
            <w:noWrap/>
            <w:vAlign w:val="center"/>
          </w:tcPr>
          <w:p w14:paraId="4A7AF3D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69E8E9A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shd w:val="clear" w:color="auto" w:fill="F2F2F2"/>
            <w:noWrap/>
            <w:vAlign w:val="center"/>
          </w:tcPr>
          <w:p w14:paraId="27596DA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2CCFCD4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3B01CB38" w14:textId="0366A0E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4EDDFB4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39A4E4BE"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323CB28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GSM710924</w:t>
            </w:r>
          </w:p>
        </w:tc>
        <w:tc>
          <w:tcPr>
            <w:tcW w:w="990" w:type="dxa"/>
            <w:noWrap/>
            <w:vAlign w:val="center"/>
          </w:tcPr>
          <w:p w14:paraId="5D9910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noWrap/>
            <w:vAlign w:val="center"/>
          </w:tcPr>
          <w:p w14:paraId="5418E2D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noWrap/>
            <w:vAlign w:val="center"/>
          </w:tcPr>
          <w:p w14:paraId="59C354D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359B2DF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1D3F9030" w14:textId="4C6B7663"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2A8B360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44F11611"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05E80EF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GSM710926</w:t>
            </w:r>
          </w:p>
        </w:tc>
        <w:tc>
          <w:tcPr>
            <w:tcW w:w="990" w:type="dxa"/>
            <w:shd w:val="clear" w:color="auto" w:fill="F2F2F2"/>
            <w:noWrap/>
            <w:vAlign w:val="center"/>
          </w:tcPr>
          <w:p w14:paraId="3292C73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1430" w:type="dxa"/>
            <w:shd w:val="clear" w:color="auto" w:fill="F2F2F2"/>
            <w:noWrap/>
            <w:vAlign w:val="center"/>
          </w:tcPr>
          <w:p w14:paraId="43F146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Cecum</w:t>
            </w:r>
          </w:p>
        </w:tc>
        <w:tc>
          <w:tcPr>
            <w:tcW w:w="1366" w:type="dxa"/>
            <w:shd w:val="clear" w:color="auto" w:fill="F2F2F2"/>
            <w:noWrap/>
            <w:vAlign w:val="center"/>
          </w:tcPr>
          <w:p w14:paraId="1A21B53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1A3295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219ADC73" w14:textId="70DFE770"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4D07F28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r w:rsidR="008F21A0" w:rsidRPr="00EC152F" w14:paraId="11601011"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noWrap/>
            <w:vAlign w:val="center"/>
          </w:tcPr>
          <w:p w14:paraId="6FE853E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GSM710928</w:t>
            </w:r>
          </w:p>
        </w:tc>
        <w:tc>
          <w:tcPr>
            <w:tcW w:w="990" w:type="dxa"/>
            <w:noWrap/>
            <w:vAlign w:val="center"/>
          </w:tcPr>
          <w:p w14:paraId="3EE7BAE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noWrap/>
            <w:vAlign w:val="center"/>
          </w:tcPr>
          <w:p w14:paraId="5AFB199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Sigmoid</w:t>
            </w:r>
          </w:p>
        </w:tc>
        <w:tc>
          <w:tcPr>
            <w:tcW w:w="1366" w:type="dxa"/>
            <w:noWrap/>
            <w:vAlign w:val="center"/>
          </w:tcPr>
          <w:p w14:paraId="6E11D3F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noWrap/>
            <w:vAlign w:val="center"/>
          </w:tcPr>
          <w:p w14:paraId="3CFD1B8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noWrap/>
            <w:vAlign w:val="center"/>
          </w:tcPr>
          <w:p w14:paraId="55159C1A" w14:textId="22D4F3F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noWrap/>
            <w:vAlign w:val="center"/>
          </w:tcPr>
          <w:p w14:paraId="391262A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SD</w:t>
            </w:r>
          </w:p>
        </w:tc>
      </w:tr>
      <w:tr w:rsidR="008F21A0" w:rsidRPr="00EC152F" w14:paraId="33F634A6" w14:textId="77777777" w:rsidTr="00EC152F">
        <w:trPr>
          <w:trHeight w:val="280"/>
          <w:jc w:val="center"/>
        </w:trPr>
        <w:tc>
          <w:tcPr>
            <w:cnfStyle w:val="001000000000" w:firstRow="0" w:lastRow="0" w:firstColumn="1" w:lastColumn="0" w:oddVBand="0" w:evenVBand="0" w:oddHBand="0" w:evenHBand="0" w:firstRowFirstColumn="0" w:firstRowLastColumn="0" w:lastRowFirstColumn="0" w:lastRowLastColumn="0"/>
            <w:tcW w:w="1885" w:type="dxa"/>
            <w:shd w:val="clear" w:color="auto" w:fill="F2F2F2"/>
            <w:noWrap/>
            <w:vAlign w:val="center"/>
          </w:tcPr>
          <w:p w14:paraId="2D551CC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GSM710930</w:t>
            </w:r>
          </w:p>
        </w:tc>
        <w:tc>
          <w:tcPr>
            <w:tcW w:w="990" w:type="dxa"/>
            <w:shd w:val="clear" w:color="auto" w:fill="F2F2F2"/>
            <w:noWrap/>
            <w:vAlign w:val="center"/>
          </w:tcPr>
          <w:p w14:paraId="353D54B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1430" w:type="dxa"/>
            <w:shd w:val="clear" w:color="auto" w:fill="F2F2F2"/>
            <w:noWrap/>
            <w:vAlign w:val="center"/>
          </w:tcPr>
          <w:p w14:paraId="0CE784D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Ascending</w:t>
            </w:r>
          </w:p>
        </w:tc>
        <w:tc>
          <w:tcPr>
            <w:tcW w:w="1366" w:type="dxa"/>
            <w:shd w:val="clear" w:color="auto" w:fill="F2F2F2"/>
            <w:noWrap/>
            <w:vAlign w:val="center"/>
          </w:tcPr>
          <w:p w14:paraId="28E0D55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Primary</w:t>
            </w:r>
          </w:p>
        </w:tc>
        <w:tc>
          <w:tcPr>
            <w:tcW w:w="1527" w:type="dxa"/>
            <w:shd w:val="clear" w:color="auto" w:fill="F2F2F2"/>
            <w:noWrap/>
            <w:vAlign w:val="center"/>
          </w:tcPr>
          <w:p w14:paraId="5465809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mFOLFOX6</w:t>
            </w:r>
          </w:p>
        </w:tc>
        <w:tc>
          <w:tcPr>
            <w:tcW w:w="1800" w:type="dxa"/>
            <w:shd w:val="clear" w:color="auto" w:fill="F2F2F2"/>
            <w:noWrap/>
            <w:vAlign w:val="center"/>
          </w:tcPr>
          <w:p w14:paraId="5503D33C" w14:textId="20261D1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1440" w:type="dxa"/>
            <w:shd w:val="clear" w:color="auto" w:fill="F2F2F2"/>
            <w:noWrap/>
            <w:vAlign w:val="center"/>
          </w:tcPr>
          <w:p w14:paraId="0ECB9A9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MS PGothic" w:hAnsi="Times New Roman"/>
                <w:color w:val="000000"/>
                <w:szCs w:val="24"/>
                <w:lang w:eastAsia="zh-TW"/>
              </w:rPr>
              <w:t>PD</w:t>
            </w:r>
          </w:p>
        </w:tc>
      </w:tr>
    </w:tbl>
    <w:p w14:paraId="074E9B13" w14:textId="77777777" w:rsidR="008F21A0" w:rsidRPr="00EC152F" w:rsidRDefault="008F21A0">
      <w:pPr>
        <w:spacing w:after="160" w:line="259" w:lineRule="auto"/>
        <w:rPr>
          <w:rFonts w:eastAsia="新細明體"/>
          <w:kern w:val="2"/>
          <w:szCs w:val="24"/>
          <w:lang w:eastAsia="zh-TW"/>
          <w14:ligatures w14:val="standardContextual"/>
        </w:rPr>
      </w:pPr>
    </w:p>
    <w:p w14:paraId="6D9FE86A" w14:textId="77777777" w:rsidR="008F21A0" w:rsidRPr="00EC152F" w:rsidRDefault="0092276A">
      <w:pPr>
        <w:spacing w:after="160" w:line="259" w:lineRule="auto"/>
        <w:rPr>
          <w:rFonts w:eastAsia="新細明體"/>
          <w:kern w:val="2"/>
          <w:szCs w:val="24"/>
          <w:lang w:eastAsia="zh-TW"/>
          <w14:ligatures w14:val="standardContextual"/>
        </w:rPr>
      </w:pPr>
      <w:r w:rsidRPr="00EC152F">
        <w:rPr>
          <w:rFonts w:eastAsia="新細明體"/>
          <w:kern w:val="2"/>
          <w:szCs w:val="24"/>
          <w:lang w:eastAsia="zh-TW"/>
          <w14:ligatures w14:val="standardContextual"/>
        </w:rPr>
        <w:br w:type="page"/>
      </w:r>
    </w:p>
    <w:p w14:paraId="2AA41369" w14:textId="7C370771" w:rsidR="008F21A0" w:rsidRPr="00EC152F" w:rsidRDefault="0092276A" w:rsidP="000E3043">
      <w:pPr>
        <w:keepNext/>
        <w:keepLines/>
        <w:spacing w:before="240" w:line="480" w:lineRule="auto"/>
        <w:jc w:val="both"/>
        <w:outlineLvl w:val="0"/>
        <w:rPr>
          <w:rFonts w:eastAsia="新細明體"/>
          <w:b/>
          <w:bCs/>
          <w:kern w:val="2"/>
          <w:szCs w:val="24"/>
          <w:lang w:eastAsia="zh-TW"/>
          <w14:ligatures w14:val="standardContextual"/>
        </w:rPr>
      </w:pPr>
      <w:r w:rsidRPr="00EC152F">
        <w:rPr>
          <w:rFonts w:eastAsia="新細明體"/>
          <w:b/>
          <w:bCs/>
          <w:kern w:val="2"/>
          <w:szCs w:val="24"/>
          <w:lang w:eastAsia="zh-TW"/>
          <w14:ligatures w14:val="standardContextual"/>
        </w:rPr>
        <w:lastRenderedPageBreak/>
        <w:t xml:space="preserve">Table S3. Clinical features of chemotherapy </w:t>
      </w:r>
      <w:r w:rsidR="00EC152F">
        <w:rPr>
          <w:rFonts w:eastAsia="新細明體"/>
          <w:b/>
          <w:bCs/>
          <w:kern w:val="2"/>
          <w:szCs w:val="24"/>
          <w:lang w:eastAsia="zh-TW"/>
          <w14:ligatures w14:val="standardContextual"/>
        </w:rPr>
        <w:t>Responder</w:t>
      </w:r>
      <w:r w:rsidRPr="00EC152F">
        <w:rPr>
          <w:rFonts w:eastAsia="新細明體"/>
          <w:b/>
          <w:bCs/>
          <w:kern w:val="2"/>
          <w:szCs w:val="24"/>
          <w:lang w:eastAsia="zh-TW"/>
          <w14:ligatures w14:val="standardContextual"/>
        </w:rPr>
        <w:t xml:space="preserve">s and </w:t>
      </w:r>
      <w:r w:rsidR="00EC152F">
        <w:rPr>
          <w:rFonts w:eastAsia="新細明體"/>
          <w:b/>
          <w:bCs/>
          <w:kern w:val="2"/>
          <w:szCs w:val="24"/>
          <w:lang w:eastAsia="zh-TW"/>
          <w14:ligatures w14:val="standardContextual"/>
        </w:rPr>
        <w:t>Non-Responder</w:t>
      </w:r>
      <w:r w:rsidRPr="00EC152F">
        <w:rPr>
          <w:rFonts w:eastAsia="新細明體"/>
          <w:b/>
          <w:bCs/>
          <w:kern w:val="2"/>
          <w:szCs w:val="24"/>
          <w:lang w:eastAsia="zh-TW"/>
          <w14:ligatures w14:val="standardContextual"/>
        </w:rPr>
        <w:t>s in CRC patients (Cohort VI)</w:t>
      </w:r>
    </w:p>
    <w:p w14:paraId="73896202" w14:textId="77777777" w:rsidR="008F21A0" w:rsidRPr="00EC152F" w:rsidRDefault="0092276A" w:rsidP="000E3043">
      <w:pPr>
        <w:spacing w:after="160" w:line="480" w:lineRule="auto"/>
        <w:jc w:val="both"/>
        <w:rPr>
          <w:rFonts w:eastAsia="新細明體"/>
          <w:kern w:val="2"/>
          <w:szCs w:val="24"/>
          <w:lang w:eastAsia="zh-TW"/>
          <w14:ligatures w14:val="standardContextual"/>
        </w:rPr>
      </w:pPr>
      <w:r w:rsidRPr="00EC152F">
        <w:rPr>
          <w:rFonts w:eastAsia="新細明體"/>
          <w:kern w:val="2"/>
          <w:szCs w:val="24"/>
          <w:lang w:eastAsia="zh-TW"/>
          <w14:ligatures w14:val="standardContextual"/>
        </w:rPr>
        <w:t xml:space="preserve">Tumor samples were obtained from 68 untreated primary CRC tumors in patients with synchronous or metachronous liver metastases. Inclusion criteria included: histologically confirmed colon adenocarcinoma, advanced and </w:t>
      </w:r>
      <w:proofErr w:type="spellStart"/>
      <w:r w:rsidRPr="00EC152F">
        <w:rPr>
          <w:rFonts w:eastAsia="新細明體"/>
          <w:kern w:val="2"/>
          <w:szCs w:val="24"/>
          <w:lang w:eastAsia="zh-TW"/>
          <w14:ligatures w14:val="standardContextual"/>
        </w:rPr>
        <w:t>bidimensionally</w:t>
      </w:r>
      <w:proofErr w:type="spellEnd"/>
      <w:r w:rsidRPr="00EC152F">
        <w:rPr>
          <w:rFonts w:eastAsia="新細明體"/>
          <w:kern w:val="2"/>
          <w:szCs w:val="24"/>
          <w:lang w:eastAsia="zh-TW"/>
          <w14:ligatures w14:val="standardContextual"/>
        </w:rPr>
        <w:t xml:space="preserve"> measurable disease, age 18–75 years, and WHO performance status of 2 or lower. All patients underwent primary tumor resection or endoscopic biopsy prior to chemotherapy. Patients received various first-line treatment regimens, and tumor response was assessed using RECIST 1.0 criteria. The best observed response to first-line treatment was used to categorize patients (M, male; F, female; CR, complete response; PR, partial response; SD, stable disease; PD, progressive disease).</w:t>
      </w:r>
    </w:p>
    <w:tbl>
      <w:tblPr>
        <w:tblStyle w:val="PlainTable41"/>
        <w:tblW w:w="5825"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079"/>
        <w:gridCol w:w="1978"/>
        <w:gridCol w:w="1621"/>
        <w:gridCol w:w="1307"/>
        <w:gridCol w:w="1843"/>
        <w:gridCol w:w="1227"/>
      </w:tblGrid>
      <w:tr w:rsidR="008F21A0" w:rsidRPr="00EC152F" w14:paraId="0C7F9AE9" w14:textId="77777777" w:rsidTr="00653A4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7881CFC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Accession</w:t>
            </w:r>
          </w:p>
        </w:tc>
        <w:tc>
          <w:tcPr>
            <w:tcW w:w="495" w:type="pct"/>
            <w:noWrap/>
            <w:vAlign w:val="center"/>
          </w:tcPr>
          <w:p w14:paraId="270CD23F"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Gender</w:t>
            </w:r>
          </w:p>
        </w:tc>
        <w:tc>
          <w:tcPr>
            <w:tcW w:w="908" w:type="pct"/>
            <w:noWrap/>
            <w:vAlign w:val="center"/>
          </w:tcPr>
          <w:p w14:paraId="31EA8358"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Tumor location</w:t>
            </w:r>
          </w:p>
        </w:tc>
        <w:tc>
          <w:tcPr>
            <w:tcW w:w="744" w:type="pct"/>
            <w:noWrap/>
            <w:vAlign w:val="center"/>
          </w:tcPr>
          <w:p w14:paraId="0CBD9340"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Synchronous metastasis</w:t>
            </w:r>
          </w:p>
        </w:tc>
        <w:tc>
          <w:tcPr>
            <w:tcW w:w="600" w:type="pct"/>
            <w:noWrap/>
            <w:vAlign w:val="center"/>
          </w:tcPr>
          <w:p w14:paraId="5FC6AE47"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Regimen</w:t>
            </w:r>
          </w:p>
        </w:tc>
        <w:tc>
          <w:tcPr>
            <w:tcW w:w="846" w:type="pct"/>
            <w:noWrap/>
            <w:vAlign w:val="center"/>
          </w:tcPr>
          <w:p w14:paraId="6418C430"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Response status</w:t>
            </w:r>
          </w:p>
        </w:tc>
        <w:tc>
          <w:tcPr>
            <w:tcW w:w="563" w:type="pct"/>
            <w:noWrap/>
            <w:vAlign w:val="center"/>
          </w:tcPr>
          <w:p w14:paraId="252B62F2" w14:textId="77777777" w:rsidR="008F21A0" w:rsidRPr="00EC152F" w:rsidRDefault="009227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Response category</w:t>
            </w:r>
          </w:p>
        </w:tc>
      </w:tr>
      <w:tr w:rsidR="00653A48" w:rsidRPr="00EC152F" w14:paraId="316C6C02"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16668A9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GSM1875897</w:t>
            </w:r>
          </w:p>
        </w:tc>
        <w:tc>
          <w:tcPr>
            <w:tcW w:w="495" w:type="pct"/>
            <w:shd w:val="clear" w:color="auto" w:fill="F2F2F2"/>
            <w:noWrap/>
            <w:vAlign w:val="center"/>
          </w:tcPr>
          <w:p w14:paraId="76DF108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6688FC4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3044154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3EF10F9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40EF3885" w14:textId="6FEB15B7"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3458100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5A5D0DFE"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277865CA"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GSM1875898</w:t>
            </w:r>
          </w:p>
        </w:tc>
        <w:tc>
          <w:tcPr>
            <w:tcW w:w="495" w:type="pct"/>
            <w:noWrap/>
            <w:vAlign w:val="center"/>
          </w:tcPr>
          <w:p w14:paraId="50E5C0C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1921C70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3FDCE92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18E94AF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48ECEE38" w14:textId="1099D3D8"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447BBF0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3945088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3EEEB2E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GSM1875899</w:t>
            </w:r>
          </w:p>
        </w:tc>
        <w:tc>
          <w:tcPr>
            <w:tcW w:w="495" w:type="pct"/>
            <w:shd w:val="clear" w:color="auto" w:fill="F2F2F2"/>
            <w:noWrap/>
            <w:vAlign w:val="center"/>
          </w:tcPr>
          <w:p w14:paraId="6652E5E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154B4E9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05122DF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2579A73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4711681C" w14:textId="434949F8"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01D3E6A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8F21A0" w:rsidRPr="00EC152F" w14:paraId="231CCB4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2866390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GSM1875900</w:t>
            </w:r>
          </w:p>
        </w:tc>
        <w:tc>
          <w:tcPr>
            <w:tcW w:w="495" w:type="pct"/>
            <w:noWrap/>
            <w:vAlign w:val="center"/>
          </w:tcPr>
          <w:p w14:paraId="74A5D12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18558D5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noWrap/>
            <w:vAlign w:val="center"/>
          </w:tcPr>
          <w:p w14:paraId="251B7FF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2B0A211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3EA560AD" w14:textId="31FD0994"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697AB2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39E652FB"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22B04DE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GSM1875901</w:t>
            </w:r>
          </w:p>
        </w:tc>
        <w:tc>
          <w:tcPr>
            <w:tcW w:w="495" w:type="pct"/>
            <w:shd w:val="clear" w:color="auto" w:fill="F2F2F2"/>
            <w:noWrap/>
            <w:vAlign w:val="center"/>
          </w:tcPr>
          <w:p w14:paraId="60A92CD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552B495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78A88E4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756627A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B0D36EB" w14:textId="6E447E7B"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7500C72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637A1CE5"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540A393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GSM1875902</w:t>
            </w:r>
          </w:p>
        </w:tc>
        <w:tc>
          <w:tcPr>
            <w:tcW w:w="495" w:type="pct"/>
            <w:noWrap/>
            <w:vAlign w:val="center"/>
          </w:tcPr>
          <w:p w14:paraId="2742624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38C203F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noWrap/>
            <w:vAlign w:val="center"/>
          </w:tcPr>
          <w:p w14:paraId="061E9BA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5F4550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0123614B" w14:textId="44E34F6C"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455831C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480D4B1E"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5EB369B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GSM1875903</w:t>
            </w:r>
          </w:p>
        </w:tc>
        <w:tc>
          <w:tcPr>
            <w:tcW w:w="495" w:type="pct"/>
            <w:shd w:val="clear" w:color="auto" w:fill="F2F2F2"/>
            <w:noWrap/>
            <w:vAlign w:val="center"/>
          </w:tcPr>
          <w:p w14:paraId="23EA5F6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7159C8E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Caecum</w:t>
            </w:r>
          </w:p>
        </w:tc>
        <w:tc>
          <w:tcPr>
            <w:tcW w:w="744" w:type="pct"/>
            <w:shd w:val="clear" w:color="auto" w:fill="F2F2F2"/>
            <w:noWrap/>
            <w:vAlign w:val="center"/>
          </w:tcPr>
          <w:p w14:paraId="1C7E313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30340F2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58375AFC" w14:textId="4EAA7117"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5EAA586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5A8B5978"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41079B7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GSM1875904</w:t>
            </w:r>
          </w:p>
        </w:tc>
        <w:tc>
          <w:tcPr>
            <w:tcW w:w="495" w:type="pct"/>
            <w:noWrap/>
            <w:vAlign w:val="center"/>
          </w:tcPr>
          <w:p w14:paraId="5BE4B8D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7094E7C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1B8D846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No</w:t>
            </w:r>
          </w:p>
        </w:tc>
        <w:tc>
          <w:tcPr>
            <w:tcW w:w="600" w:type="pct"/>
            <w:noWrap/>
            <w:vAlign w:val="center"/>
          </w:tcPr>
          <w:p w14:paraId="1F1E4B9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68470C0A" w14:textId="1B84A4AC"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08A5C53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653A48" w:rsidRPr="00EC152F" w14:paraId="0D088499"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2EF43AE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GSM1875905</w:t>
            </w:r>
          </w:p>
        </w:tc>
        <w:tc>
          <w:tcPr>
            <w:tcW w:w="495" w:type="pct"/>
            <w:shd w:val="clear" w:color="auto" w:fill="F2F2F2"/>
            <w:noWrap/>
            <w:vAlign w:val="center"/>
          </w:tcPr>
          <w:p w14:paraId="6A85198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0F31D0F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052AB46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256B17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2E4412E" w14:textId="463985CC"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69A57F1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54FF59DE"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1AD397C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GSM1875906</w:t>
            </w:r>
          </w:p>
        </w:tc>
        <w:tc>
          <w:tcPr>
            <w:tcW w:w="495" w:type="pct"/>
            <w:noWrap/>
            <w:vAlign w:val="center"/>
          </w:tcPr>
          <w:p w14:paraId="4271AD7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1E188CB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2EDB243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2808523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62476085" w14:textId="4269F9FB"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674ECC4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20DA54EE"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63277B9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GSM1875907</w:t>
            </w:r>
          </w:p>
        </w:tc>
        <w:tc>
          <w:tcPr>
            <w:tcW w:w="495" w:type="pct"/>
            <w:shd w:val="clear" w:color="auto" w:fill="F2F2F2"/>
            <w:noWrap/>
            <w:vAlign w:val="center"/>
          </w:tcPr>
          <w:p w14:paraId="7CBCC61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71092F3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shd w:val="clear" w:color="auto" w:fill="F2F2F2"/>
            <w:noWrap/>
            <w:vAlign w:val="center"/>
          </w:tcPr>
          <w:p w14:paraId="0864FB0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24FE9E8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57152F62" w14:textId="254F9A3F"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62C7AA3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59553137"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72F8EA7A"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GSM1875908</w:t>
            </w:r>
          </w:p>
        </w:tc>
        <w:tc>
          <w:tcPr>
            <w:tcW w:w="495" w:type="pct"/>
            <w:noWrap/>
            <w:vAlign w:val="center"/>
          </w:tcPr>
          <w:p w14:paraId="5248371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377749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7658DC6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4A0C3BB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525B2B9A" w14:textId="35D18FDE"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0EA48A2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0564762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344E0185"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GSM1875909</w:t>
            </w:r>
          </w:p>
        </w:tc>
        <w:tc>
          <w:tcPr>
            <w:tcW w:w="495" w:type="pct"/>
            <w:shd w:val="clear" w:color="auto" w:fill="F2F2F2"/>
            <w:noWrap/>
            <w:vAlign w:val="center"/>
          </w:tcPr>
          <w:p w14:paraId="2F9D0C6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36F2ABE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16B8C15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48DED27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273D1C96" w14:textId="165C99DF"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6E7E7BE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06B088D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7A16A92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GSM1875910</w:t>
            </w:r>
          </w:p>
        </w:tc>
        <w:tc>
          <w:tcPr>
            <w:tcW w:w="495" w:type="pct"/>
            <w:noWrap/>
            <w:vAlign w:val="center"/>
          </w:tcPr>
          <w:p w14:paraId="5263892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4F920E5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Transverse colon</w:t>
            </w:r>
          </w:p>
        </w:tc>
        <w:tc>
          <w:tcPr>
            <w:tcW w:w="744" w:type="pct"/>
            <w:noWrap/>
            <w:vAlign w:val="center"/>
          </w:tcPr>
          <w:p w14:paraId="313DD42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2C01029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3DCCF83A" w14:textId="79575DC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7B5BAAB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09C4A3BD"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3D7F7F9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GSM1875911</w:t>
            </w:r>
          </w:p>
        </w:tc>
        <w:tc>
          <w:tcPr>
            <w:tcW w:w="495" w:type="pct"/>
            <w:shd w:val="clear" w:color="auto" w:fill="F2F2F2"/>
            <w:noWrap/>
            <w:vAlign w:val="center"/>
          </w:tcPr>
          <w:p w14:paraId="5F4EC6F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6C34601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3056B16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08DFFFC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14653756" w14:textId="69A989CA"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0A08AC3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8F21A0" w:rsidRPr="00EC152F" w14:paraId="45AB7BE4"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57CA3BA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GSM1875912</w:t>
            </w:r>
          </w:p>
        </w:tc>
        <w:tc>
          <w:tcPr>
            <w:tcW w:w="495" w:type="pct"/>
            <w:noWrap/>
            <w:vAlign w:val="center"/>
          </w:tcPr>
          <w:p w14:paraId="045EBBF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415E1E8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noWrap/>
            <w:vAlign w:val="center"/>
          </w:tcPr>
          <w:p w14:paraId="52C6813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245879E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71490847" w14:textId="3C91B738"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19CF6D9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0790B4F9"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5EBCAB59"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GSM1875913</w:t>
            </w:r>
          </w:p>
        </w:tc>
        <w:tc>
          <w:tcPr>
            <w:tcW w:w="495" w:type="pct"/>
            <w:shd w:val="clear" w:color="auto" w:fill="F2F2F2"/>
            <w:noWrap/>
            <w:vAlign w:val="center"/>
          </w:tcPr>
          <w:p w14:paraId="0706672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1BAFF3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shd w:val="clear" w:color="auto" w:fill="F2F2F2"/>
            <w:noWrap/>
            <w:vAlign w:val="center"/>
          </w:tcPr>
          <w:p w14:paraId="48148F6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7CF685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4AE2DBB3" w14:textId="7544C32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7C1332C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74E53ED7"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557B677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GSM1875914</w:t>
            </w:r>
          </w:p>
        </w:tc>
        <w:tc>
          <w:tcPr>
            <w:tcW w:w="495" w:type="pct"/>
            <w:noWrap/>
            <w:vAlign w:val="center"/>
          </w:tcPr>
          <w:p w14:paraId="7A3DCE4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301F1F2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noWrap/>
            <w:vAlign w:val="center"/>
          </w:tcPr>
          <w:p w14:paraId="34FC1A2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4683257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304189B8" w14:textId="41AEB256"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5D4D2D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51024221"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19A8A9D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lastRenderedPageBreak/>
              <w:t>GSM1875915</w:t>
            </w:r>
          </w:p>
        </w:tc>
        <w:tc>
          <w:tcPr>
            <w:tcW w:w="495" w:type="pct"/>
            <w:shd w:val="clear" w:color="auto" w:fill="F2F2F2"/>
            <w:noWrap/>
            <w:vAlign w:val="center"/>
          </w:tcPr>
          <w:p w14:paraId="7688F1D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7EB21F7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shd w:val="clear" w:color="auto" w:fill="F2F2F2"/>
            <w:noWrap/>
            <w:vAlign w:val="center"/>
          </w:tcPr>
          <w:p w14:paraId="126EF7B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46222AA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27CC3113" w14:textId="1F619E6C"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5F8373E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8F21A0" w:rsidRPr="00EC152F" w14:paraId="5D2E5155"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5EAFC45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GSM1875916</w:t>
            </w:r>
          </w:p>
        </w:tc>
        <w:tc>
          <w:tcPr>
            <w:tcW w:w="495" w:type="pct"/>
            <w:noWrap/>
            <w:vAlign w:val="center"/>
          </w:tcPr>
          <w:p w14:paraId="180BAA4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12901E8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3DEF74B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265C496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3D789024" w14:textId="59E40D18"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553E96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7653C81C"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54F31AC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GSM1875917</w:t>
            </w:r>
          </w:p>
        </w:tc>
        <w:tc>
          <w:tcPr>
            <w:tcW w:w="495" w:type="pct"/>
            <w:shd w:val="clear" w:color="auto" w:fill="F2F2F2"/>
            <w:noWrap/>
            <w:vAlign w:val="center"/>
          </w:tcPr>
          <w:p w14:paraId="0D57D3B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7D60B6A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shd w:val="clear" w:color="auto" w:fill="F2F2F2"/>
            <w:noWrap/>
            <w:vAlign w:val="center"/>
          </w:tcPr>
          <w:p w14:paraId="024C8CA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4DBC7D9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532A0589" w14:textId="0C15397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0E232BC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79E4FE69"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0730D15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GSM1875918</w:t>
            </w:r>
          </w:p>
        </w:tc>
        <w:tc>
          <w:tcPr>
            <w:tcW w:w="495" w:type="pct"/>
            <w:noWrap/>
            <w:vAlign w:val="center"/>
          </w:tcPr>
          <w:p w14:paraId="76DA965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3AC695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6F576AD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07ABCB9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64AD82DE" w14:textId="05026662"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6F826EE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2D4900F0"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6100FD6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GSM1875919</w:t>
            </w:r>
          </w:p>
        </w:tc>
        <w:tc>
          <w:tcPr>
            <w:tcW w:w="495" w:type="pct"/>
            <w:shd w:val="clear" w:color="auto" w:fill="F2F2F2"/>
            <w:noWrap/>
            <w:vAlign w:val="center"/>
          </w:tcPr>
          <w:p w14:paraId="7E062A9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4D9DACD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34FC8BD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78DD23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76C614F1" w14:textId="5563013A"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281E4BA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79C107AA"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64B5C4A9"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GSM1875920</w:t>
            </w:r>
          </w:p>
        </w:tc>
        <w:tc>
          <w:tcPr>
            <w:tcW w:w="495" w:type="pct"/>
            <w:noWrap/>
            <w:vAlign w:val="center"/>
          </w:tcPr>
          <w:p w14:paraId="2C46808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27BE966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noWrap/>
            <w:vAlign w:val="center"/>
          </w:tcPr>
          <w:p w14:paraId="559D174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0692F68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4F087CEC" w14:textId="06C69E02"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13AD487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484B77D2"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7D50052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GSM1875921</w:t>
            </w:r>
          </w:p>
        </w:tc>
        <w:tc>
          <w:tcPr>
            <w:tcW w:w="495" w:type="pct"/>
            <w:shd w:val="clear" w:color="auto" w:fill="F2F2F2"/>
            <w:noWrap/>
            <w:vAlign w:val="center"/>
          </w:tcPr>
          <w:p w14:paraId="01E3C2C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19B50D8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shd w:val="clear" w:color="auto" w:fill="F2F2F2"/>
            <w:noWrap/>
            <w:vAlign w:val="center"/>
          </w:tcPr>
          <w:p w14:paraId="51D428A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328FCF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67C74B4" w14:textId="0DCE9841"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4F95FE5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8F21A0" w:rsidRPr="00EC152F" w14:paraId="15C945DB"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124084D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GSM1875922</w:t>
            </w:r>
          </w:p>
        </w:tc>
        <w:tc>
          <w:tcPr>
            <w:tcW w:w="495" w:type="pct"/>
            <w:noWrap/>
            <w:vAlign w:val="center"/>
          </w:tcPr>
          <w:p w14:paraId="5033EB0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72CBCEE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0FCDFEB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6CB26BC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13DCB5D0" w14:textId="0FA963A8"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1537B9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4A5069B4"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658991F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GSM1875923</w:t>
            </w:r>
          </w:p>
        </w:tc>
        <w:tc>
          <w:tcPr>
            <w:tcW w:w="495" w:type="pct"/>
            <w:shd w:val="clear" w:color="auto" w:fill="F2F2F2"/>
            <w:noWrap/>
            <w:vAlign w:val="center"/>
          </w:tcPr>
          <w:p w14:paraId="69B26FE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7D7CA8D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326646D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18B7FD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657C1A21" w14:textId="34DB59C0"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65034A9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7F1EE53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09F3EDBE"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GSM1875924</w:t>
            </w:r>
          </w:p>
        </w:tc>
        <w:tc>
          <w:tcPr>
            <w:tcW w:w="495" w:type="pct"/>
            <w:noWrap/>
            <w:vAlign w:val="center"/>
          </w:tcPr>
          <w:p w14:paraId="6DF4533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5129198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noWrap/>
            <w:vAlign w:val="center"/>
          </w:tcPr>
          <w:p w14:paraId="30C4507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764ECC1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47F7EA9D" w14:textId="7EEC94F9"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0CF070A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34760DC6"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5F4DAAA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GSM1875925</w:t>
            </w:r>
          </w:p>
        </w:tc>
        <w:tc>
          <w:tcPr>
            <w:tcW w:w="495" w:type="pct"/>
            <w:shd w:val="clear" w:color="auto" w:fill="F2F2F2"/>
            <w:noWrap/>
            <w:vAlign w:val="center"/>
          </w:tcPr>
          <w:p w14:paraId="4197CF5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77FAD35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6C8A7F0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18391CD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2136AF2" w14:textId="4DE50BA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1DFAAAC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8F21A0" w:rsidRPr="00EC152F" w14:paraId="5E9A57CC"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2FFB465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GSM1875926</w:t>
            </w:r>
          </w:p>
        </w:tc>
        <w:tc>
          <w:tcPr>
            <w:tcW w:w="495" w:type="pct"/>
            <w:noWrap/>
            <w:vAlign w:val="center"/>
          </w:tcPr>
          <w:p w14:paraId="55C6302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2F330D8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noWrap/>
            <w:vAlign w:val="center"/>
          </w:tcPr>
          <w:p w14:paraId="549A01E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3348C8C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0A4C22F0" w14:textId="08F2CB2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25E5091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7A2CABE1"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62271FE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GSM1875927</w:t>
            </w:r>
          </w:p>
        </w:tc>
        <w:tc>
          <w:tcPr>
            <w:tcW w:w="495" w:type="pct"/>
            <w:shd w:val="clear" w:color="auto" w:fill="F2F2F2"/>
            <w:noWrap/>
            <w:vAlign w:val="center"/>
          </w:tcPr>
          <w:p w14:paraId="11FF9EE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167F264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26EB89D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3514E5F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7DC6DFD0" w14:textId="5159AC4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5185196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063EFF02"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1ECAD5A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GSM1875928</w:t>
            </w:r>
          </w:p>
        </w:tc>
        <w:tc>
          <w:tcPr>
            <w:tcW w:w="495" w:type="pct"/>
            <w:noWrap/>
            <w:vAlign w:val="center"/>
          </w:tcPr>
          <w:p w14:paraId="6673CF9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03EEF4B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noWrap/>
            <w:vAlign w:val="center"/>
          </w:tcPr>
          <w:p w14:paraId="012E36A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64F3139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5C432B72" w14:textId="4F02A53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17E6A46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7AD7CF22"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39C9AA8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GSM1875929</w:t>
            </w:r>
          </w:p>
        </w:tc>
        <w:tc>
          <w:tcPr>
            <w:tcW w:w="495" w:type="pct"/>
            <w:shd w:val="clear" w:color="auto" w:fill="F2F2F2"/>
            <w:noWrap/>
            <w:vAlign w:val="center"/>
          </w:tcPr>
          <w:p w14:paraId="08A086E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11639DF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35B0BF7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8AEEA5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495FD8FA" w14:textId="2F96BD0F"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7D13C77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1265F998"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4432407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GSM1875930</w:t>
            </w:r>
          </w:p>
        </w:tc>
        <w:tc>
          <w:tcPr>
            <w:tcW w:w="495" w:type="pct"/>
            <w:noWrap/>
            <w:vAlign w:val="center"/>
          </w:tcPr>
          <w:p w14:paraId="56DFEB7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67595D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noWrap/>
            <w:vAlign w:val="center"/>
          </w:tcPr>
          <w:p w14:paraId="6A61B14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40D9ED3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036E58AF" w14:textId="1E9C424A"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3B4CF52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653A48" w:rsidRPr="00EC152F" w14:paraId="3D90818D"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6D24EB9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GSM1875931</w:t>
            </w:r>
          </w:p>
        </w:tc>
        <w:tc>
          <w:tcPr>
            <w:tcW w:w="495" w:type="pct"/>
            <w:shd w:val="clear" w:color="auto" w:fill="F2F2F2"/>
            <w:noWrap/>
            <w:vAlign w:val="center"/>
          </w:tcPr>
          <w:p w14:paraId="3C6E38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6B7869B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shd w:val="clear" w:color="auto" w:fill="F2F2F2"/>
            <w:noWrap/>
            <w:vAlign w:val="center"/>
          </w:tcPr>
          <w:p w14:paraId="057C9EC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18E4C1C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1AEA44E3" w14:textId="5586D591"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2861734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49D2EDC1"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6BC6C36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GSM1875932</w:t>
            </w:r>
          </w:p>
        </w:tc>
        <w:tc>
          <w:tcPr>
            <w:tcW w:w="495" w:type="pct"/>
            <w:noWrap/>
            <w:vAlign w:val="center"/>
          </w:tcPr>
          <w:p w14:paraId="4342532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627DD7C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10CB3BB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5FBDC5B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0E563A0C" w14:textId="3481C93D"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1CFDA5E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3FEA49FC"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3BF7E69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GSM1875933</w:t>
            </w:r>
          </w:p>
        </w:tc>
        <w:tc>
          <w:tcPr>
            <w:tcW w:w="495" w:type="pct"/>
            <w:shd w:val="clear" w:color="auto" w:fill="F2F2F2"/>
            <w:noWrap/>
            <w:vAlign w:val="center"/>
          </w:tcPr>
          <w:p w14:paraId="30563B1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7726EF4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2BB72B0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2CFB4FB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402CF518" w14:textId="38C4C044"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17C3719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2A3CE524"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1A2519F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GSM1875934</w:t>
            </w:r>
          </w:p>
        </w:tc>
        <w:tc>
          <w:tcPr>
            <w:tcW w:w="495" w:type="pct"/>
            <w:noWrap/>
            <w:vAlign w:val="center"/>
          </w:tcPr>
          <w:p w14:paraId="1C63102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1F6E4FD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65FA28D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48FCFD3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2C8A3923" w14:textId="2326D56B"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4DBEC29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17A7554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7D2F635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GSM1875935</w:t>
            </w:r>
          </w:p>
        </w:tc>
        <w:tc>
          <w:tcPr>
            <w:tcW w:w="495" w:type="pct"/>
            <w:shd w:val="clear" w:color="auto" w:fill="F2F2F2"/>
            <w:noWrap/>
            <w:vAlign w:val="center"/>
          </w:tcPr>
          <w:p w14:paraId="1E0271C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5ED36DE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shd w:val="clear" w:color="auto" w:fill="F2F2F2"/>
            <w:noWrap/>
            <w:vAlign w:val="center"/>
          </w:tcPr>
          <w:p w14:paraId="702C20D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67F5B85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58ADDDC3" w14:textId="68A3ABD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21215AD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13AC069E"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098071B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GSM1875936</w:t>
            </w:r>
          </w:p>
        </w:tc>
        <w:tc>
          <w:tcPr>
            <w:tcW w:w="495" w:type="pct"/>
            <w:noWrap/>
            <w:vAlign w:val="center"/>
          </w:tcPr>
          <w:p w14:paraId="1F9683C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6C49E8B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noWrap/>
            <w:vAlign w:val="center"/>
          </w:tcPr>
          <w:p w14:paraId="6A70BD1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02141A9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584DD665" w14:textId="724287A6"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3D26C6F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328E53E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49868BC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GSM1875937</w:t>
            </w:r>
          </w:p>
        </w:tc>
        <w:tc>
          <w:tcPr>
            <w:tcW w:w="495" w:type="pct"/>
            <w:shd w:val="clear" w:color="auto" w:fill="F2F2F2"/>
            <w:noWrap/>
            <w:vAlign w:val="center"/>
          </w:tcPr>
          <w:p w14:paraId="49AE1E5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37CF253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20D42DA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06E895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23BA0338" w14:textId="3090DE73"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321A35C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0BA5E386"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1936D19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GSM1875938</w:t>
            </w:r>
          </w:p>
        </w:tc>
        <w:tc>
          <w:tcPr>
            <w:tcW w:w="495" w:type="pct"/>
            <w:noWrap/>
            <w:vAlign w:val="center"/>
          </w:tcPr>
          <w:p w14:paraId="6713588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6C39437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6BDDD3B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3810093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5A3D846D" w14:textId="239AF0A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050E2B7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653A48" w:rsidRPr="00EC152F" w14:paraId="5A24DC23"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7616521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GSM1875939</w:t>
            </w:r>
          </w:p>
        </w:tc>
        <w:tc>
          <w:tcPr>
            <w:tcW w:w="495" w:type="pct"/>
            <w:shd w:val="clear" w:color="auto" w:fill="F2F2F2"/>
            <w:noWrap/>
            <w:vAlign w:val="center"/>
          </w:tcPr>
          <w:p w14:paraId="5158F27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5C5B51B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3659DA8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3022389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2BE23C92" w14:textId="058211A2"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213A719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6D5BF185"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531E179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GSM1875940</w:t>
            </w:r>
          </w:p>
        </w:tc>
        <w:tc>
          <w:tcPr>
            <w:tcW w:w="495" w:type="pct"/>
            <w:noWrap/>
            <w:vAlign w:val="center"/>
          </w:tcPr>
          <w:p w14:paraId="447BAC6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5792069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1813D5E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4C00D85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5778D6B3" w14:textId="2185C8F2"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51D1815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6DF1B47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7B4D7260"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GSM1875941</w:t>
            </w:r>
          </w:p>
        </w:tc>
        <w:tc>
          <w:tcPr>
            <w:tcW w:w="495" w:type="pct"/>
            <w:shd w:val="clear" w:color="auto" w:fill="F2F2F2"/>
            <w:noWrap/>
            <w:vAlign w:val="center"/>
          </w:tcPr>
          <w:p w14:paraId="6529BED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0D8B229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2DBA9E3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6B54C05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2D64401F" w14:textId="109A817C"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79FCAFD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6A10804B"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6CA668B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GSM1875942</w:t>
            </w:r>
          </w:p>
        </w:tc>
        <w:tc>
          <w:tcPr>
            <w:tcW w:w="495" w:type="pct"/>
            <w:noWrap/>
            <w:vAlign w:val="center"/>
          </w:tcPr>
          <w:p w14:paraId="470D1D8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5D33DD6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noWrap/>
            <w:vAlign w:val="center"/>
          </w:tcPr>
          <w:p w14:paraId="29C0915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5B941B1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5BE0C19C" w14:textId="744A10E2"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58705F9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482AF25B"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1616A5E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GSM1875943</w:t>
            </w:r>
          </w:p>
        </w:tc>
        <w:tc>
          <w:tcPr>
            <w:tcW w:w="495" w:type="pct"/>
            <w:shd w:val="clear" w:color="auto" w:fill="F2F2F2"/>
            <w:noWrap/>
            <w:vAlign w:val="center"/>
          </w:tcPr>
          <w:p w14:paraId="7DE81F0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4CFC518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06CF674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DB8F49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1B8C25BE" w14:textId="59D6516E"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6A90982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06C9866D"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32A0582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GSM1875944</w:t>
            </w:r>
          </w:p>
        </w:tc>
        <w:tc>
          <w:tcPr>
            <w:tcW w:w="495" w:type="pct"/>
            <w:noWrap/>
            <w:vAlign w:val="center"/>
          </w:tcPr>
          <w:p w14:paraId="4C6210B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6927A8F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noWrap/>
            <w:vAlign w:val="center"/>
          </w:tcPr>
          <w:p w14:paraId="318B362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44A91EC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270EA35E" w14:textId="00027427"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779E164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653A48" w:rsidRPr="00EC152F" w14:paraId="4AC814D2"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7C36B4F9"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GSM1875945</w:t>
            </w:r>
          </w:p>
        </w:tc>
        <w:tc>
          <w:tcPr>
            <w:tcW w:w="495" w:type="pct"/>
            <w:shd w:val="clear" w:color="auto" w:fill="F2F2F2"/>
            <w:noWrap/>
            <w:vAlign w:val="center"/>
          </w:tcPr>
          <w:p w14:paraId="59C9A93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286CBD0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Caecum</w:t>
            </w:r>
          </w:p>
        </w:tc>
        <w:tc>
          <w:tcPr>
            <w:tcW w:w="744" w:type="pct"/>
            <w:shd w:val="clear" w:color="auto" w:fill="F2F2F2"/>
            <w:noWrap/>
            <w:vAlign w:val="center"/>
          </w:tcPr>
          <w:p w14:paraId="6E9BA10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No</w:t>
            </w:r>
          </w:p>
        </w:tc>
        <w:tc>
          <w:tcPr>
            <w:tcW w:w="600" w:type="pct"/>
            <w:shd w:val="clear" w:color="auto" w:fill="F2F2F2"/>
            <w:noWrap/>
            <w:vAlign w:val="center"/>
          </w:tcPr>
          <w:p w14:paraId="637DAFA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7C8B4B1" w14:textId="02CE9547"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19C8E36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3795CF68"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78D39D8B"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GSM1875946</w:t>
            </w:r>
          </w:p>
        </w:tc>
        <w:tc>
          <w:tcPr>
            <w:tcW w:w="495" w:type="pct"/>
            <w:noWrap/>
            <w:vAlign w:val="center"/>
          </w:tcPr>
          <w:p w14:paraId="694FD4D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36A5BD0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0F51D63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5192DA0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09C45D80" w14:textId="4A9638ED"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4D43A82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0150A680"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0942A55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GSM1875947</w:t>
            </w:r>
          </w:p>
        </w:tc>
        <w:tc>
          <w:tcPr>
            <w:tcW w:w="495" w:type="pct"/>
            <w:shd w:val="clear" w:color="auto" w:fill="F2F2F2"/>
            <w:noWrap/>
            <w:vAlign w:val="center"/>
          </w:tcPr>
          <w:p w14:paraId="5CCCFAC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3EBD82C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074EE80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792754C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74ECAED5" w14:textId="1045D0E9"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36FC1F7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8F21A0" w:rsidRPr="00EC152F" w14:paraId="1EF5D905"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0E1036C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GSM1875948</w:t>
            </w:r>
          </w:p>
        </w:tc>
        <w:tc>
          <w:tcPr>
            <w:tcW w:w="495" w:type="pct"/>
            <w:noWrap/>
            <w:vAlign w:val="center"/>
          </w:tcPr>
          <w:p w14:paraId="1F12EFB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348379B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Caecum</w:t>
            </w:r>
          </w:p>
        </w:tc>
        <w:tc>
          <w:tcPr>
            <w:tcW w:w="744" w:type="pct"/>
            <w:noWrap/>
            <w:vAlign w:val="center"/>
          </w:tcPr>
          <w:p w14:paraId="32E13A1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057E1C9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521BD70F" w14:textId="66FD5F53"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111648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653A48" w:rsidRPr="00EC152F" w14:paraId="418F24B5"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5893580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GSM1875949</w:t>
            </w:r>
          </w:p>
        </w:tc>
        <w:tc>
          <w:tcPr>
            <w:tcW w:w="495" w:type="pct"/>
            <w:shd w:val="clear" w:color="auto" w:fill="F2F2F2"/>
            <w:noWrap/>
            <w:vAlign w:val="center"/>
          </w:tcPr>
          <w:p w14:paraId="27A4DBC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7A8F8BC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6FF307A5"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59792C9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18AF989C" w14:textId="0DFE6F4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237E5BA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486F23BC"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2B80041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lastRenderedPageBreak/>
              <w:t>GSM1875950</w:t>
            </w:r>
          </w:p>
        </w:tc>
        <w:tc>
          <w:tcPr>
            <w:tcW w:w="495" w:type="pct"/>
            <w:noWrap/>
            <w:vAlign w:val="center"/>
          </w:tcPr>
          <w:p w14:paraId="6929425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6EE1E91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6BB875D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1E8CB80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177BD98E" w14:textId="06025545"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0555D23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5ADDD263"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6ABAB843"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GSM1875951</w:t>
            </w:r>
          </w:p>
        </w:tc>
        <w:tc>
          <w:tcPr>
            <w:tcW w:w="495" w:type="pct"/>
            <w:shd w:val="clear" w:color="auto" w:fill="F2F2F2"/>
            <w:noWrap/>
            <w:vAlign w:val="center"/>
          </w:tcPr>
          <w:p w14:paraId="183BE1C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4C52017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shd w:val="clear" w:color="auto" w:fill="F2F2F2"/>
            <w:noWrap/>
            <w:vAlign w:val="center"/>
          </w:tcPr>
          <w:p w14:paraId="010EE81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33EB1E4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5DF5C57D" w14:textId="7D81B68D"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38A63220"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00B548CA"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0ADCF4D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GSM1875952</w:t>
            </w:r>
          </w:p>
        </w:tc>
        <w:tc>
          <w:tcPr>
            <w:tcW w:w="495" w:type="pct"/>
            <w:noWrap/>
            <w:vAlign w:val="center"/>
          </w:tcPr>
          <w:p w14:paraId="59AA6E0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7A4C78D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62C45F3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22869BA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210F00A2" w14:textId="21487735"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579816F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653A48" w:rsidRPr="00EC152F" w14:paraId="582626D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45B61F0F"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GSM1875953</w:t>
            </w:r>
          </w:p>
        </w:tc>
        <w:tc>
          <w:tcPr>
            <w:tcW w:w="495" w:type="pct"/>
            <w:shd w:val="clear" w:color="auto" w:fill="F2F2F2"/>
            <w:noWrap/>
            <w:vAlign w:val="center"/>
          </w:tcPr>
          <w:p w14:paraId="76D26CB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01A0E3B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144C076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43C47E7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434793A" w14:textId="6E53487F"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4C1B8E1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8F21A0" w:rsidRPr="00EC152F" w14:paraId="12C3E553"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4AAE2D26"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GSM1875954</w:t>
            </w:r>
          </w:p>
        </w:tc>
        <w:tc>
          <w:tcPr>
            <w:tcW w:w="495" w:type="pct"/>
            <w:noWrap/>
            <w:vAlign w:val="center"/>
          </w:tcPr>
          <w:p w14:paraId="1706F97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019D7BA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119DE10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70CEB331"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44BD487D" w14:textId="392A89D3"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2C92B20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59C03434"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0041588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GSM1875955</w:t>
            </w:r>
          </w:p>
        </w:tc>
        <w:tc>
          <w:tcPr>
            <w:tcW w:w="495" w:type="pct"/>
            <w:shd w:val="clear" w:color="auto" w:fill="F2F2F2"/>
            <w:noWrap/>
            <w:vAlign w:val="center"/>
          </w:tcPr>
          <w:p w14:paraId="65EDEF6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74075E9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59C503A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No</w:t>
            </w:r>
          </w:p>
        </w:tc>
        <w:tc>
          <w:tcPr>
            <w:tcW w:w="600" w:type="pct"/>
            <w:shd w:val="clear" w:color="auto" w:fill="F2F2F2"/>
            <w:noWrap/>
            <w:vAlign w:val="center"/>
          </w:tcPr>
          <w:p w14:paraId="762AD37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64008C32" w14:textId="13CD2605"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040F4B1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38EEBD7B"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3D9F84F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GSM1875956</w:t>
            </w:r>
          </w:p>
        </w:tc>
        <w:tc>
          <w:tcPr>
            <w:tcW w:w="495" w:type="pct"/>
            <w:noWrap/>
            <w:vAlign w:val="center"/>
          </w:tcPr>
          <w:p w14:paraId="2BBD861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20CD482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noWrap/>
            <w:vAlign w:val="center"/>
          </w:tcPr>
          <w:p w14:paraId="7E56551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510C1BE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noWrap/>
            <w:vAlign w:val="center"/>
          </w:tcPr>
          <w:p w14:paraId="5897CCE1" w14:textId="48D1B00E"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529BAAA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653A48" w:rsidRPr="00EC152F" w14:paraId="1511CF67"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39E7F857"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GSM1875957</w:t>
            </w:r>
          </w:p>
        </w:tc>
        <w:tc>
          <w:tcPr>
            <w:tcW w:w="495" w:type="pct"/>
            <w:shd w:val="clear" w:color="auto" w:fill="F2F2F2"/>
            <w:noWrap/>
            <w:vAlign w:val="center"/>
          </w:tcPr>
          <w:p w14:paraId="132F079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0E42C12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31F825A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17C9F5A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39E2BE8C" w14:textId="75901393"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4AB4CC6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8F21A0" w:rsidRPr="00EC152F" w14:paraId="6CC7AB0E"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674E694C"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GSM1875958</w:t>
            </w:r>
          </w:p>
        </w:tc>
        <w:tc>
          <w:tcPr>
            <w:tcW w:w="495" w:type="pct"/>
            <w:noWrap/>
            <w:vAlign w:val="center"/>
          </w:tcPr>
          <w:p w14:paraId="462A825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67D8305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6BC3F59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No</w:t>
            </w:r>
          </w:p>
        </w:tc>
        <w:tc>
          <w:tcPr>
            <w:tcW w:w="600" w:type="pct"/>
            <w:noWrap/>
            <w:vAlign w:val="center"/>
          </w:tcPr>
          <w:p w14:paraId="57B1763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4E1156ED" w14:textId="00951E83"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0A40A35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653A48" w:rsidRPr="00EC152F" w14:paraId="01910BEF"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42FA1F7D"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GSM1875959</w:t>
            </w:r>
          </w:p>
        </w:tc>
        <w:tc>
          <w:tcPr>
            <w:tcW w:w="495" w:type="pct"/>
            <w:shd w:val="clear" w:color="auto" w:fill="F2F2F2"/>
            <w:noWrap/>
            <w:vAlign w:val="center"/>
          </w:tcPr>
          <w:p w14:paraId="1096CB5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shd w:val="clear" w:color="auto" w:fill="F2F2F2"/>
            <w:noWrap/>
            <w:vAlign w:val="center"/>
          </w:tcPr>
          <w:p w14:paraId="0404772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3A5C71E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No</w:t>
            </w:r>
          </w:p>
        </w:tc>
        <w:tc>
          <w:tcPr>
            <w:tcW w:w="600" w:type="pct"/>
            <w:shd w:val="clear" w:color="auto" w:fill="F2F2F2"/>
            <w:noWrap/>
            <w:vAlign w:val="center"/>
          </w:tcPr>
          <w:p w14:paraId="078B91F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FOLFOX</w:t>
            </w:r>
          </w:p>
        </w:tc>
        <w:tc>
          <w:tcPr>
            <w:tcW w:w="846" w:type="pct"/>
            <w:shd w:val="clear" w:color="auto" w:fill="F2F2F2"/>
            <w:noWrap/>
            <w:vAlign w:val="center"/>
          </w:tcPr>
          <w:p w14:paraId="106BE77C" w14:textId="0A334E76"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169C345A"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8F21A0" w:rsidRPr="00EC152F" w14:paraId="60F26CC7"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34837BE2"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GSM1875960</w:t>
            </w:r>
          </w:p>
        </w:tc>
        <w:tc>
          <w:tcPr>
            <w:tcW w:w="495" w:type="pct"/>
            <w:noWrap/>
            <w:vAlign w:val="center"/>
          </w:tcPr>
          <w:p w14:paraId="33345F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7B3E95A7"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Rectum-sigmoid junction</w:t>
            </w:r>
          </w:p>
        </w:tc>
        <w:tc>
          <w:tcPr>
            <w:tcW w:w="744" w:type="pct"/>
            <w:noWrap/>
            <w:vAlign w:val="center"/>
          </w:tcPr>
          <w:p w14:paraId="2B002C2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No</w:t>
            </w:r>
          </w:p>
        </w:tc>
        <w:tc>
          <w:tcPr>
            <w:tcW w:w="600" w:type="pct"/>
            <w:noWrap/>
            <w:vAlign w:val="center"/>
          </w:tcPr>
          <w:p w14:paraId="40ABB05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1599967C" w14:textId="0B1B0A54"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402EDD7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r w:rsidR="00653A48" w:rsidRPr="00EC152F" w14:paraId="7074F4E5"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4F43ECA1"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GSM1875961</w:t>
            </w:r>
          </w:p>
        </w:tc>
        <w:tc>
          <w:tcPr>
            <w:tcW w:w="495" w:type="pct"/>
            <w:shd w:val="clear" w:color="auto" w:fill="F2F2F2"/>
            <w:noWrap/>
            <w:vAlign w:val="center"/>
          </w:tcPr>
          <w:p w14:paraId="7BD9AA43"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6865BB0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shd w:val="clear" w:color="auto" w:fill="F2F2F2"/>
            <w:noWrap/>
            <w:vAlign w:val="center"/>
          </w:tcPr>
          <w:p w14:paraId="21C4208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7C1FDA76"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6D0CECC2" w14:textId="57F50B08"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shd w:val="clear" w:color="auto" w:fill="F2F2F2"/>
            <w:noWrap/>
            <w:vAlign w:val="center"/>
          </w:tcPr>
          <w:p w14:paraId="23E3AD1D"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SD</w:t>
            </w:r>
          </w:p>
        </w:tc>
      </w:tr>
      <w:tr w:rsidR="008F21A0" w:rsidRPr="00EC152F" w14:paraId="6A387109"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51E3DA58"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GSM1875962</w:t>
            </w:r>
          </w:p>
        </w:tc>
        <w:tc>
          <w:tcPr>
            <w:tcW w:w="495" w:type="pct"/>
            <w:noWrap/>
            <w:vAlign w:val="center"/>
          </w:tcPr>
          <w:p w14:paraId="2D3C4434"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noWrap/>
            <w:vAlign w:val="center"/>
          </w:tcPr>
          <w:p w14:paraId="7C11376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Rectum</w:t>
            </w:r>
          </w:p>
        </w:tc>
        <w:tc>
          <w:tcPr>
            <w:tcW w:w="744" w:type="pct"/>
            <w:noWrap/>
            <w:vAlign w:val="center"/>
          </w:tcPr>
          <w:p w14:paraId="3B86A928"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3814356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7A5284E4" w14:textId="2F8479E9"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noWrap/>
            <w:vAlign w:val="center"/>
          </w:tcPr>
          <w:p w14:paraId="4AC1070E"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CR</w:t>
            </w:r>
          </w:p>
        </w:tc>
      </w:tr>
      <w:tr w:rsidR="00653A48" w:rsidRPr="00EC152F" w14:paraId="01CC8941"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shd w:val="clear" w:color="auto" w:fill="F2F2F2"/>
            <w:noWrap/>
            <w:vAlign w:val="center"/>
          </w:tcPr>
          <w:p w14:paraId="12555504"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GSM1875963</w:t>
            </w:r>
          </w:p>
        </w:tc>
        <w:tc>
          <w:tcPr>
            <w:tcW w:w="495" w:type="pct"/>
            <w:shd w:val="clear" w:color="auto" w:fill="F2F2F2"/>
            <w:noWrap/>
            <w:vAlign w:val="center"/>
          </w:tcPr>
          <w:p w14:paraId="6EAB3FC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M</w:t>
            </w:r>
          </w:p>
        </w:tc>
        <w:tc>
          <w:tcPr>
            <w:tcW w:w="908" w:type="pct"/>
            <w:shd w:val="clear" w:color="auto" w:fill="F2F2F2"/>
            <w:noWrap/>
            <w:vAlign w:val="center"/>
          </w:tcPr>
          <w:p w14:paraId="3AB9F65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Right colon</w:t>
            </w:r>
          </w:p>
        </w:tc>
        <w:tc>
          <w:tcPr>
            <w:tcW w:w="744" w:type="pct"/>
            <w:shd w:val="clear" w:color="auto" w:fill="F2F2F2"/>
            <w:noWrap/>
            <w:vAlign w:val="center"/>
          </w:tcPr>
          <w:p w14:paraId="0B2CC4B9"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shd w:val="clear" w:color="auto" w:fill="F2F2F2"/>
            <w:noWrap/>
            <w:vAlign w:val="center"/>
          </w:tcPr>
          <w:p w14:paraId="4F83A18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shd w:val="clear" w:color="auto" w:fill="F2F2F2"/>
            <w:noWrap/>
            <w:vAlign w:val="center"/>
          </w:tcPr>
          <w:p w14:paraId="07D7C9D4" w14:textId="76B89267" w:rsidR="008F21A0" w:rsidRPr="00EC152F" w:rsidRDefault="00653A4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Responder</w:t>
            </w:r>
          </w:p>
        </w:tc>
        <w:tc>
          <w:tcPr>
            <w:tcW w:w="563" w:type="pct"/>
            <w:shd w:val="clear" w:color="auto" w:fill="F2F2F2"/>
            <w:noWrap/>
            <w:vAlign w:val="center"/>
          </w:tcPr>
          <w:p w14:paraId="7C667612"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PR</w:t>
            </w:r>
          </w:p>
        </w:tc>
      </w:tr>
      <w:tr w:rsidR="008F21A0" w:rsidRPr="00EC152F" w14:paraId="17484156" w14:textId="77777777" w:rsidTr="00653A48">
        <w:trPr>
          <w:trHeight w:val="320"/>
        </w:trPr>
        <w:tc>
          <w:tcPr>
            <w:cnfStyle w:val="001000000000" w:firstRow="0" w:lastRow="0" w:firstColumn="1" w:lastColumn="0" w:oddVBand="0" w:evenVBand="0" w:oddHBand="0" w:evenHBand="0" w:firstRowFirstColumn="0" w:firstRowLastColumn="0" w:lastRowFirstColumn="0" w:lastRowLastColumn="0"/>
            <w:tcW w:w="843" w:type="pct"/>
            <w:noWrap/>
            <w:vAlign w:val="center"/>
          </w:tcPr>
          <w:p w14:paraId="1EBA27B5" w14:textId="77777777" w:rsidR="008F21A0" w:rsidRPr="00EC152F" w:rsidRDefault="0092276A">
            <w:pPr>
              <w:jc w:val="center"/>
              <w:rPr>
                <w:rFonts w:ascii="Times New Roman" w:eastAsia="Times New Roman" w:hAnsi="Times New Roman"/>
                <w:b w:val="0"/>
                <w:bCs w:val="0"/>
                <w:color w:val="000000"/>
                <w:szCs w:val="24"/>
                <w:lang w:eastAsia="zh-TW"/>
              </w:rPr>
            </w:pPr>
            <w:r w:rsidRPr="00EC152F">
              <w:rPr>
                <w:rFonts w:ascii="Times New Roman" w:eastAsia="Times New Roman" w:hAnsi="Times New Roman"/>
                <w:color w:val="000000"/>
                <w:szCs w:val="24"/>
                <w:lang w:eastAsia="zh-TW"/>
              </w:rPr>
              <w:t>GSM1875964</w:t>
            </w:r>
          </w:p>
        </w:tc>
        <w:tc>
          <w:tcPr>
            <w:tcW w:w="495" w:type="pct"/>
            <w:noWrap/>
            <w:vAlign w:val="center"/>
          </w:tcPr>
          <w:p w14:paraId="6691FADC"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w:t>
            </w:r>
          </w:p>
        </w:tc>
        <w:tc>
          <w:tcPr>
            <w:tcW w:w="908" w:type="pct"/>
            <w:noWrap/>
            <w:vAlign w:val="center"/>
          </w:tcPr>
          <w:p w14:paraId="0951ABE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Left colon</w:t>
            </w:r>
          </w:p>
        </w:tc>
        <w:tc>
          <w:tcPr>
            <w:tcW w:w="744" w:type="pct"/>
            <w:noWrap/>
            <w:vAlign w:val="center"/>
          </w:tcPr>
          <w:p w14:paraId="1D3D936B"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Yes</w:t>
            </w:r>
          </w:p>
        </w:tc>
        <w:tc>
          <w:tcPr>
            <w:tcW w:w="600" w:type="pct"/>
            <w:noWrap/>
            <w:vAlign w:val="center"/>
          </w:tcPr>
          <w:p w14:paraId="5E4D2E0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FOLFIRI</w:t>
            </w:r>
          </w:p>
        </w:tc>
        <w:tc>
          <w:tcPr>
            <w:tcW w:w="846" w:type="pct"/>
            <w:noWrap/>
            <w:vAlign w:val="center"/>
          </w:tcPr>
          <w:p w14:paraId="51ECEC82" w14:textId="34ACD7BF" w:rsidR="008F21A0" w:rsidRPr="00EC152F" w:rsidRDefault="00EC152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Pr>
                <w:rFonts w:ascii="Times New Roman" w:eastAsia="Times New Roman" w:hAnsi="Times New Roman"/>
                <w:color w:val="000000"/>
                <w:szCs w:val="24"/>
                <w:lang w:eastAsia="zh-TW"/>
              </w:rPr>
              <w:t>Non-Responder</w:t>
            </w:r>
          </w:p>
        </w:tc>
        <w:tc>
          <w:tcPr>
            <w:tcW w:w="563" w:type="pct"/>
            <w:noWrap/>
            <w:vAlign w:val="center"/>
          </w:tcPr>
          <w:p w14:paraId="093A291F" w14:textId="77777777" w:rsidR="008F21A0" w:rsidRPr="00EC152F" w:rsidRDefault="009227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Cs w:val="24"/>
                <w:lang w:eastAsia="zh-TW"/>
              </w:rPr>
            </w:pPr>
            <w:r w:rsidRPr="00EC152F">
              <w:rPr>
                <w:rFonts w:ascii="Times New Roman" w:eastAsia="Times New Roman" w:hAnsi="Times New Roman"/>
                <w:color w:val="000000"/>
                <w:szCs w:val="24"/>
                <w:lang w:eastAsia="zh-TW"/>
              </w:rPr>
              <w:t>PD</w:t>
            </w:r>
          </w:p>
        </w:tc>
      </w:tr>
    </w:tbl>
    <w:p w14:paraId="49FF4720" w14:textId="77777777" w:rsidR="008F21A0" w:rsidRPr="00EC152F" w:rsidRDefault="008F21A0">
      <w:pPr>
        <w:spacing w:after="160" w:line="259" w:lineRule="auto"/>
        <w:rPr>
          <w:rFonts w:eastAsia="新細明體"/>
          <w:kern w:val="2"/>
          <w:szCs w:val="24"/>
          <w:lang w:eastAsia="zh-TW"/>
          <w14:ligatures w14:val="standardContextual"/>
        </w:rPr>
      </w:pPr>
    </w:p>
    <w:p w14:paraId="61586A05" w14:textId="77777777" w:rsidR="008F21A0" w:rsidRPr="00EC152F" w:rsidRDefault="008F21A0">
      <w:pPr>
        <w:spacing w:after="160" w:line="259" w:lineRule="auto"/>
        <w:rPr>
          <w:rFonts w:eastAsia="新細明體"/>
          <w:kern w:val="2"/>
          <w:szCs w:val="24"/>
          <w:lang w:eastAsia="zh-TW"/>
          <w14:ligatures w14:val="standardContextual"/>
        </w:rPr>
      </w:pPr>
    </w:p>
    <w:p w14:paraId="17E82207" w14:textId="77777777" w:rsidR="008F21A0" w:rsidRPr="00EC152F" w:rsidRDefault="0092276A">
      <w:pPr>
        <w:spacing w:after="160" w:line="259" w:lineRule="auto"/>
        <w:rPr>
          <w:rFonts w:eastAsia="新細明體"/>
          <w:kern w:val="2"/>
          <w:szCs w:val="24"/>
          <w:lang w:eastAsia="zh-TW"/>
          <w14:ligatures w14:val="standardContextual"/>
        </w:rPr>
      </w:pPr>
      <w:r w:rsidRPr="00EC152F">
        <w:rPr>
          <w:rFonts w:eastAsia="新細明體"/>
          <w:kern w:val="2"/>
          <w:szCs w:val="24"/>
          <w:lang w:eastAsia="zh-TW"/>
          <w14:ligatures w14:val="standardContextual"/>
        </w:rPr>
        <w:br w:type="page"/>
      </w:r>
    </w:p>
    <w:p w14:paraId="3F6E22B6" w14:textId="77777777" w:rsidR="008F21A0" w:rsidRPr="00EC152F" w:rsidRDefault="0092276A">
      <w:pPr>
        <w:keepNext/>
        <w:keepLines/>
        <w:spacing w:before="240" w:line="480" w:lineRule="auto"/>
        <w:outlineLvl w:val="0"/>
        <w:rPr>
          <w:rFonts w:eastAsia="新細明體"/>
          <w:b/>
          <w:bCs/>
          <w:kern w:val="2"/>
          <w:szCs w:val="24"/>
          <w:lang w:eastAsia="zh-TW"/>
          <w14:ligatures w14:val="standardContextual"/>
        </w:rPr>
      </w:pPr>
      <w:r w:rsidRPr="00EC152F">
        <w:rPr>
          <w:rFonts w:eastAsia="新細明體"/>
          <w:b/>
          <w:bCs/>
          <w:kern w:val="2"/>
          <w:szCs w:val="24"/>
          <w:lang w:eastAsia="zh-TW"/>
          <w14:ligatures w14:val="standardContextual"/>
        </w:rPr>
        <w:lastRenderedPageBreak/>
        <w:t>Table S4. List of Antibodies</w:t>
      </w:r>
    </w:p>
    <w:p w14:paraId="7F36747C" w14:textId="77777777" w:rsidR="008F21A0" w:rsidRPr="00EC152F" w:rsidRDefault="008F21A0">
      <w:pPr>
        <w:spacing w:after="160" w:line="259" w:lineRule="auto"/>
        <w:jc w:val="center"/>
        <w:rPr>
          <w:rFonts w:eastAsia="新細明體"/>
          <w:b/>
          <w:bCs/>
          <w:kern w:val="2"/>
          <w:szCs w:val="24"/>
          <w:lang w:eastAsia="zh-TW"/>
          <w14:ligatures w14:val="standardContextual"/>
        </w:rPr>
      </w:pPr>
    </w:p>
    <w:tbl>
      <w:tblPr>
        <w:tblStyle w:val="TableGrid"/>
        <w:tblW w:w="0" w:type="auto"/>
        <w:tblLook w:val="04A0" w:firstRow="1" w:lastRow="0" w:firstColumn="1" w:lastColumn="0" w:noHBand="0" w:noVBand="1"/>
      </w:tblPr>
      <w:tblGrid>
        <w:gridCol w:w="1980"/>
        <w:gridCol w:w="1195"/>
        <w:gridCol w:w="2774"/>
      </w:tblGrid>
      <w:tr w:rsidR="008F21A0" w:rsidRPr="00EC152F" w14:paraId="445AFD4B" w14:textId="77777777">
        <w:trPr>
          <w:trHeight w:val="338"/>
        </w:trPr>
        <w:tc>
          <w:tcPr>
            <w:tcW w:w="5949" w:type="dxa"/>
            <w:gridSpan w:val="3"/>
            <w:vAlign w:val="center"/>
          </w:tcPr>
          <w:p w14:paraId="671FA71D" w14:textId="77777777" w:rsidR="008F21A0" w:rsidRPr="00EC152F" w:rsidRDefault="0092276A">
            <w:pPr>
              <w:spacing w:line="480" w:lineRule="auto"/>
              <w:jc w:val="center"/>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Immunohistochemistry</w:t>
            </w:r>
          </w:p>
        </w:tc>
      </w:tr>
      <w:tr w:rsidR="008F21A0" w:rsidRPr="00EC152F" w14:paraId="613DED22" w14:textId="77777777">
        <w:trPr>
          <w:trHeight w:val="338"/>
        </w:trPr>
        <w:tc>
          <w:tcPr>
            <w:tcW w:w="1980" w:type="dxa"/>
          </w:tcPr>
          <w:p w14:paraId="71B40674"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Primary Antibody</w:t>
            </w:r>
          </w:p>
        </w:tc>
        <w:tc>
          <w:tcPr>
            <w:tcW w:w="1195" w:type="dxa"/>
          </w:tcPr>
          <w:p w14:paraId="226872AC"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Dilution</w:t>
            </w:r>
          </w:p>
        </w:tc>
        <w:tc>
          <w:tcPr>
            <w:tcW w:w="2774" w:type="dxa"/>
          </w:tcPr>
          <w:p w14:paraId="1C0404EE"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Catalog No.</w:t>
            </w:r>
          </w:p>
        </w:tc>
      </w:tr>
      <w:tr w:rsidR="008F21A0" w:rsidRPr="00EC152F" w14:paraId="7F55A694" w14:textId="77777777">
        <w:tc>
          <w:tcPr>
            <w:tcW w:w="1980" w:type="dxa"/>
            <w:vAlign w:val="center"/>
          </w:tcPr>
          <w:p w14:paraId="1FBF26EB"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YTHDF1</w:t>
            </w:r>
          </w:p>
        </w:tc>
        <w:tc>
          <w:tcPr>
            <w:tcW w:w="1195" w:type="dxa"/>
            <w:vAlign w:val="center"/>
          </w:tcPr>
          <w:p w14:paraId="0344B8A0"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1:250</w:t>
            </w:r>
          </w:p>
        </w:tc>
        <w:tc>
          <w:tcPr>
            <w:tcW w:w="2774" w:type="dxa"/>
            <w:vAlign w:val="center"/>
          </w:tcPr>
          <w:p w14:paraId="7E6B8EE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Proteintech #17479-1-AP</w:t>
            </w:r>
          </w:p>
        </w:tc>
      </w:tr>
      <w:tr w:rsidR="008F21A0" w:rsidRPr="00EC152F" w14:paraId="3D4F0D51" w14:textId="77777777">
        <w:tc>
          <w:tcPr>
            <w:tcW w:w="1980" w:type="dxa"/>
            <w:vAlign w:val="center"/>
          </w:tcPr>
          <w:p w14:paraId="13E4865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LGR5</w:t>
            </w:r>
          </w:p>
        </w:tc>
        <w:tc>
          <w:tcPr>
            <w:tcW w:w="1195" w:type="dxa"/>
            <w:vAlign w:val="center"/>
          </w:tcPr>
          <w:p w14:paraId="410158FE"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1:200</w:t>
            </w:r>
          </w:p>
        </w:tc>
        <w:tc>
          <w:tcPr>
            <w:tcW w:w="2774" w:type="dxa"/>
            <w:vAlign w:val="center"/>
          </w:tcPr>
          <w:p w14:paraId="6BBFEF5F"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Origene #TA503316</w:t>
            </w:r>
          </w:p>
        </w:tc>
      </w:tr>
      <w:tr w:rsidR="008F21A0" w:rsidRPr="00EC152F" w14:paraId="26C4287F" w14:textId="77777777">
        <w:tc>
          <w:tcPr>
            <w:tcW w:w="1980" w:type="dxa"/>
            <w:vAlign w:val="center"/>
          </w:tcPr>
          <w:p w14:paraId="1CBEB55E"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CD133</w:t>
            </w:r>
          </w:p>
        </w:tc>
        <w:tc>
          <w:tcPr>
            <w:tcW w:w="1195" w:type="dxa"/>
            <w:vAlign w:val="center"/>
          </w:tcPr>
          <w:p w14:paraId="5B40A1ED"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1:200</w:t>
            </w:r>
          </w:p>
        </w:tc>
        <w:tc>
          <w:tcPr>
            <w:tcW w:w="2774" w:type="dxa"/>
            <w:vAlign w:val="center"/>
          </w:tcPr>
          <w:p w14:paraId="5990E593"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#64326</w:t>
            </w:r>
          </w:p>
        </w:tc>
      </w:tr>
      <w:tr w:rsidR="008F21A0" w:rsidRPr="00EC152F" w14:paraId="111801E9" w14:textId="77777777">
        <w:tc>
          <w:tcPr>
            <w:tcW w:w="1980" w:type="dxa"/>
            <w:vAlign w:val="center"/>
          </w:tcPr>
          <w:p w14:paraId="4E525FC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w:t>
            </w:r>
          </w:p>
        </w:tc>
        <w:tc>
          <w:tcPr>
            <w:tcW w:w="1195" w:type="dxa"/>
            <w:vAlign w:val="center"/>
          </w:tcPr>
          <w:p w14:paraId="49317F15"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1:150</w:t>
            </w:r>
          </w:p>
        </w:tc>
        <w:tc>
          <w:tcPr>
            <w:tcW w:w="2774" w:type="dxa"/>
            <w:vAlign w:val="center"/>
          </w:tcPr>
          <w:p w14:paraId="0AE5130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#3608</w:t>
            </w:r>
          </w:p>
        </w:tc>
      </w:tr>
    </w:tbl>
    <w:p w14:paraId="610DFF9D" w14:textId="77777777" w:rsidR="008F21A0" w:rsidRPr="00EC152F" w:rsidRDefault="008F21A0">
      <w:pPr>
        <w:keepNext/>
        <w:keepLines/>
        <w:spacing w:before="240" w:line="480" w:lineRule="auto"/>
        <w:outlineLvl w:val="0"/>
        <w:rPr>
          <w:rFonts w:eastAsia="新細明體"/>
          <w:color w:val="2F5496"/>
          <w:kern w:val="2"/>
          <w:szCs w:val="24"/>
          <w:lang w:eastAsia="zh-TW"/>
          <w14:ligatures w14:val="standardContextual"/>
        </w:rPr>
      </w:pPr>
    </w:p>
    <w:tbl>
      <w:tblPr>
        <w:tblStyle w:val="TableGrid"/>
        <w:tblW w:w="0" w:type="auto"/>
        <w:tblLook w:val="04A0" w:firstRow="1" w:lastRow="0" w:firstColumn="1" w:lastColumn="0" w:noHBand="0" w:noVBand="1"/>
      </w:tblPr>
      <w:tblGrid>
        <w:gridCol w:w="1980"/>
        <w:gridCol w:w="1195"/>
        <w:gridCol w:w="2774"/>
      </w:tblGrid>
      <w:tr w:rsidR="008F21A0" w:rsidRPr="00EC152F" w14:paraId="2BD66CA8" w14:textId="77777777">
        <w:trPr>
          <w:trHeight w:val="338"/>
        </w:trPr>
        <w:tc>
          <w:tcPr>
            <w:tcW w:w="5949" w:type="dxa"/>
            <w:gridSpan w:val="3"/>
            <w:vAlign w:val="center"/>
          </w:tcPr>
          <w:p w14:paraId="71141E2C" w14:textId="77777777" w:rsidR="008F21A0" w:rsidRPr="00EC152F" w:rsidRDefault="0092276A">
            <w:pPr>
              <w:spacing w:line="480" w:lineRule="auto"/>
              <w:jc w:val="center"/>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Western blot</w:t>
            </w:r>
          </w:p>
        </w:tc>
      </w:tr>
      <w:tr w:rsidR="008F21A0" w:rsidRPr="00EC152F" w14:paraId="097E17BF" w14:textId="77777777">
        <w:trPr>
          <w:trHeight w:val="338"/>
        </w:trPr>
        <w:tc>
          <w:tcPr>
            <w:tcW w:w="1980" w:type="dxa"/>
          </w:tcPr>
          <w:p w14:paraId="5C132772"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Primary Antibody</w:t>
            </w:r>
          </w:p>
        </w:tc>
        <w:tc>
          <w:tcPr>
            <w:tcW w:w="1195" w:type="dxa"/>
          </w:tcPr>
          <w:p w14:paraId="65DD2604"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Dilution</w:t>
            </w:r>
          </w:p>
        </w:tc>
        <w:tc>
          <w:tcPr>
            <w:tcW w:w="2774" w:type="dxa"/>
          </w:tcPr>
          <w:p w14:paraId="70084CFA"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Catalog No.</w:t>
            </w:r>
          </w:p>
        </w:tc>
      </w:tr>
      <w:tr w:rsidR="008F21A0" w:rsidRPr="00EC152F" w14:paraId="35D6E140" w14:textId="77777777">
        <w:tc>
          <w:tcPr>
            <w:tcW w:w="1980" w:type="dxa"/>
            <w:vAlign w:val="center"/>
          </w:tcPr>
          <w:p w14:paraId="4561B6DB"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YTHDF1</w:t>
            </w:r>
          </w:p>
        </w:tc>
        <w:tc>
          <w:tcPr>
            <w:tcW w:w="1195" w:type="dxa"/>
            <w:vAlign w:val="center"/>
          </w:tcPr>
          <w:p w14:paraId="50B0B970"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1:1000</w:t>
            </w:r>
          </w:p>
        </w:tc>
        <w:tc>
          <w:tcPr>
            <w:tcW w:w="2774" w:type="dxa"/>
            <w:vAlign w:val="center"/>
          </w:tcPr>
          <w:p w14:paraId="26C6DB46"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Proteintech #17479-1-AP</w:t>
            </w:r>
          </w:p>
        </w:tc>
      </w:tr>
      <w:tr w:rsidR="008F21A0" w:rsidRPr="00EC152F" w14:paraId="3273B24F" w14:textId="77777777">
        <w:tc>
          <w:tcPr>
            <w:tcW w:w="1980" w:type="dxa"/>
            <w:vAlign w:val="center"/>
          </w:tcPr>
          <w:p w14:paraId="0F8C1F68"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LGR5</w:t>
            </w:r>
          </w:p>
        </w:tc>
        <w:tc>
          <w:tcPr>
            <w:tcW w:w="1195" w:type="dxa"/>
            <w:vAlign w:val="center"/>
          </w:tcPr>
          <w:p w14:paraId="0D9D9361"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712BA55C"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Origene #TA503316</w:t>
            </w:r>
          </w:p>
        </w:tc>
      </w:tr>
      <w:tr w:rsidR="008F21A0" w:rsidRPr="00EC152F" w14:paraId="2528A971" w14:textId="77777777">
        <w:tc>
          <w:tcPr>
            <w:tcW w:w="1980" w:type="dxa"/>
            <w:vAlign w:val="center"/>
          </w:tcPr>
          <w:p w14:paraId="1B8C4C28"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CD133</w:t>
            </w:r>
          </w:p>
        </w:tc>
        <w:tc>
          <w:tcPr>
            <w:tcW w:w="1195" w:type="dxa"/>
            <w:vAlign w:val="center"/>
          </w:tcPr>
          <w:p w14:paraId="70524AA2"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20061A38"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#64326</w:t>
            </w:r>
          </w:p>
        </w:tc>
      </w:tr>
      <w:tr w:rsidR="008F21A0" w:rsidRPr="00EC152F" w14:paraId="064356DD" w14:textId="77777777">
        <w:tc>
          <w:tcPr>
            <w:tcW w:w="1980" w:type="dxa"/>
            <w:vAlign w:val="center"/>
          </w:tcPr>
          <w:p w14:paraId="23F9186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w:t>
            </w:r>
          </w:p>
        </w:tc>
        <w:tc>
          <w:tcPr>
            <w:tcW w:w="1195" w:type="dxa"/>
            <w:vAlign w:val="center"/>
          </w:tcPr>
          <w:p w14:paraId="26295A9E"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1B863246"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#3608</w:t>
            </w:r>
          </w:p>
        </w:tc>
      </w:tr>
      <w:tr w:rsidR="008F21A0" w:rsidRPr="00EC152F" w14:paraId="01F7702F" w14:textId="77777777">
        <w:tc>
          <w:tcPr>
            <w:tcW w:w="1980" w:type="dxa"/>
            <w:vAlign w:val="center"/>
          </w:tcPr>
          <w:p w14:paraId="60680EEF"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Phospho-H2AX</w:t>
            </w:r>
          </w:p>
        </w:tc>
        <w:tc>
          <w:tcPr>
            <w:tcW w:w="1195" w:type="dxa"/>
            <w:vAlign w:val="center"/>
          </w:tcPr>
          <w:p w14:paraId="1311DEF0"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2FA2572F"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#2577</w:t>
            </w:r>
          </w:p>
        </w:tc>
      </w:tr>
      <w:tr w:rsidR="008F21A0" w:rsidRPr="00EC152F" w14:paraId="459C5392" w14:textId="77777777">
        <w:tc>
          <w:tcPr>
            <w:tcW w:w="1980" w:type="dxa"/>
            <w:vAlign w:val="center"/>
          </w:tcPr>
          <w:p w14:paraId="0C9760D7"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Caspase 3</w:t>
            </w:r>
          </w:p>
        </w:tc>
        <w:tc>
          <w:tcPr>
            <w:tcW w:w="1195" w:type="dxa"/>
            <w:vAlign w:val="center"/>
          </w:tcPr>
          <w:p w14:paraId="266AE091"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6D35D795" w14:textId="77777777" w:rsidR="008F21A0" w:rsidRPr="00EC152F" w:rsidRDefault="0092276A">
            <w:pPr>
              <w:spacing w:line="480" w:lineRule="auto"/>
              <w:rPr>
                <w:rFonts w:ascii="Times New Roman" w:eastAsia="新細明體" w:hAnsi="Times New Roman" w:cs="Times New Roman"/>
                <w:color w:val="000000"/>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#9662</w:t>
            </w:r>
          </w:p>
        </w:tc>
      </w:tr>
      <w:tr w:rsidR="008F21A0" w:rsidRPr="00EC152F" w14:paraId="20212C30" w14:textId="77777777">
        <w:tc>
          <w:tcPr>
            <w:tcW w:w="1980" w:type="dxa"/>
            <w:vAlign w:val="center"/>
          </w:tcPr>
          <w:p w14:paraId="193EE19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Caspase 7</w:t>
            </w:r>
          </w:p>
        </w:tc>
        <w:tc>
          <w:tcPr>
            <w:tcW w:w="1195" w:type="dxa"/>
            <w:vAlign w:val="center"/>
          </w:tcPr>
          <w:p w14:paraId="1C60C6EE"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47BC5BF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#9492</w:t>
            </w:r>
          </w:p>
        </w:tc>
      </w:tr>
      <w:tr w:rsidR="008F21A0" w:rsidRPr="00EC152F" w14:paraId="210E703F" w14:textId="77777777">
        <w:tc>
          <w:tcPr>
            <w:tcW w:w="1980" w:type="dxa"/>
            <w:vAlign w:val="center"/>
          </w:tcPr>
          <w:p w14:paraId="33A8E0EA"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β-actin</w:t>
            </w:r>
          </w:p>
        </w:tc>
        <w:tc>
          <w:tcPr>
            <w:tcW w:w="1195" w:type="dxa"/>
            <w:vAlign w:val="center"/>
          </w:tcPr>
          <w:p w14:paraId="70C942AD" w14:textId="77777777" w:rsidR="008F21A0" w:rsidRPr="00EC152F" w:rsidRDefault="0092276A">
            <w:pPr>
              <w:spacing w:line="480" w:lineRule="auto"/>
              <w:jc w:val="center"/>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kern w:val="2"/>
                <w:szCs w:val="24"/>
                <w:lang w:eastAsia="zh-TW"/>
                <w14:ligatures w14:val="standardContextual"/>
              </w:rPr>
              <w:t>1:1000</w:t>
            </w:r>
          </w:p>
        </w:tc>
        <w:tc>
          <w:tcPr>
            <w:tcW w:w="2774" w:type="dxa"/>
            <w:vAlign w:val="center"/>
          </w:tcPr>
          <w:p w14:paraId="740FE69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CST #4970</w:t>
            </w:r>
          </w:p>
        </w:tc>
      </w:tr>
    </w:tbl>
    <w:p w14:paraId="41F4F3AF" w14:textId="77777777" w:rsidR="008F21A0" w:rsidRPr="00EC152F" w:rsidRDefault="008F21A0">
      <w:pPr>
        <w:spacing w:after="160" w:line="259" w:lineRule="auto"/>
        <w:rPr>
          <w:rFonts w:eastAsia="新細明體"/>
          <w:kern w:val="2"/>
          <w:szCs w:val="24"/>
          <w:lang w:eastAsia="zh-TW"/>
          <w14:ligatures w14:val="standardContextual"/>
        </w:rPr>
      </w:pPr>
    </w:p>
    <w:p w14:paraId="6D354F65" w14:textId="77777777" w:rsidR="008F21A0" w:rsidRPr="00EC152F" w:rsidRDefault="0092276A">
      <w:pPr>
        <w:spacing w:after="160" w:line="259" w:lineRule="auto"/>
        <w:rPr>
          <w:rFonts w:eastAsia="新細明體"/>
          <w:kern w:val="2"/>
          <w:szCs w:val="24"/>
          <w:lang w:eastAsia="zh-TW"/>
          <w14:ligatures w14:val="standardContextual"/>
        </w:rPr>
      </w:pPr>
      <w:r w:rsidRPr="00EC152F">
        <w:rPr>
          <w:rFonts w:eastAsia="新細明體"/>
          <w:kern w:val="2"/>
          <w:szCs w:val="24"/>
          <w:lang w:eastAsia="zh-TW"/>
          <w14:ligatures w14:val="standardContextual"/>
        </w:rPr>
        <w:br w:type="page"/>
      </w:r>
    </w:p>
    <w:p w14:paraId="3133D931" w14:textId="77777777" w:rsidR="008F21A0" w:rsidRPr="00EC152F" w:rsidRDefault="0092276A">
      <w:pPr>
        <w:keepNext/>
        <w:keepLines/>
        <w:spacing w:before="240" w:line="480" w:lineRule="auto"/>
        <w:outlineLvl w:val="0"/>
        <w:rPr>
          <w:rFonts w:eastAsia="新細明體"/>
          <w:b/>
          <w:bCs/>
          <w:kern w:val="2"/>
          <w:szCs w:val="24"/>
          <w:lang w:eastAsia="zh-TW"/>
          <w14:ligatures w14:val="standardContextual"/>
        </w:rPr>
      </w:pPr>
      <w:r w:rsidRPr="00EC152F">
        <w:rPr>
          <w:rFonts w:eastAsia="新細明體"/>
          <w:b/>
          <w:bCs/>
          <w:kern w:val="2"/>
          <w:szCs w:val="24"/>
          <w:lang w:eastAsia="zh-TW"/>
          <w14:ligatures w14:val="standardContextual"/>
        </w:rPr>
        <w:lastRenderedPageBreak/>
        <w:t>Table S5. Primer sequences for MeRIP and RIP-qPCR</w:t>
      </w:r>
    </w:p>
    <w:tbl>
      <w:tblPr>
        <w:tblStyle w:val="TableGrid"/>
        <w:tblW w:w="0" w:type="auto"/>
        <w:tblLook w:val="04A0" w:firstRow="1" w:lastRow="0" w:firstColumn="1" w:lastColumn="0" w:noHBand="0" w:noVBand="1"/>
      </w:tblPr>
      <w:tblGrid>
        <w:gridCol w:w="1838"/>
        <w:gridCol w:w="2659"/>
        <w:gridCol w:w="3616"/>
      </w:tblGrid>
      <w:tr w:rsidR="008F21A0" w:rsidRPr="00EC152F" w14:paraId="74C66617" w14:textId="77777777">
        <w:tc>
          <w:tcPr>
            <w:tcW w:w="1838" w:type="dxa"/>
          </w:tcPr>
          <w:p w14:paraId="2D1FFE40" w14:textId="77777777" w:rsidR="008F21A0" w:rsidRPr="00EC152F" w:rsidRDefault="0092276A">
            <w:pPr>
              <w:spacing w:line="480" w:lineRule="auto"/>
              <w:ind w:left="720" w:hanging="720"/>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Primer name</w:t>
            </w:r>
          </w:p>
        </w:tc>
        <w:tc>
          <w:tcPr>
            <w:tcW w:w="2659" w:type="dxa"/>
          </w:tcPr>
          <w:p w14:paraId="3F69A1BC" w14:textId="77777777" w:rsidR="008F21A0" w:rsidRPr="00EC152F" w:rsidRDefault="0092276A">
            <w:pPr>
              <w:spacing w:line="480" w:lineRule="auto"/>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Forward/Reverse</w:t>
            </w:r>
          </w:p>
        </w:tc>
        <w:tc>
          <w:tcPr>
            <w:tcW w:w="3394" w:type="dxa"/>
          </w:tcPr>
          <w:p w14:paraId="526E83E2" w14:textId="77777777" w:rsidR="008F21A0" w:rsidRPr="00EC152F" w:rsidRDefault="0092276A">
            <w:pPr>
              <w:spacing w:line="480" w:lineRule="auto"/>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Sequence (5’ to 3’)</w:t>
            </w:r>
          </w:p>
        </w:tc>
      </w:tr>
      <w:tr w:rsidR="008F21A0" w:rsidRPr="00EC152F" w14:paraId="1D0AF73C" w14:textId="77777777">
        <w:tc>
          <w:tcPr>
            <w:tcW w:w="1838" w:type="dxa"/>
            <w:vAlign w:val="center"/>
          </w:tcPr>
          <w:p w14:paraId="7A477D42"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NOTCH1 - 1</w:t>
            </w:r>
          </w:p>
        </w:tc>
        <w:tc>
          <w:tcPr>
            <w:tcW w:w="2659" w:type="dxa"/>
            <w:vAlign w:val="center"/>
          </w:tcPr>
          <w:p w14:paraId="239D4563" w14:textId="77777777" w:rsidR="008F21A0" w:rsidRPr="00EC152F" w:rsidRDefault="0092276A">
            <w:pPr>
              <w:spacing w:line="480" w:lineRule="auto"/>
              <w:rPr>
                <w:rFonts w:ascii="Times New Roman" w:eastAsia="Times New Roman" w:hAnsi="Times New Roman" w:cs="Times New Roman"/>
                <w:szCs w:val="24"/>
                <w:lang w:eastAsia="zh-CN"/>
              </w:rPr>
            </w:pPr>
            <w:r w:rsidRPr="00EC152F">
              <w:rPr>
                <w:rFonts w:ascii="Times New Roman" w:eastAsia="新細明體" w:hAnsi="Times New Roman" w:cs="Times New Roman"/>
                <w:color w:val="000000"/>
                <w:kern w:val="2"/>
                <w:szCs w:val="24"/>
                <w:lang w:eastAsia="zh-TW"/>
                <w14:ligatures w14:val="standardContextual"/>
              </w:rPr>
              <w:t>Forward</w:t>
            </w:r>
          </w:p>
        </w:tc>
        <w:tc>
          <w:tcPr>
            <w:tcW w:w="3394" w:type="dxa"/>
            <w:vAlign w:val="center"/>
          </w:tcPr>
          <w:p w14:paraId="637BBCE8"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Times New Roman" w:hAnsi="Times New Roman" w:cs="Times New Roman"/>
                <w:szCs w:val="24"/>
                <w:lang w:eastAsia="zh-CN"/>
              </w:rPr>
              <w:t>GGACGTCAGACTTGGCTCAG</w:t>
            </w:r>
          </w:p>
        </w:tc>
      </w:tr>
      <w:tr w:rsidR="008F21A0" w:rsidRPr="00EC152F" w14:paraId="7DC32494" w14:textId="77777777">
        <w:tc>
          <w:tcPr>
            <w:tcW w:w="1838" w:type="dxa"/>
            <w:vAlign w:val="center"/>
          </w:tcPr>
          <w:p w14:paraId="48BB824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NOTCH1 - 1</w:t>
            </w:r>
          </w:p>
        </w:tc>
        <w:tc>
          <w:tcPr>
            <w:tcW w:w="2659" w:type="dxa"/>
            <w:vAlign w:val="center"/>
          </w:tcPr>
          <w:p w14:paraId="5C82A514" w14:textId="77777777" w:rsidR="008F21A0" w:rsidRPr="00EC152F" w:rsidRDefault="0092276A">
            <w:pPr>
              <w:spacing w:line="480" w:lineRule="auto"/>
              <w:rPr>
                <w:rFonts w:ascii="Times New Roman" w:eastAsia="Times New Roman" w:hAnsi="Times New Roman" w:cs="Times New Roman"/>
                <w:szCs w:val="24"/>
                <w:lang w:eastAsia="zh-CN"/>
              </w:rPr>
            </w:pPr>
            <w:r w:rsidRPr="00EC152F">
              <w:rPr>
                <w:rFonts w:ascii="Times New Roman" w:eastAsia="新細明體" w:hAnsi="Times New Roman" w:cs="Times New Roman"/>
                <w:color w:val="000000"/>
                <w:kern w:val="2"/>
                <w:szCs w:val="24"/>
                <w:lang w:eastAsia="zh-TW"/>
                <w14:ligatures w14:val="standardContextual"/>
              </w:rPr>
              <w:t>Reverse</w:t>
            </w:r>
          </w:p>
        </w:tc>
        <w:tc>
          <w:tcPr>
            <w:tcW w:w="3394" w:type="dxa"/>
            <w:vAlign w:val="center"/>
          </w:tcPr>
          <w:p w14:paraId="1B03D9B1"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Times New Roman" w:hAnsi="Times New Roman" w:cs="Times New Roman"/>
                <w:szCs w:val="24"/>
                <w:lang w:eastAsia="zh-CN"/>
              </w:rPr>
              <w:t>ACATCTTGGGACGCATCTGG</w:t>
            </w:r>
          </w:p>
        </w:tc>
      </w:tr>
      <w:tr w:rsidR="008F21A0" w:rsidRPr="00EC152F" w14:paraId="2300AA6F" w14:textId="77777777">
        <w:tc>
          <w:tcPr>
            <w:tcW w:w="1838" w:type="dxa"/>
            <w:vAlign w:val="center"/>
          </w:tcPr>
          <w:p w14:paraId="425F345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NOTCH1 - 2</w:t>
            </w:r>
          </w:p>
        </w:tc>
        <w:tc>
          <w:tcPr>
            <w:tcW w:w="2659" w:type="dxa"/>
            <w:vAlign w:val="center"/>
          </w:tcPr>
          <w:p w14:paraId="59677060" w14:textId="77777777" w:rsidR="008F21A0" w:rsidRPr="00EC152F" w:rsidRDefault="0092276A">
            <w:pPr>
              <w:spacing w:line="480" w:lineRule="auto"/>
              <w:rPr>
                <w:rFonts w:ascii="Times New Roman" w:eastAsia="Times New Roman" w:hAnsi="Times New Roman" w:cs="Times New Roman"/>
                <w:szCs w:val="24"/>
                <w:lang w:eastAsia="zh-CN"/>
              </w:rPr>
            </w:pPr>
            <w:r w:rsidRPr="00EC152F">
              <w:rPr>
                <w:rFonts w:ascii="Times New Roman" w:eastAsia="新細明體" w:hAnsi="Times New Roman" w:cs="Times New Roman"/>
                <w:color w:val="000000"/>
                <w:kern w:val="2"/>
                <w:szCs w:val="24"/>
                <w:lang w:eastAsia="zh-TW"/>
                <w14:ligatures w14:val="standardContextual"/>
              </w:rPr>
              <w:t>Forward</w:t>
            </w:r>
          </w:p>
        </w:tc>
        <w:tc>
          <w:tcPr>
            <w:tcW w:w="3394" w:type="dxa"/>
            <w:vAlign w:val="center"/>
          </w:tcPr>
          <w:p w14:paraId="704F085C"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Times New Roman" w:hAnsi="Times New Roman" w:cs="Times New Roman"/>
                <w:szCs w:val="24"/>
                <w:lang w:eastAsia="zh-CN"/>
              </w:rPr>
              <w:t>CCACCCCTCCTAGTTTGGGA</w:t>
            </w:r>
          </w:p>
        </w:tc>
      </w:tr>
      <w:tr w:rsidR="008F21A0" w:rsidRPr="00EC152F" w14:paraId="065DFED9" w14:textId="77777777">
        <w:tc>
          <w:tcPr>
            <w:tcW w:w="1838" w:type="dxa"/>
            <w:vAlign w:val="center"/>
          </w:tcPr>
          <w:p w14:paraId="6B97254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NOTCH1 - 2</w:t>
            </w:r>
          </w:p>
        </w:tc>
        <w:tc>
          <w:tcPr>
            <w:tcW w:w="2659" w:type="dxa"/>
            <w:vAlign w:val="center"/>
          </w:tcPr>
          <w:p w14:paraId="207E4DDE" w14:textId="77777777" w:rsidR="008F21A0" w:rsidRPr="00EC152F" w:rsidRDefault="0092276A">
            <w:pPr>
              <w:spacing w:line="480" w:lineRule="auto"/>
              <w:rPr>
                <w:rFonts w:ascii="Times New Roman" w:eastAsia="Times New Roman" w:hAnsi="Times New Roman" w:cs="Times New Roman"/>
                <w:szCs w:val="24"/>
                <w:lang w:eastAsia="zh-CN"/>
              </w:rPr>
            </w:pPr>
            <w:r w:rsidRPr="00EC152F">
              <w:rPr>
                <w:rFonts w:ascii="Times New Roman" w:eastAsia="新細明體" w:hAnsi="Times New Roman" w:cs="Times New Roman"/>
                <w:color w:val="000000"/>
                <w:kern w:val="2"/>
                <w:szCs w:val="24"/>
                <w:lang w:eastAsia="zh-TW"/>
                <w14:ligatures w14:val="standardContextual"/>
              </w:rPr>
              <w:t>Reverse</w:t>
            </w:r>
          </w:p>
        </w:tc>
        <w:tc>
          <w:tcPr>
            <w:tcW w:w="3394" w:type="dxa"/>
            <w:vAlign w:val="center"/>
          </w:tcPr>
          <w:p w14:paraId="287E0A4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Times New Roman" w:hAnsi="Times New Roman" w:cs="Times New Roman"/>
                <w:szCs w:val="24"/>
                <w:lang w:eastAsia="zh-CN"/>
              </w:rPr>
              <w:t>TGGCATGACACACAACAGAC</w:t>
            </w:r>
          </w:p>
        </w:tc>
      </w:tr>
      <w:tr w:rsidR="008F21A0" w:rsidRPr="00EC152F" w14:paraId="60FF8031" w14:textId="77777777">
        <w:tc>
          <w:tcPr>
            <w:tcW w:w="1838" w:type="dxa"/>
            <w:vAlign w:val="center"/>
          </w:tcPr>
          <w:p w14:paraId="5F067A4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NOTCH1 - 3</w:t>
            </w:r>
          </w:p>
        </w:tc>
        <w:tc>
          <w:tcPr>
            <w:tcW w:w="2659" w:type="dxa"/>
            <w:vAlign w:val="center"/>
          </w:tcPr>
          <w:p w14:paraId="168D355C" w14:textId="77777777" w:rsidR="008F21A0" w:rsidRPr="00EC152F" w:rsidRDefault="0092276A">
            <w:pPr>
              <w:spacing w:line="480" w:lineRule="auto"/>
              <w:rPr>
                <w:rFonts w:ascii="Times New Roman" w:eastAsia="Times New Roman" w:hAnsi="Times New Roman" w:cs="Times New Roman"/>
                <w:szCs w:val="24"/>
                <w:lang w:eastAsia="zh-CN"/>
              </w:rPr>
            </w:pPr>
            <w:r w:rsidRPr="00EC152F">
              <w:rPr>
                <w:rFonts w:ascii="Times New Roman" w:eastAsia="新細明體" w:hAnsi="Times New Roman" w:cs="Times New Roman"/>
                <w:color w:val="000000"/>
                <w:kern w:val="2"/>
                <w:szCs w:val="24"/>
                <w:lang w:eastAsia="zh-TW"/>
                <w14:ligatures w14:val="standardContextual"/>
              </w:rPr>
              <w:t>Forward</w:t>
            </w:r>
          </w:p>
        </w:tc>
        <w:tc>
          <w:tcPr>
            <w:tcW w:w="3394" w:type="dxa"/>
            <w:vAlign w:val="center"/>
          </w:tcPr>
          <w:p w14:paraId="4244B5CE"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Times New Roman" w:hAnsi="Times New Roman" w:cs="Times New Roman"/>
                <w:szCs w:val="24"/>
                <w:lang w:eastAsia="zh-CN"/>
              </w:rPr>
              <w:t>CCAGTGAGGGACGTCAGACT</w:t>
            </w:r>
          </w:p>
        </w:tc>
      </w:tr>
      <w:tr w:rsidR="008F21A0" w:rsidRPr="00EC152F" w14:paraId="1FA4710B" w14:textId="77777777">
        <w:tc>
          <w:tcPr>
            <w:tcW w:w="1838" w:type="dxa"/>
            <w:vAlign w:val="center"/>
          </w:tcPr>
          <w:p w14:paraId="44E5C84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NOTCH1 - 3</w:t>
            </w:r>
          </w:p>
        </w:tc>
        <w:tc>
          <w:tcPr>
            <w:tcW w:w="2659" w:type="dxa"/>
            <w:vAlign w:val="center"/>
          </w:tcPr>
          <w:p w14:paraId="3E40CB32" w14:textId="77777777" w:rsidR="008F21A0" w:rsidRPr="00EC152F" w:rsidRDefault="0092276A">
            <w:pPr>
              <w:spacing w:line="480" w:lineRule="auto"/>
              <w:rPr>
                <w:rFonts w:ascii="Times New Roman" w:eastAsia="Times New Roman" w:hAnsi="Times New Roman" w:cs="Times New Roman"/>
                <w:szCs w:val="24"/>
                <w:lang w:eastAsia="zh-CN"/>
              </w:rPr>
            </w:pPr>
            <w:r w:rsidRPr="00EC152F">
              <w:rPr>
                <w:rFonts w:ascii="Times New Roman" w:eastAsia="新細明體" w:hAnsi="Times New Roman" w:cs="Times New Roman"/>
                <w:color w:val="000000"/>
                <w:kern w:val="2"/>
                <w:szCs w:val="24"/>
                <w:lang w:eastAsia="zh-TW"/>
                <w14:ligatures w14:val="standardContextual"/>
              </w:rPr>
              <w:t>Reverse</w:t>
            </w:r>
          </w:p>
        </w:tc>
        <w:tc>
          <w:tcPr>
            <w:tcW w:w="3394" w:type="dxa"/>
            <w:vAlign w:val="center"/>
          </w:tcPr>
          <w:p w14:paraId="56C0059E"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Times New Roman" w:hAnsi="Times New Roman" w:cs="Times New Roman"/>
                <w:szCs w:val="24"/>
                <w:lang w:eastAsia="zh-CN"/>
              </w:rPr>
              <w:t>TCAACATCTTGGGACGCATCT</w:t>
            </w:r>
          </w:p>
        </w:tc>
      </w:tr>
    </w:tbl>
    <w:p w14:paraId="02916307" w14:textId="77777777" w:rsidR="008F21A0" w:rsidRPr="00EC152F" w:rsidRDefault="008F21A0">
      <w:pPr>
        <w:spacing w:after="160" w:line="480" w:lineRule="auto"/>
        <w:rPr>
          <w:rFonts w:eastAsia="新細明體"/>
          <w:szCs w:val="24"/>
          <w:lang w:eastAsia="zh-TW"/>
        </w:rPr>
      </w:pPr>
    </w:p>
    <w:p w14:paraId="1E90C795" w14:textId="77777777" w:rsidR="008F21A0" w:rsidRPr="00EC152F" w:rsidRDefault="0092276A">
      <w:pPr>
        <w:spacing w:after="160" w:line="259" w:lineRule="auto"/>
        <w:rPr>
          <w:rFonts w:eastAsia="新細明體"/>
          <w:szCs w:val="24"/>
          <w:lang w:eastAsia="zh-TW"/>
        </w:rPr>
      </w:pPr>
      <w:r w:rsidRPr="00EC152F">
        <w:rPr>
          <w:rFonts w:eastAsia="新細明體"/>
          <w:szCs w:val="24"/>
          <w:lang w:eastAsia="zh-TW"/>
        </w:rPr>
        <w:br w:type="page"/>
      </w:r>
    </w:p>
    <w:p w14:paraId="33454FE9" w14:textId="77777777" w:rsidR="008F21A0" w:rsidRPr="00EC152F" w:rsidRDefault="0092276A">
      <w:pPr>
        <w:keepNext/>
        <w:keepLines/>
        <w:spacing w:before="240" w:line="480" w:lineRule="auto"/>
        <w:outlineLvl w:val="0"/>
        <w:rPr>
          <w:rFonts w:eastAsia="新細明體"/>
          <w:b/>
          <w:bCs/>
          <w:kern w:val="2"/>
          <w:szCs w:val="24"/>
          <w:lang w:eastAsia="zh-TW"/>
          <w14:ligatures w14:val="standardContextual"/>
        </w:rPr>
      </w:pPr>
      <w:r w:rsidRPr="00EC152F">
        <w:rPr>
          <w:rFonts w:eastAsia="新細明體"/>
          <w:b/>
          <w:bCs/>
          <w:kern w:val="2"/>
          <w:szCs w:val="24"/>
          <w:lang w:eastAsia="zh-TW"/>
          <w14:ligatures w14:val="standardContextual"/>
        </w:rPr>
        <w:lastRenderedPageBreak/>
        <w:t>Table S6. Primer sequences for qPCR</w:t>
      </w:r>
    </w:p>
    <w:tbl>
      <w:tblPr>
        <w:tblStyle w:val="TableGrid"/>
        <w:tblW w:w="0" w:type="auto"/>
        <w:tblLook w:val="04A0" w:firstRow="1" w:lastRow="0" w:firstColumn="1" w:lastColumn="0" w:noHBand="0" w:noVBand="1"/>
      </w:tblPr>
      <w:tblGrid>
        <w:gridCol w:w="1696"/>
        <w:gridCol w:w="1539"/>
        <w:gridCol w:w="2070"/>
        <w:gridCol w:w="3690"/>
      </w:tblGrid>
      <w:tr w:rsidR="008F21A0" w:rsidRPr="00EC152F" w14:paraId="02110006" w14:textId="77777777" w:rsidTr="00C15CB9">
        <w:tc>
          <w:tcPr>
            <w:tcW w:w="1696" w:type="dxa"/>
          </w:tcPr>
          <w:p w14:paraId="051771A5" w14:textId="77777777" w:rsidR="008F21A0" w:rsidRPr="00EC152F" w:rsidRDefault="0092276A">
            <w:pPr>
              <w:spacing w:line="480" w:lineRule="auto"/>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Species</w:t>
            </w:r>
          </w:p>
        </w:tc>
        <w:tc>
          <w:tcPr>
            <w:tcW w:w="1539" w:type="dxa"/>
          </w:tcPr>
          <w:p w14:paraId="6F6F6BCE" w14:textId="77777777" w:rsidR="008F21A0" w:rsidRPr="00EC152F" w:rsidRDefault="0092276A">
            <w:pPr>
              <w:spacing w:line="480" w:lineRule="auto"/>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Target gene</w:t>
            </w:r>
          </w:p>
        </w:tc>
        <w:tc>
          <w:tcPr>
            <w:tcW w:w="2070" w:type="dxa"/>
          </w:tcPr>
          <w:p w14:paraId="2087A5C4" w14:textId="77777777" w:rsidR="008F21A0" w:rsidRPr="00EC152F" w:rsidRDefault="0092276A">
            <w:pPr>
              <w:spacing w:line="480" w:lineRule="auto"/>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Forward/Reverse</w:t>
            </w:r>
          </w:p>
        </w:tc>
        <w:tc>
          <w:tcPr>
            <w:tcW w:w="3690" w:type="dxa"/>
          </w:tcPr>
          <w:p w14:paraId="0EEF0149" w14:textId="77777777" w:rsidR="008F21A0" w:rsidRPr="00EC152F" w:rsidRDefault="0092276A">
            <w:pPr>
              <w:spacing w:line="480" w:lineRule="auto"/>
              <w:rPr>
                <w:rFonts w:ascii="Times New Roman" w:eastAsia="新細明體" w:hAnsi="Times New Roman" w:cs="Times New Roman"/>
                <w:b/>
                <w:bCs/>
                <w:kern w:val="2"/>
                <w:szCs w:val="24"/>
                <w:lang w:eastAsia="zh-TW"/>
                <w14:ligatures w14:val="standardContextual"/>
              </w:rPr>
            </w:pPr>
            <w:r w:rsidRPr="00EC152F">
              <w:rPr>
                <w:rFonts w:ascii="Times New Roman" w:eastAsia="新細明體" w:hAnsi="Times New Roman" w:cs="Times New Roman"/>
                <w:b/>
                <w:bCs/>
                <w:kern w:val="2"/>
                <w:szCs w:val="24"/>
                <w:lang w:eastAsia="zh-TW"/>
                <w14:ligatures w14:val="standardContextual"/>
              </w:rPr>
              <w:t>Sequence (5’ to 3’)</w:t>
            </w:r>
          </w:p>
        </w:tc>
      </w:tr>
      <w:tr w:rsidR="008F21A0" w:rsidRPr="00EC152F" w14:paraId="4166BBBB" w14:textId="77777777" w:rsidTr="00C15CB9">
        <w:tc>
          <w:tcPr>
            <w:tcW w:w="1696" w:type="dxa"/>
            <w:vAlign w:val="center"/>
          </w:tcPr>
          <w:p w14:paraId="613AA9F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22983784"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ALDH1A1</w:t>
            </w:r>
          </w:p>
        </w:tc>
        <w:tc>
          <w:tcPr>
            <w:tcW w:w="2070" w:type="dxa"/>
            <w:vAlign w:val="center"/>
          </w:tcPr>
          <w:p w14:paraId="44967CF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5C444061"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CAACAGAGGTTGGCAAGTTG</w:t>
            </w:r>
          </w:p>
        </w:tc>
      </w:tr>
      <w:tr w:rsidR="008F21A0" w:rsidRPr="00EC152F" w14:paraId="40279ABD" w14:textId="77777777" w:rsidTr="00C15CB9">
        <w:tc>
          <w:tcPr>
            <w:tcW w:w="1696" w:type="dxa"/>
            <w:vAlign w:val="center"/>
          </w:tcPr>
          <w:p w14:paraId="1D3CBD64"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3E3A719B"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ALDH1A1</w:t>
            </w:r>
          </w:p>
        </w:tc>
        <w:tc>
          <w:tcPr>
            <w:tcW w:w="2070" w:type="dxa"/>
            <w:vAlign w:val="center"/>
          </w:tcPr>
          <w:p w14:paraId="63251DB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21F1466D"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ACCCCATGGTGTGCAAATTC</w:t>
            </w:r>
          </w:p>
        </w:tc>
      </w:tr>
      <w:tr w:rsidR="008F21A0" w:rsidRPr="00EC152F" w14:paraId="1D658D10" w14:textId="77777777" w:rsidTr="00C15CB9">
        <w:tc>
          <w:tcPr>
            <w:tcW w:w="1696" w:type="dxa"/>
            <w:vAlign w:val="center"/>
          </w:tcPr>
          <w:p w14:paraId="4A682804"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18D3F5C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CD133</w:t>
            </w:r>
          </w:p>
        </w:tc>
        <w:tc>
          <w:tcPr>
            <w:tcW w:w="2070" w:type="dxa"/>
            <w:vAlign w:val="center"/>
          </w:tcPr>
          <w:p w14:paraId="1687877E"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68659DD9"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CCATAAAGCTGGACCCATTG</w:t>
            </w:r>
          </w:p>
        </w:tc>
      </w:tr>
      <w:tr w:rsidR="008F21A0" w:rsidRPr="00EC152F" w14:paraId="4E9E896C" w14:textId="77777777" w:rsidTr="00C15CB9">
        <w:tc>
          <w:tcPr>
            <w:tcW w:w="1696" w:type="dxa"/>
            <w:vAlign w:val="center"/>
          </w:tcPr>
          <w:p w14:paraId="5BE1629F"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7091565C"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CD133</w:t>
            </w:r>
          </w:p>
        </w:tc>
        <w:tc>
          <w:tcPr>
            <w:tcW w:w="2070" w:type="dxa"/>
            <w:vAlign w:val="center"/>
          </w:tcPr>
          <w:p w14:paraId="12AAF72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43D7F353"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TTTTGGATTCATATGCCTTC</w:t>
            </w:r>
          </w:p>
        </w:tc>
      </w:tr>
      <w:tr w:rsidR="008F21A0" w:rsidRPr="00EC152F" w14:paraId="12EE529B" w14:textId="77777777" w:rsidTr="00C15CB9">
        <w:tc>
          <w:tcPr>
            <w:tcW w:w="1696" w:type="dxa"/>
            <w:vAlign w:val="center"/>
          </w:tcPr>
          <w:p w14:paraId="330ADF02"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431A235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CD44</w:t>
            </w:r>
          </w:p>
        </w:tc>
        <w:tc>
          <w:tcPr>
            <w:tcW w:w="2070" w:type="dxa"/>
            <w:vAlign w:val="center"/>
          </w:tcPr>
          <w:p w14:paraId="5CCADC1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6D69E7CB"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AGCACAATCCAGGCAACTCC</w:t>
            </w:r>
          </w:p>
        </w:tc>
      </w:tr>
      <w:tr w:rsidR="008F21A0" w:rsidRPr="00EC152F" w14:paraId="577C96C4" w14:textId="77777777" w:rsidTr="00C15CB9">
        <w:tc>
          <w:tcPr>
            <w:tcW w:w="1696" w:type="dxa"/>
            <w:vAlign w:val="center"/>
          </w:tcPr>
          <w:p w14:paraId="5BE3C186"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4B841AE1"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CD44</w:t>
            </w:r>
          </w:p>
        </w:tc>
        <w:tc>
          <w:tcPr>
            <w:tcW w:w="2070" w:type="dxa"/>
            <w:vAlign w:val="center"/>
          </w:tcPr>
          <w:p w14:paraId="2608047A"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1CA094E3"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CTGGTATGAGCTGAGGCTGC</w:t>
            </w:r>
          </w:p>
        </w:tc>
      </w:tr>
      <w:tr w:rsidR="008F21A0" w:rsidRPr="00EC152F" w14:paraId="746F3F9F" w14:textId="77777777" w:rsidTr="00C15CB9">
        <w:tc>
          <w:tcPr>
            <w:tcW w:w="1696" w:type="dxa"/>
            <w:vAlign w:val="center"/>
          </w:tcPr>
          <w:p w14:paraId="61B0AFEC"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5259DEF4"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EPHB2</w:t>
            </w:r>
          </w:p>
        </w:tc>
        <w:tc>
          <w:tcPr>
            <w:tcW w:w="2070" w:type="dxa"/>
            <w:vAlign w:val="center"/>
          </w:tcPr>
          <w:p w14:paraId="5CCB17E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7660A38D"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AGCGGCAAGATGTACTTCCA</w:t>
            </w:r>
          </w:p>
        </w:tc>
      </w:tr>
      <w:tr w:rsidR="008F21A0" w:rsidRPr="00EC152F" w14:paraId="09D3F5DA" w14:textId="77777777" w:rsidTr="00C15CB9">
        <w:tc>
          <w:tcPr>
            <w:tcW w:w="1696" w:type="dxa"/>
            <w:vAlign w:val="center"/>
          </w:tcPr>
          <w:p w14:paraId="6AE8AA1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7AD189B8"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EPHB2</w:t>
            </w:r>
          </w:p>
        </w:tc>
        <w:tc>
          <w:tcPr>
            <w:tcW w:w="2070" w:type="dxa"/>
            <w:vAlign w:val="center"/>
          </w:tcPr>
          <w:p w14:paraId="539D4A8F"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54422D62"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ACACGATGGCGATGACAACC</w:t>
            </w:r>
          </w:p>
        </w:tc>
      </w:tr>
      <w:tr w:rsidR="008F21A0" w:rsidRPr="00EC152F" w14:paraId="6A134462" w14:textId="77777777" w:rsidTr="00C15CB9">
        <w:tc>
          <w:tcPr>
            <w:tcW w:w="1696" w:type="dxa"/>
            <w:vAlign w:val="center"/>
          </w:tcPr>
          <w:p w14:paraId="238B593B"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33EAE648"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EPHB3</w:t>
            </w:r>
          </w:p>
        </w:tc>
        <w:tc>
          <w:tcPr>
            <w:tcW w:w="2070" w:type="dxa"/>
            <w:vAlign w:val="center"/>
          </w:tcPr>
          <w:p w14:paraId="5591145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39C58886"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GAGTTGGCGTGGACATCTCA</w:t>
            </w:r>
          </w:p>
        </w:tc>
      </w:tr>
      <w:tr w:rsidR="008F21A0" w:rsidRPr="00EC152F" w14:paraId="69AF6204" w14:textId="77777777" w:rsidTr="00C15CB9">
        <w:tc>
          <w:tcPr>
            <w:tcW w:w="1696" w:type="dxa"/>
            <w:vAlign w:val="center"/>
          </w:tcPr>
          <w:p w14:paraId="00335D4A"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4D8E92C2"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EPHB3</w:t>
            </w:r>
          </w:p>
        </w:tc>
        <w:tc>
          <w:tcPr>
            <w:tcW w:w="2070" w:type="dxa"/>
            <w:vAlign w:val="center"/>
          </w:tcPr>
          <w:p w14:paraId="71A10321"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4901EB5E"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GACTCGCGCACATTACACAC</w:t>
            </w:r>
          </w:p>
        </w:tc>
      </w:tr>
      <w:tr w:rsidR="008F21A0" w:rsidRPr="00EC152F" w14:paraId="35164377" w14:textId="77777777" w:rsidTr="00C15CB9">
        <w:tc>
          <w:tcPr>
            <w:tcW w:w="1696" w:type="dxa"/>
            <w:vAlign w:val="center"/>
          </w:tcPr>
          <w:p w14:paraId="085030B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076A6AC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GAPDH</w:t>
            </w:r>
          </w:p>
        </w:tc>
        <w:tc>
          <w:tcPr>
            <w:tcW w:w="2070" w:type="dxa"/>
            <w:vAlign w:val="center"/>
          </w:tcPr>
          <w:p w14:paraId="188E020C"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1AF145FA"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AGAAGGCTGGGGCTCATTTG</w:t>
            </w:r>
          </w:p>
        </w:tc>
      </w:tr>
      <w:tr w:rsidR="008F21A0" w:rsidRPr="00EC152F" w14:paraId="43AF272B" w14:textId="77777777" w:rsidTr="00C15CB9">
        <w:tc>
          <w:tcPr>
            <w:tcW w:w="1696" w:type="dxa"/>
            <w:vAlign w:val="center"/>
          </w:tcPr>
          <w:p w14:paraId="3226F63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1BBF4DA1"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GAPDH</w:t>
            </w:r>
          </w:p>
        </w:tc>
        <w:tc>
          <w:tcPr>
            <w:tcW w:w="2070" w:type="dxa"/>
            <w:vAlign w:val="center"/>
          </w:tcPr>
          <w:p w14:paraId="1511EA3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6B51FEF7" w14:textId="77777777" w:rsidR="008F21A0" w:rsidRPr="00EC152F" w:rsidRDefault="0092276A">
            <w:pPr>
              <w:spacing w:line="480" w:lineRule="auto"/>
              <w:rPr>
                <w:rFonts w:ascii="Times New Roman" w:eastAsia="新細明體" w:hAnsi="Times New Roman" w:cs="Times New Roman"/>
                <w:kern w:val="2"/>
                <w:szCs w:val="24"/>
                <w:highlight w:val="yellow"/>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GAGGGGCCATCCACAGTCTT</w:t>
            </w:r>
          </w:p>
        </w:tc>
      </w:tr>
      <w:tr w:rsidR="008F21A0" w:rsidRPr="00EC152F" w14:paraId="7DA87E0B" w14:textId="77777777" w:rsidTr="00C15CB9">
        <w:tc>
          <w:tcPr>
            <w:tcW w:w="1696" w:type="dxa"/>
            <w:vAlign w:val="center"/>
          </w:tcPr>
          <w:p w14:paraId="317E6394"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58BEFF21"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LGR5</w:t>
            </w:r>
          </w:p>
        </w:tc>
        <w:tc>
          <w:tcPr>
            <w:tcW w:w="2070" w:type="dxa"/>
            <w:vAlign w:val="center"/>
          </w:tcPr>
          <w:p w14:paraId="324E7114"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0654C8D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TCCGCTTCCTGGAGGAGTTA</w:t>
            </w:r>
          </w:p>
        </w:tc>
      </w:tr>
      <w:tr w:rsidR="008F21A0" w:rsidRPr="00EC152F" w14:paraId="5F0194E5" w14:textId="77777777" w:rsidTr="00C15CB9">
        <w:tc>
          <w:tcPr>
            <w:tcW w:w="1696" w:type="dxa"/>
            <w:vAlign w:val="center"/>
          </w:tcPr>
          <w:p w14:paraId="43F86BD3"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2C4D52FF"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LGR5</w:t>
            </w:r>
          </w:p>
        </w:tc>
        <w:tc>
          <w:tcPr>
            <w:tcW w:w="2070" w:type="dxa"/>
            <w:vAlign w:val="center"/>
          </w:tcPr>
          <w:p w14:paraId="2D75D63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1CA7735E"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CATCCAGACGCAGGGATTGA</w:t>
            </w:r>
          </w:p>
        </w:tc>
      </w:tr>
      <w:tr w:rsidR="008F21A0" w:rsidRPr="00EC152F" w14:paraId="03893ECD" w14:textId="77777777" w:rsidTr="00C15CB9">
        <w:tc>
          <w:tcPr>
            <w:tcW w:w="1696" w:type="dxa"/>
            <w:vAlign w:val="center"/>
          </w:tcPr>
          <w:p w14:paraId="5AB9F46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2AE2CE4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w:t>
            </w:r>
          </w:p>
        </w:tc>
        <w:tc>
          <w:tcPr>
            <w:tcW w:w="2070" w:type="dxa"/>
            <w:vAlign w:val="center"/>
          </w:tcPr>
          <w:p w14:paraId="5A0FEA48"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2F9BB55B"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GGACGTCAGACTTGGCTCAG</w:t>
            </w:r>
          </w:p>
        </w:tc>
      </w:tr>
      <w:tr w:rsidR="008F21A0" w:rsidRPr="00EC152F" w14:paraId="49FE4DD0" w14:textId="77777777" w:rsidTr="00C15CB9">
        <w:tc>
          <w:tcPr>
            <w:tcW w:w="1696" w:type="dxa"/>
            <w:vAlign w:val="center"/>
          </w:tcPr>
          <w:p w14:paraId="433AF0A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472FEB26"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Notch1</w:t>
            </w:r>
          </w:p>
        </w:tc>
        <w:tc>
          <w:tcPr>
            <w:tcW w:w="2070" w:type="dxa"/>
            <w:vAlign w:val="center"/>
          </w:tcPr>
          <w:p w14:paraId="145CE387"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4A9179E6"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ACATCTTGGGACGCATCTGG</w:t>
            </w:r>
          </w:p>
        </w:tc>
      </w:tr>
      <w:tr w:rsidR="008F21A0" w:rsidRPr="00EC152F" w14:paraId="16A72C66" w14:textId="77777777" w:rsidTr="00C15CB9">
        <w:tc>
          <w:tcPr>
            <w:tcW w:w="1696" w:type="dxa"/>
            <w:vAlign w:val="center"/>
          </w:tcPr>
          <w:p w14:paraId="3BFBF59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4C08565A"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Sox9</w:t>
            </w:r>
          </w:p>
        </w:tc>
        <w:tc>
          <w:tcPr>
            <w:tcW w:w="2070" w:type="dxa"/>
            <w:vAlign w:val="center"/>
          </w:tcPr>
          <w:p w14:paraId="76E587A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5E91B3AF"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GAGGAAGTCGGTGAAGAAC</w:t>
            </w:r>
          </w:p>
        </w:tc>
      </w:tr>
      <w:tr w:rsidR="008F21A0" w:rsidRPr="00EC152F" w14:paraId="4B5FFAAF" w14:textId="77777777" w:rsidTr="00C15CB9">
        <w:tc>
          <w:tcPr>
            <w:tcW w:w="1696" w:type="dxa"/>
            <w:vAlign w:val="center"/>
          </w:tcPr>
          <w:p w14:paraId="265F072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26A1D1D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Sox9</w:t>
            </w:r>
          </w:p>
        </w:tc>
        <w:tc>
          <w:tcPr>
            <w:tcW w:w="2070" w:type="dxa"/>
            <w:vAlign w:val="center"/>
          </w:tcPr>
          <w:p w14:paraId="28FCC056"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036B6DCD"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CCTCTCGCTTCAGGTCAGC</w:t>
            </w:r>
          </w:p>
        </w:tc>
      </w:tr>
      <w:tr w:rsidR="008F21A0" w:rsidRPr="00EC152F" w14:paraId="7A532FC9" w14:textId="77777777" w:rsidTr="00C15CB9">
        <w:tc>
          <w:tcPr>
            <w:tcW w:w="1696" w:type="dxa"/>
            <w:vAlign w:val="center"/>
          </w:tcPr>
          <w:p w14:paraId="3C20E1AB"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547E2BA5"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YTHDF1</w:t>
            </w:r>
          </w:p>
        </w:tc>
        <w:tc>
          <w:tcPr>
            <w:tcW w:w="2070" w:type="dxa"/>
            <w:vAlign w:val="center"/>
          </w:tcPr>
          <w:p w14:paraId="075D4092"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Forward</w:t>
            </w:r>
          </w:p>
        </w:tc>
        <w:tc>
          <w:tcPr>
            <w:tcW w:w="3690" w:type="dxa"/>
            <w:vAlign w:val="center"/>
          </w:tcPr>
          <w:p w14:paraId="1F82DC89"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CAAGCACACAACCTCCATCT</w:t>
            </w:r>
          </w:p>
        </w:tc>
      </w:tr>
      <w:tr w:rsidR="008F21A0" w:rsidRPr="00EC152F" w14:paraId="168559BE" w14:textId="77777777" w:rsidTr="00C15CB9">
        <w:tc>
          <w:tcPr>
            <w:tcW w:w="1696" w:type="dxa"/>
            <w:vAlign w:val="center"/>
          </w:tcPr>
          <w:p w14:paraId="645D1ED0"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Homo sapiens</w:t>
            </w:r>
          </w:p>
        </w:tc>
        <w:tc>
          <w:tcPr>
            <w:tcW w:w="1539" w:type="dxa"/>
            <w:vAlign w:val="center"/>
          </w:tcPr>
          <w:p w14:paraId="637407DF"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YTHDF1</w:t>
            </w:r>
          </w:p>
        </w:tc>
        <w:tc>
          <w:tcPr>
            <w:tcW w:w="2070" w:type="dxa"/>
            <w:vAlign w:val="center"/>
          </w:tcPr>
          <w:p w14:paraId="755EEEF1"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Reverse</w:t>
            </w:r>
          </w:p>
        </w:tc>
        <w:tc>
          <w:tcPr>
            <w:tcW w:w="3690" w:type="dxa"/>
            <w:vAlign w:val="center"/>
          </w:tcPr>
          <w:p w14:paraId="56019A32" w14:textId="77777777" w:rsidR="008F21A0" w:rsidRPr="00EC152F" w:rsidRDefault="0092276A">
            <w:pPr>
              <w:spacing w:line="480" w:lineRule="auto"/>
              <w:rPr>
                <w:rFonts w:ascii="Times New Roman" w:eastAsia="新細明體" w:hAnsi="Times New Roman" w:cs="Times New Roman"/>
                <w:kern w:val="2"/>
                <w:szCs w:val="24"/>
                <w:lang w:eastAsia="zh-TW"/>
                <w14:ligatures w14:val="standardContextual"/>
              </w:rPr>
            </w:pPr>
            <w:r w:rsidRPr="00EC152F">
              <w:rPr>
                <w:rFonts w:ascii="Times New Roman" w:eastAsia="新細明體" w:hAnsi="Times New Roman" w:cs="Times New Roman"/>
                <w:color w:val="000000"/>
                <w:kern w:val="2"/>
                <w:szCs w:val="24"/>
                <w:lang w:eastAsia="zh-TW"/>
                <w14:ligatures w14:val="standardContextual"/>
              </w:rPr>
              <w:t>GTAAGAAACTGGTTCGCCCT</w:t>
            </w:r>
          </w:p>
        </w:tc>
      </w:tr>
    </w:tbl>
    <w:p w14:paraId="28054034" w14:textId="77777777" w:rsidR="008F21A0" w:rsidRPr="00EC152F" w:rsidRDefault="008F21A0" w:rsidP="00C15CB9">
      <w:pPr>
        <w:pStyle w:val="SMcaption"/>
        <w:rPr>
          <w:szCs w:val="24"/>
        </w:rPr>
      </w:pPr>
    </w:p>
    <w:sectPr w:rsidR="008F21A0" w:rsidRPr="00EC152F">
      <w:headerReference w:type="default" r:id="rId13"/>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D46D3" w14:textId="77777777" w:rsidR="00FB6D16" w:rsidRDefault="00FB6D16">
      <w:r>
        <w:separator/>
      </w:r>
    </w:p>
  </w:endnote>
  <w:endnote w:type="continuationSeparator" w:id="0">
    <w:p w14:paraId="75585537" w14:textId="77777777" w:rsidR="00FB6D16" w:rsidRDefault="00FB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CA898" w14:textId="77777777" w:rsidR="008F21A0" w:rsidRDefault="0092276A">
    <w:pPr>
      <w:pStyle w:val="Footer"/>
      <w:jc w:val="right"/>
    </w:pPr>
    <w:r>
      <w:fldChar w:fldCharType="begin"/>
    </w:r>
    <w:r>
      <w:instrText xml:space="preserve"> PAGE   \* MERGEFORMAT </w:instrText>
    </w:r>
    <w:r>
      <w:fldChar w:fldCharType="separate"/>
    </w:r>
    <w:r>
      <w:t>3</w:t>
    </w:r>
    <w:r>
      <w:fldChar w:fldCharType="end"/>
    </w:r>
  </w:p>
  <w:p w14:paraId="233CCB01" w14:textId="77777777" w:rsidR="008F21A0" w:rsidRDefault="008F2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48832" w14:textId="77777777" w:rsidR="00FB6D16" w:rsidRDefault="00FB6D16">
      <w:r>
        <w:separator/>
      </w:r>
    </w:p>
  </w:footnote>
  <w:footnote w:type="continuationSeparator" w:id="0">
    <w:p w14:paraId="4C7F8A66" w14:textId="77777777" w:rsidR="00FB6D16" w:rsidRDefault="00FB6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B1649" w14:textId="77777777" w:rsidR="008F21A0" w:rsidRDefault="008F21A0">
    <w:pPr>
      <w:jc w:val="right"/>
      <w:rPr>
        <w:sz w:val="20"/>
      </w:rPr>
    </w:pPr>
  </w:p>
  <w:p w14:paraId="6082B2C7" w14:textId="77777777" w:rsidR="008F21A0" w:rsidRDefault="008F21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c0tjQxtjQ0NzQ1MbRQ0lEKTi0uzszPAykwqwUAJrR0kiwAAAA="/>
  </w:docVars>
  <w:rsids>
    <w:rsidRoot w:val="002C030F"/>
    <w:rsid w:val="0001519C"/>
    <w:rsid w:val="00015F74"/>
    <w:rsid w:val="000306E8"/>
    <w:rsid w:val="000622E2"/>
    <w:rsid w:val="00065EBD"/>
    <w:rsid w:val="000759D0"/>
    <w:rsid w:val="00083B44"/>
    <w:rsid w:val="000850DC"/>
    <w:rsid w:val="000C2771"/>
    <w:rsid w:val="000D46F4"/>
    <w:rsid w:val="000E3043"/>
    <w:rsid w:val="000F0DCE"/>
    <w:rsid w:val="000F5124"/>
    <w:rsid w:val="000F6BE3"/>
    <w:rsid w:val="00112C5B"/>
    <w:rsid w:val="00114193"/>
    <w:rsid w:val="00115A38"/>
    <w:rsid w:val="0011687B"/>
    <w:rsid w:val="00124F82"/>
    <w:rsid w:val="00143D89"/>
    <w:rsid w:val="00152DA1"/>
    <w:rsid w:val="0016337A"/>
    <w:rsid w:val="00164269"/>
    <w:rsid w:val="001A1BDE"/>
    <w:rsid w:val="001C5114"/>
    <w:rsid w:val="001F0876"/>
    <w:rsid w:val="001F167C"/>
    <w:rsid w:val="001F5E91"/>
    <w:rsid w:val="002077B9"/>
    <w:rsid w:val="00252BED"/>
    <w:rsid w:val="00262D72"/>
    <w:rsid w:val="00294FBB"/>
    <w:rsid w:val="002B3205"/>
    <w:rsid w:val="002B7254"/>
    <w:rsid w:val="002C030F"/>
    <w:rsid w:val="00331D75"/>
    <w:rsid w:val="00344B1C"/>
    <w:rsid w:val="00353185"/>
    <w:rsid w:val="00355362"/>
    <w:rsid w:val="00363E44"/>
    <w:rsid w:val="003711E8"/>
    <w:rsid w:val="00393EA9"/>
    <w:rsid w:val="00395E86"/>
    <w:rsid w:val="003A2FD8"/>
    <w:rsid w:val="003B1594"/>
    <w:rsid w:val="003B40E6"/>
    <w:rsid w:val="003E36A9"/>
    <w:rsid w:val="003E74FB"/>
    <w:rsid w:val="003F6E14"/>
    <w:rsid w:val="00405336"/>
    <w:rsid w:val="004106EB"/>
    <w:rsid w:val="00411E5B"/>
    <w:rsid w:val="004571D5"/>
    <w:rsid w:val="00461D81"/>
    <w:rsid w:val="0046356B"/>
    <w:rsid w:val="004657F1"/>
    <w:rsid w:val="00477182"/>
    <w:rsid w:val="004779CB"/>
    <w:rsid w:val="00482739"/>
    <w:rsid w:val="00486AB9"/>
    <w:rsid w:val="004E3ECD"/>
    <w:rsid w:val="004E42D8"/>
    <w:rsid w:val="004E7BA2"/>
    <w:rsid w:val="004F7EDF"/>
    <w:rsid w:val="005001AC"/>
    <w:rsid w:val="005144DD"/>
    <w:rsid w:val="00515CD1"/>
    <w:rsid w:val="00527D71"/>
    <w:rsid w:val="005520A8"/>
    <w:rsid w:val="005574B3"/>
    <w:rsid w:val="005607DD"/>
    <w:rsid w:val="00583E71"/>
    <w:rsid w:val="00590C29"/>
    <w:rsid w:val="005A558C"/>
    <w:rsid w:val="005E0137"/>
    <w:rsid w:val="005E28F8"/>
    <w:rsid w:val="005E6513"/>
    <w:rsid w:val="006244CA"/>
    <w:rsid w:val="00624D05"/>
    <w:rsid w:val="00651114"/>
    <w:rsid w:val="00653A48"/>
    <w:rsid w:val="00654CC7"/>
    <w:rsid w:val="00664560"/>
    <w:rsid w:val="00670299"/>
    <w:rsid w:val="00691985"/>
    <w:rsid w:val="006A1B64"/>
    <w:rsid w:val="006F4D09"/>
    <w:rsid w:val="007108F5"/>
    <w:rsid w:val="00713E5B"/>
    <w:rsid w:val="007402FC"/>
    <w:rsid w:val="007411A1"/>
    <w:rsid w:val="0075682D"/>
    <w:rsid w:val="00756DB2"/>
    <w:rsid w:val="00793072"/>
    <w:rsid w:val="007A3651"/>
    <w:rsid w:val="00807D35"/>
    <w:rsid w:val="008218C4"/>
    <w:rsid w:val="00821F38"/>
    <w:rsid w:val="008519D1"/>
    <w:rsid w:val="00867A98"/>
    <w:rsid w:val="00870867"/>
    <w:rsid w:val="00885C9B"/>
    <w:rsid w:val="008B5FF0"/>
    <w:rsid w:val="008B6655"/>
    <w:rsid w:val="008C35A3"/>
    <w:rsid w:val="008D5D2A"/>
    <w:rsid w:val="008F21A0"/>
    <w:rsid w:val="00914B63"/>
    <w:rsid w:val="0092276A"/>
    <w:rsid w:val="009354F3"/>
    <w:rsid w:val="009447DC"/>
    <w:rsid w:val="00957917"/>
    <w:rsid w:val="00961BA5"/>
    <w:rsid w:val="009743A9"/>
    <w:rsid w:val="00974F2D"/>
    <w:rsid w:val="00976F68"/>
    <w:rsid w:val="00993113"/>
    <w:rsid w:val="009A5287"/>
    <w:rsid w:val="009B2AC5"/>
    <w:rsid w:val="009B7984"/>
    <w:rsid w:val="009D090D"/>
    <w:rsid w:val="009F4BED"/>
    <w:rsid w:val="009F68B2"/>
    <w:rsid w:val="009F720D"/>
    <w:rsid w:val="009F7D93"/>
    <w:rsid w:val="00A3403B"/>
    <w:rsid w:val="00A51A12"/>
    <w:rsid w:val="00A53242"/>
    <w:rsid w:val="00A6241E"/>
    <w:rsid w:val="00A627D4"/>
    <w:rsid w:val="00A74DA2"/>
    <w:rsid w:val="00A90D0C"/>
    <w:rsid w:val="00AB399E"/>
    <w:rsid w:val="00AC59D0"/>
    <w:rsid w:val="00AD16B1"/>
    <w:rsid w:val="00AD499C"/>
    <w:rsid w:val="00AE26EC"/>
    <w:rsid w:val="00B24FEA"/>
    <w:rsid w:val="00B36869"/>
    <w:rsid w:val="00B43B31"/>
    <w:rsid w:val="00B47CFA"/>
    <w:rsid w:val="00B57F00"/>
    <w:rsid w:val="00B676DF"/>
    <w:rsid w:val="00B77B2A"/>
    <w:rsid w:val="00B82C22"/>
    <w:rsid w:val="00B92A46"/>
    <w:rsid w:val="00B93DBA"/>
    <w:rsid w:val="00B9440A"/>
    <w:rsid w:val="00BB2D2A"/>
    <w:rsid w:val="00BC3E04"/>
    <w:rsid w:val="00BD58CF"/>
    <w:rsid w:val="00BF0C92"/>
    <w:rsid w:val="00C04CC1"/>
    <w:rsid w:val="00C12541"/>
    <w:rsid w:val="00C15CB9"/>
    <w:rsid w:val="00C4096C"/>
    <w:rsid w:val="00C50C6D"/>
    <w:rsid w:val="00C600D9"/>
    <w:rsid w:val="00C92B22"/>
    <w:rsid w:val="00CC1384"/>
    <w:rsid w:val="00CC743F"/>
    <w:rsid w:val="00CD3720"/>
    <w:rsid w:val="00CE1A34"/>
    <w:rsid w:val="00CF1848"/>
    <w:rsid w:val="00CF5C2F"/>
    <w:rsid w:val="00CF68B2"/>
    <w:rsid w:val="00D04BCF"/>
    <w:rsid w:val="00D143D9"/>
    <w:rsid w:val="00D434E0"/>
    <w:rsid w:val="00D5511B"/>
    <w:rsid w:val="00D766F1"/>
    <w:rsid w:val="00DE337A"/>
    <w:rsid w:val="00DE7D32"/>
    <w:rsid w:val="00DF0968"/>
    <w:rsid w:val="00E01F99"/>
    <w:rsid w:val="00E257C8"/>
    <w:rsid w:val="00E41512"/>
    <w:rsid w:val="00E43494"/>
    <w:rsid w:val="00E4519A"/>
    <w:rsid w:val="00E853D5"/>
    <w:rsid w:val="00E9773B"/>
    <w:rsid w:val="00EA5A98"/>
    <w:rsid w:val="00EA6F42"/>
    <w:rsid w:val="00EC13A3"/>
    <w:rsid w:val="00EC152F"/>
    <w:rsid w:val="00EC7C85"/>
    <w:rsid w:val="00F125EE"/>
    <w:rsid w:val="00F12E98"/>
    <w:rsid w:val="00F22029"/>
    <w:rsid w:val="00F515FB"/>
    <w:rsid w:val="00F630EA"/>
    <w:rsid w:val="00F7007E"/>
    <w:rsid w:val="00F73193"/>
    <w:rsid w:val="00F74F95"/>
    <w:rsid w:val="00F80705"/>
    <w:rsid w:val="00F822DF"/>
    <w:rsid w:val="00F86B03"/>
    <w:rsid w:val="00FA1481"/>
    <w:rsid w:val="00FB6D16"/>
    <w:rsid w:val="00FF04E3"/>
    <w:rsid w:val="721E0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8F89C8"/>
  <w14:defaultImageDpi w14:val="32767"/>
  <w15:docId w15:val="{D8E32FEC-5A9F-4B03-9D34-19F2AB8F0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HK"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qFormat="1"/>
    <w:lsdException w:name="heading 3" w:semiHidden="1" w:uiPriority="9"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qFormat="1"/>
    <w:lsdException w:name="index 3" w:semiHidden="1" w:qFormat="1"/>
    <w:lsdException w:name="index 4" w:semiHidden="1"/>
    <w:lsdException w:name="index 5" w:semiHidden="1" w:qFormat="1"/>
    <w:lsdException w:name="index 6" w:semiHidden="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uiPriority="99" w:qFormat="1"/>
    <w:lsdException w:name="footer" w:uiPriority="99"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uiPriority="10" w:qFormat="1"/>
    <w:lsdException w:name="Closing" w:semiHidden="1" w:qFormat="1"/>
    <w:lsdException w:name="Signature" w:semiHidden="1" w:qFormat="1"/>
    <w:lsdException w:name="Default Paragraph Font" w:semiHidden="1" w:uiPriority="1" w:unhideWhenUsed="1"/>
    <w:lsdException w:name="Body Text" w:semiHidden="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qFormat="1"/>
    <w:lsdException w:name="Body Text First Indent" w:semiHidden="1"/>
    <w:lsdException w:name="Body Text First Indent 2" w:semiHidden="1" w:qFormat="1"/>
    <w:lsdException w:name="Note Heading" w:semiHidden="1" w:qFormat="1"/>
    <w:lsdException w:name="Body Text 2" w:semiHidden="1"/>
    <w:lsdException w:name="Body Text 3" w:semiHidden="1"/>
    <w:lsdException w:name="Body Text Indent 2" w:semiHidden="1" w:qFormat="1"/>
    <w:lsdException w:name="Body Text Indent 3" w:semiHidden="1" w:qFormat="1"/>
    <w:lsdException w:name="Block Text" w:semiHidden="1" w:qFormat="1"/>
    <w:lsdException w:name="Hyperlink" w:uiPriority="99" w:qFormat="1"/>
    <w:lsdException w:name="FollowedHyperlink" w:semiHidden="1" w:uiPriority="99" w:unhideWhenUsed="1" w:qFormat="1"/>
    <w:lsdException w:name="Strong" w:uiPriority="22"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link w:val="Heading1Char"/>
    <w:uiPriority w:val="9"/>
    <w:qFormat/>
    <w:pPr>
      <w:keepNext/>
      <w:spacing w:before="240" w:after="60"/>
      <w:outlineLvl w:val="0"/>
    </w:pPr>
    <w:rPr>
      <w:b/>
      <w:bCs/>
      <w:kern w:val="32"/>
      <w:szCs w:val="24"/>
    </w:rPr>
  </w:style>
  <w:style w:type="paragraph" w:styleId="Heading2">
    <w:name w:val="heading 2"/>
    <w:basedOn w:val="Normal"/>
    <w:next w:val="Normal"/>
    <w:link w:val="Heading2Char"/>
    <w:uiPriority w:val="9"/>
    <w:semiHidden/>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qFormat/>
    <w:pPr>
      <w:keepNext/>
      <w:spacing w:line="480" w:lineRule="auto"/>
      <w:outlineLvl w:val="2"/>
    </w:pPr>
    <w:rPr>
      <w:rFonts w:ascii="Times" w:eastAsia="Times" w:hAnsi="Times"/>
      <w:b/>
    </w:rPr>
  </w:style>
  <w:style w:type="paragraph" w:styleId="Heading4">
    <w:name w:val="heading 4"/>
    <w:basedOn w:val="Normal"/>
    <w:next w:val="Normal"/>
    <w:semiHidden/>
    <w:qFormat/>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pPr>
      <w:spacing w:before="240" w:after="60"/>
      <w:outlineLvl w:val="6"/>
    </w:pPr>
    <w:rPr>
      <w:rFonts w:ascii="Calibri" w:hAnsi="Calibri"/>
      <w:szCs w:val="24"/>
    </w:rPr>
  </w:style>
  <w:style w:type="paragraph" w:styleId="Heading8">
    <w:name w:val="heading 8"/>
    <w:basedOn w:val="Normal"/>
    <w:next w:val="Normal"/>
    <w:link w:val="Heading8Char"/>
    <w:semiHidden/>
    <w:qFormat/>
    <w:pPr>
      <w:spacing w:before="240" w:after="60"/>
      <w:outlineLvl w:val="7"/>
    </w:pPr>
    <w:rPr>
      <w:rFonts w:ascii="Calibri" w:hAnsi="Calibri"/>
      <w:i/>
      <w:iCs/>
      <w:szCs w:val="24"/>
    </w:rPr>
  </w:style>
  <w:style w:type="paragraph" w:styleId="Heading9">
    <w:name w:val="heading 9"/>
    <w:basedOn w:val="Normal"/>
    <w:next w:val="Normal"/>
    <w:link w:val="Heading9Char"/>
    <w:semiHidden/>
    <w:qFormat/>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Pr>
      <w:rFonts w:ascii="Tahoma" w:hAnsi="Tahoma" w:cs="Tahoma"/>
      <w:sz w:val="16"/>
      <w:szCs w:val="16"/>
    </w:rPr>
  </w:style>
  <w:style w:type="paragraph" w:styleId="BlockText">
    <w:name w:val="Block Text"/>
    <w:basedOn w:val="Normal"/>
    <w:semiHidden/>
    <w:qFormat/>
    <w:pPr>
      <w:spacing w:after="120"/>
      <w:ind w:left="1440" w:right="1440"/>
    </w:pPr>
  </w:style>
  <w:style w:type="paragraph" w:styleId="BodyText">
    <w:name w:val="Body Text"/>
    <w:basedOn w:val="Normal"/>
    <w:link w:val="BodyTextChar"/>
    <w:semiHidden/>
    <w:pPr>
      <w:spacing w:after="120"/>
    </w:pPr>
  </w:style>
  <w:style w:type="paragraph" w:styleId="BodyText2">
    <w:name w:val="Body Text 2"/>
    <w:basedOn w:val="Normal"/>
    <w:link w:val="BodyText2Char"/>
    <w:semiHidden/>
    <w:pPr>
      <w:spacing w:after="120" w:line="480" w:lineRule="auto"/>
    </w:pPr>
  </w:style>
  <w:style w:type="paragraph" w:styleId="BodyText3">
    <w:name w:val="Body Text 3"/>
    <w:basedOn w:val="Normal"/>
    <w:link w:val="BodyText3Char"/>
    <w:semiHidden/>
    <w:pPr>
      <w:spacing w:after="120"/>
    </w:pPr>
    <w:rPr>
      <w:sz w:val="16"/>
      <w:szCs w:val="16"/>
    </w:rPr>
  </w:style>
  <w:style w:type="paragraph" w:styleId="BodyTextFirstIndent">
    <w:name w:val="Body Text First Indent"/>
    <w:basedOn w:val="BodyText"/>
    <w:link w:val="BodyTextFirstIndentChar"/>
    <w:semiHidden/>
    <w:pPr>
      <w:ind w:firstLine="210"/>
    </w:pPr>
  </w:style>
  <w:style w:type="paragraph" w:styleId="BodyTextIndent">
    <w:name w:val="Body Text Indent"/>
    <w:basedOn w:val="Normal"/>
    <w:link w:val="BodyTextIndentChar"/>
    <w:semiHidden/>
    <w:qFormat/>
    <w:pPr>
      <w:spacing w:after="120"/>
      <w:ind w:left="360"/>
    </w:pPr>
  </w:style>
  <w:style w:type="paragraph" w:styleId="BodyTextFirstIndent2">
    <w:name w:val="Body Text First Indent 2"/>
    <w:basedOn w:val="BodyTextIndent"/>
    <w:link w:val="BodyTextFirstIndent2Char"/>
    <w:semiHidden/>
    <w:qFormat/>
    <w:pPr>
      <w:ind w:firstLine="210"/>
    </w:pPr>
  </w:style>
  <w:style w:type="paragraph" w:styleId="BodyTextIndent2">
    <w:name w:val="Body Text Indent 2"/>
    <w:basedOn w:val="Normal"/>
    <w:link w:val="BodyTextIndent2Char"/>
    <w:semiHidden/>
    <w:qFormat/>
    <w:pPr>
      <w:spacing w:after="120" w:line="480" w:lineRule="auto"/>
      <w:ind w:left="360"/>
    </w:pPr>
  </w:style>
  <w:style w:type="paragraph" w:styleId="BodyTextIndent3">
    <w:name w:val="Body Text Indent 3"/>
    <w:basedOn w:val="Normal"/>
    <w:link w:val="BodyTextIndent3Char"/>
    <w:semiHidden/>
    <w:qFormat/>
    <w:pPr>
      <w:spacing w:after="120"/>
      <w:ind w:left="360"/>
    </w:pPr>
    <w:rPr>
      <w:sz w:val="16"/>
      <w:szCs w:val="16"/>
    </w:rPr>
  </w:style>
  <w:style w:type="paragraph" w:styleId="Caption">
    <w:name w:val="caption"/>
    <w:basedOn w:val="Normal"/>
    <w:next w:val="Normal"/>
    <w:semiHidden/>
    <w:qFormat/>
    <w:rPr>
      <w:b/>
      <w:bCs/>
      <w:sz w:val="20"/>
    </w:rPr>
  </w:style>
  <w:style w:type="paragraph" w:styleId="Closing">
    <w:name w:val="Closing"/>
    <w:basedOn w:val="Normal"/>
    <w:link w:val="ClosingChar"/>
    <w:semiHidden/>
    <w:qFormat/>
    <w:pPr>
      <w:ind w:left="4320"/>
    </w:pPr>
  </w:style>
  <w:style w:type="character" w:styleId="CommentReference">
    <w:name w:val="annotation reference"/>
    <w:semiHidden/>
    <w:unhideWhenUsed/>
    <w:qFormat/>
    <w:rPr>
      <w:sz w:val="16"/>
      <w:szCs w:val="16"/>
    </w:rPr>
  </w:style>
  <w:style w:type="paragraph" w:styleId="CommentText">
    <w:name w:val="annotation text"/>
    <w:basedOn w:val="Normal"/>
    <w:link w:val="CommentTextChar"/>
    <w:semiHidden/>
    <w:qFormat/>
    <w:rPr>
      <w:sz w:val="20"/>
    </w:rPr>
  </w:style>
  <w:style w:type="paragraph" w:styleId="CommentSubject">
    <w:name w:val="annotation subject"/>
    <w:basedOn w:val="CommentText"/>
    <w:next w:val="CommentText"/>
    <w:link w:val="CommentSubjectChar"/>
    <w:semiHidden/>
    <w:qFormat/>
    <w:rPr>
      <w:b/>
      <w:bCs/>
    </w:rPr>
  </w:style>
  <w:style w:type="paragraph" w:styleId="Date">
    <w:name w:val="Date"/>
    <w:basedOn w:val="Normal"/>
    <w:next w:val="Normal"/>
    <w:link w:val="DateChar"/>
    <w:semiHidden/>
    <w:qFormat/>
  </w:style>
  <w:style w:type="paragraph" w:styleId="DocumentMap">
    <w:name w:val="Document Map"/>
    <w:basedOn w:val="Normal"/>
    <w:link w:val="DocumentMapChar"/>
    <w:semiHidden/>
    <w:qFormat/>
    <w:rPr>
      <w:rFonts w:ascii="Tahoma" w:hAnsi="Tahoma" w:cs="Tahoma"/>
      <w:sz w:val="16"/>
      <w:szCs w:val="16"/>
    </w:rPr>
  </w:style>
  <w:style w:type="paragraph" w:styleId="E-mailSignature">
    <w:name w:val="E-mail Signature"/>
    <w:basedOn w:val="Normal"/>
    <w:link w:val="E-mailSignatureChar"/>
    <w:semiHidden/>
    <w:qFormat/>
  </w:style>
  <w:style w:type="paragraph" w:styleId="EndnoteText">
    <w:name w:val="endnote text"/>
    <w:basedOn w:val="Normal"/>
    <w:link w:val="EndnoteTextChar"/>
    <w:semiHidden/>
    <w:qFormat/>
    <w:rPr>
      <w:sz w:val="20"/>
    </w:rPr>
  </w:style>
  <w:style w:type="paragraph" w:styleId="EnvelopeAddress">
    <w:name w:val="envelope address"/>
    <w:basedOn w:val="Normal"/>
    <w:semiHidden/>
    <w:qFormat/>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qFormat/>
    <w:rPr>
      <w:rFonts w:ascii="Cambria" w:hAnsi="Cambria"/>
      <w:sz w:val="20"/>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qFormat/>
    <w:pPr>
      <w:tabs>
        <w:tab w:val="center" w:pos="4680"/>
        <w:tab w:val="right" w:pos="9360"/>
      </w:tabs>
    </w:pPr>
  </w:style>
  <w:style w:type="paragraph" w:styleId="FootnoteText">
    <w:name w:val="footnote text"/>
    <w:basedOn w:val="Normal"/>
    <w:link w:val="FootnoteTextChar"/>
    <w:semiHidden/>
    <w:qFormat/>
    <w:rPr>
      <w:sz w:val="20"/>
    </w:rPr>
  </w:style>
  <w:style w:type="paragraph" w:styleId="Header">
    <w:name w:val="header"/>
    <w:basedOn w:val="Normal"/>
    <w:link w:val="HeaderChar"/>
    <w:uiPriority w:val="99"/>
    <w:qFormat/>
    <w:pPr>
      <w:tabs>
        <w:tab w:val="center" w:pos="4680"/>
        <w:tab w:val="right" w:pos="9360"/>
      </w:tabs>
    </w:pPr>
  </w:style>
  <w:style w:type="paragraph" w:styleId="HTMLAddress">
    <w:name w:val="HTML Address"/>
    <w:basedOn w:val="Normal"/>
    <w:link w:val="HTMLAddressChar"/>
    <w:semiHidden/>
    <w:qFormat/>
    <w:rPr>
      <w:i/>
      <w:iCs/>
    </w:rPr>
  </w:style>
  <w:style w:type="paragraph" w:styleId="HTMLPreformatted">
    <w:name w:val="HTML Preformatted"/>
    <w:basedOn w:val="Normal"/>
    <w:link w:val="HTMLPreformattedChar"/>
    <w:semiHidden/>
    <w:qFormat/>
    <w:rPr>
      <w:rFonts w:ascii="Courier New" w:hAnsi="Courier New" w:cs="Courier New"/>
      <w:sz w:val="20"/>
    </w:rPr>
  </w:style>
  <w:style w:type="character" w:styleId="Hyperlink">
    <w:name w:val="Hyperlink"/>
    <w:uiPriority w:val="99"/>
    <w:qForma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qFormat/>
    <w:pPr>
      <w:ind w:left="480" w:hanging="240"/>
    </w:pPr>
  </w:style>
  <w:style w:type="paragraph" w:styleId="Index3">
    <w:name w:val="index 3"/>
    <w:basedOn w:val="Normal"/>
    <w:next w:val="Normal"/>
    <w:autoRedefine/>
    <w:semiHidden/>
    <w:qFormat/>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qFormat/>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qFormat/>
    <w:pPr>
      <w:ind w:left="1680" w:hanging="240"/>
    </w:pPr>
  </w:style>
  <w:style w:type="paragraph" w:styleId="Index8">
    <w:name w:val="index 8"/>
    <w:basedOn w:val="Normal"/>
    <w:next w:val="Normal"/>
    <w:autoRedefine/>
    <w:semiHidden/>
    <w:qFormat/>
    <w:pPr>
      <w:ind w:left="1920" w:hanging="240"/>
    </w:pPr>
  </w:style>
  <w:style w:type="paragraph" w:styleId="Index9">
    <w:name w:val="index 9"/>
    <w:basedOn w:val="Normal"/>
    <w:next w:val="Normal"/>
    <w:autoRedefine/>
    <w:semiHidden/>
    <w:qFormat/>
    <w:pPr>
      <w:ind w:left="2160" w:hanging="240"/>
    </w:pPr>
  </w:style>
  <w:style w:type="paragraph" w:styleId="IndexHeading">
    <w:name w:val="index heading"/>
    <w:basedOn w:val="Normal"/>
    <w:next w:val="Index1"/>
    <w:semiHidden/>
    <w:qFormat/>
    <w:rPr>
      <w:rFonts w:ascii="Cambria" w:hAnsi="Cambria"/>
      <w:b/>
      <w:bCs/>
    </w:rPr>
  </w:style>
  <w:style w:type="paragraph" w:styleId="List">
    <w:name w:val="List"/>
    <w:basedOn w:val="Normal"/>
    <w:semiHidden/>
    <w:qFormat/>
    <w:pPr>
      <w:ind w:left="360" w:hanging="360"/>
      <w:contextualSpacing/>
    </w:pPr>
  </w:style>
  <w:style w:type="paragraph" w:styleId="List2">
    <w:name w:val="List 2"/>
    <w:basedOn w:val="Normal"/>
    <w:semiHidden/>
    <w:qFormat/>
    <w:pPr>
      <w:ind w:left="720" w:hanging="360"/>
      <w:contextualSpacing/>
    </w:pPr>
  </w:style>
  <w:style w:type="paragraph" w:styleId="List3">
    <w:name w:val="List 3"/>
    <w:basedOn w:val="Normal"/>
    <w:semiHidden/>
    <w:qFormat/>
    <w:pPr>
      <w:ind w:left="1080" w:hanging="360"/>
      <w:contextualSpacing/>
    </w:pPr>
  </w:style>
  <w:style w:type="paragraph" w:styleId="List4">
    <w:name w:val="List 4"/>
    <w:basedOn w:val="Normal"/>
    <w:semiHidden/>
    <w:qFormat/>
    <w:pPr>
      <w:ind w:left="1440" w:hanging="360"/>
      <w:contextualSpacing/>
    </w:pPr>
  </w:style>
  <w:style w:type="paragraph" w:styleId="List5">
    <w:name w:val="List 5"/>
    <w:basedOn w:val="Normal"/>
    <w:semiHidden/>
    <w:qFormat/>
    <w:pPr>
      <w:ind w:left="1800" w:hanging="360"/>
      <w:contextualSpacing/>
    </w:pPr>
  </w:style>
  <w:style w:type="paragraph" w:styleId="ListBullet">
    <w:name w:val="List Bullet"/>
    <w:basedOn w:val="Normal"/>
    <w:semiHidden/>
    <w:qFormat/>
    <w:pPr>
      <w:numPr>
        <w:numId w:val="1"/>
      </w:numPr>
      <w:contextualSpacing/>
    </w:pPr>
  </w:style>
  <w:style w:type="paragraph" w:styleId="ListBullet2">
    <w:name w:val="List Bullet 2"/>
    <w:basedOn w:val="Normal"/>
    <w:semiHidden/>
    <w:qFormat/>
    <w:pPr>
      <w:numPr>
        <w:numId w:val="2"/>
      </w:numPr>
      <w:contextualSpacing/>
    </w:pPr>
  </w:style>
  <w:style w:type="paragraph" w:styleId="ListBullet3">
    <w:name w:val="List Bullet 3"/>
    <w:basedOn w:val="Normal"/>
    <w:semiHidden/>
    <w:qFormat/>
    <w:pPr>
      <w:numPr>
        <w:numId w:val="3"/>
      </w:numPr>
      <w:contextualSpacing/>
    </w:pPr>
  </w:style>
  <w:style w:type="paragraph" w:styleId="ListBullet4">
    <w:name w:val="List Bullet 4"/>
    <w:basedOn w:val="Normal"/>
    <w:semiHidden/>
    <w:qFormat/>
    <w:pPr>
      <w:numPr>
        <w:numId w:val="4"/>
      </w:numPr>
      <w:contextualSpacing/>
    </w:pPr>
  </w:style>
  <w:style w:type="paragraph" w:styleId="ListBullet5">
    <w:name w:val="List Bullet 5"/>
    <w:basedOn w:val="Normal"/>
    <w:semiHidden/>
    <w:qFormat/>
    <w:pPr>
      <w:numPr>
        <w:numId w:val="5"/>
      </w:numPr>
      <w:contextualSpacing/>
    </w:pPr>
  </w:style>
  <w:style w:type="paragraph" w:styleId="ListContinue">
    <w:name w:val="List Continue"/>
    <w:basedOn w:val="Normal"/>
    <w:semiHidden/>
    <w:qFormat/>
    <w:pPr>
      <w:spacing w:after="120"/>
      <w:ind w:left="360"/>
      <w:contextualSpacing/>
    </w:pPr>
  </w:style>
  <w:style w:type="paragraph" w:styleId="ListContinue2">
    <w:name w:val="List Continue 2"/>
    <w:basedOn w:val="Normal"/>
    <w:semiHidden/>
    <w:qFormat/>
    <w:pPr>
      <w:spacing w:after="120"/>
      <w:ind w:left="720"/>
      <w:contextualSpacing/>
    </w:pPr>
  </w:style>
  <w:style w:type="paragraph" w:styleId="ListContinue3">
    <w:name w:val="List Continue 3"/>
    <w:basedOn w:val="Normal"/>
    <w:semiHidden/>
    <w:qFormat/>
    <w:pPr>
      <w:spacing w:after="120"/>
      <w:ind w:left="1080"/>
      <w:contextualSpacing/>
    </w:pPr>
  </w:style>
  <w:style w:type="paragraph" w:styleId="ListContinue4">
    <w:name w:val="List Continue 4"/>
    <w:basedOn w:val="Normal"/>
    <w:semiHidden/>
    <w:qFormat/>
    <w:pPr>
      <w:spacing w:after="120"/>
      <w:ind w:left="1440"/>
      <w:contextualSpacing/>
    </w:pPr>
  </w:style>
  <w:style w:type="paragraph" w:styleId="ListContinue5">
    <w:name w:val="List Continue 5"/>
    <w:basedOn w:val="Normal"/>
    <w:semiHidden/>
    <w:qFormat/>
    <w:pPr>
      <w:spacing w:after="120"/>
      <w:ind w:left="1800"/>
      <w:contextualSpacing/>
    </w:pPr>
  </w:style>
  <w:style w:type="paragraph" w:styleId="ListNumber">
    <w:name w:val="List Number"/>
    <w:basedOn w:val="Normal"/>
    <w:semiHidden/>
    <w:qFormat/>
    <w:pPr>
      <w:numPr>
        <w:numId w:val="6"/>
      </w:numPr>
      <w:contextualSpacing/>
    </w:pPr>
  </w:style>
  <w:style w:type="paragraph" w:styleId="ListNumber2">
    <w:name w:val="List Number 2"/>
    <w:basedOn w:val="Normal"/>
    <w:semiHidden/>
    <w:qFormat/>
    <w:pPr>
      <w:numPr>
        <w:numId w:val="7"/>
      </w:numPr>
      <w:contextualSpacing/>
    </w:pPr>
  </w:style>
  <w:style w:type="paragraph" w:styleId="ListNumber3">
    <w:name w:val="List Number 3"/>
    <w:basedOn w:val="Normal"/>
    <w:semiHidden/>
    <w:qFormat/>
    <w:pPr>
      <w:numPr>
        <w:numId w:val="8"/>
      </w:numPr>
      <w:contextualSpacing/>
    </w:pPr>
  </w:style>
  <w:style w:type="paragraph" w:styleId="ListNumber4">
    <w:name w:val="List Number 4"/>
    <w:basedOn w:val="Normal"/>
    <w:semiHidden/>
    <w:qFormat/>
    <w:pPr>
      <w:numPr>
        <w:numId w:val="9"/>
      </w:numPr>
      <w:contextualSpacing/>
    </w:pPr>
  </w:style>
  <w:style w:type="paragraph" w:styleId="ListNumber5">
    <w:name w:val="List Number 5"/>
    <w:basedOn w:val="Normal"/>
    <w:semiHidden/>
    <w:qFormat/>
    <w:pPr>
      <w:numPr>
        <w:numId w:val="10"/>
      </w:numPr>
      <w:contextualSpacing/>
    </w:pPr>
  </w:style>
  <w:style w:type="paragraph" w:styleId="MacroText">
    <w:name w:val="macro"/>
    <w:link w:val="MacroTextChar"/>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NormalWeb">
    <w:name w:val="Normal (Web)"/>
    <w:basedOn w:val="Normal"/>
    <w:semiHidden/>
    <w:qFormat/>
    <w:rPr>
      <w:szCs w:val="24"/>
    </w:rPr>
  </w:style>
  <w:style w:type="paragraph" w:styleId="NormalIndent">
    <w:name w:val="Normal Indent"/>
    <w:basedOn w:val="Normal"/>
    <w:semiHidden/>
    <w:qFormat/>
    <w:pPr>
      <w:ind w:left="720"/>
    </w:pPr>
  </w:style>
  <w:style w:type="paragraph" w:styleId="NoteHeading">
    <w:name w:val="Note Heading"/>
    <w:basedOn w:val="Normal"/>
    <w:next w:val="Normal"/>
    <w:link w:val="NoteHeadingChar"/>
    <w:semiHidden/>
    <w:qFormat/>
  </w:style>
  <w:style w:type="character" w:styleId="PageNumber">
    <w:name w:val="page number"/>
    <w:basedOn w:val="DefaultParagraphFont"/>
    <w:semiHidden/>
    <w:qFormat/>
  </w:style>
  <w:style w:type="paragraph" w:styleId="PlainText">
    <w:name w:val="Plain Text"/>
    <w:basedOn w:val="Normal"/>
    <w:link w:val="PlainTextChar"/>
    <w:semiHidden/>
    <w:qFormat/>
    <w:rPr>
      <w:rFonts w:ascii="Courier New" w:hAnsi="Courier New" w:cs="Courier New"/>
      <w:sz w:val="20"/>
    </w:rPr>
  </w:style>
  <w:style w:type="paragraph" w:styleId="Salutation">
    <w:name w:val="Salutation"/>
    <w:basedOn w:val="Normal"/>
    <w:next w:val="Normal"/>
    <w:link w:val="SalutationChar"/>
    <w:semiHidden/>
    <w:qFormat/>
  </w:style>
  <w:style w:type="paragraph" w:styleId="Signature">
    <w:name w:val="Signature"/>
    <w:basedOn w:val="Normal"/>
    <w:link w:val="SignatureChar"/>
    <w:semiHidden/>
    <w:qFormat/>
    <w:pPr>
      <w:ind w:left="4320"/>
    </w:pPr>
  </w:style>
  <w:style w:type="character" w:styleId="Strong">
    <w:name w:val="Strong"/>
    <w:basedOn w:val="DefaultParagraphFont"/>
    <w:uiPriority w:val="22"/>
    <w:qFormat/>
    <w:rPr>
      <w:b/>
      <w:bCs/>
    </w:rPr>
  </w:style>
  <w:style w:type="paragraph" w:styleId="Subtitle">
    <w:name w:val="Subtitle"/>
    <w:basedOn w:val="Normal"/>
    <w:next w:val="Normal"/>
    <w:link w:val="SubtitleChar"/>
    <w:semiHidden/>
    <w:qFormat/>
    <w:pPr>
      <w:spacing w:after="60"/>
      <w:jc w:val="center"/>
      <w:outlineLvl w:val="1"/>
    </w:pPr>
    <w:rPr>
      <w:rFonts w:ascii="Cambria" w:hAnsi="Cambria"/>
      <w:szCs w:val="24"/>
    </w:rPr>
  </w:style>
  <w:style w:type="table" w:styleId="TableGrid">
    <w:name w:val="Table Grid"/>
    <w:basedOn w:val="TableNormal"/>
    <w:uiPriority w:val="59"/>
    <w:qFormat/>
    <w:rPr>
      <w:rFonts w:asciiTheme="minorHAnsi" w:hAnsiTheme="minorHAnsi" w:cstheme="minorBidi"/>
      <w:sz w:val="22"/>
      <w:szCs w:val="22"/>
      <w:lang w:eastAsia="zh-TW"/>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ableofAuthorities">
    <w:name w:val="table of authorities"/>
    <w:basedOn w:val="Normal"/>
    <w:next w:val="Normal"/>
    <w:semiHidden/>
    <w:qFormat/>
    <w:pPr>
      <w:ind w:left="240" w:hanging="240"/>
    </w:pPr>
  </w:style>
  <w:style w:type="paragraph" w:styleId="TableofFigures">
    <w:name w:val="table of figures"/>
    <w:basedOn w:val="Normal"/>
    <w:next w:val="Normal"/>
    <w:semiHidden/>
    <w:qFormat/>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paragraph" w:styleId="TOAHeading">
    <w:name w:val="toa heading"/>
    <w:basedOn w:val="Normal"/>
    <w:next w:val="Normal"/>
    <w:semiHidden/>
    <w:qFormat/>
    <w:pPr>
      <w:spacing w:before="120"/>
    </w:pPr>
    <w:rPr>
      <w:rFonts w:ascii="Cambria" w:hAnsi="Cambria"/>
      <w:b/>
      <w:bCs/>
      <w:szCs w:val="24"/>
    </w:rPr>
  </w:style>
  <w:style w:type="paragraph" w:styleId="TOC1">
    <w:name w:val="toc 1"/>
    <w:basedOn w:val="Normal"/>
    <w:next w:val="Normal"/>
    <w:autoRedefine/>
    <w:semiHidden/>
    <w:qFormat/>
  </w:style>
  <w:style w:type="paragraph" w:styleId="TOC2">
    <w:name w:val="toc 2"/>
    <w:basedOn w:val="Normal"/>
    <w:next w:val="Normal"/>
    <w:autoRedefine/>
    <w:semiHidden/>
    <w:qFormat/>
    <w:pPr>
      <w:ind w:left="240"/>
    </w:pPr>
  </w:style>
  <w:style w:type="paragraph" w:styleId="TOC3">
    <w:name w:val="toc 3"/>
    <w:basedOn w:val="Normal"/>
    <w:next w:val="Normal"/>
    <w:autoRedefine/>
    <w:semiHidden/>
    <w:qFormat/>
    <w:pPr>
      <w:ind w:left="480"/>
    </w:pPr>
  </w:style>
  <w:style w:type="paragraph" w:styleId="TOC4">
    <w:name w:val="toc 4"/>
    <w:basedOn w:val="Normal"/>
    <w:next w:val="Normal"/>
    <w:autoRedefine/>
    <w:semiHidden/>
    <w:qFormat/>
    <w:pPr>
      <w:ind w:left="720"/>
    </w:pPr>
  </w:style>
  <w:style w:type="paragraph" w:styleId="TOC5">
    <w:name w:val="toc 5"/>
    <w:basedOn w:val="Normal"/>
    <w:next w:val="Normal"/>
    <w:autoRedefine/>
    <w:semiHidden/>
    <w:qFormat/>
    <w:pPr>
      <w:ind w:left="960"/>
    </w:pPr>
  </w:style>
  <w:style w:type="paragraph" w:styleId="TOC6">
    <w:name w:val="toc 6"/>
    <w:basedOn w:val="Normal"/>
    <w:next w:val="Normal"/>
    <w:autoRedefine/>
    <w:semiHidden/>
    <w:qFormat/>
    <w:pPr>
      <w:ind w:left="1200"/>
    </w:pPr>
  </w:style>
  <w:style w:type="paragraph" w:styleId="TOC7">
    <w:name w:val="toc 7"/>
    <w:basedOn w:val="Normal"/>
    <w:next w:val="Normal"/>
    <w:autoRedefine/>
    <w:semiHidden/>
    <w:qFormat/>
    <w:pPr>
      <w:ind w:left="1440"/>
    </w:pPr>
  </w:style>
  <w:style w:type="paragraph" w:styleId="TOC8">
    <w:name w:val="toc 8"/>
    <w:basedOn w:val="Normal"/>
    <w:next w:val="Normal"/>
    <w:autoRedefine/>
    <w:semiHidden/>
    <w:qFormat/>
    <w:pPr>
      <w:ind w:left="1680"/>
    </w:pPr>
  </w:style>
  <w:style w:type="paragraph" w:styleId="TOC9">
    <w:name w:val="toc 9"/>
    <w:basedOn w:val="Normal"/>
    <w:next w:val="Normal"/>
    <w:autoRedefine/>
    <w:semiHidden/>
    <w:qFormat/>
    <w:pPr>
      <w:ind w:left="1920"/>
    </w:pPr>
  </w:style>
  <w:style w:type="character" w:customStyle="1" w:styleId="Heading1Char">
    <w:name w:val="Heading 1 Char"/>
    <w:link w:val="Heading1"/>
    <w:uiPriority w:val="9"/>
    <w:rPr>
      <w:b/>
      <w:bCs/>
      <w:kern w:val="32"/>
      <w:sz w:val="24"/>
      <w:szCs w:val="24"/>
    </w:rPr>
  </w:style>
  <w:style w:type="character" w:customStyle="1" w:styleId="Heading2Char">
    <w:name w:val="Heading 2 Char"/>
    <w:link w:val="Heading2"/>
    <w:uiPriority w:val="9"/>
    <w:semiHidden/>
    <w:rPr>
      <w:rFonts w:ascii="Cambria" w:hAnsi="Cambria"/>
      <w:b/>
      <w:bCs/>
      <w:i/>
      <w:iCs/>
      <w:sz w:val="28"/>
      <w:szCs w:val="28"/>
    </w:rPr>
  </w:style>
  <w:style w:type="character" w:customStyle="1" w:styleId="Heading5Char">
    <w:name w:val="Heading 5 Char"/>
    <w:link w:val="Heading5"/>
    <w:semiHidden/>
    <w:rPr>
      <w:rFonts w:ascii="Calibri" w:hAnsi="Calibri"/>
      <w:b/>
      <w:bCs/>
      <w:i/>
      <w:iCs/>
      <w:sz w:val="26"/>
      <w:szCs w:val="26"/>
    </w:rPr>
  </w:style>
  <w:style w:type="character" w:customStyle="1" w:styleId="Heading6Char">
    <w:name w:val="Heading 6 Char"/>
    <w:link w:val="Heading6"/>
    <w:semiHidden/>
    <w:qFormat/>
    <w:rPr>
      <w:rFonts w:ascii="Calibri" w:hAnsi="Calibri"/>
      <w:b/>
      <w:bCs/>
      <w:sz w:val="22"/>
      <w:szCs w:val="22"/>
    </w:rPr>
  </w:style>
  <w:style w:type="character" w:customStyle="1" w:styleId="Heading7Char">
    <w:name w:val="Heading 7 Char"/>
    <w:link w:val="Heading7"/>
    <w:semiHidden/>
    <w:qFormat/>
    <w:rPr>
      <w:rFonts w:ascii="Calibri" w:hAnsi="Calibri"/>
      <w:sz w:val="24"/>
      <w:szCs w:val="24"/>
    </w:rPr>
  </w:style>
  <w:style w:type="character" w:customStyle="1" w:styleId="Heading8Char">
    <w:name w:val="Heading 8 Char"/>
    <w:link w:val="Heading8"/>
    <w:semiHidden/>
    <w:qFormat/>
    <w:rPr>
      <w:rFonts w:ascii="Calibri" w:hAnsi="Calibri"/>
      <w:i/>
      <w:iCs/>
      <w:sz w:val="24"/>
      <w:szCs w:val="24"/>
    </w:rPr>
  </w:style>
  <w:style w:type="character" w:customStyle="1" w:styleId="Heading9Char">
    <w:name w:val="Heading 9 Char"/>
    <w:link w:val="Heading9"/>
    <w:semiHidden/>
    <w:qFormat/>
    <w:rPr>
      <w:rFonts w:ascii="Cambria" w:hAnsi="Cambria"/>
      <w:sz w:val="22"/>
      <w:szCs w:val="22"/>
    </w:rPr>
  </w:style>
  <w:style w:type="paragraph" w:customStyle="1" w:styleId="SMHeading">
    <w:name w:val="SM Heading"/>
    <w:basedOn w:val="Heading1"/>
    <w:qFormat/>
  </w:style>
  <w:style w:type="paragraph" w:customStyle="1" w:styleId="SMSubheading">
    <w:name w:val="SM Subheading"/>
    <w:basedOn w:val="Normal"/>
    <w:qFormat/>
    <w:rPr>
      <w:u w:val="words"/>
    </w:rPr>
  </w:style>
  <w:style w:type="paragraph" w:customStyle="1" w:styleId="SMText">
    <w:name w:val="SM Text"/>
    <w:basedOn w:val="Normal"/>
    <w:qFormat/>
    <w:pPr>
      <w:ind w:firstLine="480"/>
    </w:pPr>
  </w:style>
  <w:style w:type="paragraph" w:customStyle="1" w:styleId="SMcaption">
    <w:name w:val="SM caption"/>
    <w:basedOn w:val="SMText"/>
    <w:qFormat/>
    <w:pPr>
      <w:ind w:firstLine="0"/>
    </w:pPr>
  </w:style>
  <w:style w:type="character" w:customStyle="1" w:styleId="BalloonTextChar">
    <w:name w:val="Balloon Text Char"/>
    <w:link w:val="BalloonText"/>
    <w:semiHidden/>
    <w:rPr>
      <w:rFonts w:ascii="Tahoma" w:hAnsi="Tahoma" w:cs="Tahoma"/>
      <w:sz w:val="16"/>
      <w:szCs w:val="16"/>
    </w:rPr>
  </w:style>
  <w:style w:type="paragraph" w:customStyle="1" w:styleId="Bibliography1">
    <w:name w:val="Bibliography1"/>
    <w:basedOn w:val="Normal"/>
    <w:next w:val="Normal"/>
    <w:uiPriority w:val="37"/>
    <w:semiHidden/>
  </w:style>
  <w:style w:type="character" w:customStyle="1" w:styleId="BodyTextChar">
    <w:name w:val="Body Text Char"/>
    <w:link w:val="BodyText"/>
    <w:semiHidden/>
    <w:rPr>
      <w:sz w:val="24"/>
    </w:rPr>
  </w:style>
  <w:style w:type="character" w:customStyle="1" w:styleId="BodyText2Char">
    <w:name w:val="Body Text 2 Char"/>
    <w:link w:val="BodyText2"/>
    <w:semiHidden/>
    <w:rPr>
      <w:sz w:val="24"/>
    </w:rPr>
  </w:style>
  <w:style w:type="character" w:customStyle="1" w:styleId="BodyText3Char">
    <w:name w:val="Body Text 3 Char"/>
    <w:link w:val="BodyText3"/>
    <w:semiHidden/>
    <w:rPr>
      <w:sz w:val="16"/>
      <w:szCs w:val="16"/>
    </w:rPr>
  </w:style>
  <w:style w:type="character" w:customStyle="1" w:styleId="BodyTextFirstIndentChar">
    <w:name w:val="Body Text First Indent Char"/>
    <w:link w:val="BodyTextFirstIndent"/>
    <w:semiHidden/>
    <w:qFormat/>
    <w:rPr>
      <w:sz w:val="24"/>
    </w:rPr>
  </w:style>
  <w:style w:type="character" w:customStyle="1" w:styleId="BodyTextIndentChar">
    <w:name w:val="Body Text Indent Char"/>
    <w:link w:val="BodyTextIndent"/>
    <w:semiHidden/>
    <w:qFormat/>
    <w:rPr>
      <w:sz w:val="24"/>
    </w:rPr>
  </w:style>
  <w:style w:type="character" w:customStyle="1" w:styleId="BodyTextFirstIndent2Char">
    <w:name w:val="Body Text First Indent 2 Char"/>
    <w:link w:val="BodyTextFirstIndent2"/>
    <w:semiHidden/>
    <w:qFormat/>
    <w:rPr>
      <w:sz w:val="24"/>
    </w:rPr>
  </w:style>
  <w:style w:type="character" w:customStyle="1" w:styleId="BodyTextIndent2Char">
    <w:name w:val="Body Text Indent 2 Char"/>
    <w:link w:val="BodyTextIndent2"/>
    <w:semiHidden/>
    <w:qFormat/>
    <w:rPr>
      <w:sz w:val="24"/>
    </w:rPr>
  </w:style>
  <w:style w:type="character" w:customStyle="1" w:styleId="BodyTextIndent3Char">
    <w:name w:val="Body Text Indent 3 Char"/>
    <w:link w:val="BodyTextIndent3"/>
    <w:semiHidden/>
    <w:qFormat/>
    <w:rPr>
      <w:sz w:val="16"/>
      <w:szCs w:val="16"/>
    </w:rPr>
  </w:style>
  <w:style w:type="character" w:customStyle="1" w:styleId="ClosingChar">
    <w:name w:val="Closing Char"/>
    <w:link w:val="Closing"/>
    <w:semiHidden/>
    <w:qFormat/>
    <w:rPr>
      <w:sz w:val="24"/>
    </w:rPr>
  </w:style>
  <w:style w:type="character" w:customStyle="1" w:styleId="CommentTextChar">
    <w:name w:val="Comment Text Char"/>
    <w:basedOn w:val="DefaultParagraphFont"/>
    <w:link w:val="CommentText"/>
    <w:semiHidden/>
    <w:qFormat/>
  </w:style>
  <w:style w:type="character" w:customStyle="1" w:styleId="CommentSubjectChar">
    <w:name w:val="Comment Subject Char"/>
    <w:link w:val="CommentSubject"/>
    <w:semiHidden/>
    <w:qFormat/>
    <w:rPr>
      <w:b/>
      <w:bCs/>
    </w:rPr>
  </w:style>
  <w:style w:type="character" w:customStyle="1" w:styleId="DateChar">
    <w:name w:val="Date Char"/>
    <w:link w:val="Date"/>
    <w:semiHidden/>
    <w:qFormat/>
    <w:rPr>
      <w:sz w:val="24"/>
    </w:rPr>
  </w:style>
  <w:style w:type="character" w:customStyle="1" w:styleId="DocumentMapChar">
    <w:name w:val="Document Map Char"/>
    <w:link w:val="DocumentMap"/>
    <w:semiHidden/>
    <w:qFormat/>
    <w:rPr>
      <w:rFonts w:ascii="Tahoma" w:hAnsi="Tahoma" w:cs="Tahoma"/>
      <w:sz w:val="16"/>
      <w:szCs w:val="16"/>
    </w:rPr>
  </w:style>
  <w:style w:type="character" w:customStyle="1" w:styleId="E-mailSignatureChar">
    <w:name w:val="E-mail Signature Char"/>
    <w:link w:val="E-mailSignature"/>
    <w:semiHidden/>
    <w:qFormat/>
    <w:rPr>
      <w:sz w:val="24"/>
    </w:rPr>
  </w:style>
  <w:style w:type="character" w:customStyle="1" w:styleId="EndnoteTextChar">
    <w:name w:val="Endnote Text Char"/>
    <w:basedOn w:val="DefaultParagraphFont"/>
    <w:link w:val="EndnoteText"/>
    <w:semiHidden/>
    <w:qFormat/>
  </w:style>
  <w:style w:type="character" w:customStyle="1" w:styleId="FooterChar">
    <w:name w:val="Footer Char"/>
    <w:link w:val="Footer"/>
    <w:uiPriority w:val="99"/>
    <w:qFormat/>
    <w:rPr>
      <w:sz w:val="24"/>
    </w:rPr>
  </w:style>
  <w:style w:type="character" w:customStyle="1" w:styleId="FootnoteTextChar">
    <w:name w:val="Footnote Text Char"/>
    <w:basedOn w:val="DefaultParagraphFont"/>
    <w:link w:val="FootnoteText"/>
    <w:semiHidden/>
    <w:qFormat/>
  </w:style>
  <w:style w:type="character" w:customStyle="1" w:styleId="HeaderChar">
    <w:name w:val="Header Char"/>
    <w:link w:val="Header"/>
    <w:uiPriority w:val="99"/>
    <w:qFormat/>
    <w:rPr>
      <w:sz w:val="24"/>
    </w:rPr>
  </w:style>
  <w:style w:type="character" w:customStyle="1" w:styleId="HTMLAddressChar">
    <w:name w:val="HTML Address Char"/>
    <w:link w:val="HTMLAddress"/>
    <w:semiHidden/>
    <w:qFormat/>
    <w:rPr>
      <w:i/>
      <w:iCs/>
      <w:sz w:val="24"/>
    </w:rPr>
  </w:style>
  <w:style w:type="character" w:customStyle="1" w:styleId="HTMLPreformattedChar">
    <w:name w:val="HTML Preformatted Char"/>
    <w:link w:val="HTMLPreformatted"/>
    <w:semiHidden/>
    <w:qFormat/>
    <w:rPr>
      <w:rFonts w:ascii="Courier New" w:hAnsi="Courier New" w:cs="Courier New"/>
    </w:rPr>
  </w:style>
  <w:style w:type="paragraph" w:styleId="IntenseQuote">
    <w:name w:val="Intense Quote"/>
    <w:basedOn w:val="Normal"/>
    <w:next w:val="Normal"/>
    <w:link w:val="IntenseQuoteChar"/>
    <w:uiPriority w:val="30"/>
    <w:semiHidden/>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qFormat/>
    <w:rPr>
      <w:b/>
      <w:bCs/>
      <w:i/>
      <w:iCs/>
      <w:color w:val="4F81BD"/>
      <w:sz w:val="24"/>
    </w:rPr>
  </w:style>
  <w:style w:type="paragraph" w:styleId="ListParagraph">
    <w:name w:val="List Paragraph"/>
    <w:basedOn w:val="Normal"/>
    <w:uiPriority w:val="34"/>
    <w:semiHidden/>
    <w:qFormat/>
    <w:pPr>
      <w:ind w:left="720"/>
    </w:pPr>
  </w:style>
  <w:style w:type="character" w:customStyle="1" w:styleId="MacroTextChar">
    <w:name w:val="Macro Text Char"/>
    <w:link w:val="MacroText"/>
    <w:semiHidden/>
    <w:qFormat/>
    <w:rPr>
      <w:rFonts w:ascii="Courier New" w:hAnsi="Courier New" w:cs="Courier New"/>
      <w:lang w:val="en-US" w:eastAsia="en-US" w:bidi="ar-SA"/>
    </w:rPr>
  </w:style>
  <w:style w:type="character" w:customStyle="1" w:styleId="MessageHeaderChar">
    <w:name w:val="Message Header Char"/>
    <w:link w:val="MessageHeader"/>
    <w:semiHidden/>
    <w:qFormat/>
    <w:rPr>
      <w:rFonts w:ascii="Cambria" w:hAnsi="Cambria"/>
      <w:sz w:val="24"/>
      <w:szCs w:val="24"/>
      <w:shd w:val="pct20" w:color="auto" w:fill="auto"/>
    </w:rPr>
  </w:style>
  <w:style w:type="paragraph" w:styleId="NoSpacing">
    <w:name w:val="No Spacing"/>
    <w:uiPriority w:val="1"/>
    <w:semiHidden/>
    <w:qFormat/>
    <w:rPr>
      <w:sz w:val="24"/>
      <w:lang w:val="en-US" w:eastAsia="en-US"/>
    </w:rPr>
  </w:style>
  <w:style w:type="character" w:customStyle="1" w:styleId="NoteHeadingChar">
    <w:name w:val="Note Heading Char"/>
    <w:link w:val="NoteHeading"/>
    <w:semiHidden/>
    <w:qFormat/>
    <w:rPr>
      <w:sz w:val="24"/>
    </w:rPr>
  </w:style>
  <w:style w:type="character" w:customStyle="1" w:styleId="PlainTextChar">
    <w:name w:val="Plain Text Char"/>
    <w:link w:val="PlainText"/>
    <w:semiHidden/>
    <w:qFormat/>
    <w:rPr>
      <w:rFonts w:ascii="Courier New" w:hAnsi="Courier New" w:cs="Courier New"/>
    </w:rPr>
  </w:style>
  <w:style w:type="paragraph" w:styleId="Quote">
    <w:name w:val="Quote"/>
    <w:basedOn w:val="Normal"/>
    <w:next w:val="Normal"/>
    <w:link w:val="QuoteChar"/>
    <w:uiPriority w:val="29"/>
    <w:semiHidden/>
    <w:qFormat/>
    <w:rPr>
      <w:i/>
      <w:iCs/>
      <w:color w:val="000000"/>
    </w:rPr>
  </w:style>
  <w:style w:type="character" w:customStyle="1" w:styleId="QuoteChar">
    <w:name w:val="Quote Char"/>
    <w:link w:val="Quote"/>
    <w:uiPriority w:val="29"/>
    <w:semiHidden/>
    <w:qFormat/>
    <w:rPr>
      <w:i/>
      <w:iCs/>
      <w:color w:val="000000"/>
      <w:sz w:val="24"/>
    </w:rPr>
  </w:style>
  <w:style w:type="character" w:customStyle="1" w:styleId="SalutationChar">
    <w:name w:val="Salutation Char"/>
    <w:link w:val="Salutation"/>
    <w:semiHidden/>
    <w:qFormat/>
    <w:rPr>
      <w:sz w:val="24"/>
    </w:rPr>
  </w:style>
  <w:style w:type="character" w:customStyle="1" w:styleId="SignatureChar">
    <w:name w:val="Signature Char"/>
    <w:link w:val="Signature"/>
    <w:semiHidden/>
    <w:qFormat/>
    <w:rPr>
      <w:sz w:val="24"/>
    </w:rPr>
  </w:style>
  <w:style w:type="character" w:customStyle="1" w:styleId="SubtitleChar">
    <w:name w:val="Subtitle Char"/>
    <w:link w:val="Subtitle"/>
    <w:semiHidden/>
    <w:qFormat/>
    <w:rPr>
      <w:rFonts w:ascii="Cambria" w:hAnsi="Cambria"/>
      <w:sz w:val="24"/>
      <w:szCs w:val="24"/>
    </w:rPr>
  </w:style>
  <w:style w:type="character" w:customStyle="1" w:styleId="TitleChar">
    <w:name w:val="Title Char"/>
    <w:link w:val="Title"/>
    <w:uiPriority w:val="10"/>
    <w:qFormat/>
    <w:rPr>
      <w:rFonts w:ascii="Cambria" w:hAnsi="Cambria"/>
      <w:b/>
      <w:bCs/>
      <w:kern w:val="28"/>
      <w:sz w:val="32"/>
      <w:szCs w:val="32"/>
    </w:rPr>
  </w:style>
  <w:style w:type="paragraph" w:customStyle="1" w:styleId="TOCHeading1">
    <w:name w:val="TOC Heading1"/>
    <w:basedOn w:val="Heading1"/>
    <w:next w:val="Normal"/>
    <w:uiPriority w:val="39"/>
    <w:semiHidden/>
    <w:unhideWhenUsed/>
    <w:qFormat/>
    <w:pPr>
      <w:outlineLvl w:val="9"/>
    </w:pPr>
    <w:rPr>
      <w:rFonts w:ascii="Cambria" w:hAnsi="Cambria"/>
      <w:sz w:val="32"/>
      <w:szCs w:val="32"/>
    </w:rPr>
  </w:style>
  <w:style w:type="character" w:customStyle="1" w:styleId="UnresolvedMention1">
    <w:name w:val="Unresolved Mention1"/>
    <w:basedOn w:val="DefaultParagraphFont"/>
    <w:uiPriority w:val="99"/>
    <w:semiHidden/>
    <w:unhideWhenUsed/>
    <w:qFormat/>
    <w:rPr>
      <w:color w:val="808080"/>
      <w:shd w:val="clear" w:color="auto" w:fill="E6E6E6"/>
    </w:rPr>
  </w:style>
  <w:style w:type="table" w:customStyle="1" w:styleId="PlainTable21">
    <w:name w:val="Plain Table 21"/>
    <w:basedOn w:val="TableNormal"/>
    <w:uiPriority w:val="42"/>
    <w:qFormat/>
    <w:rPr>
      <w:rFonts w:asciiTheme="minorHAnsi" w:hAnsiTheme="minorHAnsi" w:cstheme="minorBidi"/>
      <w:sz w:val="22"/>
      <w:szCs w:val="22"/>
      <w:lang w:eastAsia="zh-TW"/>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vision1">
    <w:name w:val="Revision1"/>
    <w:hidden/>
    <w:uiPriority w:val="99"/>
    <w:semiHidden/>
    <w:qFormat/>
    <w:rPr>
      <w:sz w:val="24"/>
      <w:lang w:val="en-US" w:eastAsia="en-US"/>
    </w:rPr>
  </w:style>
  <w:style w:type="character" w:customStyle="1" w:styleId="Heading3Char">
    <w:name w:val="Heading 3 Char"/>
    <w:basedOn w:val="DefaultParagraphFont"/>
    <w:link w:val="Heading3"/>
    <w:uiPriority w:val="9"/>
    <w:semiHidden/>
    <w:qFormat/>
    <w:rPr>
      <w:rFonts w:ascii="Times" w:eastAsia="Times" w:hAnsi="Times"/>
      <w:b/>
      <w:sz w:val="24"/>
    </w:rPr>
  </w:style>
  <w:style w:type="character" w:customStyle="1" w:styleId="normaltextrun">
    <w:name w:val="normaltextrun"/>
    <w:basedOn w:val="DefaultParagraphFont"/>
    <w:qFormat/>
  </w:style>
  <w:style w:type="character" w:customStyle="1" w:styleId="HeaderChar1">
    <w:name w:val="Header Char1"/>
    <w:basedOn w:val="DefaultParagraphFont"/>
    <w:uiPriority w:val="99"/>
    <w:semiHidden/>
    <w:qFormat/>
    <w:rPr>
      <w:kern w:val="2"/>
      <w14:ligatures w14:val="standardContextual"/>
    </w:rPr>
  </w:style>
  <w:style w:type="character" w:customStyle="1" w:styleId="FooterChar1">
    <w:name w:val="Footer Char1"/>
    <w:basedOn w:val="DefaultParagraphFont"/>
    <w:uiPriority w:val="99"/>
    <w:semiHidden/>
    <w:qFormat/>
    <w:rPr>
      <w:kern w:val="2"/>
      <w14:ligatures w14:val="standardContextual"/>
    </w:rPr>
  </w:style>
  <w:style w:type="table" w:customStyle="1" w:styleId="PlainTable31">
    <w:name w:val="Plain Table 31"/>
    <w:basedOn w:val="TableNormal"/>
    <w:uiPriority w:val="43"/>
    <w:qFormat/>
    <w:rPr>
      <w:rFonts w:ascii="Calibri" w:hAnsi="Calibri"/>
      <w:sz w:val="22"/>
      <w:szCs w:val="22"/>
      <w:lang w:eastAsia="zh-TW"/>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qFormat/>
    <w:rPr>
      <w:rFonts w:ascii="Calibri" w:hAnsi="Calibri"/>
      <w:sz w:val="22"/>
      <w:szCs w:val="22"/>
      <w:lang w:eastAsia="zh-TW"/>
    </w:rPr>
    <w:tblPr/>
    <w:tblStylePr w:type="firstRow">
      <w:rPr>
        <w:rFonts w:ascii="Calibri Light" w:eastAsia="新細明體" w:hAnsi="Calibri Light" w:cs="Times New Roman"/>
        <w:i/>
        <w:iCs/>
        <w:sz w:val="26"/>
      </w:rPr>
      <w:tblPr/>
      <w:tcPr>
        <w:tcBorders>
          <w:bottom w:val="single" w:sz="4" w:space="0" w:color="7F7F7F"/>
        </w:tcBorders>
        <w:shd w:val="clear" w:color="auto" w:fill="FFFFFF"/>
      </w:tcPr>
    </w:tblStylePr>
    <w:tblStylePr w:type="lastRow">
      <w:rPr>
        <w:rFonts w:ascii="Calibri Light" w:eastAsia="新細明體"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新細明體" w:hAnsi="Calibri Light" w:cs="Times New Roman"/>
        <w:i/>
        <w:iCs/>
        <w:sz w:val="26"/>
      </w:rPr>
      <w:tblPr/>
      <w:tcPr>
        <w:tcBorders>
          <w:right w:val="single" w:sz="4" w:space="0" w:color="7F7F7F"/>
        </w:tcBorders>
        <w:shd w:val="clear" w:color="auto" w:fill="FFFFFF"/>
      </w:tcPr>
    </w:tblStylePr>
    <w:tblStylePr w:type="lastCol">
      <w:rPr>
        <w:rFonts w:ascii="Calibri Light" w:eastAsia="新細明體"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qFormat/>
    <w:rPr>
      <w:rFonts w:ascii="Calibri" w:hAnsi="Calibri"/>
      <w:sz w:val="22"/>
      <w:szCs w:val="22"/>
      <w:lang w:eastAsia="zh-TW"/>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Table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5E0137"/>
    <w:rPr>
      <w:sz w:val="24"/>
      <w:lang w:val="en-US" w:eastAsia="en-US"/>
    </w:rPr>
  </w:style>
  <w:style w:type="paragraph" w:customStyle="1" w:styleId="EndNoteBibliography">
    <w:name w:val="EndNote Bibliography"/>
    <w:basedOn w:val="Normal"/>
    <w:link w:val="EndNoteBibliographyChar"/>
    <w:rsid w:val="00DE7D32"/>
    <w:pPr>
      <w:spacing w:after="160"/>
    </w:pPr>
    <w:rPr>
      <w:rFonts w:ascii="Calibri" w:hAnsi="Calibri" w:cs="Calibri"/>
      <w:noProof/>
      <w:kern w:val="2"/>
      <w:sz w:val="22"/>
      <w:szCs w:val="22"/>
      <w:lang w:eastAsia="zh-TW"/>
      <w14:ligatures w14:val="standardContextual"/>
    </w:rPr>
  </w:style>
  <w:style w:type="character" w:customStyle="1" w:styleId="EndNoteBibliographyChar">
    <w:name w:val="EndNote Bibliography Char"/>
    <w:basedOn w:val="DefaultParagraphFont"/>
    <w:link w:val="EndNoteBibliography"/>
    <w:rsid w:val="00DE7D32"/>
    <w:rPr>
      <w:rFonts w:ascii="Calibri" w:hAnsi="Calibri" w:cs="Calibri"/>
      <w:noProof/>
      <w:kern w:val="2"/>
      <w:sz w:val="22"/>
      <w:szCs w:val="22"/>
      <w:lang w:val="en-US" w:eastAsia="zh-TW"/>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nyu@cuhk.edu.hk" TargetMode="External"/><Relationship Id="rId12" Type="http://schemas.openxmlformats.org/officeDocument/2006/relationships/image" Target="media/image5.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4672</Words>
  <Characters>26637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31247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Chi Chun WONG</cp:lastModifiedBy>
  <cp:revision>2</cp:revision>
  <cp:lastPrinted>2018-01-11T19:53:00Z</cp:lastPrinted>
  <dcterms:created xsi:type="dcterms:W3CDTF">2025-11-04T00:54:00Z</dcterms:created>
  <dcterms:modified xsi:type="dcterms:W3CDTF">2025-11-04T00:54:00Z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1954D5DEF23A489ABBC4ACBBA82295D1_13</vt:lpwstr>
  </property>
</Properties>
</file>