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41E970DA" w14:textId="6CF1F4C0" w:rsidR="002C030F" w:rsidRDefault="00005B6D" w:rsidP="003B40E6">
      <w:pPr>
        <w:jc w:val="center"/>
        <w:rPr>
          <w:sz w:val="28"/>
          <w:szCs w:val="28"/>
        </w:rPr>
      </w:pPr>
      <w:r w:rsidRPr="00005B6D">
        <w:rPr>
          <w:sz w:val="28"/>
          <w:szCs w:val="28"/>
        </w:rPr>
        <w:t>Spatiotemporal profiling reveals distinct dynamics and checkpoint regulations of CAR-T and stem cell-derived IL-15-boosted CAR-NKT cells</w:t>
      </w:r>
    </w:p>
    <w:p w14:paraId="339B31F7" w14:textId="77777777" w:rsidR="00015F74" w:rsidRPr="007108F5" w:rsidRDefault="00015F74" w:rsidP="003B40E6">
      <w:pPr>
        <w:jc w:val="center"/>
        <w:rPr>
          <w:sz w:val="28"/>
          <w:szCs w:val="28"/>
        </w:rPr>
      </w:pPr>
    </w:p>
    <w:p w14:paraId="63D8913E" w14:textId="1305B744" w:rsidR="002C030F" w:rsidRDefault="00005B6D" w:rsidP="005001AC">
      <w:pPr>
        <w:jc w:val="center"/>
        <w:rPr>
          <w:szCs w:val="24"/>
        </w:rPr>
      </w:pPr>
      <w:r w:rsidRPr="00005B6D">
        <w:rPr>
          <w:szCs w:val="24"/>
        </w:rPr>
        <w:t>Yan-</w:t>
      </w:r>
      <w:proofErr w:type="spellStart"/>
      <w:r w:rsidRPr="00005B6D">
        <w:rPr>
          <w:szCs w:val="24"/>
        </w:rPr>
        <w:t>Ruide</w:t>
      </w:r>
      <w:proofErr w:type="spellEnd"/>
      <w:r w:rsidRPr="00005B6D">
        <w:rPr>
          <w:szCs w:val="24"/>
        </w:rPr>
        <w:t xml:space="preserve"> Li, Miao Li, </w:t>
      </w:r>
      <w:proofErr w:type="spellStart"/>
      <w:r w:rsidRPr="00005B6D">
        <w:rPr>
          <w:szCs w:val="24"/>
        </w:rPr>
        <w:t>Yuning</w:t>
      </w:r>
      <w:proofErr w:type="spellEnd"/>
      <w:r w:rsidRPr="00005B6D">
        <w:rPr>
          <w:szCs w:val="24"/>
        </w:rPr>
        <w:t xml:space="preserve"> Chen, </w:t>
      </w:r>
      <w:proofErr w:type="spellStart"/>
      <w:r w:rsidRPr="00005B6D">
        <w:rPr>
          <w:szCs w:val="24"/>
        </w:rPr>
        <w:t>Houfu</w:t>
      </w:r>
      <w:proofErr w:type="spellEnd"/>
      <w:r w:rsidRPr="00005B6D">
        <w:rPr>
          <w:szCs w:val="24"/>
        </w:rPr>
        <w:t xml:space="preserve"> </w:t>
      </w:r>
      <w:proofErr w:type="spellStart"/>
      <w:r w:rsidRPr="00005B6D">
        <w:rPr>
          <w:szCs w:val="24"/>
        </w:rPr>
        <w:t>Leng</w:t>
      </w:r>
      <w:proofErr w:type="spellEnd"/>
      <w:r w:rsidRPr="00005B6D">
        <w:rPr>
          <w:szCs w:val="24"/>
        </w:rPr>
        <w:t xml:space="preserve">, </w:t>
      </w:r>
      <w:proofErr w:type="spellStart"/>
      <w:r w:rsidRPr="00005B6D">
        <w:rPr>
          <w:szCs w:val="24"/>
        </w:rPr>
        <w:t>Yichen</w:t>
      </w:r>
      <w:proofErr w:type="spellEnd"/>
      <w:r w:rsidRPr="00005B6D">
        <w:rPr>
          <w:szCs w:val="24"/>
        </w:rPr>
        <w:t xml:space="preserve"> Zhu, Xinyuan Shen, Duncan </w:t>
      </w:r>
      <w:proofErr w:type="spellStart"/>
      <w:r w:rsidRPr="00005B6D">
        <w:rPr>
          <w:szCs w:val="24"/>
        </w:rPr>
        <w:t>Croll</w:t>
      </w:r>
      <w:proofErr w:type="spellEnd"/>
      <w:r w:rsidRPr="00005B6D">
        <w:rPr>
          <w:szCs w:val="24"/>
        </w:rPr>
        <w:t xml:space="preserve">, </w:t>
      </w:r>
      <w:proofErr w:type="spellStart"/>
      <w:r w:rsidRPr="00005B6D">
        <w:rPr>
          <w:szCs w:val="24"/>
        </w:rPr>
        <w:t>Enbo</w:t>
      </w:r>
      <w:proofErr w:type="spellEnd"/>
      <w:r w:rsidRPr="00005B6D">
        <w:rPr>
          <w:szCs w:val="24"/>
        </w:rPr>
        <w:t xml:space="preserve"> Zhu, </w:t>
      </w:r>
      <w:proofErr w:type="spellStart"/>
      <w:r w:rsidRPr="00005B6D">
        <w:rPr>
          <w:szCs w:val="24"/>
        </w:rPr>
        <w:t>Jie</w:t>
      </w:r>
      <w:proofErr w:type="spellEnd"/>
      <w:r w:rsidRPr="00005B6D">
        <w:rPr>
          <w:szCs w:val="24"/>
        </w:rPr>
        <w:t xml:space="preserve"> Huang, Yu-Chen Wang, Abigail S. Krall, Heather R. </w:t>
      </w:r>
      <w:proofErr w:type="spellStart"/>
      <w:r w:rsidRPr="00005B6D">
        <w:rPr>
          <w:szCs w:val="24"/>
        </w:rPr>
        <w:t>Christofk</w:t>
      </w:r>
      <w:proofErr w:type="spellEnd"/>
      <w:r w:rsidRPr="00005B6D">
        <w:rPr>
          <w:szCs w:val="24"/>
        </w:rPr>
        <w:t xml:space="preserve">, </w:t>
      </w:r>
      <w:proofErr w:type="spellStart"/>
      <w:r w:rsidRPr="00005B6D">
        <w:rPr>
          <w:szCs w:val="24"/>
        </w:rPr>
        <w:t>Aldons</w:t>
      </w:r>
      <w:proofErr w:type="spellEnd"/>
      <w:r w:rsidRPr="00005B6D">
        <w:rPr>
          <w:szCs w:val="24"/>
        </w:rPr>
        <w:t xml:space="preserve"> J. </w:t>
      </w:r>
      <w:proofErr w:type="spellStart"/>
      <w:r w:rsidRPr="00005B6D">
        <w:rPr>
          <w:szCs w:val="24"/>
        </w:rPr>
        <w:t>Lusis</w:t>
      </w:r>
      <w:proofErr w:type="spellEnd"/>
      <w:r w:rsidRPr="00005B6D">
        <w:rPr>
          <w:szCs w:val="24"/>
        </w:rPr>
        <w:t>, Lili Yang</w:t>
      </w:r>
    </w:p>
    <w:p w14:paraId="0648E06D" w14:textId="77777777" w:rsidR="000F0DCE" w:rsidRDefault="000F0DCE" w:rsidP="005001AC">
      <w:pPr>
        <w:jc w:val="center"/>
        <w:rPr>
          <w:szCs w:val="24"/>
        </w:rPr>
      </w:pPr>
    </w:p>
    <w:p w14:paraId="34D67477" w14:textId="6C703034"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hyperlink r:id="rId7" w:history="1">
        <w:r w:rsidR="000945E5" w:rsidRPr="006F3324">
          <w:rPr>
            <w:rStyle w:val="Hyperlink"/>
          </w:rPr>
          <w:t>liliyang@ucla.edu</w:t>
        </w:r>
      </w:hyperlink>
      <w:r w:rsidR="000945E5">
        <w:t xml:space="preserve"> </w:t>
      </w:r>
      <w:r w:rsidR="0069480C">
        <w:t xml:space="preserve">(L.Y.) and </w:t>
      </w:r>
      <w:hyperlink r:id="rId8" w:history="1">
        <w:r w:rsidR="0069480C" w:rsidRPr="006F3324">
          <w:rPr>
            <w:rStyle w:val="Hyperlink"/>
          </w:rPr>
          <w:t>charlie.li@ucla.edu</w:t>
        </w:r>
      </w:hyperlink>
      <w:r w:rsidR="0069480C">
        <w:t xml:space="preserve"> (</w:t>
      </w:r>
      <w:r w:rsidR="000945E5" w:rsidRPr="000945E5">
        <w:t>Y.-R.L.</w:t>
      </w:r>
      <w:r w:rsidR="0069480C">
        <w:t>)</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347D842E" w14:textId="77777777" w:rsidR="001C3F25" w:rsidRDefault="001C3F25" w:rsidP="001C3F25">
      <w:pPr>
        <w:ind w:left="720"/>
      </w:pPr>
      <w:r>
        <w:t>Materials and Methods</w:t>
      </w:r>
    </w:p>
    <w:p w14:paraId="7FC81517" w14:textId="32A50CB7" w:rsidR="002C030F" w:rsidRDefault="002C030F" w:rsidP="00262D72">
      <w:pPr>
        <w:ind w:left="720"/>
      </w:pPr>
      <w:r>
        <w:t>Fig</w:t>
      </w:r>
      <w:r w:rsidR="00821F38">
        <w:rPr>
          <w:rFonts w:hint="eastAsia"/>
          <w:lang w:eastAsia="zh-CN"/>
        </w:rPr>
        <w:t>ure</w:t>
      </w:r>
      <w:r w:rsidR="00A3403B">
        <w:t xml:space="preserve">s. </w:t>
      </w:r>
      <w:r>
        <w:t>S1</w:t>
      </w:r>
      <w:r w:rsidR="00A3403B">
        <w:t xml:space="preserve"> to </w:t>
      </w:r>
      <w:r>
        <w:t>S</w:t>
      </w:r>
      <w:r w:rsidR="002C06CB">
        <w:t>12</w:t>
      </w:r>
    </w:p>
    <w:p w14:paraId="12635CE6" w14:textId="77777777" w:rsidR="001C3F25" w:rsidRDefault="001C3F25">
      <w:r>
        <w:br w:type="page"/>
      </w:r>
    </w:p>
    <w:p w14:paraId="77296350" w14:textId="11079886" w:rsidR="001C3F25" w:rsidRDefault="001C3F25" w:rsidP="00AE08CF">
      <w:pPr>
        <w:rPr>
          <w:b/>
          <w:bCs/>
        </w:rPr>
      </w:pPr>
      <w:r w:rsidRPr="001C3F25">
        <w:rPr>
          <w:b/>
          <w:bCs/>
        </w:rPr>
        <w:lastRenderedPageBreak/>
        <w:t>Materials and Methods</w:t>
      </w:r>
    </w:p>
    <w:p w14:paraId="6B72FD75" w14:textId="77777777" w:rsidR="001C3F25" w:rsidRDefault="001C3F25" w:rsidP="00AE08CF">
      <w:pPr>
        <w:rPr>
          <w:b/>
          <w:bCs/>
        </w:rPr>
      </w:pPr>
    </w:p>
    <w:p w14:paraId="09D3E7AE" w14:textId="77777777" w:rsidR="001C3F25" w:rsidRPr="001C3F25" w:rsidRDefault="001C3F25" w:rsidP="001C3F25">
      <w:pPr>
        <w:jc w:val="both"/>
        <w:rPr>
          <w:b/>
          <w:bCs/>
          <w:color w:val="000000" w:themeColor="text1"/>
          <w:szCs w:val="24"/>
        </w:rPr>
      </w:pPr>
      <w:r w:rsidRPr="001C3F25">
        <w:rPr>
          <w:b/>
          <w:bCs/>
          <w:color w:val="000000" w:themeColor="text1"/>
          <w:szCs w:val="24"/>
        </w:rPr>
        <w:t>Cell lines</w:t>
      </w:r>
    </w:p>
    <w:p w14:paraId="216BBC2E" w14:textId="18D77478" w:rsidR="001C3F25" w:rsidRDefault="001C3F25" w:rsidP="001C3F25">
      <w:pPr>
        <w:jc w:val="both"/>
        <w:rPr>
          <w:rFonts w:eastAsia="Times New Roman"/>
          <w:color w:val="222222"/>
          <w:szCs w:val="24"/>
          <w:shd w:val="clear" w:color="auto" w:fill="FFFFFF"/>
        </w:rPr>
      </w:pPr>
      <w:r w:rsidRPr="001C3F25">
        <w:rPr>
          <w:szCs w:val="24"/>
        </w:rPr>
        <w:t>Human ovarian cancer cell lines SKOV3 and OVCAR3, and the human embryonic kidney cell line HEK293T were obtained from the American Type Culture Collection (ATCC). OVCAR8 cells were additionally provided by the Division of Cancer Treatment and Diagnosis (DCTD) Tumor Repository at the National Institutes of Health (NIH). To generate stable tumor cell lines expressing the firefly luciferase (</w:t>
      </w:r>
      <w:proofErr w:type="spellStart"/>
      <w:r w:rsidRPr="001C3F25">
        <w:rPr>
          <w:szCs w:val="24"/>
        </w:rPr>
        <w:t>Fluc</w:t>
      </w:r>
      <w:proofErr w:type="spellEnd"/>
      <w:r w:rsidRPr="001C3F25">
        <w:rPr>
          <w:szCs w:val="24"/>
        </w:rPr>
        <w:t xml:space="preserve">) and enhanced green fluorescence protein (EGFP) </w:t>
      </w:r>
      <w:proofErr w:type="gramStart"/>
      <w:r w:rsidRPr="001C3F25">
        <w:rPr>
          <w:szCs w:val="24"/>
        </w:rPr>
        <w:t>dual-reporters</w:t>
      </w:r>
      <w:proofErr w:type="gramEnd"/>
      <w:r w:rsidRPr="001C3F25">
        <w:rPr>
          <w:szCs w:val="24"/>
        </w:rPr>
        <w:t xml:space="preserve"> (FG), the parental tumor cell lines were transduced with lentiviral vectors encoding the intended gene(s). At 72h post lentivector transduction, tumor cells were subjected to flow cytometry sorting to isolate gene-engineered cells for making stable cell lines. Three stable tumor cell lines were generated for this study, including SKOV3-FG, OVCAR8-FG, and OVCAR3-FG. The OVCAR3-FG</w:t>
      </w:r>
      <w:r w:rsidRPr="001C3F25">
        <w:rPr>
          <w:szCs w:val="24"/>
          <w:vertAlign w:val="superscript"/>
        </w:rPr>
        <w:t>MSLN-/-</w:t>
      </w:r>
      <w:r w:rsidRPr="001C3F25">
        <w:rPr>
          <w:color w:val="000000"/>
          <w:szCs w:val="24"/>
          <w:vertAlign w:val="superscript"/>
        </w:rPr>
        <w:t xml:space="preserve"> </w:t>
      </w:r>
      <w:r w:rsidRPr="001C3F25">
        <w:rPr>
          <w:color w:val="000000"/>
          <w:szCs w:val="24"/>
        </w:rPr>
        <w:t xml:space="preserve">cell line was generated by CRISPR/Cas9-mediated knockout of the MSLN gene in OVCAR3-FG cells. A single-guide RNA (sgRNA) targeting </w:t>
      </w:r>
      <w:r w:rsidRPr="001C3F25">
        <w:rPr>
          <w:i/>
          <w:iCs/>
          <w:color w:val="000000"/>
          <w:szCs w:val="24"/>
        </w:rPr>
        <w:t xml:space="preserve">MSLN </w:t>
      </w:r>
      <w:r w:rsidRPr="001C3F25">
        <w:rPr>
          <w:color w:val="000000"/>
          <w:szCs w:val="24"/>
        </w:rPr>
        <w:t xml:space="preserve">(sequence: GCCAACGGCTCGACCCCTGT) was designed and purchased from </w:t>
      </w:r>
      <w:proofErr w:type="spellStart"/>
      <w:r w:rsidRPr="001C3F25">
        <w:rPr>
          <w:color w:val="000000"/>
          <w:szCs w:val="24"/>
        </w:rPr>
        <w:t>Synthego</w:t>
      </w:r>
      <w:proofErr w:type="spellEnd"/>
      <w:r w:rsidRPr="001C3F25">
        <w:rPr>
          <w:color w:val="000000"/>
          <w:szCs w:val="24"/>
        </w:rPr>
        <w:t xml:space="preserve"> and delivered by electroporation using an </w:t>
      </w:r>
      <w:proofErr w:type="spellStart"/>
      <w:r w:rsidRPr="001C3F25">
        <w:rPr>
          <w:color w:val="000000"/>
          <w:szCs w:val="24"/>
        </w:rPr>
        <w:t>Amaxa</w:t>
      </w:r>
      <w:proofErr w:type="spellEnd"/>
      <w:r w:rsidRPr="001C3F25">
        <w:rPr>
          <w:color w:val="000000"/>
          <w:szCs w:val="24"/>
        </w:rPr>
        <w:t xml:space="preserve"> 4D-Nucleofector X Unit (Lonza) according to the manufacturer’s instructions.  All tumor cell lines used in this study were tested </w:t>
      </w:r>
      <w:r w:rsidRPr="001C3F25">
        <w:rPr>
          <w:rFonts w:eastAsia="Times New Roman"/>
          <w:color w:val="222222"/>
          <w:szCs w:val="24"/>
          <w:shd w:val="clear" w:color="auto" w:fill="FFFFFF"/>
        </w:rPr>
        <w:t>mycoplasma-free and frequently STR verified during experiments.</w:t>
      </w:r>
    </w:p>
    <w:p w14:paraId="1C9BE7D4" w14:textId="24196764" w:rsidR="001C3F25" w:rsidRDefault="001C3F25" w:rsidP="001C3F25">
      <w:pPr>
        <w:jc w:val="both"/>
        <w:rPr>
          <w:rFonts w:eastAsia="Times New Roman"/>
          <w:color w:val="222222"/>
          <w:szCs w:val="24"/>
          <w:shd w:val="clear" w:color="auto" w:fill="FFFFFF"/>
        </w:rPr>
      </w:pPr>
    </w:p>
    <w:p w14:paraId="0387331F" w14:textId="77777777" w:rsidR="001C3F25" w:rsidRPr="001C3F25" w:rsidRDefault="001C3F25" w:rsidP="001C3F25">
      <w:pPr>
        <w:jc w:val="both"/>
        <w:rPr>
          <w:b/>
          <w:bCs/>
          <w:color w:val="000000" w:themeColor="text1"/>
          <w:szCs w:val="24"/>
        </w:rPr>
      </w:pPr>
      <w:r w:rsidRPr="001C3F25">
        <w:rPr>
          <w:b/>
          <w:bCs/>
          <w:color w:val="000000" w:themeColor="text1"/>
          <w:szCs w:val="24"/>
        </w:rPr>
        <w:t>Human cord blood CD34</w:t>
      </w:r>
      <w:r w:rsidRPr="001C3F25">
        <w:rPr>
          <w:b/>
          <w:bCs/>
          <w:color w:val="000000" w:themeColor="text1"/>
          <w:szCs w:val="24"/>
          <w:vertAlign w:val="superscript"/>
        </w:rPr>
        <w:t>+</w:t>
      </w:r>
      <w:r w:rsidRPr="001C3F25">
        <w:rPr>
          <w:b/>
          <w:bCs/>
          <w:color w:val="000000" w:themeColor="text1"/>
          <w:szCs w:val="24"/>
        </w:rPr>
        <w:t xml:space="preserve"> hematopoietic stem and progenitor cells (HSPCs) and periphery blood mononuclear cells (PBMCs)</w:t>
      </w:r>
    </w:p>
    <w:p w14:paraId="74C0E7AD" w14:textId="5376C840" w:rsidR="001C3F25" w:rsidRDefault="001C3F25" w:rsidP="001C3F25">
      <w:pPr>
        <w:jc w:val="both"/>
        <w:rPr>
          <w:color w:val="000000" w:themeColor="text1"/>
          <w:szCs w:val="24"/>
        </w:rPr>
      </w:pPr>
      <w:r w:rsidRPr="001C3F25">
        <w:rPr>
          <w:color w:val="000000" w:themeColor="text1"/>
          <w:szCs w:val="24"/>
        </w:rPr>
        <w:t>Purified CB CD34</w:t>
      </w:r>
      <w:r w:rsidRPr="001C3F25">
        <w:rPr>
          <w:color w:val="000000" w:themeColor="text1"/>
          <w:szCs w:val="24"/>
          <w:vertAlign w:val="superscript"/>
        </w:rPr>
        <w:t>+</w:t>
      </w:r>
      <w:r w:rsidRPr="001C3F25">
        <w:rPr>
          <w:color w:val="000000" w:themeColor="text1"/>
          <w:szCs w:val="24"/>
        </w:rPr>
        <w:t xml:space="preserve"> HSPCs were purchased from </w:t>
      </w:r>
      <w:proofErr w:type="spellStart"/>
      <w:r w:rsidRPr="001C3F25">
        <w:rPr>
          <w:color w:val="000000" w:themeColor="text1"/>
          <w:szCs w:val="24"/>
        </w:rPr>
        <w:t>HemaCare</w:t>
      </w:r>
      <w:proofErr w:type="spellEnd"/>
      <w:r w:rsidRPr="001C3F25">
        <w:rPr>
          <w:color w:val="000000" w:themeColor="text1"/>
          <w:szCs w:val="24"/>
        </w:rPr>
        <w:t xml:space="preserve"> (now part of Charles River). Healthy donor PBMCs were obtained from the UCLA/CFAR Virology Core Laboratory as de-identified specimens in accordance with federal and state regulations. CD34</w:t>
      </w:r>
      <w:r w:rsidRPr="001C3F25">
        <w:rPr>
          <w:color w:val="000000" w:themeColor="text1"/>
          <w:szCs w:val="24"/>
          <w:vertAlign w:val="superscript"/>
        </w:rPr>
        <w:t>+</w:t>
      </w:r>
      <w:r w:rsidRPr="001C3F25">
        <w:rPr>
          <w:color w:val="000000" w:themeColor="text1"/>
          <w:szCs w:val="24"/>
        </w:rPr>
        <w:t xml:space="preserve"> HSPCs and PBMCs were cryopreserved in </w:t>
      </w:r>
      <w:proofErr w:type="spellStart"/>
      <w:r w:rsidRPr="001C3F25">
        <w:rPr>
          <w:color w:val="000000" w:themeColor="text1"/>
          <w:szCs w:val="24"/>
        </w:rPr>
        <w:t>Cryostor</w:t>
      </w:r>
      <w:proofErr w:type="spellEnd"/>
      <w:r w:rsidRPr="001C3F25">
        <w:rPr>
          <w:color w:val="000000" w:themeColor="text1"/>
          <w:szCs w:val="24"/>
        </w:rPr>
        <w:t xml:space="preserve"> CS10 (Sigma St. Louis, MO, USA) using </w:t>
      </w:r>
      <w:proofErr w:type="spellStart"/>
      <w:r w:rsidRPr="001C3F25">
        <w:rPr>
          <w:color w:val="000000" w:themeColor="text1"/>
          <w:szCs w:val="24"/>
        </w:rPr>
        <w:t>CoolCell</w:t>
      </w:r>
      <w:proofErr w:type="spellEnd"/>
      <w:r w:rsidRPr="001C3F25">
        <w:rPr>
          <w:color w:val="000000" w:themeColor="text1"/>
          <w:szCs w:val="24"/>
        </w:rPr>
        <w:t xml:space="preserve"> (</w:t>
      </w:r>
      <w:proofErr w:type="spellStart"/>
      <w:r w:rsidRPr="001C3F25">
        <w:rPr>
          <w:color w:val="000000" w:themeColor="text1"/>
          <w:szCs w:val="24"/>
        </w:rPr>
        <w:t>BioCision</w:t>
      </w:r>
      <w:proofErr w:type="spellEnd"/>
      <w:r w:rsidRPr="001C3F25">
        <w:rPr>
          <w:color w:val="000000" w:themeColor="text1"/>
          <w:szCs w:val="24"/>
        </w:rPr>
        <w:t>, Larkspur, CA, UCA) and stored in liquid nitrogen to supply all experiments.</w:t>
      </w:r>
    </w:p>
    <w:p w14:paraId="677866AB" w14:textId="77777777" w:rsidR="001C3F25" w:rsidRDefault="001C3F25" w:rsidP="001C3F25">
      <w:pPr>
        <w:jc w:val="both"/>
        <w:rPr>
          <w:b/>
          <w:bCs/>
          <w:color w:val="000000" w:themeColor="text1"/>
          <w:szCs w:val="24"/>
        </w:rPr>
      </w:pPr>
    </w:p>
    <w:p w14:paraId="3952B43E" w14:textId="51E55EF3" w:rsidR="001C3F25" w:rsidRPr="001C3F25" w:rsidRDefault="001C3F25" w:rsidP="001C3F25">
      <w:pPr>
        <w:jc w:val="both"/>
        <w:rPr>
          <w:b/>
          <w:bCs/>
          <w:color w:val="000000" w:themeColor="text1"/>
          <w:szCs w:val="24"/>
        </w:rPr>
      </w:pPr>
      <w:r w:rsidRPr="001C3F25">
        <w:rPr>
          <w:b/>
          <w:bCs/>
          <w:color w:val="000000" w:themeColor="text1"/>
          <w:szCs w:val="24"/>
        </w:rPr>
        <w:t>Media and reagents</w:t>
      </w:r>
    </w:p>
    <w:p w14:paraId="34D988E3" w14:textId="77777777" w:rsidR="001C3F25" w:rsidRPr="001C3F25" w:rsidRDefault="001C3F25" w:rsidP="001C3F25">
      <w:pPr>
        <w:jc w:val="both"/>
        <w:rPr>
          <w:szCs w:val="24"/>
        </w:rPr>
      </w:pPr>
      <w:r w:rsidRPr="001C3F25">
        <w:rPr>
          <w:color w:val="000000"/>
          <w:szCs w:val="24"/>
        </w:rPr>
        <w:t xml:space="preserve">The </w:t>
      </w:r>
      <w:r w:rsidRPr="001C3F25">
        <w:rPr>
          <w:szCs w:val="24"/>
        </w:rPr>
        <w:t xml:space="preserve">X-VIVO 15 Serum-Free Hematopoietic Cell Medium was purchased from Lonza. The </w:t>
      </w:r>
      <w:proofErr w:type="spellStart"/>
      <w:r w:rsidRPr="001C3F25">
        <w:rPr>
          <w:szCs w:val="24"/>
        </w:rPr>
        <w:t>StemSpan</w:t>
      </w:r>
      <w:proofErr w:type="spellEnd"/>
      <w:r w:rsidRPr="001C3F25">
        <w:rPr>
          <w:szCs w:val="24"/>
        </w:rPr>
        <w:t xml:space="preserve">™ T Cell Generation Kit, comprising the </w:t>
      </w:r>
      <w:proofErr w:type="spellStart"/>
      <w:r w:rsidRPr="001C3F25">
        <w:rPr>
          <w:szCs w:val="24"/>
        </w:rPr>
        <w:t>StemSpan</w:t>
      </w:r>
      <w:r w:rsidRPr="001C3F25">
        <w:rPr>
          <w:szCs w:val="24"/>
          <w:vertAlign w:val="superscript"/>
        </w:rPr>
        <w:t>TM</w:t>
      </w:r>
      <w:proofErr w:type="spellEnd"/>
      <w:r w:rsidRPr="001C3F25">
        <w:rPr>
          <w:szCs w:val="24"/>
        </w:rPr>
        <w:t xml:space="preserve"> SFEM II Medium, the </w:t>
      </w:r>
      <w:proofErr w:type="spellStart"/>
      <w:r w:rsidRPr="001C3F25">
        <w:rPr>
          <w:szCs w:val="24"/>
        </w:rPr>
        <w:t>StemSpan</w:t>
      </w:r>
      <w:r w:rsidRPr="001C3F25">
        <w:rPr>
          <w:szCs w:val="24"/>
          <w:vertAlign w:val="superscript"/>
        </w:rPr>
        <w:t>TM</w:t>
      </w:r>
      <w:proofErr w:type="spellEnd"/>
      <w:r w:rsidRPr="001C3F25">
        <w:rPr>
          <w:szCs w:val="24"/>
        </w:rPr>
        <w:t xml:space="preserve"> Lymphoid Progenitor Expansion Supplement, the </w:t>
      </w:r>
      <w:proofErr w:type="spellStart"/>
      <w:r w:rsidRPr="001C3F25">
        <w:rPr>
          <w:szCs w:val="24"/>
        </w:rPr>
        <w:t>StemSpan</w:t>
      </w:r>
      <w:r w:rsidRPr="001C3F25">
        <w:rPr>
          <w:szCs w:val="24"/>
          <w:vertAlign w:val="superscript"/>
        </w:rPr>
        <w:t>TM</w:t>
      </w:r>
      <w:proofErr w:type="spellEnd"/>
      <w:r w:rsidRPr="001C3F25">
        <w:rPr>
          <w:szCs w:val="24"/>
        </w:rPr>
        <w:t xml:space="preserve"> Lymphoid Progenitor Maturation Supplement, the </w:t>
      </w:r>
      <w:proofErr w:type="spellStart"/>
      <w:r w:rsidRPr="001C3F25">
        <w:rPr>
          <w:szCs w:val="24"/>
        </w:rPr>
        <w:t>StemSpan</w:t>
      </w:r>
      <w:r w:rsidRPr="001C3F25">
        <w:rPr>
          <w:szCs w:val="24"/>
          <w:vertAlign w:val="superscript"/>
        </w:rPr>
        <w:t>TM</w:t>
      </w:r>
      <w:proofErr w:type="spellEnd"/>
      <w:r w:rsidRPr="001C3F25">
        <w:rPr>
          <w:szCs w:val="24"/>
        </w:rPr>
        <w:t xml:space="preserve"> Lymphoid Progenitor Differentiation Coating Material, and the </w:t>
      </w:r>
      <w:proofErr w:type="spellStart"/>
      <w:r w:rsidRPr="001C3F25">
        <w:rPr>
          <w:szCs w:val="24"/>
        </w:rPr>
        <w:t>ImmunoCult</w:t>
      </w:r>
      <w:proofErr w:type="spellEnd"/>
      <w:r w:rsidRPr="001C3F25">
        <w:rPr>
          <w:szCs w:val="24"/>
        </w:rPr>
        <w:t xml:space="preserve">™ </w:t>
      </w:r>
      <w:r w:rsidRPr="001C3F25">
        <w:rPr>
          <w:color w:val="000000"/>
          <w:szCs w:val="24"/>
        </w:rPr>
        <w:t xml:space="preserve">Human CD3/CD28/CD2 T Cell Activator, was purchased from </w:t>
      </w:r>
      <w:proofErr w:type="spellStart"/>
      <w:r w:rsidRPr="001C3F25">
        <w:rPr>
          <w:szCs w:val="24"/>
        </w:rPr>
        <w:t>StemCell</w:t>
      </w:r>
      <w:proofErr w:type="spellEnd"/>
      <w:r w:rsidRPr="001C3F25">
        <w:rPr>
          <w:szCs w:val="24"/>
        </w:rPr>
        <w:t xml:space="preserve"> Technologies. The CTS™ </w:t>
      </w:r>
      <w:proofErr w:type="spellStart"/>
      <w:r w:rsidRPr="001C3F25">
        <w:rPr>
          <w:szCs w:val="24"/>
        </w:rPr>
        <w:t>OpTmizer</w:t>
      </w:r>
      <w:proofErr w:type="spellEnd"/>
      <w:r w:rsidRPr="001C3F25">
        <w:rPr>
          <w:szCs w:val="24"/>
        </w:rPr>
        <w:t xml:space="preserve">™ T-Cell Expansion SFM (no phenol red, bottle format), the </w:t>
      </w:r>
      <w:r w:rsidRPr="001C3F25">
        <w:rPr>
          <w:color w:val="000000"/>
          <w:szCs w:val="24"/>
        </w:rPr>
        <w:t xml:space="preserve">RPMI 1640 cell culture medium, and the </w:t>
      </w:r>
      <w:r w:rsidRPr="001C3F25">
        <w:rPr>
          <w:szCs w:val="24"/>
        </w:rPr>
        <w:t xml:space="preserve">DMEM cell culture medium were purchased from </w:t>
      </w:r>
      <w:proofErr w:type="spellStart"/>
      <w:r w:rsidRPr="001C3F25">
        <w:rPr>
          <w:color w:val="000000"/>
          <w:szCs w:val="24"/>
        </w:rPr>
        <w:t>ThermoFisher</w:t>
      </w:r>
      <w:proofErr w:type="spellEnd"/>
      <w:r w:rsidRPr="001C3F25">
        <w:rPr>
          <w:color w:val="000000"/>
          <w:szCs w:val="24"/>
        </w:rPr>
        <w:t xml:space="preserve"> Scientific. The </w:t>
      </w:r>
      <w:proofErr w:type="spellStart"/>
      <w:r w:rsidRPr="001C3F25">
        <w:rPr>
          <w:color w:val="000000"/>
          <w:szCs w:val="24"/>
        </w:rPr>
        <w:t>CryoStor</w:t>
      </w:r>
      <w:proofErr w:type="spellEnd"/>
      <w:r w:rsidRPr="001C3F25">
        <w:rPr>
          <w:color w:val="000000"/>
          <w:szCs w:val="24"/>
        </w:rPr>
        <w:t xml:space="preserve">® Cell Cryopreservation Media CS10 was purchased from </w:t>
      </w:r>
      <w:proofErr w:type="spellStart"/>
      <w:r w:rsidRPr="001C3F25">
        <w:rPr>
          <w:color w:val="000000"/>
          <w:szCs w:val="24"/>
        </w:rPr>
        <w:t>MilliporeSigma</w:t>
      </w:r>
      <w:proofErr w:type="spellEnd"/>
      <w:r w:rsidRPr="001C3F25">
        <w:rPr>
          <w:color w:val="000000"/>
          <w:szCs w:val="24"/>
        </w:rPr>
        <w:t>.</w:t>
      </w:r>
    </w:p>
    <w:p w14:paraId="1865488E" w14:textId="77777777" w:rsidR="001C3F25" w:rsidRPr="001C3F25" w:rsidRDefault="001C3F25" w:rsidP="001C3F25">
      <w:pPr>
        <w:ind w:firstLine="720"/>
        <w:jc w:val="both"/>
        <w:rPr>
          <w:szCs w:val="24"/>
        </w:rPr>
      </w:pPr>
      <w:r w:rsidRPr="001C3F25">
        <w:rPr>
          <w:color w:val="000000"/>
          <w:szCs w:val="24"/>
        </w:rPr>
        <w:sym w:font="Symbol" w:char="F061"/>
      </w:r>
      <w:r w:rsidRPr="001C3F25">
        <w:rPr>
          <w:szCs w:val="24"/>
        </w:rPr>
        <w:t>-</w:t>
      </w:r>
      <w:proofErr w:type="spellStart"/>
      <w:r w:rsidRPr="001C3F25">
        <w:rPr>
          <w:szCs w:val="24"/>
        </w:rPr>
        <w:t>Galactosylceramide</w:t>
      </w:r>
      <w:proofErr w:type="spellEnd"/>
      <w:r w:rsidRPr="001C3F25">
        <w:rPr>
          <w:szCs w:val="24"/>
        </w:rPr>
        <w:t xml:space="preserve"> (</w:t>
      </w:r>
      <w:r w:rsidRPr="001C3F25">
        <w:rPr>
          <w:color w:val="000000"/>
          <w:szCs w:val="24"/>
        </w:rPr>
        <w:sym w:font="Symbol" w:char="F061"/>
      </w:r>
      <w:r w:rsidRPr="001C3F25">
        <w:rPr>
          <w:color w:val="000000"/>
          <w:szCs w:val="24"/>
        </w:rPr>
        <w:t>-</w:t>
      </w:r>
      <w:proofErr w:type="spellStart"/>
      <w:r w:rsidRPr="001C3F25">
        <w:rPr>
          <w:color w:val="000000"/>
          <w:szCs w:val="24"/>
        </w:rPr>
        <w:t>GalCer</w:t>
      </w:r>
      <w:proofErr w:type="spellEnd"/>
      <w:r w:rsidRPr="001C3F25">
        <w:rPr>
          <w:color w:val="000000"/>
          <w:szCs w:val="24"/>
        </w:rPr>
        <w:t xml:space="preserve"> or </w:t>
      </w:r>
      <w:r w:rsidRPr="001C3F25">
        <w:rPr>
          <w:color w:val="000000"/>
          <w:szCs w:val="24"/>
        </w:rPr>
        <w:sym w:font="Symbol" w:char="F061"/>
      </w:r>
      <w:r w:rsidRPr="001C3F25">
        <w:rPr>
          <w:szCs w:val="24"/>
        </w:rPr>
        <w:t>GC, KRN7000) was purchased from Avanti Polar Lipids. Recombinant human IL-2, IL-3, IL-7, IL-15, IL-21, IFN-</w:t>
      </w:r>
      <w:r w:rsidRPr="001C3F25">
        <w:rPr>
          <w:color w:val="000000"/>
          <w:szCs w:val="24"/>
        </w:rPr>
        <w:t>γ,</w:t>
      </w:r>
      <w:r w:rsidRPr="001C3F25">
        <w:rPr>
          <w:szCs w:val="24"/>
        </w:rPr>
        <w:t xml:space="preserve"> Flt3 ligand (Flt3L), stem cell factor (SCF), and thrombopoietin (TPO)</w:t>
      </w:r>
      <w:r w:rsidRPr="001C3F25" w:rsidDel="00E62C43">
        <w:rPr>
          <w:szCs w:val="24"/>
        </w:rPr>
        <w:t xml:space="preserve"> </w:t>
      </w:r>
      <w:r w:rsidRPr="001C3F25">
        <w:rPr>
          <w:szCs w:val="24"/>
        </w:rPr>
        <w:t xml:space="preserve">were purchased from </w:t>
      </w:r>
      <w:proofErr w:type="spellStart"/>
      <w:r w:rsidRPr="001C3F25">
        <w:rPr>
          <w:szCs w:val="24"/>
        </w:rPr>
        <w:t>Peprotech</w:t>
      </w:r>
      <w:proofErr w:type="spellEnd"/>
      <w:r w:rsidRPr="001C3F25">
        <w:rPr>
          <w:szCs w:val="24"/>
        </w:rPr>
        <w:t>. Fetal Bovine Serum (FBS) and Beta-</w:t>
      </w:r>
      <w:proofErr w:type="spellStart"/>
      <w:r w:rsidRPr="001C3F25">
        <w:rPr>
          <w:szCs w:val="24"/>
        </w:rPr>
        <w:t>Mercaptoethanol</w:t>
      </w:r>
      <w:proofErr w:type="spellEnd"/>
      <w:r w:rsidRPr="001C3F25">
        <w:rPr>
          <w:szCs w:val="24"/>
        </w:rPr>
        <w:t xml:space="preserve"> (β-ME) were purchased from Sigma. Penicillin-Streptomycin-Glutamine (P/S/G), MEM non-essential amino acids (NEAA), HEPES Buffer Solution, and Sodium Pyruvate were purchased from Gibco. </w:t>
      </w:r>
      <w:proofErr w:type="spellStart"/>
      <w:r w:rsidRPr="001C3F25">
        <w:rPr>
          <w:szCs w:val="24"/>
        </w:rPr>
        <w:t>Normocin</w:t>
      </w:r>
      <w:proofErr w:type="spellEnd"/>
      <w:r w:rsidRPr="001C3F25">
        <w:rPr>
          <w:szCs w:val="24"/>
        </w:rPr>
        <w:t xml:space="preserve"> was purchased from </w:t>
      </w:r>
      <w:proofErr w:type="spellStart"/>
      <w:r w:rsidRPr="001C3F25">
        <w:rPr>
          <w:szCs w:val="24"/>
        </w:rPr>
        <w:t>Invivogen</w:t>
      </w:r>
      <w:proofErr w:type="spellEnd"/>
      <w:r w:rsidRPr="001C3F25">
        <w:rPr>
          <w:szCs w:val="24"/>
        </w:rPr>
        <w:t>.</w:t>
      </w:r>
    </w:p>
    <w:p w14:paraId="009D2C22" w14:textId="3FC6A712" w:rsidR="001C3F25" w:rsidRDefault="001C3F25" w:rsidP="001C3F25">
      <w:pPr>
        <w:jc w:val="both"/>
        <w:rPr>
          <w:szCs w:val="24"/>
        </w:rPr>
      </w:pPr>
      <w:r w:rsidRPr="001C3F25">
        <w:rPr>
          <w:szCs w:val="24"/>
        </w:rPr>
        <w:tab/>
        <w:t xml:space="preserve">The homemade C10 medium for culturing immune cells was made of RPMI 1640 cell culture medium, supplemented with FBS (10% vol/vol), P/S/G (1% vol/vol), MEM NEAA (1% vol/vol), HEPES (10 mM), Sodium Pyruvate (1 mM), β-ME (50 µM), and </w:t>
      </w:r>
      <w:proofErr w:type="spellStart"/>
      <w:r w:rsidRPr="001C3F25">
        <w:rPr>
          <w:szCs w:val="24"/>
        </w:rPr>
        <w:t>Normocin</w:t>
      </w:r>
      <w:proofErr w:type="spellEnd"/>
      <w:r w:rsidRPr="001C3F25">
        <w:rPr>
          <w:szCs w:val="24"/>
        </w:rPr>
        <w:t xml:space="preserve"> (100 µg/ml). </w:t>
      </w:r>
      <w:r w:rsidRPr="001C3F25">
        <w:rPr>
          <w:szCs w:val="24"/>
        </w:rPr>
        <w:lastRenderedPageBreak/>
        <w:t xml:space="preserve">The homemade D10 medium for culturing the HEK 293T cells was made of DMEM supplemented with FBS (10% vol/vol), P/S/G (1% vol/vol), and </w:t>
      </w:r>
      <w:proofErr w:type="spellStart"/>
      <w:r w:rsidRPr="001C3F25">
        <w:rPr>
          <w:szCs w:val="24"/>
        </w:rPr>
        <w:t>Normocin</w:t>
      </w:r>
      <w:proofErr w:type="spellEnd"/>
      <w:r w:rsidRPr="001C3F25">
        <w:rPr>
          <w:szCs w:val="24"/>
        </w:rPr>
        <w:t xml:space="preserve"> (100 µg/ml). The homemade R10 medium for culturing human tumor cell lines was made of RPMI supplemented with FBS (10% vol/vol), P/S/G (1% vol/vol), and </w:t>
      </w:r>
      <w:proofErr w:type="spellStart"/>
      <w:r w:rsidRPr="001C3F25">
        <w:rPr>
          <w:szCs w:val="24"/>
        </w:rPr>
        <w:t>Normocin</w:t>
      </w:r>
      <w:proofErr w:type="spellEnd"/>
      <w:r w:rsidRPr="001C3F25">
        <w:rPr>
          <w:szCs w:val="24"/>
        </w:rPr>
        <w:t xml:space="preserve"> (100 µg/ml).</w:t>
      </w:r>
    </w:p>
    <w:p w14:paraId="43043F52" w14:textId="14FE0834" w:rsidR="001C3F25" w:rsidRDefault="001C3F25" w:rsidP="001C3F25">
      <w:pPr>
        <w:jc w:val="both"/>
        <w:rPr>
          <w:szCs w:val="24"/>
        </w:rPr>
      </w:pPr>
    </w:p>
    <w:p w14:paraId="7F124DFC" w14:textId="77777777" w:rsidR="001C3F25" w:rsidRPr="001C3F25" w:rsidRDefault="001C3F25" w:rsidP="001C3F25">
      <w:pPr>
        <w:jc w:val="both"/>
        <w:rPr>
          <w:b/>
          <w:bCs/>
          <w:color w:val="000000" w:themeColor="text1"/>
          <w:szCs w:val="24"/>
        </w:rPr>
      </w:pPr>
      <w:r w:rsidRPr="001C3F25">
        <w:rPr>
          <w:b/>
          <w:bCs/>
          <w:color w:val="000000" w:themeColor="text1"/>
          <w:szCs w:val="24"/>
        </w:rPr>
        <w:t>Lentiviral vectors</w:t>
      </w:r>
    </w:p>
    <w:p w14:paraId="7C46B926" w14:textId="376FFFD5" w:rsidR="001C3F25" w:rsidRPr="001C3F25" w:rsidRDefault="001C3F25" w:rsidP="001C3F25">
      <w:pPr>
        <w:jc w:val="both"/>
        <w:rPr>
          <w:color w:val="000000"/>
          <w:szCs w:val="24"/>
        </w:rPr>
      </w:pPr>
      <w:r w:rsidRPr="001C3F25">
        <w:rPr>
          <w:color w:val="000000"/>
          <w:szCs w:val="24"/>
        </w:rPr>
        <w:t xml:space="preserve">Lentiviral vectors used in this study were all constructed from a parental lentivector </w:t>
      </w:r>
      <w:proofErr w:type="spellStart"/>
      <w:r w:rsidRPr="001C3F25">
        <w:rPr>
          <w:color w:val="000000"/>
          <w:szCs w:val="24"/>
        </w:rPr>
        <w:t>pMNDW</w:t>
      </w:r>
      <w:proofErr w:type="spellEnd"/>
      <w:r w:rsidRPr="001C3F25">
        <w:rPr>
          <w:color w:val="000000"/>
          <w:szCs w:val="24"/>
        </w:rPr>
        <w:t>.</w:t>
      </w:r>
      <w:r w:rsidRPr="001C3F25">
        <w:rPr>
          <w:color w:val="000000" w:themeColor="text1"/>
          <w:szCs w:val="24"/>
        </w:rPr>
        <w:t xml:space="preserve"> </w:t>
      </w:r>
      <w:r w:rsidRPr="001C3F25">
        <w:rPr>
          <w:color w:val="000000"/>
          <w:szCs w:val="24"/>
        </w:rPr>
        <w:t xml:space="preserve">The 2A sequences derived from foot-and-mouth disease virus (F2A), porcine teschovirus-1 (P2A), and </w:t>
      </w:r>
      <w:proofErr w:type="spellStart"/>
      <w:r w:rsidRPr="001C3F25">
        <w:rPr>
          <w:color w:val="000000"/>
          <w:szCs w:val="24"/>
        </w:rPr>
        <w:t>Thosea</w:t>
      </w:r>
      <w:proofErr w:type="spellEnd"/>
      <w:r w:rsidRPr="001C3F25">
        <w:rPr>
          <w:color w:val="000000"/>
          <w:szCs w:val="24"/>
        </w:rPr>
        <w:t xml:space="preserve"> </w:t>
      </w:r>
      <w:proofErr w:type="spellStart"/>
      <w:r w:rsidRPr="001C3F25">
        <w:rPr>
          <w:color w:val="000000"/>
          <w:szCs w:val="24"/>
        </w:rPr>
        <w:t>asigna</w:t>
      </w:r>
      <w:proofErr w:type="spellEnd"/>
      <w:r w:rsidRPr="001C3F25">
        <w:rPr>
          <w:color w:val="000000"/>
          <w:szCs w:val="24"/>
        </w:rPr>
        <w:t xml:space="preserve"> virus (T2A) were used to link the inserted genes to achieve co-expression. </w:t>
      </w:r>
    </w:p>
    <w:p w14:paraId="4039E9B4" w14:textId="2037830A" w:rsidR="001C3F25" w:rsidRDefault="001C3F25" w:rsidP="001C3F25">
      <w:pPr>
        <w:ind w:firstLine="720"/>
        <w:jc w:val="both"/>
        <w:rPr>
          <w:color w:val="000000"/>
          <w:szCs w:val="24"/>
        </w:rPr>
      </w:pPr>
      <w:r w:rsidRPr="001C3F25">
        <w:rPr>
          <w:color w:val="000000" w:themeColor="text1"/>
          <w:szCs w:val="24"/>
        </w:rPr>
        <w:t xml:space="preserve">The </w:t>
      </w:r>
      <w:proofErr w:type="spellStart"/>
      <w:r w:rsidRPr="001C3F25">
        <w:rPr>
          <w:color w:val="000000" w:themeColor="text1"/>
          <w:szCs w:val="24"/>
        </w:rPr>
        <w:t>Lenti</w:t>
      </w:r>
      <w:proofErr w:type="spellEnd"/>
      <w:r w:rsidRPr="001C3F25">
        <w:rPr>
          <w:color w:val="000000" w:themeColor="text1"/>
          <w:szCs w:val="24"/>
        </w:rPr>
        <w:t xml:space="preserve">/MCAR vector 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 xml:space="preserve">parental vector </w:t>
      </w:r>
      <w:r w:rsidRPr="001C3F25">
        <w:rPr>
          <w:color w:val="000000" w:themeColor="text1"/>
          <w:szCs w:val="24"/>
        </w:rPr>
        <w:t>a synthetic gene encoding mesothelin-targeting chimeric antigen receptor (MCAR). The MCAR design contains a mesothelin-targeting single-chain variable fragment (</w:t>
      </w:r>
      <w:proofErr w:type="spellStart"/>
      <w:r w:rsidRPr="001C3F25">
        <w:rPr>
          <w:color w:val="000000" w:themeColor="text1"/>
          <w:szCs w:val="24"/>
        </w:rPr>
        <w:t>scFv</w:t>
      </w:r>
      <w:proofErr w:type="spellEnd"/>
      <w:r w:rsidRPr="001C3F25">
        <w:rPr>
          <w:color w:val="000000" w:themeColor="text1"/>
          <w:szCs w:val="24"/>
        </w:rPr>
        <w:t xml:space="preserve">), a CD8 hinge, a CD28 transmembrane domain, a CD28 and a 4-1BB co-stimulatory domains, and a CD3ζ domain. The </w:t>
      </w:r>
      <w:proofErr w:type="spellStart"/>
      <w:r w:rsidRPr="001C3F25">
        <w:rPr>
          <w:color w:val="000000" w:themeColor="text1"/>
          <w:szCs w:val="24"/>
        </w:rPr>
        <w:t>Lenti</w:t>
      </w:r>
      <w:proofErr w:type="spellEnd"/>
      <w:r w:rsidRPr="001C3F25">
        <w:rPr>
          <w:color w:val="000000" w:themeColor="text1"/>
          <w:szCs w:val="24"/>
        </w:rPr>
        <w:t xml:space="preserve">/iNKT-MCAR-IL15 vector 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parental vector</w:t>
      </w:r>
      <w:r w:rsidRPr="001C3F25">
        <w:rPr>
          <w:color w:val="000000" w:themeColor="text1"/>
          <w:szCs w:val="24"/>
        </w:rPr>
        <w:t xml:space="preserve"> a synthetic </w:t>
      </w:r>
      <w:proofErr w:type="spellStart"/>
      <w:r w:rsidRPr="001C3F25">
        <w:rPr>
          <w:color w:val="000000" w:themeColor="text1"/>
          <w:szCs w:val="24"/>
        </w:rPr>
        <w:t>tetracistronic</w:t>
      </w:r>
      <w:proofErr w:type="spellEnd"/>
      <w:r w:rsidRPr="001C3F25">
        <w:rPr>
          <w:color w:val="000000" w:themeColor="text1"/>
          <w:szCs w:val="24"/>
        </w:rPr>
        <w:t xml:space="preserve"> gene encoding human </w:t>
      </w:r>
      <w:proofErr w:type="spellStart"/>
      <w:r w:rsidRPr="001C3F25">
        <w:rPr>
          <w:color w:val="000000" w:themeColor="text1"/>
          <w:szCs w:val="24"/>
        </w:rPr>
        <w:t>iNKT</w:t>
      </w:r>
      <w:proofErr w:type="spellEnd"/>
      <w:r w:rsidRPr="001C3F25">
        <w:rPr>
          <w:color w:val="000000" w:themeColor="text1"/>
          <w:szCs w:val="24"/>
        </w:rPr>
        <w:t xml:space="preserve"> TCRα-F2A-TCRβ-P2A-MCAR-T2A-IL-15. The </w:t>
      </w:r>
      <w:proofErr w:type="spellStart"/>
      <w:r w:rsidRPr="001C3F25">
        <w:rPr>
          <w:color w:val="000000" w:themeColor="text1"/>
          <w:szCs w:val="24"/>
        </w:rPr>
        <w:t>Lenti</w:t>
      </w:r>
      <w:proofErr w:type="spellEnd"/>
      <w:r w:rsidRPr="001C3F25">
        <w:rPr>
          <w:color w:val="000000" w:themeColor="text1"/>
          <w:szCs w:val="24"/>
        </w:rPr>
        <w:t>/</w:t>
      </w:r>
      <w:proofErr w:type="spellStart"/>
      <w:r w:rsidRPr="001C3F25">
        <w:rPr>
          <w:color w:val="000000" w:themeColor="text1"/>
          <w:szCs w:val="24"/>
        </w:rPr>
        <w:t>iNKT</w:t>
      </w:r>
      <w:proofErr w:type="spellEnd"/>
      <w:r w:rsidRPr="001C3F25">
        <w:rPr>
          <w:color w:val="000000" w:themeColor="text1"/>
          <w:szCs w:val="24"/>
        </w:rPr>
        <w:t xml:space="preserve"> vector 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parental vector</w:t>
      </w:r>
      <w:r w:rsidRPr="001C3F25">
        <w:rPr>
          <w:color w:val="000000" w:themeColor="text1"/>
          <w:szCs w:val="24"/>
        </w:rPr>
        <w:t xml:space="preserve"> a synthetic </w:t>
      </w:r>
      <w:proofErr w:type="spellStart"/>
      <w:r w:rsidRPr="001C3F25">
        <w:rPr>
          <w:color w:val="000000" w:themeColor="text1"/>
          <w:szCs w:val="24"/>
        </w:rPr>
        <w:t>bicistronic</w:t>
      </w:r>
      <w:proofErr w:type="spellEnd"/>
      <w:r w:rsidRPr="001C3F25">
        <w:rPr>
          <w:color w:val="000000" w:themeColor="text1"/>
          <w:szCs w:val="24"/>
        </w:rPr>
        <w:t xml:space="preserve"> gene encoding human </w:t>
      </w:r>
      <w:proofErr w:type="spellStart"/>
      <w:r w:rsidRPr="001C3F25">
        <w:rPr>
          <w:color w:val="000000" w:themeColor="text1"/>
          <w:szCs w:val="24"/>
        </w:rPr>
        <w:t>iNKT</w:t>
      </w:r>
      <w:proofErr w:type="spellEnd"/>
      <w:r w:rsidRPr="001C3F25">
        <w:rPr>
          <w:color w:val="000000" w:themeColor="text1"/>
          <w:szCs w:val="24"/>
        </w:rPr>
        <w:t xml:space="preserve"> TCRα-F2A-TCRβ. The </w:t>
      </w:r>
      <w:proofErr w:type="spellStart"/>
      <w:r w:rsidRPr="001C3F25">
        <w:rPr>
          <w:color w:val="000000" w:themeColor="text1"/>
          <w:szCs w:val="24"/>
        </w:rPr>
        <w:t>Lenti</w:t>
      </w:r>
      <w:proofErr w:type="spellEnd"/>
      <w:r w:rsidRPr="001C3F25">
        <w:rPr>
          <w:color w:val="000000" w:themeColor="text1"/>
          <w:szCs w:val="24"/>
        </w:rPr>
        <w:t>/</w:t>
      </w:r>
      <w:proofErr w:type="spellStart"/>
      <w:r w:rsidRPr="001C3F25">
        <w:rPr>
          <w:color w:val="000000" w:themeColor="text1"/>
          <w:szCs w:val="24"/>
        </w:rPr>
        <w:t>iNKT</w:t>
      </w:r>
      <w:proofErr w:type="spellEnd"/>
      <w:r w:rsidRPr="001C3F25">
        <w:rPr>
          <w:color w:val="000000" w:themeColor="text1"/>
          <w:szCs w:val="24"/>
        </w:rPr>
        <w:t xml:space="preserve">-MCAR vector 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parental vector</w:t>
      </w:r>
      <w:r w:rsidRPr="001C3F25">
        <w:rPr>
          <w:color w:val="000000" w:themeColor="text1"/>
          <w:szCs w:val="24"/>
        </w:rPr>
        <w:t xml:space="preserve"> a synthetic </w:t>
      </w:r>
      <w:proofErr w:type="spellStart"/>
      <w:r w:rsidRPr="001C3F25">
        <w:rPr>
          <w:color w:val="000000" w:themeColor="text1"/>
          <w:szCs w:val="24"/>
        </w:rPr>
        <w:t>tricistronic</w:t>
      </w:r>
      <w:proofErr w:type="spellEnd"/>
      <w:r w:rsidRPr="001C3F25">
        <w:rPr>
          <w:color w:val="000000" w:themeColor="text1"/>
          <w:szCs w:val="24"/>
        </w:rPr>
        <w:t xml:space="preserve"> gene encoding human </w:t>
      </w:r>
      <w:proofErr w:type="spellStart"/>
      <w:r w:rsidRPr="001C3F25">
        <w:rPr>
          <w:color w:val="000000" w:themeColor="text1"/>
          <w:szCs w:val="24"/>
        </w:rPr>
        <w:t>iNKT</w:t>
      </w:r>
      <w:proofErr w:type="spellEnd"/>
      <w:r w:rsidRPr="001C3F25">
        <w:rPr>
          <w:color w:val="000000" w:themeColor="text1"/>
          <w:szCs w:val="24"/>
        </w:rPr>
        <w:t xml:space="preserve"> TCRα-F2A-TCRβ-P2A-MCAR. The </w:t>
      </w:r>
      <w:proofErr w:type="spellStart"/>
      <w:r w:rsidRPr="001C3F25">
        <w:rPr>
          <w:color w:val="000000"/>
          <w:szCs w:val="24"/>
        </w:rPr>
        <w:t>Lenti</w:t>
      </w:r>
      <w:proofErr w:type="spellEnd"/>
      <w:r w:rsidRPr="001C3F25">
        <w:rPr>
          <w:color w:val="000000"/>
          <w:szCs w:val="24"/>
        </w:rPr>
        <w:t xml:space="preserve">/MCAR-IL15 </w:t>
      </w:r>
      <w:r w:rsidRPr="001C3F25">
        <w:rPr>
          <w:color w:val="000000" w:themeColor="text1"/>
          <w:szCs w:val="24"/>
        </w:rPr>
        <w:t xml:space="preserve">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 xml:space="preserve">parental vector </w:t>
      </w:r>
      <w:r w:rsidRPr="001C3F25">
        <w:rPr>
          <w:color w:val="000000" w:themeColor="text1"/>
          <w:szCs w:val="24"/>
        </w:rPr>
        <w:t xml:space="preserve">a synthetic </w:t>
      </w:r>
      <w:proofErr w:type="spellStart"/>
      <w:r w:rsidRPr="001C3F25">
        <w:rPr>
          <w:color w:val="000000" w:themeColor="text1"/>
          <w:szCs w:val="24"/>
        </w:rPr>
        <w:t>bicistronic</w:t>
      </w:r>
      <w:proofErr w:type="spellEnd"/>
      <w:r w:rsidRPr="001C3F25">
        <w:rPr>
          <w:color w:val="000000" w:themeColor="text1"/>
          <w:szCs w:val="24"/>
        </w:rPr>
        <w:t xml:space="preserve"> gene encoding MCAR-F2A-IL-15. The </w:t>
      </w:r>
      <w:proofErr w:type="spellStart"/>
      <w:r w:rsidRPr="001C3F25">
        <w:rPr>
          <w:color w:val="000000" w:themeColor="text1"/>
          <w:szCs w:val="24"/>
        </w:rPr>
        <w:t>Lenti</w:t>
      </w:r>
      <w:proofErr w:type="spellEnd"/>
      <w:r w:rsidRPr="001C3F25">
        <w:rPr>
          <w:color w:val="000000" w:themeColor="text1"/>
          <w:szCs w:val="24"/>
        </w:rPr>
        <w:t xml:space="preserve">/FG vector was constructed by inserting into the </w:t>
      </w:r>
      <w:proofErr w:type="spellStart"/>
      <w:r w:rsidRPr="001C3F25">
        <w:rPr>
          <w:color w:val="000000" w:themeColor="text1"/>
          <w:szCs w:val="24"/>
        </w:rPr>
        <w:t>pMNDW</w:t>
      </w:r>
      <w:proofErr w:type="spellEnd"/>
      <w:r w:rsidRPr="001C3F25">
        <w:rPr>
          <w:color w:val="000000" w:themeColor="text1"/>
          <w:szCs w:val="24"/>
        </w:rPr>
        <w:t xml:space="preserve"> </w:t>
      </w:r>
      <w:r w:rsidRPr="001C3F25">
        <w:rPr>
          <w:color w:val="000000"/>
          <w:szCs w:val="24"/>
        </w:rPr>
        <w:t xml:space="preserve">parental vector </w:t>
      </w:r>
      <w:r w:rsidRPr="001C3F25">
        <w:rPr>
          <w:color w:val="000000" w:themeColor="text1"/>
          <w:szCs w:val="24"/>
        </w:rPr>
        <w:t xml:space="preserve">a synthetic </w:t>
      </w:r>
      <w:proofErr w:type="spellStart"/>
      <w:r w:rsidRPr="001C3F25">
        <w:rPr>
          <w:color w:val="000000" w:themeColor="text1"/>
          <w:szCs w:val="24"/>
        </w:rPr>
        <w:t>bicistronic</w:t>
      </w:r>
      <w:proofErr w:type="spellEnd"/>
      <w:r w:rsidRPr="001C3F25">
        <w:rPr>
          <w:color w:val="000000" w:themeColor="text1"/>
          <w:szCs w:val="24"/>
        </w:rPr>
        <w:t xml:space="preserve"> gene encoding Fluc-P2A-EGFP. The synthetic gene fragments were obtained from </w:t>
      </w:r>
      <w:proofErr w:type="spellStart"/>
      <w:r w:rsidRPr="001C3F25">
        <w:rPr>
          <w:color w:val="000000" w:themeColor="text1"/>
          <w:szCs w:val="24"/>
        </w:rPr>
        <w:t>GenScript</w:t>
      </w:r>
      <w:proofErr w:type="spellEnd"/>
      <w:r w:rsidRPr="001C3F25">
        <w:rPr>
          <w:color w:val="000000" w:themeColor="text1"/>
          <w:szCs w:val="24"/>
        </w:rPr>
        <w:t xml:space="preserve"> or IDT. </w:t>
      </w:r>
      <w:r w:rsidRPr="001C3F25">
        <w:rPr>
          <w:color w:val="000000"/>
          <w:szCs w:val="24"/>
        </w:rPr>
        <w:t>Lentiviruses were produced using HEK 293T cells, following a standard transfection protocol using the Trans-IT-</w:t>
      </w:r>
      <w:proofErr w:type="spellStart"/>
      <w:r w:rsidRPr="001C3F25">
        <w:rPr>
          <w:color w:val="000000"/>
          <w:szCs w:val="24"/>
        </w:rPr>
        <w:t>Lenti</w:t>
      </w:r>
      <w:proofErr w:type="spellEnd"/>
      <w:r w:rsidRPr="001C3F25">
        <w:rPr>
          <w:color w:val="000000"/>
          <w:szCs w:val="24"/>
        </w:rPr>
        <w:t xml:space="preserve"> Transfection Reagent (</w:t>
      </w:r>
      <w:proofErr w:type="spellStart"/>
      <w:r w:rsidRPr="001C3F25">
        <w:rPr>
          <w:color w:val="000000"/>
          <w:szCs w:val="24"/>
        </w:rPr>
        <w:t>Mirus</w:t>
      </w:r>
      <w:proofErr w:type="spellEnd"/>
      <w:r w:rsidRPr="001C3F25">
        <w:rPr>
          <w:color w:val="000000"/>
          <w:szCs w:val="24"/>
        </w:rPr>
        <w:t xml:space="preserve"> Bio) and a centrifugation concentration protocol using the </w:t>
      </w:r>
      <w:proofErr w:type="spellStart"/>
      <w:r w:rsidRPr="001C3F25">
        <w:rPr>
          <w:color w:val="000000"/>
          <w:szCs w:val="24"/>
        </w:rPr>
        <w:t>Amicon</w:t>
      </w:r>
      <w:r w:rsidRPr="001C3F25">
        <w:rPr>
          <w:color w:val="000000"/>
          <w:szCs w:val="24"/>
          <w:vertAlign w:val="superscript"/>
        </w:rPr>
        <w:t>TM</w:t>
      </w:r>
      <w:proofErr w:type="spellEnd"/>
      <w:r w:rsidRPr="001C3F25">
        <w:rPr>
          <w:color w:val="000000"/>
          <w:szCs w:val="24"/>
          <w:vertAlign w:val="superscript"/>
        </w:rPr>
        <w:t xml:space="preserve"> </w:t>
      </w:r>
      <w:r w:rsidRPr="001C3F25">
        <w:rPr>
          <w:color w:val="000000"/>
          <w:szCs w:val="24"/>
        </w:rPr>
        <w:t>Ultra Centrifugal Filter Units (</w:t>
      </w:r>
      <w:proofErr w:type="spellStart"/>
      <w:r w:rsidRPr="001C3F25">
        <w:rPr>
          <w:color w:val="000000"/>
          <w:szCs w:val="24"/>
        </w:rPr>
        <w:t>MilliporeSigma</w:t>
      </w:r>
      <w:proofErr w:type="spellEnd"/>
      <w:r w:rsidRPr="001C3F25">
        <w:rPr>
          <w:color w:val="000000"/>
          <w:szCs w:val="24"/>
        </w:rPr>
        <w:t>), according to the manufacturers’ instructions.</w:t>
      </w:r>
    </w:p>
    <w:p w14:paraId="0CAAD859" w14:textId="113A8D46" w:rsidR="001C3F25" w:rsidRDefault="001C3F25" w:rsidP="001C3F25">
      <w:pPr>
        <w:jc w:val="both"/>
        <w:rPr>
          <w:color w:val="000000"/>
          <w:szCs w:val="24"/>
        </w:rPr>
      </w:pPr>
    </w:p>
    <w:p w14:paraId="5B2094AC" w14:textId="77777777" w:rsidR="001C3F25" w:rsidRPr="001C3F25" w:rsidRDefault="001C3F25" w:rsidP="001C3F25">
      <w:pPr>
        <w:jc w:val="both"/>
        <w:rPr>
          <w:b/>
          <w:bCs/>
          <w:color w:val="000000" w:themeColor="text1"/>
          <w:szCs w:val="24"/>
        </w:rPr>
      </w:pPr>
      <w:r w:rsidRPr="001C3F25">
        <w:rPr>
          <w:b/>
          <w:bCs/>
          <w:color w:val="000000" w:themeColor="text1"/>
          <w:szCs w:val="24"/>
        </w:rPr>
        <w:t>Generation of allogeneic mesothelin-targeting CAR-engineered NKT (CAR-NKT) cells</w:t>
      </w:r>
    </w:p>
    <w:p w14:paraId="0BF46BAB" w14:textId="62F9DFDE" w:rsidR="001C3F25" w:rsidRPr="001C3F25" w:rsidRDefault="001C3F25" w:rsidP="001C3F25">
      <w:pPr>
        <w:jc w:val="both"/>
        <w:rPr>
          <w:szCs w:val="24"/>
        </w:rPr>
      </w:pPr>
      <w:r w:rsidRPr="001C3F25">
        <w:rPr>
          <w:color w:val="000000"/>
          <w:szCs w:val="24"/>
        </w:rPr>
        <w:t>NKT</w:t>
      </w:r>
      <w:r w:rsidRPr="001C3F25">
        <w:rPr>
          <w:color w:val="000000"/>
          <w:szCs w:val="24"/>
          <w:vertAlign w:val="superscript"/>
        </w:rPr>
        <w:t xml:space="preserve"> </w:t>
      </w:r>
      <w:r w:rsidRPr="001C3F25">
        <w:rPr>
          <w:szCs w:val="24"/>
        </w:rPr>
        <w:t>cells were generated from gene-engineered human cord blood CD34</w:t>
      </w:r>
      <w:r w:rsidRPr="001C3F25">
        <w:rPr>
          <w:szCs w:val="24"/>
          <w:vertAlign w:val="superscript"/>
        </w:rPr>
        <w:t>+</w:t>
      </w:r>
      <w:r w:rsidRPr="001C3F25">
        <w:rPr>
          <w:szCs w:val="24"/>
        </w:rPr>
        <w:t xml:space="preserve"> HSPCs using a 5-stage clinically guided culture method. </w:t>
      </w:r>
      <w:r w:rsidRPr="001C3F25">
        <w:rPr>
          <w:color w:val="000000"/>
          <w:szCs w:val="24"/>
        </w:rPr>
        <w:t xml:space="preserve">The starting </w:t>
      </w:r>
      <w:r w:rsidRPr="001C3F25">
        <w:rPr>
          <w:szCs w:val="24"/>
        </w:rPr>
        <w:t>HSPC</w:t>
      </w:r>
      <w:r w:rsidRPr="001C3F25">
        <w:rPr>
          <w:color w:val="000000"/>
          <w:szCs w:val="24"/>
        </w:rPr>
        <w:t xml:space="preserve">s were engineered to overexpress a transgenic human </w:t>
      </w:r>
      <w:proofErr w:type="spellStart"/>
      <w:r w:rsidRPr="001C3F25">
        <w:rPr>
          <w:color w:val="000000"/>
          <w:szCs w:val="24"/>
        </w:rPr>
        <w:t>iNKT</w:t>
      </w:r>
      <w:proofErr w:type="spellEnd"/>
      <w:r w:rsidRPr="001C3F25">
        <w:rPr>
          <w:color w:val="000000"/>
          <w:szCs w:val="24"/>
        </w:rPr>
        <w:t xml:space="preserve"> TCR, and/or a MSLN-targeting CAR, and/or the secreted form of human IL-15. In this study, HSPCs were engineered with </w:t>
      </w:r>
      <w:proofErr w:type="spellStart"/>
      <w:r w:rsidRPr="001C3F25">
        <w:rPr>
          <w:color w:val="000000"/>
          <w:szCs w:val="24"/>
        </w:rPr>
        <w:t>Lenti</w:t>
      </w:r>
      <w:proofErr w:type="spellEnd"/>
      <w:r w:rsidRPr="001C3F25">
        <w:rPr>
          <w:color w:val="000000"/>
          <w:szCs w:val="24"/>
        </w:rPr>
        <w:t>/</w:t>
      </w:r>
      <w:proofErr w:type="spellStart"/>
      <w:r w:rsidRPr="001C3F25">
        <w:rPr>
          <w:color w:val="000000"/>
          <w:szCs w:val="24"/>
        </w:rPr>
        <w:t>iNKT</w:t>
      </w:r>
      <w:proofErr w:type="spellEnd"/>
      <w:r w:rsidRPr="001C3F25">
        <w:rPr>
          <w:color w:val="000000"/>
          <w:szCs w:val="24"/>
        </w:rPr>
        <w:t xml:space="preserve"> to generate NKT cells, with </w:t>
      </w:r>
      <w:proofErr w:type="spellStart"/>
      <w:r w:rsidRPr="001C3F25">
        <w:rPr>
          <w:color w:val="000000"/>
          <w:szCs w:val="24"/>
        </w:rPr>
        <w:t>Lenti</w:t>
      </w:r>
      <w:proofErr w:type="spellEnd"/>
      <w:r w:rsidRPr="001C3F25">
        <w:rPr>
          <w:color w:val="000000"/>
          <w:szCs w:val="24"/>
        </w:rPr>
        <w:t>/</w:t>
      </w:r>
      <w:proofErr w:type="spellStart"/>
      <w:r w:rsidRPr="001C3F25">
        <w:rPr>
          <w:color w:val="000000"/>
          <w:szCs w:val="24"/>
        </w:rPr>
        <w:t>iNKT</w:t>
      </w:r>
      <w:proofErr w:type="spellEnd"/>
      <w:r w:rsidRPr="001C3F25">
        <w:rPr>
          <w:color w:val="000000"/>
          <w:szCs w:val="24"/>
        </w:rPr>
        <w:t xml:space="preserve">-MCAR to generate CAR-NKT (no IL-15) cells, and with </w:t>
      </w:r>
      <w:proofErr w:type="spellStart"/>
      <w:r w:rsidRPr="001C3F25">
        <w:rPr>
          <w:color w:val="000000"/>
          <w:szCs w:val="24"/>
        </w:rPr>
        <w:t>Lenti</w:t>
      </w:r>
      <w:proofErr w:type="spellEnd"/>
      <w:r w:rsidRPr="001C3F25">
        <w:rPr>
          <w:color w:val="000000"/>
          <w:szCs w:val="24"/>
        </w:rPr>
        <w:t>/iNKT-MCAR-IL15 to generate CAR-NKT cells.</w:t>
      </w:r>
    </w:p>
    <w:p w14:paraId="3AD34927" w14:textId="25A12085" w:rsidR="001C3F25" w:rsidRPr="001C3F25" w:rsidRDefault="001C3F25" w:rsidP="001C3F25">
      <w:pPr>
        <w:ind w:firstLine="720"/>
        <w:contextualSpacing/>
        <w:jc w:val="both"/>
        <w:rPr>
          <w:szCs w:val="24"/>
        </w:rPr>
      </w:pPr>
      <w:r w:rsidRPr="001C3F25">
        <w:rPr>
          <w:szCs w:val="24"/>
        </w:rPr>
        <w:t>At Stage 0, frozen-thawed human CD34</w:t>
      </w:r>
      <w:r w:rsidRPr="001C3F25">
        <w:rPr>
          <w:szCs w:val="24"/>
          <w:vertAlign w:val="superscript"/>
        </w:rPr>
        <w:t>+</w:t>
      </w:r>
      <w:r w:rsidRPr="001C3F25">
        <w:rPr>
          <w:position w:val="8"/>
          <w:szCs w:val="24"/>
        </w:rPr>
        <w:t xml:space="preserve"> </w:t>
      </w:r>
      <w:r w:rsidRPr="001C3F25">
        <w:rPr>
          <w:szCs w:val="24"/>
        </w:rPr>
        <w:t xml:space="preserve">HSPCs were revived and cultured in X-VIVO 15 Serum-Free Hematopoietic Stem Cell Medium supplemented with Flt3L (50 ng/ml), SCF (50 ng/ml), TPO (50 ng/ml), and IL-3 (20 ng/ml) in non-tissue culture treated 24-well plate for 24 hours, then transduced with </w:t>
      </w:r>
      <w:proofErr w:type="spellStart"/>
      <w:r w:rsidRPr="001C3F25">
        <w:rPr>
          <w:szCs w:val="24"/>
        </w:rPr>
        <w:t>Lenti</w:t>
      </w:r>
      <w:proofErr w:type="spellEnd"/>
      <w:r w:rsidRPr="001C3F25">
        <w:rPr>
          <w:szCs w:val="24"/>
        </w:rPr>
        <w:t>/</w:t>
      </w:r>
      <w:proofErr w:type="spellStart"/>
      <w:r w:rsidRPr="001C3F25">
        <w:rPr>
          <w:szCs w:val="24"/>
        </w:rPr>
        <w:t>iNKT</w:t>
      </w:r>
      <w:proofErr w:type="spellEnd"/>
      <w:r w:rsidRPr="001C3F25">
        <w:rPr>
          <w:szCs w:val="24"/>
        </w:rPr>
        <w:t xml:space="preserve">-(MCAR)-(IL15) viruses for another 24 hours. Concentrated lentivirus supernatants were mixed with Poloxamer </w:t>
      </w:r>
      <w:proofErr w:type="spellStart"/>
      <w:r w:rsidRPr="001C3F25">
        <w:rPr>
          <w:szCs w:val="24"/>
        </w:rPr>
        <w:t>Synperonic</w:t>
      </w:r>
      <w:proofErr w:type="spellEnd"/>
      <w:r w:rsidRPr="001C3F25">
        <w:rPr>
          <w:szCs w:val="24"/>
        </w:rPr>
        <w:t xml:space="preserve"> F108 (1:100 dilution) and Prostaglandin E2 (PGE2; 1:1000 dilution), and then gently added to the HSPCs cultures.</w:t>
      </w:r>
    </w:p>
    <w:p w14:paraId="56AA2253" w14:textId="77777777" w:rsidR="001C3F25" w:rsidRPr="001C3F25" w:rsidRDefault="001C3F25" w:rsidP="001C3F25">
      <w:pPr>
        <w:ind w:firstLine="720"/>
        <w:contextualSpacing/>
        <w:jc w:val="both"/>
        <w:rPr>
          <w:color w:val="000000"/>
          <w:szCs w:val="24"/>
        </w:rPr>
      </w:pPr>
      <w:r w:rsidRPr="001C3F25">
        <w:rPr>
          <w:szCs w:val="24"/>
        </w:rPr>
        <w:t xml:space="preserve">At Stage 1, </w:t>
      </w:r>
      <w:proofErr w:type="gramStart"/>
      <w:r w:rsidRPr="001C3F25">
        <w:rPr>
          <w:szCs w:val="24"/>
        </w:rPr>
        <w:t>gene-engineered</w:t>
      </w:r>
      <w:proofErr w:type="gramEnd"/>
      <w:r w:rsidRPr="001C3F25">
        <w:rPr>
          <w:szCs w:val="24"/>
        </w:rPr>
        <w:t xml:space="preserve"> HSPCs collected from Stage 0 were cultured in the </w:t>
      </w:r>
      <w:proofErr w:type="spellStart"/>
      <w:r w:rsidRPr="001C3F25">
        <w:rPr>
          <w:szCs w:val="24"/>
        </w:rPr>
        <w:t>StemSpan</w:t>
      </w:r>
      <w:r w:rsidRPr="001C3F25">
        <w:rPr>
          <w:szCs w:val="24"/>
          <w:vertAlign w:val="superscript"/>
        </w:rPr>
        <w:t>TM</w:t>
      </w:r>
      <w:proofErr w:type="spellEnd"/>
      <w:r w:rsidRPr="001C3F25">
        <w:rPr>
          <w:szCs w:val="24"/>
        </w:rPr>
        <w:t xml:space="preserve"> SFEM II Medium supplemented with </w:t>
      </w:r>
      <w:proofErr w:type="spellStart"/>
      <w:r w:rsidRPr="001C3F25">
        <w:rPr>
          <w:szCs w:val="24"/>
        </w:rPr>
        <w:t>StemSpan</w:t>
      </w:r>
      <w:r w:rsidRPr="001C3F25">
        <w:rPr>
          <w:szCs w:val="24"/>
          <w:vertAlign w:val="superscript"/>
        </w:rPr>
        <w:t>TM</w:t>
      </w:r>
      <w:proofErr w:type="spellEnd"/>
      <w:r w:rsidRPr="001C3F25">
        <w:rPr>
          <w:szCs w:val="24"/>
        </w:rPr>
        <w:t xml:space="preserve"> Lymphoid Progenitor Expansion Supplement (denoted as LPE medium) for two weeks. CELLSTAR®24-well Cell Culture Nontreated </w:t>
      </w:r>
      <w:proofErr w:type="spellStart"/>
      <w:r w:rsidRPr="001C3F25">
        <w:rPr>
          <w:szCs w:val="24"/>
        </w:rPr>
        <w:t>Multiwell</w:t>
      </w:r>
      <w:proofErr w:type="spellEnd"/>
      <w:r w:rsidRPr="001C3F25">
        <w:rPr>
          <w:szCs w:val="24"/>
        </w:rPr>
        <w:t xml:space="preserve"> Plates (VWR) </w:t>
      </w:r>
      <w:r w:rsidRPr="001C3F25">
        <w:rPr>
          <w:color w:val="000000"/>
          <w:szCs w:val="24"/>
        </w:rPr>
        <w:t xml:space="preserve">were pre-coated with 500 µl/well </w:t>
      </w:r>
      <w:proofErr w:type="spellStart"/>
      <w:r w:rsidRPr="001C3F25">
        <w:rPr>
          <w:color w:val="000000"/>
          <w:szCs w:val="24"/>
        </w:rPr>
        <w:t>StemSpan</w:t>
      </w:r>
      <w:r w:rsidRPr="001C3F25">
        <w:rPr>
          <w:color w:val="000000"/>
          <w:szCs w:val="24"/>
          <w:vertAlign w:val="superscript"/>
        </w:rPr>
        <w:t>TM</w:t>
      </w:r>
      <w:proofErr w:type="spellEnd"/>
      <w:r w:rsidRPr="001C3F25">
        <w:rPr>
          <w:color w:val="000000"/>
          <w:szCs w:val="24"/>
        </w:rPr>
        <w:t xml:space="preserve"> Lymphoid Differentiation Coating Material for 2 hours at room temperature or alternatively, overnight at 4 </w:t>
      </w:r>
      <w:r w:rsidRPr="001C3F25">
        <w:rPr>
          <w:color w:val="000000" w:themeColor="text1"/>
          <w:szCs w:val="24"/>
        </w:rPr>
        <w:lastRenderedPageBreak/>
        <w:t>°</w:t>
      </w:r>
      <w:r w:rsidRPr="001C3F25">
        <w:rPr>
          <w:color w:val="000000"/>
          <w:szCs w:val="24"/>
        </w:rPr>
        <w:t xml:space="preserve">C. </w:t>
      </w:r>
      <w:r w:rsidRPr="001C3F25">
        <w:rPr>
          <w:szCs w:val="24"/>
        </w:rPr>
        <w:t>Gene-engineered</w:t>
      </w:r>
      <w:r w:rsidRPr="001C3F25">
        <w:rPr>
          <w:color w:val="000000"/>
          <w:szCs w:val="24"/>
        </w:rPr>
        <w:t xml:space="preserve"> </w:t>
      </w:r>
      <w:r w:rsidRPr="001C3F25">
        <w:rPr>
          <w:szCs w:val="24"/>
        </w:rPr>
        <w:t>HSPC</w:t>
      </w:r>
      <w:r w:rsidRPr="001C3F25">
        <w:rPr>
          <w:color w:val="000000"/>
          <w:szCs w:val="24"/>
        </w:rPr>
        <w:t>s were suspended at 2 x 10</w:t>
      </w:r>
      <w:r w:rsidRPr="001C3F25">
        <w:rPr>
          <w:color w:val="000000"/>
          <w:szCs w:val="24"/>
          <w:vertAlign w:val="superscript"/>
        </w:rPr>
        <w:t>4</w:t>
      </w:r>
      <w:r w:rsidRPr="001C3F25">
        <w:rPr>
          <w:color w:val="000000"/>
          <w:szCs w:val="24"/>
        </w:rPr>
        <w:t xml:space="preserve"> cells/ml, and 500 µl of cell suspension was added into each pre-coated well. Twice weekly, half the medium was replaced with fresh LPE medium.</w:t>
      </w:r>
    </w:p>
    <w:p w14:paraId="57F3BD17" w14:textId="77777777" w:rsidR="001C3F25" w:rsidRPr="001C3F25" w:rsidRDefault="001C3F25" w:rsidP="001C3F25">
      <w:pPr>
        <w:ind w:firstLine="720"/>
        <w:contextualSpacing/>
        <w:jc w:val="both"/>
        <w:rPr>
          <w:color w:val="000000"/>
          <w:szCs w:val="24"/>
        </w:rPr>
      </w:pPr>
      <w:r w:rsidRPr="001C3F25">
        <w:rPr>
          <w:color w:val="000000"/>
          <w:szCs w:val="24"/>
        </w:rPr>
        <w:t xml:space="preserve">At Stage 2, cells collected from the Stage 1 were cultured in the </w:t>
      </w:r>
      <w:proofErr w:type="spellStart"/>
      <w:r w:rsidRPr="001C3F25">
        <w:rPr>
          <w:szCs w:val="24"/>
        </w:rPr>
        <w:t>StemSpan</w:t>
      </w:r>
      <w:r w:rsidRPr="001C3F25">
        <w:rPr>
          <w:szCs w:val="24"/>
          <w:vertAlign w:val="superscript"/>
        </w:rPr>
        <w:t>TM</w:t>
      </w:r>
      <w:proofErr w:type="spellEnd"/>
      <w:r w:rsidRPr="001C3F25">
        <w:rPr>
          <w:szCs w:val="24"/>
        </w:rPr>
        <w:t xml:space="preserve"> SFEM II Medium supplemented with </w:t>
      </w:r>
      <w:proofErr w:type="spellStart"/>
      <w:r w:rsidRPr="001C3F25">
        <w:rPr>
          <w:szCs w:val="24"/>
        </w:rPr>
        <w:t>StemSpan</w:t>
      </w:r>
      <w:r w:rsidRPr="001C3F25">
        <w:rPr>
          <w:szCs w:val="24"/>
          <w:vertAlign w:val="superscript"/>
        </w:rPr>
        <w:t>TM</w:t>
      </w:r>
      <w:proofErr w:type="spellEnd"/>
      <w:r w:rsidRPr="001C3F25">
        <w:rPr>
          <w:szCs w:val="24"/>
        </w:rPr>
        <w:t xml:space="preserve"> Lymphoid Progenitor Maturation Supplement (denoted as LPM medium) </w:t>
      </w:r>
      <w:r w:rsidRPr="001C3F25">
        <w:rPr>
          <w:color w:val="000000"/>
          <w:szCs w:val="24"/>
        </w:rPr>
        <w:t>for one week. Non-Treated Falcon™ Polystyrene 6-well Microplates (</w:t>
      </w:r>
      <w:proofErr w:type="spellStart"/>
      <w:r w:rsidRPr="001C3F25">
        <w:rPr>
          <w:color w:val="000000"/>
          <w:szCs w:val="24"/>
        </w:rPr>
        <w:t>ThermoFisher</w:t>
      </w:r>
      <w:proofErr w:type="spellEnd"/>
      <w:r w:rsidRPr="001C3F25">
        <w:rPr>
          <w:color w:val="000000"/>
          <w:szCs w:val="24"/>
        </w:rPr>
        <w:t xml:space="preserve"> Scientific) were coated with 1 ml/well of </w:t>
      </w:r>
      <w:proofErr w:type="spellStart"/>
      <w:r w:rsidRPr="001C3F25">
        <w:rPr>
          <w:color w:val="000000"/>
          <w:szCs w:val="24"/>
        </w:rPr>
        <w:t>StemSpan</w:t>
      </w:r>
      <w:r w:rsidRPr="001C3F25">
        <w:rPr>
          <w:color w:val="000000"/>
          <w:szCs w:val="24"/>
          <w:vertAlign w:val="superscript"/>
        </w:rPr>
        <w:t>TM</w:t>
      </w:r>
      <w:proofErr w:type="spellEnd"/>
      <w:r w:rsidRPr="001C3F25">
        <w:rPr>
          <w:color w:val="000000"/>
          <w:szCs w:val="24"/>
        </w:rPr>
        <w:t xml:space="preserve"> Lymphoid Differentiation Coating Material. The Stage 1 cells were collected and resuspended at 1 x 10</w:t>
      </w:r>
      <w:r w:rsidRPr="001C3F25">
        <w:rPr>
          <w:color w:val="000000"/>
          <w:szCs w:val="24"/>
          <w:vertAlign w:val="superscript"/>
        </w:rPr>
        <w:t xml:space="preserve">5 </w:t>
      </w:r>
      <w:r w:rsidRPr="001C3F25">
        <w:rPr>
          <w:color w:val="000000"/>
          <w:szCs w:val="24"/>
        </w:rPr>
        <w:t>cells/ml; 2 ml of cell suspension was added into each pre-coated well. Cells were passaged 1-2 times per week to maintain a cell density at 0.5-1 x 10</w:t>
      </w:r>
      <w:r w:rsidRPr="001C3F25">
        <w:rPr>
          <w:color w:val="000000"/>
          <w:szCs w:val="24"/>
          <w:vertAlign w:val="superscript"/>
        </w:rPr>
        <w:t>6</w:t>
      </w:r>
      <w:r w:rsidRPr="001C3F25">
        <w:rPr>
          <w:color w:val="000000"/>
          <w:szCs w:val="24"/>
        </w:rPr>
        <w:t xml:space="preserve"> cells/ml, adding fresh LPM medium at each passage.</w:t>
      </w:r>
    </w:p>
    <w:p w14:paraId="3CAA0D9F" w14:textId="77777777" w:rsidR="001C3F25" w:rsidRPr="001C3F25" w:rsidRDefault="001C3F25" w:rsidP="001C3F25">
      <w:pPr>
        <w:ind w:firstLine="720"/>
        <w:contextualSpacing/>
        <w:jc w:val="both"/>
        <w:rPr>
          <w:color w:val="000000"/>
          <w:szCs w:val="24"/>
        </w:rPr>
      </w:pPr>
      <w:r w:rsidRPr="001C3F25">
        <w:rPr>
          <w:color w:val="000000"/>
          <w:szCs w:val="24"/>
        </w:rPr>
        <w:t xml:space="preserve">At Stage 3, the cells collected from the Stage 2 were cultured in the </w:t>
      </w:r>
      <w:r w:rsidRPr="001C3F25">
        <w:rPr>
          <w:szCs w:val="24"/>
        </w:rPr>
        <w:t>LPM medium</w:t>
      </w:r>
      <w:r w:rsidRPr="001C3F25">
        <w:rPr>
          <w:color w:val="000000"/>
          <w:szCs w:val="24"/>
        </w:rPr>
        <w:t xml:space="preserve"> supplemented with CD3/CD28/CD2 T Cell Activator and 20 ng/ml human recombinant IL-15 for one week. Cells were resuspended at 5 x 10</w:t>
      </w:r>
      <w:r w:rsidRPr="001C3F25">
        <w:rPr>
          <w:color w:val="000000"/>
          <w:szCs w:val="24"/>
          <w:vertAlign w:val="superscript"/>
        </w:rPr>
        <w:t xml:space="preserve">5 </w:t>
      </w:r>
      <w:r w:rsidRPr="001C3F25">
        <w:rPr>
          <w:color w:val="000000"/>
          <w:szCs w:val="24"/>
        </w:rPr>
        <w:t xml:space="preserve">cells/ml; 2 ml cell suspension was added into Non-Treated Falcon™ Polystyrene 6-well Microplates pre-coated with 1 ml/well of </w:t>
      </w:r>
      <w:proofErr w:type="spellStart"/>
      <w:r w:rsidRPr="001C3F25">
        <w:rPr>
          <w:color w:val="000000"/>
          <w:szCs w:val="24"/>
        </w:rPr>
        <w:t>StemSpan</w:t>
      </w:r>
      <w:r w:rsidRPr="001C3F25">
        <w:rPr>
          <w:color w:val="000000"/>
          <w:szCs w:val="24"/>
          <w:vertAlign w:val="superscript"/>
        </w:rPr>
        <w:t>TM</w:t>
      </w:r>
      <w:proofErr w:type="spellEnd"/>
      <w:r w:rsidRPr="001C3F25">
        <w:rPr>
          <w:color w:val="000000"/>
          <w:szCs w:val="24"/>
        </w:rPr>
        <w:t xml:space="preserve"> Lymphoid Differentiation Coating Material. Cells were passaged 2-3 times per week to maintain a cell density at 0.5-1 x 10</w:t>
      </w:r>
      <w:r w:rsidRPr="001C3F25">
        <w:rPr>
          <w:color w:val="000000"/>
          <w:szCs w:val="24"/>
          <w:vertAlign w:val="superscript"/>
        </w:rPr>
        <w:t>6</w:t>
      </w:r>
      <w:r w:rsidRPr="001C3F25">
        <w:rPr>
          <w:color w:val="000000"/>
          <w:szCs w:val="24"/>
        </w:rPr>
        <w:t xml:space="preserve"> cells/ml, adding fresh LPM medium supplemented with human IL-15 at every passage.</w:t>
      </w:r>
    </w:p>
    <w:p w14:paraId="62D966AD" w14:textId="3794CA33" w:rsidR="001C3F25" w:rsidRDefault="001C3F25" w:rsidP="001C3F25">
      <w:pPr>
        <w:ind w:firstLine="720"/>
        <w:contextualSpacing/>
        <w:jc w:val="both"/>
        <w:rPr>
          <w:szCs w:val="24"/>
        </w:rPr>
      </w:pPr>
      <w:r w:rsidRPr="001C3F25">
        <w:rPr>
          <w:szCs w:val="24"/>
        </w:rPr>
        <w:t>At Stage 4, cells collected from the Stage 3, now mature CAR-NKT cells,</w:t>
      </w:r>
      <w:r w:rsidRPr="001C3F25">
        <w:rPr>
          <w:color w:val="000000"/>
          <w:szCs w:val="24"/>
        </w:rPr>
        <w:t xml:space="preserve"> were expanded</w:t>
      </w:r>
      <w:r w:rsidRPr="001C3F25">
        <w:rPr>
          <w:b/>
          <w:bCs/>
          <w:color w:val="000000"/>
          <w:szCs w:val="24"/>
        </w:rPr>
        <w:t xml:space="preserve"> </w:t>
      </w:r>
      <w:r w:rsidRPr="001C3F25">
        <w:rPr>
          <w:color w:val="000000"/>
          <w:szCs w:val="24"/>
        </w:rPr>
        <w:t>using an artificial APC (</w:t>
      </w:r>
      <w:proofErr w:type="spellStart"/>
      <w:r w:rsidRPr="001C3F25">
        <w:rPr>
          <w:color w:val="000000"/>
          <w:szCs w:val="24"/>
        </w:rPr>
        <w:t>aAPC</w:t>
      </w:r>
      <w:proofErr w:type="spellEnd"/>
      <w:r w:rsidRPr="001C3F25">
        <w:rPr>
          <w:color w:val="000000"/>
          <w:szCs w:val="24"/>
        </w:rPr>
        <w:t xml:space="preserve">) expansion approach. The </w:t>
      </w:r>
      <w:proofErr w:type="spellStart"/>
      <w:r w:rsidRPr="001C3F25">
        <w:rPr>
          <w:color w:val="000000"/>
          <w:szCs w:val="24"/>
        </w:rPr>
        <w:t>aAPC</w:t>
      </w:r>
      <w:proofErr w:type="spellEnd"/>
      <w:r w:rsidRPr="001C3F25">
        <w:rPr>
          <w:color w:val="000000"/>
          <w:szCs w:val="24"/>
        </w:rPr>
        <w:t xml:space="preserve"> was generated by engineering the K562 human chronic myelogenous leukemia cell line (ATCC). </w:t>
      </w:r>
      <w:proofErr w:type="spellStart"/>
      <w:r w:rsidRPr="001C3F25">
        <w:rPr>
          <w:color w:val="000000"/>
          <w:szCs w:val="24"/>
        </w:rPr>
        <w:t>aAPCs</w:t>
      </w:r>
      <w:proofErr w:type="spellEnd"/>
      <w:r w:rsidRPr="001C3F25">
        <w:rPr>
          <w:color w:val="000000"/>
          <w:szCs w:val="24"/>
        </w:rPr>
        <w:t xml:space="preserve"> were irradiated at 10,000 </w:t>
      </w:r>
      <w:proofErr w:type="spellStart"/>
      <w:r w:rsidRPr="001C3F25">
        <w:rPr>
          <w:color w:val="000000"/>
          <w:szCs w:val="24"/>
        </w:rPr>
        <w:t>rads</w:t>
      </w:r>
      <w:proofErr w:type="spellEnd"/>
      <w:r w:rsidRPr="001C3F25">
        <w:rPr>
          <w:color w:val="000000"/>
          <w:szCs w:val="24"/>
        </w:rPr>
        <w:t xml:space="preserve"> using a Rad Source RS-2000 X-Ray Irradiator (Rad Source Technologies). Mature </w:t>
      </w:r>
      <w:r w:rsidRPr="001C3F25">
        <w:rPr>
          <w:szCs w:val="24"/>
        </w:rPr>
        <w:t xml:space="preserve">CAR-NKT </w:t>
      </w:r>
      <w:r w:rsidRPr="001C3F25">
        <w:rPr>
          <w:color w:val="000000"/>
          <w:szCs w:val="24"/>
        </w:rPr>
        <w:t xml:space="preserve">cells collected from the Stage 3 culture were mixed with the irradiated </w:t>
      </w:r>
      <w:proofErr w:type="spellStart"/>
      <w:r w:rsidRPr="001C3F25">
        <w:rPr>
          <w:color w:val="000000"/>
          <w:szCs w:val="24"/>
        </w:rPr>
        <w:t>aAPCs</w:t>
      </w:r>
      <w:proofErr w:type="spellEnd"/>
      <w:r w:rsidRPr="001C3F25">
        <w:rPr>
          <w:color w:val="000000"/>
          <w:szCs w:val="24"/>
        </w:rPr>
        <w:t xml:space="preserve"> at 1:1 - 1:2 ratio, resuspended in expansion medium supplemented with 10 ng/ml IL-7 and IL-15 at 0.5-1 x 10</w:t>
      </w:r>
      <w:r w:rsidRPr="001C3F25">
        <w:rPr>
          <w:color w:val="000000"/>
          <w:szCs w:val="24"/>
          <w:vertAlign w:val="superscript"/>
        </w:rPr>
        <w:t xml:space="preserve">6 </w:t>
      </w:r>
      <w:r w:rsidRPr="001C3F25">
        <w:rPr>
          <w:color w:val="000000"/>
          <w:szCs w:val="24"/>
        </w:rPr>
        <w:t>cells/ml, and seeded into the 150-mm cell culture dishes (</w:t>
      </w:r>
      <w:proofErr w:type="spellStart"/>
      <w:r w:rsidRPr="001C3F25">
        <w:rPr>
          <w:color w:val="000000"/>
          <w:szCs w:val="24"/>
        </w:rPr>
        <w:t>ThermoFisher</w:t>
      </w:r>
      <w:proofErr w:type="spellEnd"/>
      <w:r w:rsidRPr="001C3F25">
        <w:rPr>
          <w:color w:val="000000"/>
          <w:szCs w:val="24"/>
        </w:rPr>
        <w:t xml:space="preserve"> Scientific) at 30 ml per plate. Cells were passaged 2-3 times per week to maintain a cell density at 0.5-1 x 10</w:t>
      </w:r>
      <w:r w:rsidRPr="001C3F25">
        <w:rPr>
          <w:color w:val="000000"/>
          <w:szCs w:val="24"/>
          <w:vertAlign w:val="superscript"/>
        </w:rPr>
        <w:t>6</w:t>
      </w:r>
      <w:r w:rsidRPr="001C3F25">
        <w:rPr>
          <w:color w:val="000000"/>
          <w:szCs w:val="24"/>
        </w:rPr>
        <w:t xml:space="preserve"> cells/ml; fresh expansion medium was added at every passage.</w:t>
      </w:r>
      <w:r w:rsidRPr="001C3F25">
        <w:rPr>
          <w:szCs w:val="24"/>
        </w:rPr>
        <w:t xml:space="preserve"> </w:t>
      </w:r>
      <w:r w:rsidRPr="001C3F25">
        <w:rPr>
          <w:color w:val="000000"/>
          <w:szCs w:val="24"/>
        </w:rPr>
        <w:t>The expansion stage lasted for 2 weeks. At stage 4, cells could be cultured in 150-mm cell culture dishes (</w:t>
      </w:r>
      <w:proofErr w:type="spellStart"/>
      <w:r w:rsidRPr="001C3F25">
        <w:rPr>
          <w:color w:val="000000"/>
          <w:szCs w:val="24"/>
        </w:rPr>
        <w:t>ThermoFisher</w:t>
      </w:r>
      <w:proofErr w:type="spellEnd"/>
      <w:r w:rsidRPr="001C3F25">
        <w:rPr>
          <w:color w:val="000000"/>
          <w:szCs w:val="24"/>
        </w:rPr>
        <w:t xml:space="preserve"> Scientific) or </w:t>
      </w:r>
      <w:r w:rsidRPr="001C3F25">
        <w:rPr>
          <w:rFonts w:eastAsia="Times New Roman"/>
          <w:color w:val="222222"/>
          <w:szCs w:val="24"/>
          <w:shd w:val="clear" w:color="auto" w:fill="FFFFFF"/>
        </w:rPr>
        <w:t>G-Rex</w:t>
      </w:r>
      <w:r w:rsidRPr="001C3F25">
        <w:rPr>
          <w:rFonts w:eastAsia="Times New Roman"/>
          <w:color w:val="222222"/>
          <w:szCs w:val="24"/>
          <w:shd w:val="clear" w:color="auto" w:fill="FFFFFF"/>
          <w:vertAlign w:val="superscript"/>
        </w:rPr>
        <w:t>®</w:t>
      </w:r>
      <w:r w:rsidRPr="001C3F25">
        <w:rPr>
          <w:rFonts w:eastAsia="Times New Roman"/>
          <w:color w:val="222222"/>
          <w:szCs w:val="24"/>
          <w:shd w:val="clear" w:color="auto" w:fill="FFFFFF"/>
        </w:rPr>
        <w:t>6M Well Plates (Wilson Wolf)</w:t>
      </w:r>
      <w:r w:rsidRPr="001C3F25">
        <w:rPr>
          <w:color w:val="000000"/>
          <w:szCs w:val="24"/>
        </w:rPr>
        <w:t xml:space="preserve">. The expansion can happen in a feeder-free, serum-free </w:t>
      </w:r>
      <w:r w:rsidRPr="001C3F25">
        <w:rPr>
          <w:szCs w:val="24"/>
        </w:rPr>
        <w:t xml:space="preserve">CTS™ </w:t>
      </w:r>
      <w:proofErr w:type="spellStart"/>
      <w:r w:rsidRPr="001C3F25">
        <w:rPr>
          <w:szCs w:val="24"/>
        </w:rPr>
        <w:t>OpTmizer</w:t>
      </w:r>
      <w:proofErr w:type="spellEnd"/>
      <w:r w:rsidRPr="001C3F25">
        <w:rPr>
          <w:szCs w:val="24"/>
        </w:rPr>
        <w:t>™ T-Cell Expansion SFM (</w:t>
      </w:r>
      <w:proofErr w:type="spellStart"/>
      <w:r w:rsidRPr="001C3F25">
        <w:rPr>
          <w:color w:val="000000"/>
          <w:szCs w:val="24"/>
        </w:rPr>
        <w:t>ThermoFisher</w:t>
      </w:r>
      <w:proofErr w:type="spellEnd"/>
      <w:r w:rsidRPr="001C3F25">
        <w:rPr>
          <w:color w:val="000000"/>
          <w:szCs w:val="24"/>
        </w:rPr>
        <w:t xml:space="preserve"> Scientific), or a homemade C10 medium. The resulting </w:t>
      </w:r>
      <w:r w:rsidRPr="001C3F25">
        <w:rPr>
          <w:szCs w:val="24"/>
        </w:rPr>
        <w:t xml:space="preserve">CAR-NKT </w:t>
      </w:r>
      <w:r w:rsidRPr="001C3F25">
        <w:rPr>
          <w:color w:val="000000"/>
          <w:szCs w:val="24"/>
        </w:rPr>
        <w:t xml:space="preserve">cell products were aliquoted and cryopreserved in </w:t>
      </w:r>
      <w:proofErr w:type="spellStart"/>
      <w:r w:rsidRPr="001C3F25">
        <w:rPr>
          <w:color w:val="000000"/>
          <w:szCs w:val="24"/>
        </w:rPr>
        <w:t>CryoStor</w:t>
      </w:r>
      <w:proofErr w:type="spellEnd"/>
      <w:r w:rsidRPr="001C3F25">
        <w:rPr>
          <w:color w:val="000000"/>
          <w:szCs w:val="24"/>
        </w:rPr>
        <w:t xml:space="preserve">® Cell Cryopreservation Media CS10 using a Thermo Scientific™ </w:t>
      </w:r>
      <w:proofErr w:type="spellStart"/>
      <w:r w:rsidRPr="001C3F25">
        <w:rPr>
          <w:color w:val="000000"/>
          <w:szCs w:val="24"/>
        </w:rPr>
        <w:t>CryoMed</w:t>
      </w:r>
      <w:proofErr w:type="spellEnd"/>
      <w:r w:rsidRPr="001C3F25">
        <w:rPr>
          <w:color w:val="000000"/>
          <w:szCs w:val="24"/>
        </w:rPr>
        <w:t xml:space="preserve">™ Controlled-Rate Freezer 7450 (Thermo scientific) for future use, </w:t>
      </w:r>
      <w:r w:rsidRPr="001C3F25">
        <w:rPr>
          <w:szCs w:val="24"/>
        </w:rPr>
        <w:t xml:space="preserve">following </w:t>
      </w:r>
      <w:r w:rsidRPr="001C3F25">
        <w:rPr>
          <w:color w:val="000000"/>
          <w:szCs w:val="24"/>
        </w:rPr>
        <w:t>the manufacturers' instructions</w:t>
      </w:r>
      <w:r w:rsidRPr="001C3F25">
        <w:rPr>
          <w:szCs w:val="24"/>
        </w:rPr>
        <w:t>. All allogeneic CAR-NKT cell products were cryopreserved and used post–thaw to reflect their intended off-the-shelf clinical use.</w:t>
      </w:r>
    </w:p>
    <w:p w14:paraId="621DE768" w14:textId="30437BAA" w:rsidR="001C3F25" w:rsidRDefault="001C3F25" w:rsidP="001C3F25">
      <w:pPr>
        <w:contextualSpacing/>
        <w:jc w:val="both"/>
        <w:rPr>
          <w:szCs w:val="24"/>
        </w:rPr>
      </w:pPr>
    </w:p>
    <w:p w14:paraId="238B8080" w14:textId="77777777" w:rsidR="001C3F25" w:rsidRPr="001C3F25" w:rsidRDefault="001C3F25" w:rsidP="001C3F25">
      <w:pPr>
        <w:jc w:val="both"/>
        <w:rPr>
          <w:b/>
          <w:bCs/>
          <w:color w:val="000000" w:themeColor="text1"/>
          <w:szCs w:val="24"/>
        </w:rPr>
      </w:pPr>
      <w:r w:rsidRPr="001C3F25">
        <w:rPr>
          <w:b/>
          <w:bCs/>
          <w:color w:val="000000" w:themeColor="text1"/>
          <w:szCs w:val="24"/>
        </w:rPr>
        <w:t>Generation of MSLN-targeting CAR-engineered conventional αβ T (CAR-T) cells</w:t>
      </w:r>
    </w:p>
    <w:p w14:paraId="39CD6220" w14:textId="1FF48469" w:rsidR="001C3F25" w:rsidRPr="001C3F25" w:rsidRDefault="001C3F25" w:rsidP="001C3F25">
      <w:pPr>
        <w:jc w:val="both"/>
        <w:rPr>
          <w:color w:val="000000"/>
          <w:szCs w:val="24"/>
        </w:rPr>
      </w:pPr>
      <w:r w:rsidRPr="001C3F25">
        <w:rPr>
          <w:color w:val="000000"/>
          <w:szCs w:val="24"/>
        </w:rPr>
        <w:t xml:space="preserve">Non-treated tissue culture 24-well or 12-well plates (Corning) were coated with Ultra-LEAF™ Purified Anti-Human CD3 Antibody (clone OKT3, cat. no. 317347, RRID: AB_2571994, </w:t>
      </w:r>
      <w:proofErr w:type="spellStart"/>
      <w:r w:rsidRPr="001C3F25">
        <w:rPr>
          <w:color w:val="000000"/>
          <w:szCs w:val="24"/>
        </w:rPr>
        <w:t>BioLegend</w:t>
      </w:r>
      <w:proofErr w:type="spellEnd"/>
      <w:r w:rsidRPr="001C3F25">
        <w:rPr>
          <w:color w:val="000000"/>
          <w:szCs w:val="24"/>
        </w:rPr>
        <w:t xml:space="preserve">) at 1 µg/ml (500 µl/well), at room temperature for 2 hours or alternatively, overnight at 4 </w:t>
      </w:r>
      <w:r w:rsidRPr="001C3F25">
        <w:rPr>
          <w:color w:val="000000" w:themeColor="text1"/>
          <w:szCs w:val="24"/>
        </w:rPr>
        <w:t>°</w:t>
      </w:r>
      <w:r w:rsidRPr="001C3F25">
        <w:rPr>
          <w:color w:val="000000"/>
          <w:szCs w:val="24"/>
        </w:rPr>
        <w:t xml:space="preserve">C. Healthy donor PBMCs were resuspended in the C10 medium supplemented with 1 µg/ml Ultra-LEAF™ Purified Anti-Human CD28 Antibody (Clone CD28.2, cat. no. 302943, RRID: AB_2616667, </w:t>
      </w:r>
      <w:proofErr w:type="spellStart"/>
      <w:r w:rsidRPr="001C3F25">
        <w:rPr>
          <w:color w:val="000000"/>
          <w:szCs w:val="24"/>
        </w:rPr>
        <w:t>BioLegend</w:t>
      </w:r>
      <w:proofErr w:type="spellEnd"/>
      <w:r w:rsidRPr="001C3F25">
        <w:rPr>
          <w:color w:val="000000"/>
          <w:szCs w:val="24"/>
        </w:rPr>
        <w:t>) and 30 ng/ml IL-2, followed by seeding in the pre-coated plates at 1 x 10</w:t>
      </w:r>
      <w:r w:rsidRPr="001C3F25">
        <w:rPr>
          <w:color w:val="000000"/>
          <w:szCs w:val="24"/>
          <w:vertAlign w:val="superscript"/>
        </w:rPr>
        <w:t>6</w:t>
      </w:r>
      <w:r w:rsidRPr="001C3F25">
        <w:rPr>
          <w:color w:val="000000"/>
          <w:szCs w:val="24"/>
        </w:rPr>
        <w:t xml:space="preserve"> cells/ml (1 ml/well). On day 2, cells were transduced with </w:t>
      </w:r>
      <w:proofErr w:type="spellStart"/>
      <w:r w:rsidRPr="001C3F25">
        <w:rPr>
          <w:color w:val="000000"/>
          <w:szCs w:val="24"/>
        </w:rPr>
        <w:t>Lenti</w:t>
      </w:r>
      <w:proofErr w:type="spellEnd"/>
      <w:r w:rsidRPr="001C3F25">
        <w:rPr>
          <w:color w:val="000000"/>
          <w:szCs w:val="24"/>
        </w:rPr>
        <w:t xml:space="preserve">/MCAR or </w:t>
      </w:r>
      <w:proofErr w:type="spellStart"/>
      <w:r w:rsidRPr="001C3F25">
        <w:rPr>
          <w:color w:val="000000"/>
          <w:szCs w:val="24"/>
        </w:rPr>
        <w:t>Lenti</w:t>
      </w:r>
      <w:proofErr w:type="spellEnd"/>
      <w:r w:rsidRPr="001C3F25">
        <w:rPr>
          <w:color w:val="000000"/>
          <w:szCs w:val="24"/>
        </w:rPr>
        <w:t>/MCAR-IL15 virus for 24 hours. The resulting CAR-T cells were expanded for about 2 weeks in C10 medium supplemented with human IL-2, and cryopreserved for future use, following established protocols.</w:t>
      </w:r>
      <w:r w:rsidRPr="001C3F25">
        <w:rPr>
          <w:color w:val="000000" w:themeColor="text1"/>
          <w:szCs w:val="24"/>
        </w:rPr>
        <w:t xml:space="preserve"> </w:t>
      </w:r>
      <w:r w:rsidRPr="001C3F25">
        <w:rPr>
          <w:szCs w:val="24"/>
        </w:rPr>
        <w:lastRenderedPageBreak/>
        <w:t>In some studies, CAR-T cells were FACS-sorted based on CAR expression, and only the CAR⁺ population was used for subsequent assays.</w:t>
      </w:r>
    </w:p>
    <w:p w14:paraId="173A453C" w14:textId="77777777" w:rsidR="001C3F25" w:rsidRPr="001C3F25" w:rsidRDefault="001C3F25" w:rsidP="001C3F25">
      <w:pPr>
        <w:jc w:val="both"/>
        <w:rPr>
          <w:b/>
          <w:bCs/>
          <w:szCs w:val="24"/>
        </w:rPr>
      </w:pPr>
    </w:p>
    <w:p w14:paraId="317EDFF2" w14:textId="77777777" w:rsidR="001C3F25" w:rsidRPr="001C3F25" w:rsidRDefault="001C3F25" w:rsidP="001C3F25">
      <w:pPr>
        <w:jc w:val="both"/>
        <w:rPr>
          <w:b/>
          <w:bCs/>
          <w:color w:val="000000" w:themeColor="text1"/>
          <w:szCs w:val="24"/>
        </w:rPr>
      </w:pPr>
      <w:r w:rsidRPr="001C3F25">
        <w:rPr>
          <w:b/>
          <w:bCs/>
          <w:color w:val="000000" w:themeColor="text1"/>
          <w:szCs w:val="24"/>
        </w:rPr>
        <w:t>Generation of PBMC-derived MSLN-targeting CAR-engineered NKT (</w:t>
      </w:r>
      <w:r w:rsidRPr="001C3F25">
        <w:rPr>
          <w:b/>
          <w:bCs/>
          <w:color w:val="000000" w:themeColor="text1"/>
          <w:szCs w:val="24"/>
          <w:vertAlign w:val="superscript"/>
        </w:rPr>
        <w:t>PBMC</w:t>
      </w:r>
      <w:r w:rsidRPr="001C3F25">
        <w:rPr>
          <w:b/>
          <w:bCs/>
          <w:color w:val="000000" w:themeColor="text1"/>
          <w:szCs w:val="24"/>
        </w:rPr>
        <w:t>CAR-NKT) cells</w:t>
      </w:r>
    </w:p>
    <w:p w14:paraId="6B6215E3" w14:textId="585C0FD7" w:rsidR="001C3F25" w:rsidRDefault="001C3F25" w:rsidP="001C3F25">
      <w:pPr>
        <w:jc w:val="both"/>
        <w:rPr>
          <w:szCs w:val="24"/>
        </w:rPr>
      </w:pPr>
      <w:r w:rsidRPr="001C3F25">
        <w:rPr>
          <w:szCs w:val="24"/>
        </w:rPr>
        <w:t>Healthy donor PBMCs were sorted with MACS via Anti-</w:t>
      </w:r>
      <w:proofErr w:type="spellStart"/>
      <w:r w:rsidRPr="001C3F25">
        <w:rPr>
          <w:szCs w:val="24"/>
        </w:rPr>
        <w:t>iNKT</w:t>
      </w:r>
      <w:proofErr w:type="spellEnd"/>
      <w:r w:rsidRPr="001C3F25">
        <w:rPr>
          <w:szCs w:val="24"/>
        </w:rPr>
        <w:t xml:space="preserve"> Microbeads (</w:t>
      </w:r>
      <w:proofErr w:type="spellStart"/>
      <w:r w:rsidRPr="001C3F25">
        <w:rPr>
          <w:szCs w:val="24"/>
        </w:rPr>
        <w:t>Miltenyi</w:t>
      </w:r>
      <w:proofErr w:type="spellEnd"/>
      <w:r w:rsidRPr="001C3F25">
        <w:rPr>
          <w:szCs w:val="24"/>
        </w:rPr>
        <w:t xml:space="preserve"> Biotech) labeling to enrich NKT cells, following the manufacturer’s instructions. The enriched NKT cells were mixed with donor-matched irradiated αGC-loaded donor-matched PBMCs at a ratio of 1:1 - 1:2, followed by culturing in C10 medium supplemented with 10 ng/ml IL-7 and IL-15. On day 3, NKT cells were transduced with </w:t>
      </w:r>
      <w:proofErr w:type="spellStart"/>
      <w:r w:rsidRPr="001C3F25">
        <w:rPr>
          <w:szCs w:val="24"/>
        </w:rPr>
        <w:t>Lenti</w:t>
      </w:r>
      <w:proofErr w:type="spellEnd"/>
      <w:r w:rsidRPr="001C3F25">
        <w:rPr>
          <w:szCs w:val="24"/>
        </w:rPr>
        <w:t>/MCAR-IL15 viruses for 24 h. The resulting CAR-NKT cells were expanded for about 2 weeks in C10 medium supplemented with 10 ng/ml IL-7 and IL-15 and cryopreserved for future use. In some studies, CAR-NKT cells were FACS-sorted based on CAR expression, and only the CAR⁺ population was used for subsequent assays.</w:t>
      </w:r>
    </w:p>
    <w:p w14:paraId="5ED8A0E4" w14:textId="37A13959" w:rsidR="001C3F25" w:rsidRDefault="001C3F25" w:rsidP="001C3F25">
      <w:pPr>
        <w:jc w:val="both"/>
        <w:rPr>
          <w:szCs w:val="24"/>
        </w:rPr>
      </w:pPr>
    </w:p>
    <w:p w14:paraId="11EBBFF6" w14:textId="77777777" w:rsidR="001C3F25" w:rsidRPr="001C3F25" w:rsidRDefault="001C3F25" w:rsidP="001C3F25">
      <w:pPr>
        <w:jc w:val="both"/>
        <w:rPr>
          <w:b/>
          <w:bCs/>
          <w:color w:val="000000" w:themeColor="text1"/>
          <w:szCs w:val="24"/>
        </w:rPr>
      </w:pPr>
      <w:bookmarkStart w:id="0" w:name="_GoBack"/>
      <w:r w:rsidRPr="001C3F25">
        <w:rPr>
          <w:b/>
          <w:bCs/>
          <w:i/>
          <w:iCs/>
          <w:color w:val="000000" w:themeColor="text1"/>
          <w:szCs w:val="24"/>
        </w:rPr>
        <w:t>In vitro</w:t>
      </w:r>
      <w:r w:rsidRPr="001C3F25">
        <w:rPr>
          <w:b/>
          <w:bCs/>
          <w:color w:val="000000" w:themeColor="text1"/>
          <w:szCs w:val="24"/>
        </w:rPr>
        <w:t xml:space="preserve"> scanning electron microscope (SEM)</w:t>
      </w:r>
    </w:p>
    <w:bookmarkEnd w:id="0"/>
    <w:p w14:paraId="1C3002E8" w14:textId="77777777" w:rsidR="001C3F25" w:rsidRPr="001C3F25" w:rsidRDefault="001C3F25" w:rsidP="001C3F25">
      <w:pPr>
        <w:jc w:val="both"/>
        <w:rPr>
          <w:szCs w:val="24"/>
        </w:rPr>
      </w:pPr>
      <w:r w:rsidRPr="001C3F25">
        <w:rPr>
          <w:szCs w:val="24"/>
        </w:rPr>
        <w:t>CAR-NKT cell interactions with OVCAR8-FG human ovarian cancer cells were visualized by SEM. CAR-NKT and OVCAR8-FG cells were co-cultured in C10 medium on a Cover Glass Slide (</w:t>
      </w:r>
      <w:proofErr w:type="spellStart"/>
      <w:r w:rsidRPr="001C3F25">
        <w:rPr>
          <w:szCs w:val="24"/>
        </w:rPr>
        <w:t>Bioland</w:t>
      </w:r>
      <w:proofErr w:type="spellEnd"/>
      <w:r w:rsidRPr="001C3F25">
        <w:rPr>
          <w:szCs w:val="24"/>
        </w:rPr>
        <w:t xml:space="preserve"> Scientific LLC) for 8 hours. After the culture, the cells were rinsed with warm HBSS and fixed with warm 3% glutaraldehyde in the SEM buffer, then transferred to 4 °C and stored overnight. The SEM buffer (pH 7.4) was prepared using 0.1 M Na-phosphate buffer containing 0.1M Sucrose. On the second day, the cells were washed twice with SEM buffer for five minutes each time. Then, the cells were fixed with 2% osmium tetroxide in SEM buffer on ice for one hour and washed again with SEM buffer twice with five minutes each time.</w:t>
      </w:r>
      <w:r w:rsidRPr="001C3F25">
        <w:rPr>
          <w:color w:val="000000"/>
          <w:szCs w:val="24"/>
          <w:vertAlign w:val="superscript"/>
        </w:rPr>
        <w:t xml:space="preserve"> </w:t>
      </w:r>
      <w:r w:rsidRPr="001C3F25">
        <w:rPr>
          <w:szCs w:val="24"/>
        </w:rPr>
        <w:t xml:space="preserve">After the washing step, the cells were dehydrated successively with 50%, 70%, 95%, and 100% ethanol, each for 15 minutes. The final 100% ethanol was replaced with </w:t>
      </w:r>
      <w:proofErr w:type="spellStart"/>
      <w:r w:rsidRPr="001C3F25">
        <w:rPr>
          <w:szCs w:val="24"/>
        </w:rPr>
        <w:t>hexamethyldisilazane</w:t>
      </w:r>
      <w:proofErr w:type="spellEnd"/>
      <w:r w:rsidRPr="001C3F25">
        <w:rPr>
          <w:szCs w:val="24"/>
        </w:rPr>
        <w:t xml:space="preserve">, and then the cells were evaporated in the hood. Samples were imaged by low-vacuum SEM (FEI Nova Nano 230; Thermo Fisher Scientific) according to the manufacturer’s instructions. </w:t>
      </w:r>
    </w:p>
    <w:p w14:paraId="3F21E219" w14:textId="77777777" w:rsidR="001C3F25" w:rsidRPr="001C3F25" w:rsidRDefault="001C3F25" w:rsidP="001C3F25">
      <w:pPr>
        <w:jc w:val="both"/>
        <w:rPr>
          <w:szCs w:val="24"/>
        </w:rPr>
      </w:pPr>
    </w:p>
    <w:p w14:paraId="2CEE908A" w14:textId="77777777" w:rsidR="001C3F25" w:rsidRPr="004E041A" w:rsidRDefault="001C3F25" w:rsidP="001C3F25">
      <w:pPr>
        <w:spacing w:line="480" w:lineRule="auto"/>
        <w:jc w:val="both"/>
        <w:rPr>
          <w:rFonts w:ascii="Arial" w:hAnsi="Arial" w:cs="Arial"/>
          <w:b/>
          <w:bCs/>
          <w:sz w:val="22"/>
          <w:szCs w:val="22"/>
        </w:rPr>
      </w:pPr>
    </w:p>
    <w:p w14:paraId="27EBFE67" w14:textId="77777777" w:rsidR="001C3F25" w:rsidRPr="001C3F25" w:rsidRDefault="001C3F25" w:rsidP="001C3F25">
      <w:pPr>
        <w:contextualSpacing/>
        <w:jc w:val="both"/>
        <w:rPr>
          <w:szCs w:val="24"/>
        </w:rPr>
      </w:pPr>
    </w:p>
    <w:p w14:paraId="4944D37D" w14:textId="77777777" w:rsidR="001C3F25" w:rsidRPr="001C3F25" w:rsidRDefault="001C3F25" w:rsidP="001C3F25">
      <w:pPr>
        <w:jc w:val="both"/>
        <w:rPr>
          <w:color w:val="000000" w:themeColor="text1"/>
          <w:szCs w:val="24"/>
        </w:rPr>
      </w:pPr>
    </w:p>
    <w:p w14:paraId="0E4A8016" w14:textId="77777777" w:rsidR="001C3F25" w:rsidRPr="001C3F25" w:rsidRDefault="001C3F25" w:rsidP="001C3F25">
      <w:pPr>
        <w:jc w:val="both"/>
        <w:rPr>
          <w:color w:val="000000" w:themeColor="text1"/>
          <w:sz w:val="28"/>
          <w:szCs w:val="28"/>
        </w:rPr>
      </w:pPr>
    </w:p>
    <w:p w14:paraId="708D7D71" w14:textId="77777777" w:rsidR="001C3F25" w:rsidRPr="001C3F25" w:rsidRDefault="001C3F25" w:rsidP="001C3F25">
      <w:pPr>
        <w:jc w:val="both"/>
        <w:rPr>
          <w:szCs w:val="24"/>
        </w:rPr>
      </w:pPr>
    </w:p>
    <w:p w14:paraId="0EED1BDD" w14:textId="77777777" w:rsidR="001C3F25" w:rsidRPr="001C3F25" w:rsidRDefault="001C3F25" w:rsidP="001C3F25">
      <w:pPr>
        <w:jc w:val="both"/>
        <w:rPr>
          <w:color w:val="000000" w:themeColor="text1"/>
          <w:szCs w:val="24"/>
        </w:rPr>
      </w:pPr>
    </w:p>
    <w:p w14:paraId="7DA023B8" w14:textId="77777777" w:rsidR="001C3F25" w:rsidRPr="001C3F25" w:rsidRDefault="001C3F25" w:rsidP="001C3F25">
      <w:pPr>
        <w:jc w:val="both"/>
        <w:rPr>
          <w:szCs w:val="24"/>
        </w:rPr>
      </w:pPr>
    </w:p>
    <w:p w14:paraId="132AF52C" w14:textId="6E636BBF" w:rsidR="00AE08CF" w:rsidRPr="001C3F25" w:rsidRDefault="001C3F25" w:rsidP="00AE08CF">
      <w:pPr>
        <w:rPr>
          <w:b/>
          <w:bCs/>
        </w:rPr>
      </w:pPr>
      <w:r w:rsidRPr="001C3F25">
        <w:rPr>
          <w:b/>
          <w:bCs/>
        </w:rPr>
        <w:t xml:space="preserve"> </w:t>
      </w:r>
      <w:r w:rsidR="00015F74" w:rsidRPr="001C3F25">
        <w:rPr>
          <w:b/>
          <w:bCs/>
        </w:rPr>
        <w:br w:type="page"/>
      </w:r>
      <w:bookmarkStart w:id="1" w:name="Tables"/>
      <w:bookmarkStart w:id="2" w:name="MaterialsMethods"/>
      <w:bookmarkEnd w:id="1"/>
      <w:bookmarkEnd w:id="2"/>
    </w:p>
    <w:p w14:paraId="7358FE74" w14:textId="77777777" w:rsidR="00425810" w:rsidRDefault="00425810" w:rsidP="00AE08CF">
      <w:pPr>
        <w:pStyle w:val="SMHeading"/>
        <w:jc w:val="both"/>
      </w:pPr>
      <w:r>
        <w:rPr>
          <w:noProof/>
        </w:rPr>
        <w:lastRenderedPageBreak/>
        <w:drawing>
          <wp:inline distT="0" distB="0" distL="0" distR="0" wp14:anchorId="19B351D5" wp14:editId="78E3BB9D">
            <wp:extent cx="5943600" cy="56902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S1.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5690235"/>
                    </a:xfrm>
                    <a:prstGeom prst="rect">
                      <a:avLst/>
                    </a:prstGeom>
                  </pic:spPr>
                </pic:pic>
              </a:graphicData>
            </a:graphic>
          </wp:inline>
        </w:drawing>
      </w:r>
    </w:p>
    <w:p w14:paraId="02E35AF5" w14:textId="53A1702B" w:rsidR="00AE08CF" w:rsidRPr="00AE08CF" w:rsidRDefault="007411A1" w:rsidP="00AE08CF">
      <w:pPr>
        <w:pStyle w:val="SMHeading"/>
        <w:jc w:val="both"/>
      </w:pPr>
      <w:r w:rsidRPr="00355362">
        <w:t>Fig</w:t>
      </w:r>
      <w:r w:rsidR="00821F38">
        <w:rPr>
          <w:rFonts w:hint="eastAsia"/>
          <w:lang w:eastAsia="zh-CN"/>
        </w:rPr>
        <w:t>ure</w:t>
      </w:r>
      <w:r w:rsidRPr="00355362">
        <w:t>. S1.</w:t>
      </w:r>
      <w:r w:rsidR="00AE08CF">
        <w:t xml:space="preserve"> </w:t>
      </w:r>
      <w:r w:rsidR="00AE08CF" w:rsidRPr="00AE08CF">
        <w:t>Generation, characterization, and antitumor evaluation of CAR-T, CAR-NKT, and NKT cells.</w:t>
      </w:r>
    </w:p>
    <w:p w14:paraId="67252578" w14:textId="77777777" w:rsidR="00AE08CF" w:rsidRPr="00AE08CF" w:rsidRDefault="00AE08CF" w:rsidP="00AE08CF">
      <w:pPr>
        <w:spacing w:after="58"/>
        <w:jc w:val="both"/>
        <w:rPr>
          <w:szCs w:val="24"/>
        </w:rPr>
      </w:pPr>
      <w:r w:rsidRPr="00AE08CF">
        <w:rPr>
          <w:b/>
          <w:bCs/>
          <w:szCs w:val="24"/>
        </w:rPr>
        <w:t>a</w:t>
      </w:r>
      <w:r w:rsidRPr="00AE08CF">
        <w:rPr>
          <w:szCs w:val="24"/>
        </w:rPr>
        <w:t>-</w:t>
      </w:r>
      <w:r w:rsidRPr="00AE08CF">
        <w:rPr>
          <w:b/>
          <w:bCs/>
          <w:szCs w:val="24"/>
        </w:rPr>
        <w:t xml:space="preserve">b </w:t>
      </w:r>
      <w:r w:rsidRPr="00AE08CF">
        <w:rPr>
          <w:szCs w:val="24"/>
        </w:rPr>
        <w:t xml:space="preserve">CD4/CD8 ratio of CAR-T cells. </w:t>
      </w:r>
      <w:r w:rsidRPr="00AE08CF">
        <w:rPr>
          <w:b/>
          <w:bCs/>
          <w:szCs w:val="24"/>
        </w:rPr>
        <w:t>a</w:t>
      </w:r>
      <w:r w:rsidRPr="00AE08CF">
        <w:rPr>
          <w:szCs w:val="24"/>
        </w:rPr>
        <w:t xml:space="preserve"> FACS plots showing CD4/CD8 expression on CAR-T cells generated from two healthy PBMC donors. </w:t>
      </w:r>
      <w:r w:rsidRPr="00AE08CF">
        <w:rPr>
          <w:b/>
          <w:bCs/>
          <w:szCs w:val="24"/>
        </w:rPr>
        <w:t>b</w:t>
      </w:r>
      <w:r w:rsidRPr="00AE08CF">
        <w:rPr>
          <w:szCs w:val="24"/>
        </w:rPr>
        <w:t xml:space="preserve"> Comparison of CD4/CD8 subpopulation percentages of CAR-T cells generated from seven healthy PBMC donors.</w:t>
      </w:r>
    </w:p>
    <w:p w14:paraId="171B5CD7" w14:textId="77777777" w:rsidR="00AE08CF" w:rsidRPr="00AE08CF" w:rsidRDefault="00AE08CF" w:rsidP="00AE08CF">
      <w:pPr>
        <w:spacing w:after="58"/>
        <w:jc w:val="both"/>
        <w:rPr>
          <w:color w:val="000000" w:themeColor="text1"/>
          <w:szCs w:val="24"/>
        </w:rPr>
      </w:pPr>
      <w:r w:rsidRPr="00AE08CF">
        <w:rPr>
          <w:b/>
          <w:bCs/>
          <w:szCs w:val="24"/>
        </w:rPr>
        <w:t>c</w:t>
      </w:r>
      <w:r w:rsidRPr="00AE08CF">
        <w:rPr>
          <w:szCs w:val="24"/>
        </w:rPr>
        <w:t>-</w:t>
      </w:r>
      <w:r w:rsidRPr="00AE08CF">
        <w:rPr>
          <w:b/>
          <w:bCs/>
          <w:szCs w:val="24"/>
        </w:rPr>
        <w:t xml:space="preserve">e </w:t>
      </w:r>
      <w:r w:rsidRPr="00AE08CF">
        <w:rPr>
          <w:szCs w:val="24"/>
        </w:rPr>
        <w:t xml:space="preserve">Generation and characterization of HSPC-derived NKT and mesothelin-targeting non-IL-15-engineered CAR-NKT cells, denoted as NKT and CAR-NKT (no IL-15) cells, respectively. </w:t>
      </w:r>
      <w:r w:rsidRPr="00AE08CF">
        <w:rPr>
          <w:b/>
          <w:bCs/>
          <w:szCs w:val="24"/>
        </w:rPr>
        <w:t>c</w:t>
      </w:r>
      <w:r w:rsidRPr="00AE08CF">
        <w:rPr>
          <w:szCs w:val="24"/>
        </w:rPr>
        <w:t xml:space="preserve"> Schematics showing the design of the indicated lentivectors. </w:t>
      </w:r>
      <w:r w:rsidRPr="00AE08CF">
        <w:rPr>
          <w:b/>
          <w:bCs/>
          <w:szCs w:val="24"/>
        </w:rPr>
        <w:t>d</w:t>
      </w:r>
      <w:r w:rsidRPr="00AE08CF">
        <w:rPr>
          <w:szCs w:val="24"/>
        </w:rPr>
        <w:t xml:space="preserve"> Schematics showing the generation of NKT and CAR-NKT (no IL-15) cells. </w:t>
      </w:r>
      <w:r w:rsidRPr="00AE08CF">
        <w:rPr>
          <w:b/>
          <w:bCs/>
          <w:szCs w:val="24"/>
        </w:rPr>
        <w:t>e</w:t>
      </w:r>
      <w:r w:rsidRPr="00AE08CF">
        <w:rPr>
          <w:szCs w:val="24"/>
        </w:rPr>
        <w:t xml:space="preserve"> </w:t>
      </w:r>
      <w:r w:rsidRPr="00AE08CF">
        <w:rPr>
          <w:color w:val="000000" w:themeColor="text1"/>
          <w:szCs w:val="24"/>
        </w:rPr>
        <w:t>FACS analyses of the expression of indicated markers of the indicated cells (n = 3; n indicates different PBMC or CB donors).</w:t>
      </w:r>
    </w:p>
    <w:p w14:paraId="0FC57255" w14:textId="77777777" w:rsidR="00AE08CF" w:rsidRPr="00AE08CF" w:rsidRDefault="00AE08CF" w:rsidP="00AE08CF">
      <w:pPr>
        <w:spacing w:after="58"/>
        <w:jc w:val="both"/>
        <w:rPr>
          <w:color w:val="000000" w:themeColor="text1"/>
          <w:szCs w:val="24"/>
        </w:rPr>
      </w:pPr>
      <w:r w:rsidRPr="00AE08CF">
        <w:rPr>
          <w:b/>
          <w:bCs/>
          <w:color w:val="000000" w:themeColor="text1"/>
          <w:szCs w:val="24"/>
        </w:rPr>
        <w:t>f</w:t>
      </w:r>
      <w:r w:rsidRPr="00AE08CF">
        <w:rPr>
          <w:color w:val="000000" w:themeColor="text1"/>
          <w:szCs w:val="24"/>
        </w:rPr>
        <w:t xml:space="preserve"> and </w:t>
      </w:r>
      <w:r w:rsidRPr="00AE08CF">
        <w:rPr>
          <w:b/>
          <w:bCs/>
          <w:color w:val="000000" w:themeColor="text1"/>
          <w:szCs w:val="24"/>
        </w:rPr>
        <w:t>g</w:t>
      </w:r>
      <w:r w:rsidRPr="00AE08CF">
        <w:rPr>
          <w:color w:val="000000" w:themeColor="text1"/>
          <w:szCs w:val="24"/>
        </w:rPr>
        <w:t xml:space="preserve"> Studying the </w:t>
      </w:r>
      <w:r w:rsidRPr="00AE08CF">
        <w:rPr>
          <w:i/>
          <w:iCs/>
          <w:color w:val="000000" w:themeColor="text1"/>
          <w:szCs w:val="24"/>
        </w:rPr>
        <w:t>in vitro</w:t>
      </w:r>
      <w:r w:rsidRPr="00AE08CF">
        <w:rPr>
          <w:color w:val="000000" w:themeColor="text1"/>
          <w:szCs w:val="24"/>
        </w:rPr>
        <w:t xml:space="preserve"> tumor cell killing efficacy and mechanism of the indicated therapeutic cells. </w:t>
      </w:r>
      <w:r w:rsidRPr="00AE08CF">
        <w:rPr>
          <w:b/>
          <w:bCs/>
          <w:color w:val="000000" w:themeColor="text1"/>
          <w:szCs w:val="24"/>
        </w:rPr>
        <w:t>f</w:t>
      </w:r>
      <w:r w:rsidRPr="00AE08CF">
        <w:rPr>
          <w:sz w:val="28"/>
          <w:szCs w:val="21"/>
        </w:rPr>
        <w:t xml:space="preserve"> </w:t>
      </w:r>
      <w:r w:rsidRPr="00AE08CF">
        <w:rPr>
          <w:color w:val="000000" w:themeColor="text1"/>
          <w:szCs w:val="24"/>
        </w:rPr>
        <w:t xml:space="preserve">Experimental design. </w:t>
      </w:r>
      <w:r w:rsidRPr="00AE08CF">
        <w:rPr>
          <w:b/>
          <w:bCs/>
          <w:color w:val="000000" w:themeColor="text1"/>
          <w:szCs w:val="24"/>
        </w:rPr>
        <w:t>g</w:t>
      </w:r>
      <w:r w:rsidRPr="00AE08CF">
        <w:rPr>
          <w:color w:val="000000" w:themeColor="text1"/>
          <w:szCs w:val="24"/>
        </w:rPr>
        <w:t xml:space="preserve"> Tumor cell killing data at 24 h (n = 4).</w:t>
      </w:r>
    </w:p>
    <w:p w14:paraId="24BFF2A2" w14:textId="77777777" w:rsidR="00AE08CF" w:rsidRPr="00AE08CF" w:rsidRDefault="00AE08CF" w:rsidP="00AE08CF">
      <w:pPr>
        <w:spacing w:after="58"/>
        <w:jc w:val="both"/>
        <w:rPr>
          <w:color w:val="000000" w:themeColor="text1"/>
          <w:szCs w:val="24"/>
        </w:rPr>
      </w:pPr>
      <w:r w:rsidRPr="00AE08CF">
        <w:rPr>
          <w:b/>
          <w:bCs/>
          <w:color w:val="000000" w:themeColor="text1"/>
          <w:szCs w:val="24"/>
        </w:rPr>
        <w:lastRenderedPageBreak/>
        <w:t>h</w:t>
      </w:r>
      <w:r w:rsidRPr="00AE08CF">
        <w:rPr>
          <w:color w:val="000000" w:themeColor="text1"/>
          <w:szCs w:val="24"/>
        </w:rPr>
        <w:t xml:space="preserve"> and </w:t>
      </w:r>
      <w:proofErr w:type="spellStart"/>
      <w:r w:rsidRPr="00AE08CF">
        <w:rPr>
          <w:b/>
          <w:bCs/>
          <w:color w:val="000000" w:themeColor="text1"/>
          <w:szCs w:val="24"/>
        </w:rPr>
        <w:t>i</w:t>
      </w:r>
      <w:proofErr w:type="spellEnd"/>
      <w:r w:rsidRPr="00AE08CF">
        <w:rPr>
          <w:color w:val="000000" w:themeColor="text1"/>
          <w:szCs w:val="24"/>
        </w:rPr>
        <w:t xml:space="preserve"> Studying the long-term tumor cell killing of the indicated therapeutic cells. </w:t>
      </w:r>
      <w:r w:rsidRPr="00AE08CF">
        <w:rPr>
          <w:b/>
          <w:bCs/>
          <w:color w:val="000000" w:themeColor="text1"/>
          <w:szCs w:val="24"/>
        </w:rPr>
        <w:t>h</w:t>
      </w:r>
      <w:r w:rsidRPr="00AE08CF">
        <w:rPr>
          <w:color w:val="000000" w:themeColor="text1"/>
          <w:szCs w:val="24"/>
        </w:rPr>
        <w:t xml:space="preserve"> Experimental design. Note the stimulator cells were not labeled with FG while the indicator cells were labeled with FG. </w:t>
      </w:r>
      <w:proofErr w:type="spellStart"/>
      <w:r w:rsidRPr="00AE08CF">
        <w:rPr>
          <w:b/>
          <w:bCs/>
          <w:color w:val="000000" w:themeColor="text1"/>
          <w:szCs w:val="24"/>
        </w:rPr>
        <w:t>i</w:t>
      </w:r>
      <w:proofErr w:type="spellEnd"/>
      <w:r w:rsidRPr="00AE08CF">
        <w:rPr>
          <w:color w:val="000000" w:themeColor="text1"/>
          <w:szCs w:val="24"/>
        </w:rPr>
        <w:t xml:space="preserve"> Tumor cell killing data (n = 4).</w:t>
      </w:r>
    </w:p>
    <w:p w14:paraId="72CBFCD3" w14:textId="77777777" w:rsidR="00AE08CF" w:rsidRPr="00AE08CF" w:rsidRDefault="00AE08CF" w:rsidP="00AE08CF">
      <w:pPr>
        <w:spacing w:after="58"/>
        <w:jc w:val="both"/>
        <w:rPr>
          <w:szCs w:val="24"/>
        </w:rPr>
      </w:pPr>
      <w:r w:rsidRPr="00AE08CF">
        <w:rPr>
          <w:szCs w:val="24"/>
        </w:rPr>
        <w:t>Representative of 3 experiments. Data are presented as the mean ± SEM. ns, not significant, *p &lt; 0.05, ****p &lt; 0.0001, by one-way ANOVA (</w:t>
      </w:r>
      <w:r w:rsidRPr="00AE08CF">
        <w:rPr>
          <w:b/>
          <w:bCs/>
          <w:szCs w:val="24"/>
        </w:rPr>
        <w:t>e</w:t>
      </w:r>
      <w:r w:rsidRPr="00AE08CF">
        <w:rPr>
          <w:szCs w:val="24"/>
        </w:rPr>
        <w:t>) or two-way ANOVA (</w:t>
      </w:r>
      <w:r w:rsidRPr="00AE08CF">
        <w:rPr>
          <w:b/>
          <w:bCs/>
          <w:szCs w:val="24"/>
        </w:rPr>
        <w:t>g</w:t>
      </w:r>
      <w:r w:rsidRPr="00AE08CF">
        <w:rPr>
          <w:szCs w:val="24"/>
        </w:rPr>
        <w:t xml:space="preserve">). </w:t>
      </w:r>
    </w:p>
    <w:p w14:paraId="0B995A9C" w14:textId="1535CACC" w:rsidR="00AE08CF" w:rsidRPr="009618E3" w:rsidRDefault="00AE08CF" w:rsidP="00AE08CF">
      <w:pPr>
        <w:spacing w:after="58"/>
        <w:rPr>
          <w:rFonts w:ascii="Arial" w:hAnsi="Arial" w:cs="Arial"/>
          <w:b/>
          <w:bCs/>
          <w:sz w:val="22"/>
          <w:szCs w:val="22"/>
        </w:rPr>
      </w:pPr>
      <w:r>
        <w:rPr>
          <w:rFonts w:ascii="Arial" w:hAnsi="Arial" w:cs="Arial"/>
          <w:b/>
          <w:bCs/>
          <w:sz w:val="22"/>
          <w:szCs w:val="22"/>
        </w:rPr>
        <w:br w:type="page"/>
      </w:r>
    </w:p>
    <w:p w14:paraId="2F5BE30E" w14:textId="38F70B06" w:rsidR="00AE08CF" w:rsidRPr="009618E3" w:rsidRDefault="002F708B" w:rsidP="00AE08CF">
      <w:pPr>
        <w:spacing w:line="360" w:lineRule="auto"/>
        <w:rPr>
          <w:rFonts w:ascii="Arial" w:hAnsi="Arial" w:cs="Arial"/>
          <w:b/>
          <w:bCs/>
          <w:sz w:val="22"/>
          <w:szCs w:val="22"/>
        </w:rPr>
      </w:pPr>
      <w:r>
        <w:rPr>
          <w:rFonts w:ascii="Arial" w:hAnsi="Arial" w:cs="Arial"/>
          <w:b/>
          <w:bCs/>
          <w:noProof/>
          <w:sz w:val="22"/>
          <w:szCs w:val="22"/>
        </w:rPr>
        <w:lastRenderedPageBreak/>
        <w:drawing>
          <wp:inline distT="0" distB="0" distL="0" distR="0" wp14:anchorId="786EBF04" wp14:editId="62B79E70">
            <wp:extent cx="5943600" cy="52203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 S2.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220335"/>
                    </a:xfrm>
                    <a:prstGeom prst="rect">
                      <a:avLst/>
                    </a:prstGeom>
                  </pic:spPr>
                </pic:pic>
              </a:graphicData>
            </a:graphic>
          </wp:inline>
        </w:drawing>
      </w:r>
    </w:p>
    <w:p w14:paraId="732252D8" w14:textId="200A045E" w:rsidR="00AE08CF" w:rsidRPr="00AE08CF" w:rsidRDefault="00AE08CF" w:rsidP="00AE08CF">
      <w:pPr>
        <w:spacing w:before="245" w:after="58"/>
        <w:jc w:val="both"/>
        <w:rPr>
          <w:szCs w:val="24"/>
        </w:rPr>
      </w:pPr>
      <w:r w:rsidRPr="00AE08CF">
        <w:rPr>
          <w:b/>
          <w:bCs/>
          <w:szCs w:val="24"/>
        </w:rPr>
        <w:t>Fig</w:t>
      </w:r>
      <w:r w:rsidRPr="00AE08CF">
        <w:rPr>
          <w:b/>
          <w:bCs/>
          <w:szCs w:val="24"/>
          <w:lang w:eastAsia="zh-CN"/>
        </w:rPr>
        <w:t>ure</w:t>
      </w:r>
      <w:r w:rsidRPr="00AE08CF">
        <w:rPr>
          <w:b/>
          <w:bCs/>
          <w:szCs w:val="24"/>
        </w:rPr>
        <w:t>. S2.</w:t>
      </w:r>
      <w:r w:rsidRPr="00AE08CF">
        <w:rPr>
          <w:szCs w:val="24"/>
        </w:rPr>
        <w:t xml:space="preserve"> </w:t>
      </w:r>
      <w:r w:rsidRPr="00AE08CF">
        <w:rPr>
          <w:b/>
          <w:bCs/>
          <w:szCs w:val="24"/>
        </w:rPr>
        <w:t>Phenotype, functionality, and antitumor capacity of CAR-T and CAR-NKT cells.</w:t>
      </w:r>
    </w:p>
    <w:p w14:paraId="06D1229B" w14:textId="77777777" w:rsidR="00AE08CF" w:rsidRPr="00AE08CF" w:rsidRDefault="00AE08CF" w:rsidP="00AE08CF">
      <w:pPr>
        <w:spacing w:after="58"/>
        <w:jc w:val="both"/>
        <w:rPr>
          <w:b/>
          <w:bCs/>
          <w:color w:val="000000" w:themeColor="text1"/>
          <w:szCs w:val="24"/>
        </w:rPr>
      </w:pPr>
      <w:proofErr w:type="spellStart"/>
      <w:proofErr w:type="gramStart"/>
      <w:r w:rsidRPr="00AE08CF">
        <w:rPr>
          <w:b/>
          <w:bCs/>
          <w:color w:val="000000" w:themeColor="text1"/>
          <w:szCs w:val="24"/>
        </w:rPr>
        <w:t>a</w:t>
      </w:r>
      <w:proofErr w:type="spellEnd"/>
      <w:proofErr w:type="gramEnd"/>
      <w:r w:rsidRPr="00AE08CF">
        <w:rPr>
          <w:b/>
          <w:bCs/>
          <w:color w:val="000000" w:themeColor="text1"/>
          <w:szCs w:val="24"/>
        </w:rPr>
        <w:t xml:space="preserve"> </w:t>
      </w:r>
      <w:r w:rsidRPr="00AE08CF">
        <w:rPr>
          <w:color w:val="000000" w:themeColor="text1"/>
          <w:szCs w:val="24"/>
        </w:rPr>
        <w:t>Additional BLI images beyond Day 30.</w:t>
      </w:r>
      <w:r w:rsidRPr="00AE08CF">
        <w:rPr>
          <w:rFonts w:eastAsia="Times New Roman"/>
          <w:color w:val="222222"/>
          <w:szCs w:val="24"/>
        </w:rPr>
        <w:t xml:space="preserve"> Data are related to main Fig. 1</w:t>
      </w:r>
      <w:r w:rsidRPr="00AE08CF">
        <w:rPr>
          <w:rFonts w:eastAsia="Times New Roman"/>
          <w:b/>
          <w:bCs/>
          <w:color w:val="222222"/>
          <w:szCs w:val="24"/>
        </w:rPr>
        <w:t>k</w:t>
      </w:r>
      <w:r w:rsidRPr="00AE08CF">
        <w:rPr>
          <w:rFonts w:eastAsia="Times New Roman"/>
          <w:color w:val="222222"/>
          <w:szCs w:val="24"/>
        </w:rPr>
        <w:t>.</w:t>
      </w:r>
    </w:p>
    <w:p w14:paraId="20294AC9" w14:textId="77777777" w:rsidR="00AE08CF" w:rsidRPr="00AE08CF" w:rsidRDefault="00AE08CF" w:rsidP="00AE08CF">
      <w:pPr>
        <w:spacing w:after="58"/>
        <w:jc w:val="both"/>
        <w:rPr>
          <w:szCs w:val="24"/>
        </w:rPr>
      </w:pPr>
      <w:r w:rsidRPr="00AE08CF">
        <w:rPr>
          <w:b/>
          <w:bCs/>
          <w:color w:val="000000" w:themeColor="text1"/>
          <w:szCs w:val="24"/>
        </w:rPr>
        <w:t xml:space="preserve">b-d </w:t>
      </w:r>
      <w:r w:rsidRPr="00AE08CF">
        <w:rPr>
          <w:szCs w:val="24"/>
        </w:rPr>
        <w:t xml:space="preserve">HLA molecule expression on CAR-T and CAR-NKT cells. </w:t>
      </w:r>
      <w:r w:rsidRPr="00AE08CF">
        <w:rPr>
          <w:b/>
          <w:bCs/>
          <w:color w:val="000000" w:themeColor="text1"/>
          <w:szCs w:val="24"/>
        </w:rPr>
        <w:t>b</w:t>
      </w:r>
      <w:r w:rsidRPr="00AE08CF">
        <w:rPr>
          <w:color w:val="000000" w:themeColor="text1"/>
          <w:szCs w:val="24"/>
        </w:rPr>
        <w:t xml:space="preserve"> FACS plots showing the HLA molecule expression on </w:t>
      </w:r>
      <w:r w:rsidRPr="00AE08CF">
        <w:rPr>
          <w:i/>
          <w:iCs/>
          <w:color w:val="000000" w:themeColor="text1"/>
          <w:szCs w:val="24"/>
        </w:rPr>
        <w:t>in vitro</w:t>
      </w:r>
      <w:r w:rsidRPr="00AE08CF">
        <w:rPr>
          <w:color w:val="000000" w:themeColor="text1"/>
          <w:szCs w:val="24"/>
        </w:rPr>
        <w:t xml:space="preserve"> cultured CAR-T and CAR-NKT cells. ΔMFI was calculated as the mean fluorescence intensity (MFI) of each sample minus the MFI of the corresponding isotype control. </w:t>
      </w:r>
      <w:r w:rsidRPr="00AE08CF">
        <w:rPr>
          <w:b/>
          <w:bCs/>
          <w:color w:val="000000" w:themeColor="text1"/>
          <w:szCs w:val="24"/>
        </w:rPr>
        <w:t>c</w:t>
      </w:r>
      <w:r w:rsidRPr="00AE08CF">
        <w:rPr>
          <w:color w:val="000000" w:themeColor="text1"/>
          <w:szCs w:val="24"/>
        </w:rPr>
        <w:t xml:space="preserve"> Quantification of </w:t>
      </w:r>
      <w:r w:rsidRPr="00AE08CF">
        <w:rPr>
          <w:b/>
          <w:bCs/>
          <w:color w:val="000000" w:themeColor="text1"/>
          <w:szCs w:val="24"/>
        </w:rPr>
        <w:t>b</w:t>
      </w:r>
      <w:r w:rsidRPr="00AE08CF">
        <w:rPr>
          <w:color w:val="000000" w:themeColor="text1"/>
          <w:szCs w:val="24"/>
        </w:rPr>
        <w:t xml:space="preserve"> (n = 5; n indicates different PBMC or CB donors).</w:t>
      </w:r>
      <w:r w:rsidRPr="00AE08CF">
        <w:rPr>
          <w:szCs w:val="24"/>
        </w:rPr>
        <w:t xml:space="preserve"> </w:t>
      </w:r>
      <w:r w:rsidRPr="00AE08CF">
        <w:rPr>
          <w:b/>
          <w:bCs/>
          <w:color w:val="000000" w:themeColor="text1"/>
          <w:szCs w:val="24"/>
        </w:rPr>
        <w:t>d</w:t>
      </w:r>
      <w:r w:rsidRPr="00AE08CF">
        <w:rPr>
          <w:color w:val="000000" w:themeColor="text1"/>
          <w:szCs w:val="24"/>
        </w:rPr>
        <w:t xml:space="preserve"> FACS analyses of the HLA molecule expression on </w:t>
      </w:r>
      <w:r w:rsidRPr="00AE08CF">
        <w:rPr>
          <w:rFonts w:eastAsia="Times New Roman"/>
          <w:i/>
          <w:iCs/>
          <w:color w:val="222222"/>
          <w:szCs w:val="24"/>
        </w:rPr>
        <w:t>in vivo</w:t>
      </w:r>
      <w:r w:rsidRPr="00AE08CF">
        <w:rPr>
          <w:rFonts w:eastAsia="Times New Roman"/>
          <w:color w:val="222222"/>
          <w:szCs w:val="24"/>
        </w:rPr>
        <w:t xml:space="preserve"> peritoneal fluid-isolated tumor-infiltrating</w:t>
      </w:r>
      <w:r w:rsidRPr="00AE08CF">
        <w:rPr>
          <w:color w:val="000000" w:themeColor="text1"/>
          <w:szCs w:val="24"/>
        </w:rPr>
        <w:t xml:space="preserve"> CAR-T and CAR-NKT cells (n = 5; n indicates different experimental mice).</w:t>
      </w:r>
    </w:p>
    <w:p w14:paraId="6B26B684" w14:textId="77777777" w:rsidR="00AE08CF" w:rsidRPr="00AE08CF" w:rsidRDefault="00AE08CF" w:rsidP="00AE08CF">
      <w:pPr>
        <w:spacing w:after="58"/>
        <w:jc w:val="both"/>
        <w:rPr>
          <w:color w:val="000000" w:themeColor="text1"/>
          <w:szCs w:val="24"/>
        </w:rPr>
      </w:pPr>
      <w:r w:rsidRPr="00AE08CF">
        <w:rPr>
          <w:b/>
          <w:bCs/>
          <w:color w:val="000000" w:themeColor="text1"/>
          <w:szCs w:val="24"/>
        </w:rPr>
        <w:t xml:space="preserve">e </w:t>
      </w:r>
      <w:r w:rsidRPr="00AE08CF">
        <w:rPr>
          <w:color w:val="000000" w:themeColor="text1"/>
          <w:szCs w:val="24"/>
        </w:rPr>
        <w:t>and</w:t>
      </w:r>
      <w:r w:rsidRPr="00AE08CF">
        <w:rPr>
          <w:b/>
          <w:bCs/>
          <w:color w:val="000000" w:themeColor="text1"/>
          <w:szCs w:val="24"/>
        </w:rPr>
        <w:t xml:space="preserve"> f</w:t>
      </w:r>
      <w:r w:rsidRPr="00AE08CF">
        <w:rPr>
          <w:szCs w:val="24"/>
        </w:rPr>
        <w:t xml:space="preserve"> </w:t>
      </w:r>
      <w:r w:rsidRPr="00AE08CF">
        <w:rPr>
          <w:color w:val="000000" w:themeColor="text1"/>
          <w:szCs w:val="24"/>
        </w:rPr>
        <w:t xml:space="preserve">Studying the </w:t>
      </w:r>
      <w:r w:rsidRPr="00AE08CF">
        <w:rPr>
          <w:i/>
          <w:iCs/>
          <w:color w:val="000000" w:themeColor="text1"/>
          <w:szCs w:val="24"/>
        </w:rPr>
        <w:t>in vitro</w:t>
      </w:r>
      <w:r w:rsidRPr="00AE08CF">
        <w:rPr>
          <w:color w:val="000000" w:themeColor="text1"/>
          <w:szCs w:val="24"/>
        </w:rPr>
        <w:t xml:space="preserve"> antitumor capacity of CAR-T cells before and after cell sorting. </w:t>
      </w:r>
      <w:r w:rsidRPr="00AE08CF">
        <w:rPr>
          <w:b/>
          <w:bCs/>
          <w:color w:val="000000" w:themeColor="text1"/>
          <w:szCs w:val="24"/>
        </w:rPr>
        <w:t>e</w:t>
      </w:r>
      <w:r w:rsidRPr="00AE08CF">
        <w:rPr>
          <w:color w:val="000000" w:themeColor="text1"/>
          <w:szCs w:val="24"/>
        </w:rPr>
        <w:t xml:space="preserve"> Experimental design. </w:t>
      </w:r>
      <w:r w:rsidRPr="00AE08CF">
        <w:rPr>
          <w:b/>
          <w:bCs/>
          <w:color w:val="000000" w:themeColor="text1"/>
          <w:szCs w:val="24"/>
        </w:rPr>
        <w:t>f</w:t>
      </w:r>
      <w:r w:rsidRPr="00AE08CF">
        <w:rPr>
          <w:color w:val="000000" w:themeColor="text1"/>
          <w:szCs w:val="24"/>
        </w:rPr>
        <w:t xml:space="preserve"> Tumor cell killing data at 24 h (</w:t>
      </w:r>
      <w:proofErr w:type="gramStart"/>
      <w:r w:rsidRPr="00AE08CF">
        <w:rPr>
          <w:color w:val="000000" w:themeColor="text1"/>
          <w:szCs w:val="24"/>
        </w:rPr>
        <w:t>E:T</w:t>
      </w:r>
      <w:proofErr w:type="gramEnd"/>
      <w:r w:rsidRPr="00AE08CF">
        <w:rPr>
          <w:color w:val="000000" w:themeColor="text1"/>
          <w:szCs w:val="24"/>
        </w:rPr>
        <w:t xml:space="preserve"> = 2:1; n = 4).</w:t>
      </w:r>
    </w:p>
    <w:p w14:paraId="4734DA51" w14:textId="77777777" w:rsidR="00AE08CF" w:rsidRPr="00AE08CF" w:rsidRDefault="00AE08CF" w:rsidP="00AE08CF">
      <w:pPr>
        <w:spacing w:after="58"/>
        <w:jc w:val="both"/>
        <w:rPr>
          <w:rFonts w:eastAsia="Times New Roman"/>
          <w:color w:val="222222"/>
          <w:szCs w:val="24"/>
        </w:rPr>
      </w:pPr>
      <w:r w:rsidRPr="00AE08CF">
        <w:rPr>
          <w:b/>
          <w:bCs/>
          <w:color w:val="000000" w:themeColor="text1"/>
          <w:szCs w:val="24"/>
        </w:rPr>
        <w:t xml:space="preserve">g </w:t>
      </w:r>
      <w:r w:rsidRPr="00AE08CF">
        <w:rPr>
          <w:color w:val="000000" w:themeColor="text1"/>
          <w:szCs w:val="24"/>
        </w:rPr>
        <w:t>ELISA measurements of human IL-15 levels in the serum of mice infused with CAR-NKT cells, collected on days 20, 40, 75, and 115</w:t>
      </w:r>
      <w:r w:rsidRPr="00AE08CF">
        <w:rPr>
          <w:rFonts w:eastAsia="Times New Roman"/>
          <w:color w:val="222222"/>
          <w:szCs w:val="24"/>
        </w:rPr>
        <w:t xml:space="preserve"> (n = 3). Data are related to main Fig. 2</w:t>
      </w:r>
      <w:r w:rsidRPr="00AE08CF">
        <w:rPr>
          <w:rFonts w:eastAsia="Times New Roman"/>
          <w:b/>
          <w:bCs/>
          <w:color w:val="222222"/>
          <w:szCs w:val="24"/>
        </w:rPr>
        <w:t>a</w:t>
      </w:r>
      <w:r w:rsidRPr="00AE08CF">
        <w:rPr>
          <w:rFonts w:eastAsia="Times New Roman"/>
          <w:color w:val="222222"/>
          <w:szCs w:val="24"/>
        </w:rPr>
        <w:t>-</w:t>
      </w:r>
      <w:r w:rsidRPr="00AE08CF">
        <w:rPr>
          <w:rFonts w:eastAsia="Times New Roman"/>
          <w:b/>
          <w:bCs/>
          <w:color w:val="222222"/>
          <w:szCs w:val="24"/>
        </w:rPr>
        <w:t>e</w:t>
      </w:r>
      <w:r w:rsidRPr="00AE08CF">
        <w:rPr>
          <w:rFonts w:eastAsia="Times New Roman"/>
          <w:color w:val="222222"/>
          <w:szCs w:val="24"/>
        </w:rPr>
        <w:t>.</w:t>
      </w:r>
    </w:p>
    <w:p w14:paraId="51A832B6" w14:textId="77777777" w:rsidR="00AE08CF" w:rsidRPr="00AE08CF" w:rsidRDefault="00AE08CF" w:rsidP="00AE08CF">
      <w:pPr>
        <w:spacing w:after="58"/>
        <w:jc w:val="both"/>
        <w:rPr>
          <w:b/>
          <w:bCs/>
          <w:color w:val="000000" w:themeColor="text1"/>
          <w:szCs w:val="24"/>
        </w:rPr>
      </w:pPr>
      <w:r w:rsidRPr="00AE08CF">
        <w:rPr>
          <w:rFonts w:eastAsia="Times New Roman"/>
          <w:b/>
          <w:bCs/>
          <w:color w:val="222222"/>
          <w:szCs w:val="24"/>
        </w:rPr>
        <w:t>h</w:t>
      </w:r>
      <w:r w:rsidRPr="00AE08CF">
        <w:rPr>
          <w:rFonts w:eastAsia="Times New Roman"/>
          <w:color w:val="222222"/>
          <w:szCs w:val="24"/>
        </w:rPr>
        <w:t xml:space="preserve"> </w:t>
      </w:r>
      <w:r w:rsidRPr="00AE08CF">
        <w:rPr>
          <w:color w:val="000000" w:themeColor="text1"/>
          <w:szCs w:val="24"/>
        </w:rPr>
        <w:t xml:space="preserve">Clinical GvHD score of experimental mice on days 44 and 50 (n = 3). A clinical GvHD score was calculated as the sum of individual scores of 6 categories (body weight, activity, posture, skin </w:t>
      </w:r>
      <w:r w:rsidRPr="00AE08CF">
        <w:rPr>
          <w:color w:val="000000" w:themeColor="text1"/>
          <w:szCs w:val="24"/>
        </w:rPr>
        <w:lastRenderedPageBreak/>
        <w:t>thickening, diarrhea, and dishevelment; score 0-2 for each category).</w:t>
      </w:r>
      <w:r w:rsidRPr="00AE08CF">
        <w:rPr>
          <w:rFonts w:eastAsia="Times New Roman"/>
          <w:color w:val="222222"/>
          <w:szCs w:val="24"/>
        </w:rPr>
        <w:t xml:space="preserve"> Data are related to main Fig. 2</w:t>
      </w:r>
      <w:r w:rsidRPr="00AE08CF">
        <w:rPr>
          <w:rFonts w:eastAsia="Times New Roman"/>
          <w:b/>
          <w:bCs/>
          <w:color w:val="222222"/>
          <w:szCs w:val="24"/>
        </w:rPr>
        <w:t>a</w:t>
      </w:r>
      <w:r w:rsidRPr="00AE08CF">
        <w:rPr>
          <w:rFonts w:eastAsia="Times New Roman"/>
          <w:color w:val="222222"/>
          <w:szCs w:val="24"/>
        </w:rPr>
        <w:t>-</w:t>
      </w:r>
      <w:r w:rsidRPr="00AE08CF">
        <w:rPr>
          <w:rFonts w:eastAsia="Times New Roman"/>
          <w:b/>
          <w:bCs/>
          <w:color w:val="222222"/>
          <w:szCs w:val="24"/>
        </w:rPr>
        <w:t>e</w:t>
      </w:r>
      <w:r w:rsidRPr="00AE08CF">
        <w:rPr>
          <w:rFonts w:eastAsia="Times New Roman"/>
          <w:color w:val="222222"/>
          <w:szCs w:val="24"/>
        </w:rPr>
        <w:t>.</w:t>
      </w:r>
    </w:p>
    <w:p w14:paraId="3CAE4F6D" w14:textId="77777777" w:rsidR="00AE08CF" w:rsidRPr="00AE08CF" w:rsidRDefault="00AE08CF" w:rsidP="00AE08CF">
      <w:pPr>
        <w:spacing w:after="58"/>
        <w:jc w:val="both"/>
        <w:rPr>
          <w:szCs w:val="24"/>
        </w:rPr>
      </w:pPr>
      <w:r w:rsidRPr="00AE08CF">
        <w:rPr>
          <w:szCs w:val="24"/>
        </w:rPr>
        <w:t xml:space="preserve">Representative of 3 experiments. Data are presented as the mean ± SEM. ns, not significant, **p &lt; 0.01, ***p &lt; 0.001, ****p &lt; 0.0001, by Student's </w:t>
      </w:r>
      <w:r w:rsidRPr="00AE08CF">
        <w:rPr>
          <w:i/>
          <w:iCs/>
          <w:szCs w:val="24"/>
        </w:rPr>
        <w:t>t</w:t>
      </w:r>
      <w:r w:rsidRPr="00AE08CF">
        <w:rPr>
          <w:szCs w:val="24"/>
        </w:rPr>
        <w:t xml:space="preserve"> test (</w:t>
      </w:r>
      <w:r w:rsidRPr="00AE08CF">
        <w:rPr>
          <w:b/>
          <w:bCs/>
          <w:szCs w:val="24"/>
        </w:rPr>
        <w:t>c</w:t>
      </w:r>
      <w:r w:rsidRPr="00AE08CF">
        <w:rPr>
          <w:szCs w:val="24"/>
        </w:rPr>
        <w:t xml:space="preserve"> and </w:t>
      </w:r>
      <w:r w:rsidRPr="00AE08CF">
        <w:rPr>
          <w:b/>
          <w:bCs/>
          <w:szCs w:val="24"/>
        </w:rPr>
        <w:t>d</w:t>
      </w:r>
      <w:r w:rsidRPr="00AE08CF">
        <w:rPr>
          <w:szCs w:val="24"/>
        </w:rPr>
        <w:t>), or one-way ANOVA (</w:t>
      </w:r>
      <w:r w:rsidRPr="00AE08CF">
        <w:rPr>
          <w:b/>
          <w:bCs/>
          <w:szCs w:val="24"/>
        </w:rPr>
        <w:t>f</w:t>
      </w:r>
      <w:r w:rsidRPr="00AE08CF">
        <w:rPr>
          <w:szCs w:val="24"/>
        </w:rPr>
        <w:t xml:space="preserve"> and </w:t>
      </w:r>
      <w:r w:rsidRPr="00AE08CF">
        <w:rPr>
          <w:b/>
          <w:bCs/>
          <w:szCs w:val="24"/>
        </w:rPr>
        <w:t>h</w:t>
      </w:r>
      <w:r w:rsidRPr="00AE08CF">
        <w:rPr>
          <w:szCs w:val="24"/>
        </w:rPr>
        <w:t>).</w:t>
      </w:r>
    </w:p>
    <w:p w14:paraId="0629E43D" w14:textId="77777777" w:rsidR="00AE08CF" w:rsidRPr="00AE08CF" w:rsidRDefault="00AE08CF" w:rsidP="00AE08CF">
      <w:pPr>
        <w:spacing w:after="58"/>
        <w:rPr>
          <w:color w:val="000000" w:themeColor="text1"/>
          <w:szCs w:val="24"/>
        </w:rPr>
      </w:pPr>
      <w:r w:rsidRPr="00AE08CF">
        <w:rPr>
          <w:color w:val="000000" w:themeColor="text1"/>
          <w:szCs w:val="24"/>
        </w:rPr>
        <w:br w:type="page"/>
      </w:r>
    </w:p>
    <w:p w14:paraId="1025B142" w14:textId="77777777" w:rsidR="00AE08CF" w:rsidRPr="009618E3" w:rsidRDefault="00AE08CF" w:rsidP="00AE08CF">
      <w:pPr>
        <w:spacing w:line="360" w:lineRule="auto"/>
        <w:jc w:val="both"/>
        <w:rPr>
          <w:rFonts w:ascii="Arial" w:hAnsi="Arial" w:cs="Arial"/>
          <w:color w:val="000000" w:themeColor="text1"/>
          <w:sz w:val="22"/>
          <w:szCs w:val="22"/>
        </w:rPr>
      </w:pPr>
      <w:r w:rsidRPr="009618E3">
        <w:rPr>
          <w:rFonts w:ascii="Arial" w:hAnsi="Arial" w:cs="Arial"/>
          <w:noProof/>
          <w:color w:val="000000" w:themeColor="text1"/>
          <w:sz w:val="22"/>
          <w:szCs w:val="22"/>
        </w:rPr>
        <w:lastRenderedPageBreak/>
        <w:drawing>
          <wp:anchor distT="0" distB="0" distL="114300" distR="114300" simplePos="0" relativeHeight="251668480" behindDoc="0" locked="0" layoutInCell="1" allowOverlap="1" wp14:anchorId="1A7EE89B" wp14:editId="6CDC1868">
            <wp:simplePos x="0" y="0"/>
            <wp:positionH relativeFrom="column">
              <wp:posOffset>-319778</wp:posOffset>
            </wp:positionH>
            <wp:positionV relativeFrom="paragraph">
              <wp:posOffset>0</wp:posOffset>
            </wp:positionV>
            <wp:extent cx="6529070" cy="737616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29070" cy="7376160"/>
                    </a:xfrm>
                    <a:prstGeom prst="rect">
                      <a:avLst/>
                    </a:prstGeom>
                  </pic:spPr>
                </pic:pic>
              </a:graphicData>
            </a:graphic>
            <wp14:sizeRelH relativeFrom="page">
              <wp14:pctWidth>0</wp14:pctWidth>
            </wp14:sizeRelH>
            <wp14:sizeRelV relativeFrom="page">
              <wp14:pctHeight>0</wp14:pctHeight>
            </wp14:sizeRelV>
          </wp:anchor>
        </w:drawing>
      </w:r>
    </w:p>
    <w:p w14:paraId="110DF431" w14:textId="7C9F06A8" w:rsidR="00AE08CF" w:rsidRPr="00AE08CF" w:rsidRDefault="00AE08CF" w:rsidP="00AE08CF">
      <w:pPr>
        <w:spacing w:after="58"/>
        <w:jc w:val="both"/>
        <w:rPr>
          <w:b/>
          <w:bCs/>
          <w:szCs w:val="24"/>
        </w:rPr>
      </w:pPr>
      <w:r w:rsidRPr="00AE08CF">
        <w:rPr>
          <w:b/>
          <w:bCs/>
          <w:szCs w:val="24"/>
        </w:rPr>
        <w:t>Fig</w:t>
      </w:r>
      <w:r w:rsidRPr="00AE08CF">
        <w:rPr>
          <w:b/>
          <w:bCs/>
          <w:szCs w:val="24"/>
          <w:lang w:eastAsia="zh-CN"/>
        </w:rPr>
        <w:t>ure</w:t>
      </w:r>
      <w:r w:rsidRPr="00AE08CF">
        <w:rPr>
          <w:b/>
          <w:bCs/>
          <w:szCs w:val="24"/>
        </w:rPr>
        <w:t>. S3.</w:t>
      </w:r>
      <w:r w:rsidRPr="00AE08CF">
        <w:rPr>
          <w:szCs w:val="24"/>
        </w:rPr>
        <w:t xml:space="preserve"> </w:t>
      </w:r>
      <w:r w:rsidRPr="00AE08CF">
        <w:rPr>
          <w:b/>
          <w:bCs/>
          <w:szCs w:val="24"/>
        </w:rPr>
        <w:t xml:space="preserve"> </w:t>
      </w:r>
      <w:r w:rsidRPr="00AE08CF">
        <w:rPr>
          <w:rFonts w:eastAsia="Times New Roman"/>
          <w:b/>
          <w:bCs/>
          <w:color w:val="222222"/>
          <w:szCs w:val="24"/>
        </w:rPr>
        <w:t>Chemokine receptor profiles of CAR-T and CAR-NKT cells.</w:t>
      </w:r>
    </w:p>
    <w:p w14:paraId="5F5DACA7" w14:textId="77777777" w:rsidR="00AE08CF" w:rsidRPr="00AE08CF" w:rsidRDefault="00AE08CF" w:rsidP="00AE08CF">
      <w:pPr>
        <w:spacing w:after="58"/>
        <w:jc w:val="both"/>
        <w:rPr>
          <w:szCs w:val="24"/>
        </w:rPr>
      </w:pPr>
      <w:r w:rsidRPr="00AE08CF">
        <w:rPr>
          <w:b/>
          <w:bCs/>
          <w:szCs w:val="24"/>
        </w:rPr>
        <w:t>a</w:t>
      </w:r>
      <w:r w:rsidRPr="00AE08CF">
        <w:rPr>
          <w:szCs w:val="24"/>
        </w:rPr>
        <w:t xml:space="preserve"> FACS analyses of surface chemokine receptor expression on CAR-T and CAR-NKT cells collected from the peritoneal fluid of experimental mice on Day 56 (n = 5).</w:t>
      </w:r>
    </w:p>
    <w:p w14:paraId="27B56CFE" w14:textId="77777777" w:rsidR="00AE08CF" w:rsidRPr="00AE08CF" w:rsidRDefault="00AE08CF" w:rsidP="00AE08CF">
      <w:pPr>
        <w:spacing w:after="58"/>
        <w:jc w:val="both"/>
        <w:rPr>
          <w:szCs w:val="24"/>
        </w:rPr>
      </w:pPr>
      <w:r w:rsidRPr="00AE08CF">
        <w:rPr>
          <w:b/>
          <w:bCs/>
          <w:szCs w:val="24"/>
        </w:rPr>
        <w:lastRenderedPageBreak/>
        <w:t>b</w:t>
      </w:r>
      <w:r w:rsidRPr="00AE08CF">
        <w:rPr>
          <w:szCs w:val="24"/>
        </w:rPr>
        <w:t xml:space="preserve"> Violin plots showing the expression distribution of the indicated chemokine receptor genes in CAR-T and CAR-NKT cells collected from the peritoneal fluid of experimental mice at each time point.</w:t>
      </w:r>
    </w:p>
    <w:p w14:paraId="76231C72" w14:textId="77777777" w:rsidR="00AE08CF" w:rsidRPr="00AE08CF" w:rsidRDefault="00AE08CF" w:rsidP="00AE08CF">
      <w:pPr>
        <w:spacing w:after="58"/>
        <w:jc w:val="both"/>
        <w:rPr>
          <w:b/>
          <w:bCs/>
          <w:szCs w:val="24"/>
        </w:rPr>
      </w:pPr>
      <w:r w:rsidRPr="00AE08CF">
        <w:rPr>
          <w:b/>
          <w:bCs/>
          <w:szCs w:val="24"/>
        </w:rPr>
        <w:t xml:space="preserve">c </w:t>
      </w:r>
      <w:r w:rsidRPr="00AE08CF">
        <w:rPr>
          <w:szCs w:val="24"/>
        </w:rPr>
        <w:t>Table showing the high tumor retention capacity of CAR-NKT cells driven by their chemokine receptor pattern that is distinct from CAR-T cells.</w:t>
      </w:r>
    </w:p>
    <w:p w14:paraId="3C0728E4" w14:textId="77777777" w:rsidR="00AE08CF" w:rsidRPr="00AE08CF" w:rsidRDefault="00AE08CF" w:rsidP="00AE08CF">
      <w:pPr>
        <w:spacing w:after="58"/>
        <w:jc w:val="both"/>
        <w:rPr>
          <w:b/>
          <w:bCs/>
          <w:szCs w:val="24"/>
        </w:rPr>
      </w:pPr>
      <w:r w:rsidRPr="00AE08CF">
        <w:rPr>
          <w:color w:val="000000" w:themeColor="text1"/>
          <w:szCs w:val="24"/>
        </w:rPr>
        <w:t xml:space="preserve">Data are presented as the mean ± SEM. ***p &lt; 0.001, ****p &lt; 0.0001 by Student’s </w:t>
      </w:r>
      <w:r w:rsidRPr="00AE08CF">
        <w:rPr>
          <w:i/>
          <w:iCs/>
          <w:color w:val="000000" w:themeColor="text1"/>
          <w:szCs w:val="24"/>
        </w:rPr>
        <w:t>t</w:t>
      </w:r>
      <w:r w:rsidRPr="00AE08CF">
        <w:rPr>
          <w:color w:val="000000" w:themeColor="text1"/>
          <w:szCs w:val="24"/>
        </w:rPr>
        <w:t xml:space="preserve"> test (</w:t>
      </w:r>
      <w:r w:rsidRPr="00AE08CF">
        <w:rPr>
          <w:b/>
          <w:bCs/>
          <w:color w:val="000000" w:themeColor="text1"/>
          <w:szCs w:val="24"/>
        </w:rPr>
        <w:t>a</w:t>
      </w:r>
      <w:r w:rsidRPr="00AE08CF">
        <w:rPr>
          <w:color w:val="000000" w:themeColor="text1"/>
          <w:szCs w:val="24"/>
        </w:rPr>
        <w:t>).</w:t>
      </w:r>
      <w:r w:rsidRPr="00AE08CF">
        <w:rPr>
          <w:szCs w:val="24"/>
        </w:rPr>
        <w:t xml:space="preserve"> P values for the violin plots were calculated using two-tailed Wilcoxon rank-sum tests.</w:t>
      </w:r>
    </w:p>
    <w:p w14:paraId="79B886D2" w14:textId="77777777" w:rsidR="00AE08CF" w:rsidRPr="009618E3" w:rsidRDefault="00AE08CF" w:rsidP="00AE08CF">
      <w:pPr>
        <w:spacing w:line="360" w:lineRule="auto"/>
        <w:jc w:val="both"/>
        <w:rPr>
          <w:rFonts w:ascii="Arial" w:hAnsi="Arial" w:cs="Arial"/>
          <w:color w:val="000000" w:themeColor="text1"/>
          <w:sz w:val="22"/>
          <w:szCs w:val="22"/>
        </w:rPr>
      </w:pPr>
    </w:p>
    <w:p w14:paraId="371917E2" w14:textId="77777777" w:rsidR="00AE08CF" w:rsidRPr="009618E3" w:rsidRDefault="00AE08CF" w:rsidP="00AE08CF">
      <w:pPr>
        <w:rPr>
          <w:rFonts w:ascii="Arial" w:hAnsi="Arial" w:cs="Arial"/>
          <w:sz w:val="22"/>
          <w:szCs w:val="22"/>
        </w:rPr>
      </w:pPr>
      <w:r w:rsidRPr="009618E3">
        <w:rPr>
          <w:rFonts w:ascii="Arial" w:hAnsi="Arial" w:cs="Arial"/>
          <w:sz w:val="22"/>
          <w:szCs w:val="22"/>
        </w:rPr>
        <w:br w:type="page"/>
      </w:r>
    </w:p>
    <w:p w14:paraId="58B5FAAA" w14:textId="30B26E79" w:rsidR="00AE08CF" w:rsidRPr="009618E3" w:rsidRDefault="002F708B" w:rsidP="00AE08CF">
      <w:pPr>
        <w:rPr>
          <w:rFonts w:ascii="Arial" w:hAnsi="Arial" w:cs="Arial"/>
          <w:sz w:val="22"/>
          <w:szCs w:val="22"/>
        </w:rPr>
      </w:pPr>
      <w:r>
        <w:rPr>
          <w:rFonts w:ascii="Arial" w:hAnsi="Arial" w:cs="Arial"/>
          <w:noProof/>
          <w:sz w:val="22"/>
          <w:szCs w:val="22"/>
        </w:rPr>
        <w:lastRenderedPageBreak/>
        <w:drawing>
          <wp:anchor distT="0" distB="0" distL="114300" distR="114300" simplePos="0" relativeHeight="251671552" behindDoc="0" locked="0" layoutInCell="1" allowOverlap="1" wp14:anchorId="4844E9A1" wp14:editId="584AF77B">
            <wp:simplePos x="0" y="0"/>
            <wp:positionH relativeFrom="column">
              <wp:posOffset>-193040</wp:posOffset>
            </wp:positionH>
            <wp:positionV relativeFrom="paragraph">
              <wp:posOffset>0</wp:posOffset>
            </wp:positionV>
            <wp:extent cx="6313805" cy="819658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 S4.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13805" cy="8196580"/>
                    </a:xfrm>
                    <a:prstGeom prst="rect">
                      <a:avLst/>
                    </a:prstGeom>
                  </pic:spPr>
                </pic:pic>
              </a:graphicData>
            </a:graphic>
            <wp14:sizeRelH relativeFrom="page">
              <wp14:pctWidth>0</wp14:pctWidth>
            </wp14:sizeRelH>
            <wp14:sizeRelV relativeFrom="page">
              <wp14:pctHeight>0</wp14:pctHeight>
            </wp14:sizeRelV>
          </wp:anchor>
        </w:drawing>
      </w:r>
    </w:p>
    <w:p w14:paraId="585E231F" w14:textId="315E4C8F" w:rsidR="00AE08CF" w:rsidRPr="00AE08CF" w:rsidRDefault="00AE08CF" w:rsidP="00AE08CF">
      <w:pPr>
        <w:spacing w:after="58"/>
        <w:jc w:val="both"/>
        <w:rPr>
          <w:b/>
          <w:bCs/>
          <w:szCs w:val="24"/>
        </w:rPr>
      </w:pPr>
      <w:r w:rsidRPr="00AE08CF">
        <w:rPr>
          <w:b/>
          <w:bCs/>
          <w:szCs w:val="24"/>
        </w:rPr>
        <w:lastRenderedPageBreak/>
        <w:t>Fig</w:t>
      </w:r>
      <w:r w:rsidRPr="00AE08CF">
        <w:rPr>
          <w:b/>
          <w:bCs/>
          <w:szCs w:val="24"/>
          <w:lang w:eastAsia="zh-CN"/>
        </w:rPr>
        <w:t>ure</w:t>
      </w:r>
      <w:r w:rsidRPr="00AE08CF">
        <w:rPr>
          <w:b/>
          <w:bCs/>
          <w:szCs w:val="24"/>
        </w:rPr>
        <w:t>. S4.</w:t>
      </w:r>
      <w:r w:rsidRPr="00AE08CF">
        <w:rPr>
          <w:szCs w:val="24"/>
        </w:rPr>
        <w:t xml:space="preserve"> </w:t>
      </w:r>
      <w:r w:rsidRPr="00AE08CF">
        <w:rPr>
          <w:b/>
          <w:bCs/>
          <w:szCs w:val="24"/>
        </w:rPr>
        <w:t xml:space="preserve"> Comparison between IL-15-boosted CAR-T and CAR-NKT cells.</w:t>
      </w:r>
    </w:p>
    <w:p w14:paraId="2E765486" w14:textId="77777777" w:rsidR="00AE08CF" w:rsidRPr="00AE08CF" w:rsidRDefault="00AE08CF" w:rsidP="00AE08CF">
      <w:pPr>
        <w:spacing w:after="58"/>
        <w:jc w:val="both"/>
        <w:rPr>
          <w:color w:val="000000" w:themeColor="text1"/>
          <w:szCs w:val="24"/>
        </w:rPr>
      </w:pPr>
      <w:r w:rsidRPr="00AE08CF">
        <w:rPr>
          <w:b/>
          <w:bCs/>
          <w:color w:val="000000" w:themeColor="text1"/>
          <w:szCs w:val="24"/>
        </w:rPr>
        <w:t xml:space="preserve">a-f </w:t>
      </w:r>
      <w:r w:rsidRPr="00AE08CF">
        <w:rPr>
          <w:color w:val="000000" w:themeColor="text1"/>
          <w:szCs w:val="24"/>
        </w:rPr>
        <w:t>Generation and characterization of IL-15</w:t>
      </w:r>
      <w:r w:rsidRPr="00AE08CF">
        <w:rPr>
          <w:szCs w:val="24"/>
        </w:rPr>
        <w:t xml:space="preserve">-boosted CAR-T cells. </w:t>
      </w:r>
      <w:r w:rsidRPr="00AE08CF">
        <w:rPr>
          <w:b/>
          <w:bCs/>
          <w:szCs w:val="24"/>
        </w:rPr>
        <w:t>a</w:t>
      </w:r>
      <w:r w:rsidRPr="00AE08CF">
        <w:rPr>
          <w:szCs w:val="24"/>
        </w:rPr>
        <w:t xml:space="preserve"> Diagram showing the design of </w:t>
      </w:r>
      <w:proofErr w:type="spellStart"/>
      <w:r w:rsidRPr="00AE08CF">
        <w:rPr>
          <w:szCs w:val="24"/>
        </w:rPr>
        <w:t>Lenti</w:t>
      </w:r>
      <w:proofErr w:type="spellEnd"/>
      <w:r w:rsidRPr="00AE08CF">
        <w:rPr>
          <w:szCs w:val="24"/>
        </w:rPr>
        <w:t xml:space="preserve">/MCAR-IL-15 lentivector, and the generation of IL-15-boosted CAR-T cells from healthy donor PBMCs. </w:t>
      </w:r>
      <w:r w:rsidRPr="00AE08CF">
        <w:rPr>
          <w:b/>
          <w:bCs/>
          <w:szCs w:val="24"/>
        </w:rPr>
        <w:t>b</w:t>
      </w:r>
      <w:r w:rsidRPr="00AE08CF">
        <w:rPr>
          <w:szCs w:val="24"/>
        </w:rPr>
        <w:t xml:space="preserve"> FACS detection of the CAR expression on CAR-T cells and their CD4/CD8 expression. </w:t>
      </w:r>
      <w:r w:rsidRPr="00AE08CF">
        <w:rPr>
          <w:b/>
          <w:bCs/>
          <w:szCs w:val="24"/>
        </w:rPr>
        <w:t>c</w:t>
      </w:r>
      <w:r w:rsidRPr="00AE08CF">
        <w:rPr>
          <w:szCs w:val="24"/>
        </w:rPr>
        <w:t xml:space="preserve"> Quantification of CAR transduction rate (n = 4; n indicates different PBMC donors). </w:t>
      </w:r>
      <w:r w:rsidRPr="00AE08CF">
        <w:rPr>
          <w:b/>
          <w:bCs/>
          <w:szCs w:val="24"/>
        </w:rPr>
        <w:t xml:space="preserve">d </w:t>
      </w:r>
      <w:r w:rsidRPr="00AE08CF">
        <w:rPr>
          <w:szCs w:val="24"/>
        </w:rPr>
        <w:t xml:space="preserve">Comparison of CD4/CD8 subpopulation percentages of IL-15-boosted CAR-T cells generated from four healthy PBMC donors. </w:t>
      </w:r>
      <w:r w:rsidRPr="00AE08CF">
        <w:rPr>
          <w:b/>
          <w:bCs/>
          <w:szCs w:val="24"/>
        </w:rPr>
        <w:t xml:space="preserve">e </w:t>
      </w:r>
      <w:r w:rsidRPr="00AE08CF">
        <w:rPr>
          <w:szCs w:val="24"/>
        </w:rPr>
        <w:t xml:space="preserve">ELISA analyses of IL-15 production by </w:t>
      </w:r>
      <w:r w:rsidRPr="00AE08CF">
        <w:rPr>
          <w:color w:val="000000" w:themeColor="text1"/>
          <w:szCs w:val="24"/>
        </w:rPr>
        <w:t>IL-15</w:t>
      </w:r>
      <w:r w:rsidRPr="00AE08CF">
        <w:rPr>
          <w:szCs w:val="24"/>
        </w:rPr>
        <w:t xml:space="preserve">-boosted CAR-T cells cultured </w:t>
      </w:r>
      <w:r w:rsidRPr="00AE08CF">
        <w:rPr>
          <w:i/>
          <w:iCs/>
          <w:szCs w:val="24"/>
        </w:rPr>
        <w:t>in vitro</w:t>
      </w:r>
      <w:r w:rsidRPr="00AE08CF">
        <w:rPr>
          <w:szCs w:val="24"/>
        </w:rPr>
        <w:t xml:space="preserve"> for 24 h (n = 4; n indicates different PBMC donors). Non-engineered T cells were included as a control. </w:t>
      </w:r>
      <w:r w:rsidRPr="00AE08CF">
        <w:rPr>
          <w:b/>
          <w:bCs/>
          <w:szCs w:val="24"/>
        </w:rPr>
        <w:t>f</w:t>
      </w:r>
      <w:r w:rsidRPr="00AE08CF">
        <w:rPr>
          <w:szCs w:val="24"/>
        </w:rPr>
        <w:t xml:space="preserve"> </w:t>
      </w:r>
      <w:r w:rsidRPr="00AE08CF">
        <w:rPr>
          <w:color w:val="000000" w:themeColor="text1"/>
          <w:szCs w:val="24"/>
        </w:rPr>
        <w:t xml:space="preserve">FACS analyses of the expression of indicated markers of </w:t>
      </w:r>
      <w:r w:rsidRPr="00AE08CF">
        <w:rPr>
          <w:szCs w:val="24"/>
        </w:rPr>
        <w:t xml:space="preserve">IL-15-boosted </w:t>
      </w:r>
      <w:r w:rsidRPr="00AE08CF">
        <w:rPr>
          <w:color w:val="000000" w:themeColor="text1"/>
          <w:szCs w:val="24"/>
        </w:rPr>
        <w:t>CAR-T and CAR-NKT cells (n = 4; n indicates different PBMC or CB donors).</w:t>
      </w:r>
    </w:p>
    <w:p w14:paraId="0C95609D" w14:textId="77777777" w:rsidR="00AE08CF" w:rsidRPr="00AE08CF" w:rsidRDefault="00AE08CF" w:rsidP="00AE08CF">
      <w:pPr>
        <w:spacing w:after="58"/>
        <w:jc w:val="both"/>
        <w:rPr>
          <w:szCs w:val="24"/>
        </w:rPr>
      </w:pPr>
      <w:r w:rsidRPr="00AE08CF">
        <w:rPr>
          <w:b/>
          <w:bCs/>
          <w:szCs w:val="24"/>
        </w:rPr>
        <w:t>g</w:t>
      </w:r>
      <w:r w:rsidRPr="00AE08CF">
        <w:rPr>
          <w:szCs w:val="24"/>
        </w:rPr>
        <w:t xml:space="preserve"> and </w:t>
      </w:r>
      <w:r w:rsidRPr="00AE08CF">
        <w:rPr>
          <w:b/>
          <w:bCs/>
          <w:szCs w:val="24"/>
        </w:rPr>
        <w:t>h</w:t>
      </w:r>
      <w:r w:rsidRPr="00AE08CF">
        <w:rPr>
          <w:szCs w:val="24"/>
        </w:rPr>
        <w:t xml:space="preserve"> Studying the </w:t>
      </w:r>
      <w:r w:rsidRPr="00AE08CF">
        <w:rPr>
          <w:i/>
          <w:iCs/>
          <w:szCs w:val="24"/>
        </w:rPr>
        <w:t>in vitro</w:t>
      </w:r>
      <w:r w:rsidRPr="00AE08CF">
        <w:rPr>
          <w:szCs w:val="24"/>
        </w:rPr>
        <w:t xml:space="preserve"> antitumor efficacy of IL-15-boosted </w:t>
      </w:r>
      <w:r w:rsidRPr="00AE08CF">
        <w:rPr>
          <w:color w:val="000000" w:themeColor="text1"/>
          <w:szCs w:val="24"/>
        </w:rPr>
        <w:t xml:space="preserve">CAR-T and CAR-NKT cells. </w:t>
      </w:r>
      <w:r w:rsidRPr="00AE08CF">
        <w:rPr>
          <w:b/>
          <w:bCs/>
          <w:color w:val="000000" w:themeColor="text1"/>
          <w:szCs w:val="24"/>
        </w:rPr>
        <w:t>g</w:t>
      </w:r>
      <w:r w:rsidRPr="00AE08CF">
        <w:rPr>
          <w:color w:val="000000" w:themeColor="text1"/>
          <w:szCs w:val="24"/>
        </w:rPr>
        <w:t xml:space="preserve"> Experimental design. </w:t>
      </w:r>
      <w:r w:rsidRPr="00AE08CF">
        <w:rPr>
          <w:b/>
          <w:bCs/>
          <w:color w:val="000000" w:themeColor="text1"/>
          <w:szCs w:val="24"/>
        </w:rPr>
        <w:t>h</w:t>
      </w:r>
      <w:r w:rsidRPr="00AE08CF">
        <w:rPr>
          <w:color w:val="000000" w:themeColor="text1"/>
          <w:szCs w:val="24"/>
        </w:rPr>
        <w:t xml:space="preserve"> Tumor cell killing data at 24 h (n = 4).</w:t>
      </w:r>
    </w:p>
    <w:p w14:paraId="59A828E5" w14:textId="77777777" w:rsidR="00AE08CF" w:rsidRPr="00AE08CF" w:rsidRDefault="00AE08CF" w:rsidP="00AE08CF">
      <w:pPr>
        <w:spacing w:after="58"/>
        <w:jc w:val="both"/>
        <w:rPr>
          <w:color w:val="000000" w:themeColor="text1"/>
          <w:szCs w:val="24"/>
        </w:rPr>
      </w:pPr>
      <w:proofErr w:type="spellStart"/>
      <w:r w:rsidRPr="00AE08CF">
        <w:rPr>
          <w:b/>
          <w:bCs/>
          <w:szCs w:val="24"/>
        </w:rPr>
        <w:t>i</w:t>
      </w:r>
      <w:proofErr w:type="spellEnd"/>
      <w:r w:rsidRPr="00AE08CF">
        <w:rPr>
          <w:szCs w:val="24"/>
        </w:rPr>
        <w:t>-</w:t>
      </w:r>
      <w:r w:rsidRPr="00AE08CF">
        <w:rPr>
          <w:b/>
          <w:bCs/>
          <w:szCs w:val="24"/>
        </w:rPr>
        <w:t>p</w:t>
      </w:r>
      <w:r w:rsidRPr="00AE08CF">
        <w:rPr>
          <w:szCs w:val="24"/>
        </w:rPr>
        <w:t xml:space="preserve"> Studying the </w:t>
      </w:r>
      <w:r w:rsidRPr="00AE08CF">
        <w:rPr>
          <w:i/>
          <w:iCs/>
          <w:szCs w:val="24"/>
        </w:rPr>
        <w:t>in vivo</w:t>
      </w:r>
      <w:r w:rsidRPr="00AE08CF">
        <w:rPr>
          <w:szCs w:val="24"/>
        </w:rPr>
        <w:t xml:space="preserve"> antitumor efficacy and safety of IL-15-boosted </w:t>
      </w:r>
      <w:r w:rsidRPr="00AE08CF">
        <w:rPr>
          <w:color w:val="000000" w:themeColor="text1"/>
          <w:szCs w:val="24"/>
        </w:rPr>
        <w:t xml:space="preserve">CAR-T and CAR-NKT cells. </w:t>
      </w:r>
      <w:proofErr w:type="spellStart"/>
      <w:r w:rsidRPr="00AE08CF">
        <w:rPr>
          <w:b/>
          <w:bCs/>
          <w:color w:val="000000" w:themeColor="text1"/>
          <w:szCs w:val="24"/>
        </w:rPr>
        <w:t>i</w:t>
      </w:r>
      <w:proofErr w:type="spellEnd"/>
      <w:r w:rsidRPr="00AE08CF">
        <w:rPr>
          <w:color w:val="000000" w:themeColor="text1"/>
          <w:szCs w:val="24"/>
        </w:rPr>
        <w:t xml:space="preserve"> Experimental design. Therapeutic cells were injected into experimental mice via intraperitoneal (</w:t>
      </w:r>
      <w:proofErr w:type="spellStart"/>
      <w:r w:rsidRPr="00AE08CF">
        <w:rPr>
          <w:color w:val="000000" w:themeColor="text1"/>
          <w:szCs w:val="24"/>
        </w:rPr>
        <w:t>i.p.</w:t>
      </w:r>
      <w:proofErr w:type="spellEnd"/>
      <w:r w:rsidRPr="00AE08CF">
        <w:rPr>
          <w:color w:val="000000" w:themeColor="text1"/>
          <w:szCs w:val="24"/>
        </w:rPr>
        <w:t>) administration routes. Note that the data for the Vehicle and CAR-NKT groups were also presented in the main Figures 1</w:t>
      </w:r>
      <w:r w:rsidRPr="00AE08CF">
        <w:rPr>
          <w:b/>
          <w:bCs/>
          <w:color w:val="000000" w:themeColor="text1"/>
          <w:szCs w:val="24"/>
        </w:rPr>
        <w:t>j</w:t>
      </w:r>
      <w:r w:rsidRPr="00AE08CF">
        <w:rPr>
          <w:color w:val="000000" w:themeColor="text1"/>
          <w:szCs w:val="24"/>
        </w:rPr>
        <w:t>-</w:t>
      </w:r>
      <w:r w:rsidRPr="00AE08CF">
        <w:rPr>
          <w:b/>
          <w:bCs/>
          <w:color w:val="000000" w:themeColor="text1"/>
          <w:szCs w:val="24"/>
        </w:rPr>
        <w:t>m</w:t>
      </w:r>
      <w:r w:rsidRPr="00AE08CF">
        <w:rPr>
          <w:color w:val="000000" w:themeColor="text1"/>
          <w:szCs w:val="24"/>
        </w:rPr>
        <w:t xml:space="preserve">. </w:t>
      </w:r>
      <w:r w:rsidRPr="00AE08CF">
        <w:rPr>
          <w:b/>
          <w:bCs/>
          <w:color w:val="000000" w:themeColor="text1"/>
          <w:szCs w:val="24"/>
        </w:rPr>
        <w:t xml:space="preserve">j </w:t>
      </w:r>
      <w:r w:rsidRPr="00AE08CF">
        <w:rPr>
          <w:color w:val="000000" w:themeColor="text1"/>
          <w:szCs w:val="24"/>
        </w:rPr>
        <w:t xml:space="preserve">BLI images showing tumor loads in experimental mice over time. </w:t>
      </w:r>
      <w:r w:rsidRPr="00AE08CF">
        <w:rPr>
          <w:b/>
          <w:bCs/>
          <w:color w:val="000000" w:themeColor="text1"/>
          <w:szCs w:val="24"/>
        </w:rPr>
        <w:t>k</w:t>
      </w:r>
      <w:r w:rsidRPr="00AE08CF">
        <w:rPr>
          <w:color w:val="000000" w:themeColor="text1"/>
          <w:szCs w:val="24"/>
        </w:rPr>
        <w:t xml:space="preserve"> Quantification of </w:t>
      </w:r>
      <w:r w:rsidRPr="00AE08CF">
        <w:rPr>
          <w:b/>
          <w:bCs/>
          <w:color w:val="000000" w:themeColor="text1"/>
          <w:szCs w:val="24"/>
        </w:rPr>
        <w:t>j</w:t>
      </w:r>
      <w:r w:rsidRPr="00AE08CF">
        <w:rPr>
          <w:color w:val="000000" w:themeColor="text1"/>
          <w:szCs w:val="24"/>
        </w:rPr>
        <w:t xml:space="preserve"> (n = 5). </w:t>
      </w:r>
      <w:r w:rsidRPr="00AE08CF">
        <w:rPr>
          <w:b/>
          <w:bCs/>
          <w:color w:val="000000" w:themeColor="text1"/>
          <w:szCs w:val="24"/>
        </w:rPr>
        <w:t>l</w:t>
      </w:r>
      <w:r w:rsidRPr="00AE08CF">
        <w:rPr>
          <w:color w:val="000000" w:themeColor="text1"/>
          <w:szCs w:val="24"/>
        </w:rPr>
        <w:t xml:space="preserve"> Survival curve of experimental mice (n = 5). </w:t>
      </w:r>
      <w:r w:rsidRPr="00AE08CF">
        <w:rPr>
          <w:b/>
          <w:bCs/>
          <w:color w:val="000000" w:themeColor="text1"/>
          <w:szCs w:val="24"/>
        </w:rPr>
        <w:t>m</w:t>
      </w:r>
      <w:r w:rsidRPr="00AE08CF">
        <w:rPr>
          <w:color w:val="000000" w:themeColor="text1"/>
          <w:szCs w:val="24"/>
        </w:rPr>
        <w:t xml:space="preserve"> Body weight of experimental mice on days 0 and 35 (n = 5). For each mouse, body weight on day 0 was normalized to 100%. </w:t>
      </w:r>
      <w:r w:rsidRPr="00AE08CF">
        <w:rPr>
          <w:b/>
          <w:bCs/>
          <w:color w:val="000000" w:themeColor="text1"/>
          <w:szCs w:val="24"/>
        </w:rPr>
        <w:t>n</w:t>
      </w:r>
      <w:r w:rsidRPr="00AE08CF">
        <w:rPr>
          <w:color w:val="000000" w:themeColor="text1"/>
          <w:szCs w:val="24"/>
        </w:rPr>
        <w:t xml:space="preserve"> Clinical GvHD score of experimental mice on days 30 and 35 (n = 5). </w:t>
      </w:r>
      <w:r w:rsidRPr="00AE08CF">
        <w:rPr>
          <w:b/>
          <w:bCs/>
          <w:color w:val="000000" w:themeColor="text1"/>
          <w:szCs w:val="24"/>
        </w:rPr>
        <w:t>o</w:t>
      </w:r>
      <w:r w:rsidRPr="00AE08CF">
        <w:rPr>
          <w:color w:val="000000" w:themeColor="text1"/>
          <w:szCs w:val="24"/>
        </w:rPr>
        <w:t xml:space="preserve"> FACS detection of</w:t>
      </w:r>
      <w:r w:rsidRPr="00AE08CF">
        <w:rPr>
          <w:szCs w:val="24"/>
        </w:rPr>
        <w:t xml:space="preserve"> IL-15-boosted </w:t>
      </w:r>
      <w:r w:rsidRPr="00AE08CF">
        <w:rPr>
          <w:color w:val="000000" w:themeColor="text1"/>
          <w:szCs w:val="24"/>
        </w:rPr>
        <w:t xml:space="preserve">CAR-T and CAR-NKT cell percentage among total mononuclear cells in mouse blood and spleen collected on the terminal day. </w:t>
      </w:r>
      <w:r w:rsidRPr="00AE08CF">
        <w:rPr>
          <w:b/>
          <w:bCs/>
          <w:color w:val="000000" w:themeColor="text1"/>
          <w:szCs w:val="24"/>
        </w:rPr>
        <w:t>p</w:t>
      </w:r>
      <w:r w:rsidRPr="00AE08CF">
        <w:rPr>
          <w:color w:val="000000" w:themeColor="text1"/>
          <w:szCs w:val="24"/>
        </w:rPr>
        <w:t xml:space="preserve"> Quantification of percentage of IL</w:t>
      </w:r>
      <w:r w:rsidRPr="00AE08CF">
        <w:rPr>
          <w:szCs w:val="24"/>
        </w:rPr>
        <w:t xml:space="preserve">-15-boosted </w:t>
      </w:r>
      <w:r w:rsidRPr="00AE08CF">
        <w:rPr>
          <w:color w:val="000000" w:themeColor="text1"/>
          <w:szCs w:val="24"/>
        </w:rPr>
        <w:t>CAR-T and CAR-NKT cells among total mononuclear cells in mouse tissues collected on the terminal day (n = 5).</w:t>
      </w:r>
    </w:p>
    <w:p w14:paraId="2335CC6F" w14:textId="77777777" w:rsidR="00AE08CF" w:rsidRPr="00AE08CF" w:rsidRDefault="00AE08CF" w:rsidP="00AE08CF">
      <w:pPr>
        <w:spacing w:after="58"/>
        <w:jc w:val="both"/>
        <w:rPr>
          <w:color w:val="000000" w:themeColor="text1"/>
          <w:szCs w:val="24"/>
        </w:rPr>
      </w:pPr>
      <w:r w:rsidRPr="00AE08CF">
        <w:rPr>
          <w:b/>
          <w:bCs/>
          <w:color w:val="000000" w:themeColor="text1"/>
          <w:szCs w:val="24"/>
        </w:rPr>
        <w:t>q</w:t>
      </w:r>
      <w:r w:rsidRPr="00AE08CF">
        <w:rPr>
          <w:color w:val="000000" w:themeColor="text1"/>
          <w:szCs w:val="24"/>
        </w:rPr>
        <w:t>-</w:t>
      </w:r>
      <w:r w:rsidRPr="00AE08CF">
        <w:rPr>
          <w:b/>
          <w:bCs/>
          <w:color w:val="000000" w:themeColor="text1"/>
          <w:szCs w:val="24"/>
        </w:rPr>
        <w:t>u</w:t>
      </w:r>
      <w:r w:rsidRPr="00AE08CF">
        <w:rPr>
          <w:color w:val="000000" w:themeColor="text1"/>
          <w:szCs w:val="24"/>
        </w:rPr>
        <w:t xml:space="preserve"> </w:t>
      </w:r>
      <w:r w:rsidRPr="00AE08CF">
        <w:rPr>
          <w:szCs w:val="24"/>
        </w:rPr>
        <w:t xml:space="preserve">Studying the CRS toxicity of IL-15-boosted </w:t>
      </w:r>
      <w:r w:rsidRPr="00AE08CF">
        <w:rPr>
          <w:color w:val="000000" w:themeColor="text1"/>
          <w:szCs w:val="24"/>
        </w:rPr>
        <w:t xml:space="preserve">CAR-T and CAR-NKT cells. </w:t>
      </w:r>
      <w:r w:rsidRPr="00AE08CF">
        <w:rPr>
          <w:b/>
          <w:bCs/>
          <w:color w:val="000000" w:themeColor="text1"/>
          <w:szCs w:val="24"/>
        </w:rPr>
        <w:t>q</w:t>
      </w:r>
      <w:r w:rsidRPr="00AE08CF">
        <w:rPr>
          <w:color w:val="000000" w:themeColor="text1"/>
          <w:szCs w:val="24"/>
        </w:rPr>
        <w:t xml:space="preserve"> Experimental design.</w:t>
      </w:r>
      <w:r w:rsidRPr="00AE08CF">
        <w:rPr>
          <w:b/>
          <w:bCs/>
          <w:color w:val="000000" w:themeColor="text1"/>
          <w:szCs w:val="24"/>
        </w:rPr>
        <w:t xml:space="preserve"> r</w:t>
      </w:r>
      <w:r w:rsidRPr="00AE08CF">
        <w:rPr>
          <w:color w:val="000000" w:themeColor="text1"/>
          <w:szCs w:val="24"/>
        </w:rPr>
        <w:t xml:space="preserve"> Body weight of experimental mice over time (n = 5). </w:t>
      </w:r>
      <w:r w:rsidRPr="00AE08CF">
        <w:rPr>
          <w:b/>
          <w:bCs/>
          <w:color w:val="000000" w:themeColor="text1"/>
          <w:szCs w:val="24"/>
        </w:rPr>
        <w:t>s</w:t>
      </w:r>
      <w:r w:rsidRPr="00AE08CF">
        <w:rPr>
          <w:color w:val="000000" w:themeColor="text1"/>
          <w:szCs w:val="24"/>
        </w:rPr>
        <w:t xml:space="preserve"> Survival curve of experimental mice (n = 5). </w:t>
      </w:r>
      <w:r w:rsidRPr="00AE08CF">
        <w:rPr>
          <w:b/>
          <w:bCs/>
          <w:color w:val="000000" w:themeColor="text1"/>
          <w:szCs w:val="24"/>
        </w:rPr>
        <w:t>t</w:t>
      </w:r>
      <w:r w:rsidRPr="00AE08CF">
        <w:rPr>
          <w:color w:val="000000" w:themeColor="text1"/>
          <w:szCs w:val="24"/>
        </w:rPr>
        <w:t xml:space="preserve"> ELISA analyses of mouse SAA-3 in mouse serum (n = 5). </w:t>
      </w:r>
      <w:r w:rsidRPr="00AE08CF">
        <w:rPr>
          <w:b/>
          <w:bCs/>
          <w:color w:val="000000" w:themeColor="text1"/>
          <w:szCs w:val="24"/>
        </w:rPr>
        <w:t>u</w:t>
      </w:r>
      <w:r w:rsidRPr="00AE08CF">
        <w:rPr>
          <w:color w:val="000000" w:themeColor="text1"/>
          <w:szCs w:val="24"/>
        </w:rPr>
        <w:t xml:space="preserve"> ELISA analyses of mouse IL-6 in mouse serum (n = 5).</w:t>
      </w:r>
    </w:p>
    <w:p w14:paraId="61F07FBC" w14:textId="77777777" w:rsidR="00AE08CF" w:rsidRPr="00AE08CF" w:rsidRDefault="00AE08CF" w:rsidP="00AE08CF">
      <w:pPr>
        <w:spacing w:after="58"/>
        <w:jc w:val="both"/>
        <w:rPr>
          <w:szCs w:val="24"/>
        </w:rPr>
      </w:pPr>
      <w:r w:rsidRPr="00AE08CF">
        <w:rPr>
          <w:szCs w:val="24"/>
        </w:rPr>
        <w:t xml:space="preserve">Representative of 2 or 3 experiments. Data are presented as the mean ± SEM. ns, not significant, *p &lt; 0.05, **p &lt; 0.01, ***p &lt; 0.001, ****p &lt; 0.0001, by Student's </w:t>
      </w:r>
      <w:r w:rsidRPr="00AE08CF">
        <w:rPr>
          <w:i/>
          <w:iCs/>
          <w:szCs w:val="24"/>
        </w:rPr>
        <w:t>t</w:t>
      </w:r>
      <w:r w:rsidRPr="00AE08CF">
        <w:rPr>
          <w:szCs w:val="24"/>
        </w:rPr>
        <w:t xml:space="preserve"> test (</w:t>
      </w:r>
      <w:r w:rsidRPr="00AE08CF">
        <w:rPr>
          <w:b/>
          <w:bCs/>
          <w:szCs w:val="24"/>
        </w:rPr>
        <w:t>e</w:t>
      </w:r>
      <w:r w:rsidRPr="00AE08CF">
        <w:rPr>
          <w:szCs w:val="24"/>
        </w:rPr>
        <w:t xml:space="preserve">, </w:t>
      </w:r>
      <w:r w:rsidRPr="00AE08CF">
        <w:rPr>
          <w:b/>
          <w:bCs/>
          <w:szCs w:val="24"/>
        </w:rPr>
        <w:t>f</w:t>
      </w:r>
      <w:r w:rsidRPr="00AE08CF">
        <w:rPr>
          <w:szCs w:val="24"/>
        </w:rPr>
        <w:t xml:space="preserve">, and </w:t>
      </w:r>
      <w:r w:rsidRPr="00AE08CF">
        <w:rPr>
          <w:b/>
          <w:bCs/>
          <w:szCs w:val="24"/>
        </w:rPr>
        <w:t>n</w:t>
      </w:r>
      <w:r w:rsidRPr="00AE08CF">
        <w:rPr>
          <w:szCs w:val="24"/>
        </w:rPr>
        <w:t>), one-way ANOVA (</w:t>
      </w:r>
      <w:r w:rsidRPr="00AE08CF">
        <w:rPr>
          <w:b/>
          <w:bCs/>
          <w:szCs w:val="24"/>
        </w:rPr>
        <w:t>t</w:t>
      </w:r>
      <w:r w:rsidRPr="00AE08CF">
        <w:rPr>
          <w:szCs w:val="24"/>
        </w:rPr>
        <w:t xml:space="preserve"> and </w:t>
      </w:r>
      <w:r w:rsidRPr="00AE08CF">
        <w:rPr>
          <w:b/>
          <w:bCs/>
          <w:szCs w:val="24"/>
        </w:rPr>
        <w:t>u</w:t>
      </w:r>
      <w:r w:rsidRPr="00AE08CF">
        <w:rPr>
          <w:szCs w:val="24"/>
        </w:rPr>
        <w:t>), two-way ANOVA (</w:t>
      </w:r>
      <w:r w:rsidRPr="00AE08CF">
        <w:rPr>
          <w:b/>
          <w:bCs/>
          <w:szCs w:val="24"/>
        </w:rPr>
        <w:t>h</w:t>
      </w:r>
      <w:r w:rsidRPr="00AE08CF">
        <w:rPr>
          <w:szCs w:val="24"/>
        </w:rPr>
        <w:t xml:space="preserve"> and </w:t>
      </w:r>
      <w:r w:rsidRPr="00AE08CF">
        <w:rPr>
          <w:b/>
          <w:bCs/>
          <w:szCs w:val="24"/>
        </w:rPr>
        <w:t>k</w:t>
      </w:r>
      <w:r w:rsidRPr="00AE08CF">
        <w:rPr>
          <w:szCs w:val="24"/>
        </w:rPr>
        <w:t>), or log rank (Mantel-Cox) test adjusted for multiple comparisons (</w:t>
      </w:r>
      <w:r w:rsidRPr="00AE08CF">
        <w:rPr>
          <w:b/>
          <w:bCs/>
          <w:szCs w:val="24"/>
        </w:rPr>
        <w:t>s</w:t>
      </w:r>
      <w:r w:rsidRPr="00AE08CF">
        <w:rPr>
          <w:szCs w:val="24"/>
        </w:rPr>
        <w:t>).</w:t>
      </w:r>
    </w:p>
    <w:p w14:paraId="62613F17" w14:textId="77777777" w:rsidR="00AE08CF" w:rsidRPr="009618E3" w:rsidRDefault="00AE08CF" w:rsidP="00AE08CF">
      <w:pPr>
        <w:spacing w:line="360" w:lineRule="auto"/>
        <w:jc w:val="both"/>
        <w:rPr>
          <w:rFonts w:ascii="Arial" w:hAnsi="Arial" w:cs="Arial"/>
          <w:color w:val="000000" w:themeColor="text1"/>
          <w:sz w:val="22"/>
          <w:szCs w:val="22"/>
        </w:rPr>
      </w:pPr>
    </w:p>
    <w:p w14:paraId="47BE2F7E" w14:textId="77777777" w:rsidR="00AE08CF" w:rsidRPr="009618E3" w:rsidRDefault="00AE08CF" w:rsidP="00AE08CF">
      <w:pPr>
        <w:spacing w:line="360" w:lineRule="auto"/>
        <w:jc w:val="both"/>
        <w:rPr>
          <w:rFonts w:ascii="Arial" w:hAnsi="Arial" w:cs="Arial"/>
          <w:color w:val="000000" w:themeColor="text1"/>
          <w:sz w:val="22"/>
          <w:szCs w:val="22"/>
        </w:rPr>
      </w:pPr>
    </w:p>
    <w:p w14:paraId="6630E251" w14:textId="77777777" w:rsidR="00AE08CF" w:rsidRPr="009618E3" w:rsidRDefault="00AE08CF" w:rsidP="00AE08CF">
      <w:pPr>
        <w:rPr>
          <w:rFonts w:ascii="Arial" w:hAnsi="Arial" w:cs="Arial"/>
          <w:sz w:val="22"/>
          <w:szCs w:val="22"/>
        </w:rPr>
      </w:pPr>
      <w:r w:rsidRPr="009618E3">
        <w:rPr>
          <w:rFonts w:ascii="Arial" w:hAnsi="Arial" w:cs="Arial"/>
          <w:sz w:val="22"/>
          <w:szCs w:val="22"/>
        </w:rPr>
        <w:br w:type="page"/>
      </w:r>
    </w:p>
    <w:p w14:paraId="7C672CB1" w14:textId="77777777" w:rsidR="00AE08CF" w:rsidRPr="009618E3" w:rsidRDefault="00AE08CF" w:rsidP="00AE08CF">
      <w:pPr>
        <w:spacing w:line="360" w:lineRule="auto"/>
        <w:jc w:val="both"/>
        <w:rPr>
          <w:rFonts w:ascii="Arial" w:hAnsi="Arial" w:cs="Arial"/>
          <w:sz w:val="22"/>
          <w:szCs w:val="22"/>
        </w:rPr>
      </w:pPr>
      <w:r w:rsidRPr="009618E3">
        <w:rPr>
          <w:rFonts w:ascii="Arial" w:hAnsi="Arial" w:cs="Arial"/>
          <w:noProof/>
          <w:sz w:val="22"/>
          <w:szCs w:val="22"/>
        </w:rPr>
        <w:lastRenderedPageBreak/>
        <w:drawing>
          <wp:inline distT="0" distB="0" distL="0" distR="0" wp14:anchorId="0C656812" wp14:editId="295623C0">
            <wp:extent cx="5727700" cy="59740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 S5.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27700" cy="5974080"/>
                    </a:xfrm>
                    <a:prstGeom prst="rect">
                      <a:avLst/>
                    </a:prstGeom>
                  </pic:spPr>
                </pic:pic>
              </a:graphicData>
            </a:graphic>
          </wp:inline>
        </w:drawing>
      </w:r>
    </w:p>
    <w:p w14:paraId="1D2A7864" w14:textId="6E3A34D4" w:rsidR="00AE08CF" w:rsidRPr="00AE08CF" w:rsidRDefault="00AE08CF" w:rsidP="00AE08CF">
      <w:pPr>
        <w:spacing w:after="58"/>
        <w:jc w:val="both"/>
        <w:rPr>
          <w:b/>
          <w:bCs/>
          <w:szCs w:val="24"/>
        </w:rPr>
      </w:pPr>
      <w:r w:rsidRPr="00AE08CF">
        <w:rPr>
          <w:b/>
          <w:bCs/>
          <w:szCs w:val="24"/>
        </w:rPr>
        <w:t>Fig</w:t>
      </w:r>
      <w:r w:rsidRPr="00AE08CF">
        <w:rPr>
          <w:b/>
          <w:bCs/>
          <w:szCs w:val="24"/>
          <w:lang w:eastAsia="zh-CN"/>
        </w:rPr>
        <w:t>ure</w:t>
      </w:r>
      <w:r w:rsidRPr="00AE08CF">
        <w:rPr>
          <w:b/>
          <w:bCs/>
          <w:szCs w:val="24"/>
        </w:rPr>
        <w:t>. S5.</w:t>
      </w:r>
      <w:r w:rsidRPr="00AE08CF">
        <w:rPr>
          <w:szCs w:val="24"/>
        </w:rPr>
        <w:t xml:space="preserve"> </w:t>
      </w:r>
      <w:r w:rsidRPr="00AE08CF">
        <w:rPr>
          <w:b/>
          <w:bCs/>
          <w:szCs w:val="24"/>
        </w:rPr>
        <w:t xml:space="preserve"> Gene profiling of CAR-NKT and CAR-T cells.</w:t>
      </w:r>
    </w:p>
    <w:p w14:paraId="01595200" w14:textId="77777777" w:rsidR="00AE08CF" w:rsidRPr="00AE08CF" w:rsidRDefault="00AE08CF" w:rsidP="00AE08CF">
      <w:pPr>
        <w:spacing w:after="58"/>
        <w:jc w:val="both"/>
        <w:rPr>
          <w:szCs w:val="24"/>
        </w:rPr>
      </w:pPr>
      <w:r w:rsidRPr="00AE08CF">
        <w:rPr>
          <w:b/>
          <w:bCs/>
          <w:szCs w:val="24"/>
        </w:rPr>
        <w:t>a</w:t>
      </w:r>
      <w:r w:rsidRPr="00AE08CF">
        <w:rPr>
          <w:szCs w:val="24"/>
        </w:rPr>
        <w:t xml:space="preserve"> Gene Set Enrichment Analysis (GSEA) plots showing the enrichment of gene signatures of proliferating, effector, memory, and exhausted cells in the indicated cell clusters. Normal p value calculated as two-tailed </w:t>
      </w:r>
      <w:r w:rsidRPr="00AE08CF">
        <w:rPr>
          <w:i/>
          <w:iCs/>
          <w:szCs w:val="24"/>
        </w:rPr>
        <w:t>t-</w:t>
      </w:r>
      <w:r w:rsidRPr="00AE08CF">
        <w:rPr>
          <w:szCs w:val="24"/>
        </w:rPr>
        <w:t>test.</w:t>
      </w:r>
    </w:p>
    <w:p w14:paraId="5AAB69EB" w14:textId="77777777" w:rsidR="00AE08CF" w:rsidRPr="00AE08CF" w:rsidRDefault="00AE08CF" w:rsidP="00AE08CF">
      <w:pPr>
        <w:spacing w:after="58"/>
        <w:jc w:val="both"/>
        <w:rPr>
          <w:szCs w:val="24"/>
        </w:rPr>
      </w:pPr>
      <w:r w:rsidRPr="00AE08CF">
        <w:rPr>
          <w:b/>
          <w:bCs/>
          <w:szCs w:val="24"/>
        </w:rPr>
        <w:t>b</w:t>
      </w:r>
      <w:r w:rsidRPr="00AE08CF">
        <w:rPr>
          <w:szCs w:val="24"/>
        </w:rPr>
        <w:t xml:space="preserve"> UMAP plots showing the expression of the indicated signature genes.</w:t>
      </w:r>
    </w:p>
    <w:p w14:paraId="7D0B44BE" w14:textId="77777777" w:rsidR="00AE08CF" w:rsidRPr="00AE08CF" w:rsidRDefault="00AE08CF" w:rsidP="00AE08CF">
      <w:pPr>
        <w:spacing w:after="58"/>
        <w:jc w:val="both"/>
        <w:rPr>
          <w:szCs w:val="24"/>
        </w:rPr>
      </w:pPr>
      <w:r w:rsidRPr="00AE08CF">
        <w:rPr>
          <w:szCs w:val="24"/>
        </w:rPr>
        <w:br w:type="page"/>
      </w:r>
    </w:p>
    <w:p w14:paraId="345939AA" w14:textId="3C24C7A9" w:rsidR="00AE08CF" w:rsidRPr="009618E3" w:rsidRDefault="006A7207" w:rsidP="00AE08CF">
      <w:pPr>
        <w:spacing w:line="360" w:lineRule="auto"/>
        <w:jc w:val="both"/>
        <w:rPr>
          <w:rFonts w:ascii="Arial" w:hAnsi="Arial" w:cs="Arial"/>
          <w:sz w:val="22"/>
          <w:szCs w:val="22"/>
        </w:rPr>
      </w:pPr>
      <w:r>
        <w:rPr>
          <w:rFonts w:ascii="Arial" w:hAnsi="Arial" w:cs="Arial"/>
          <w:noProof/>
          <w:sz w:val="22"/>
          <w:szCs w:val="22"/>
        </w:rPr>
        <w:lastRenderedPageBreak/>
        <w:drawing>
          <wp:anchor distT="0" distB="0" distL="114300" distR="114300" simplePos="0" relativeHeight="251672576" behindDoc="0" locked="0" layoutInCell="1" allowOverlap="1" wp14:anchorId="6A0C7409" wp14:editId="4833941F">
            <wp:simplePos x="0" y="0"/>
            <wp:positionH relativeFrom="column">
              <wp:posOffset>-327593</wp:posOffset>
            </wp:positionH>
            <wp:positionV relativeFrom="paragraph">
              <wp:posOffset>0</wp:posOffset>
            </wp:positionV>
            <wp:extent cx="6520815" cy="3324860"/>
            <wp:effectExtent l="0" t="0" r="0" b="254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 S6.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520815" cy="3324860"/>
                    </a:xfrm>
                    <a:prstGeom prst="rect">
                      <a:avLst/>
                    </a:prstGeom>
                  </pic:spPr>
                </pic:pic>
              </a:graphicData>
            </a:graphic>
            <wp14:sizeRelH relativeFrom="page">
              <wp14:pctWidth>0</wp14:pctWidth>
            </wp14:sizeRelH>
            <wp14:sizeRelV relativeFrom="page">
              <wp14:pctHeight>0</wp14:pctHeight>
            </wp14:sizeRelV>
          </wp:anchor>
        </w:drawing>
      </w:r>
    </w:p>
    <w:p w14:paraId="5E060659" w14:textId="6A4B0BAE" w:rsidR="00AE08CF" w:rsidRPr="00AE08CF" w:rsidRDefault="00AE08CF" w:rsidP="00AE08CF">
      <w:pPr>
        <w:spacing w:after="58"/>
        <w:jc w:val="both"/>
        <w:rPr>
          <w:b/>
          <w:bCs/>
          <w:szCs w:val="24"/>
        </w:rPr>
      </w:pPr>
      <w:r w:rsidRPr="00AE08CF">
        <w:rPr>
          <w:b/>
          <w:bCs/>
          <w:szCs w:val="24"/>
        </w:rPr>
        <w:t>Fig</w:t>
      </w:r>
      <w:r w:rsidRPr="00AE08CF">
        <w:rPr>
          <w:b/>
          <w:bCs/>
          <w:szCs w:val="24"/>
          <w:lang w:eastAsia="zh-CN"/>
        </w:rPr>
        <w:t>ure</w:t>
      </w:r>
      <w:r w:rsidRPr="00AE08CF">
        <w:rPr>
          <w:b/>
          <w:bCs/>
          <w:szCs w:val="24"/>
        </w:rPr>
        <w:t>. S6.</w:t>
      </w:r>
      <w:r w:rsidRPr="00AE08CF">
        <w:rPr>
          <w:szCs w:val="24"/>
        </w:rPr>
        <w:t xml:space="preserve"> </w:t>
      </w:r>
      <w:r w:rsidRPr="00AE08CF">
        <w:rPr>
          <w:b/>
          <w:bCs/>
          <w:i/>
          <w:iCs/>
          <w:szCs w:val="24"/>
        </w:rPr>
        <w:t>In vivo</w:t>
      </w:r>
      <w:r w:rsidRPr="00AE08CF">
        <w:rPr>
          <w:b/>
          <w:bCs/>
          <w:szCs w:val="24"/>
        </w:rPr>
        <w:t xml:space="preserve"> gene profiling of CAR-T and CAR-NKT cells and flow cytometry validation.</w:t>
      </w:r>
    </w:p>
    <w:p w14:paraId="282E6B23" w14:textId="77777777" w:rsidR="00AE08CF" w:rsidRPr="00AE08CF" w:rsidRDefault="00AE08CF" w:rsidP="00AE08CF">
      <w:pPr>
        <w:spacing w:after="58"/>
        <w:jc w:val="both"/>
        <w:rPr>
          <w:b/>
          <w:bCs/>
          <w:szCs w:val="24"/>
        </w:rPr>
      </w:pPr>
      <w:r w:rsidRPr="00AE08CF">
        <w:rPr>
          <w:b/>
          <w:bCs/>
          <w:szCs w:val="24"/>
        </w:rPr>
        <w:t xml:space="preserve">a </w:t>
      </w:r>
      <w:r w:rsidRPr="00AE08CF">
        <w:rPr>
          <w:szCs w:val="24"/>
        </w:rPr>
        <w:t>Dot plots showing representative genes grouped into functional signatures from cells collected at the indicated tumor-site time points.</w:t>
      </w:r>
      <w:r w:rsidRPr="00AE08CF">
        <w:rPr>
          <w:b/>
          <w:bCs/>
          <w:szCs w:val="24"/>
        </w:rPr>
        <w:t xml:space="preserve"> </w:t>
      </w:r>
      <w:r w:rsidRPr="00AE08CF">
        <w:rPr>
          <w:szCs w:val="24"/>
        </w:rPr>
        <w:t>Rows correspond to CAR-T (top) and CAR-NKT (bottom). Each column is one gene, and dotted vertical lines delimit signature groups. Dot color encodes the standardized average expression (blue to red; scale −1 to 1; greater saturation = higher expression), and dot area reflects the fraction of cells expressing the gene.</w:t>
      </w:r>
    </w:p>
    <w:p w14:paraId="17D0D949" w14:textId="77777777" w:rsidR="00AE08CF" w:rsidRPr="00AE08CF" w:rsidRDefault="00AE08CF" w:rsidP="00AE08CF">
      <w:pPr>
        <w:spacing w:after="58"/>
        <w:jc w:val="both"/>
        <w:rPr>
          <w:b/>
          <w:bCs/>
          <w:szCs w:val="24"/>
        </w:rPr>
      </w:pPr>
      <w:r w:rsidRPr="00AE08CF">
        <w:rPr>
          <w:b/>
          <w:bCs/>
          <w:szCs w:val="24"/>
        </w:rPr>
        <w:t>b</w:t>
      </w:r>
      <w:r w:rsidRPr="00AE08CF">
        <w:rPr>
          <w:szCs w:val="24"/>
        </w:rPr>
        <w:t>,</w:t>
      </w:r>
      <w:r w:rsidRPr="00AE08CF">
        <w:rPr>
          <w:b/>
          <w:bCs/>
          <w:szCs w:val="24"/>
        </w:rPr>
        <w:t xml:space="preserve"> c </w:t>
      </w:r>
      <w:r w:rsidRPr="00AE08CF">
        <w:rPr>
          <w:szCs w:val="24"/>
        </w:rPr>
        <w:t>Proliferation marker expression in CAR-T and CAR-NKT cells.</w:t>
      </w:r>
      <w:r w:rsidRPr="00AE08CF">
        <w:rPr>
          <w:b/>
          <w:bCs/>
          <w:szCs w:val="24"/>
        </w:rPr>
        <w:t xml:space="preserve"> b </w:t>
      </w:r>
      <w:r w:rsidRPr="00AE08CF">
        <w:rPr>
          <w:szCs w:val="24"/>
        </w:rPr>
        <w:t xml:space="preserve">FACS plots showing the Ki-67 expression in </w:t>
      </w:r>
      <w:r w:rsidRPr="00AE08CF">
        <w:rPr>
          <w:rFonts w:eastAsia="Times New Roman"/>
          <w:color w:val="222222"/>
          <w:szCs w:val="24"/>
        </w:rPr>
        <w:t xml:space="preserve">CAR-T and CAR-NKT cells, both </w:t>
      </w:r>
      <w:r w:rsidRPr="00AE08CF">
        <w:rPr>
          <w:rFonts w:eastAsia="Times New Roman"/>
          <w:i/>
          <w:iCs/>
          <w:color w:val="222222"/>
          <w:szCs w:val="24"/>
        </w:rPr>
        <w:t>in vitro</w:t>
      </w:r>
      <w:r w:rsidRPr="00AE08CF">
        <w:rPr>
          <w:rFonts w:eastAsia="Times New Roman"/>
          <w:color w:val="222222"/>
          <w:szCs w:val="24"/>
        </w:rPr>
        <w:t xml:space="preserve"> cultured cells and </w:t>
      </w:r>
      <w:r w:rsidRPr="00AE08CF">
        <w:rPr>
          <w:rFonts w:eastAsia="Times New Roman"/>
          <w:i/>
          <w:iCs/>
          <w:color w:val="222222"/>
          <w:szCs w:val="24"/>
        </w:rPr>
        <w:t>in vivo</w:t>
      </w:r>
      <w:r w:rsidRPr="00AE08CF">
        <w:rPr>
          <w:rFonts w:eastAsia="Times New Roman"/>
          <w:color w:val="222222"/>
          <w:szCs w:val="24"/>
        </w:rPr>
        <w:t xml:space="preserve"> isolated cells (collected from peritoneal fluid of experimental mice on Day 56).</w:t>
      </w:r>
      <w:r w:rsidRPr="00AE08CF">
        <w:rPr>
          <w:b/>
          <w:bCs/>
          <w:szCs w:val="24"/>
        </w:rPr>
        <w:t xml:space="preserve"> c</w:t>
      </w:r>
      <w:r w:rsidRPr="00AE08CF">
        <w:rPr>
          <w:szCs w:val="24"/>
        </w:rPr>
        <w:t xml:space="preserve"> Quantification of </w:t>
      </w:r>
      <w:r w:rsidRPr="00AE08CF">
        <w:rPr>
          <w:b/>
          <w:bCs/>
          <w:szCs w:val="24"/>
        </w:rPr>
        <w:t>b</w:t>
      </w:r>
      <w:r w:rsidRPr="00AE08CF">
        <w:rPr>
          <w:szCs w:val="24"/>
        </w:rPr>
        <w:t xml:space="preserve"> (n = 5; n represents different culture batches for </w:t>
      </w:r>
      <w:r w:rsidRPr="00AE08CF">
        <w:rPr>
          <w:i/>
          <w:iCs/>
          <w:szCs w:val="24"/>
        </w:rPr>
        <w:t>in vitro</w:t>
      </w:r>
      <w:r w:rsidRPr="00AE08CF">
        <w:rPr>
          <w:szCs w:val="24"/>
        </w:rPr>
        <w:t xml:space="preserve"> cells and different mice for </w:t>
      </w:r>
      <w:r w:rsidRPr="00AE08CF">
        <w:rPr>
          <w:i/>
          <w:iCs/>
          <w:szCs w:val="24"/>
        </w:rPr>
        <w:t>in vivo</w:t>
      </w:r>
      <w:r w:rsidRPr="00AE08CF">
        <w:rPr>
          <w:szCs w:val="24"/>
        </w:rPr>
        <w:t xml:space="preserve"> cells).</w:t>
      </w:r>
    </w:p>
    <w:p w14:paraId="422C8881" w14:textId="77777777" w:rsidR="00AE08CF" w:rsidRPr="00AE08CF" w:rsidRDefault="00AE08CF" w:rsidP="00AE08CF">
      <w:pPr>
        <w:spacing w:after="58"/>
        <w:jc w:val="both"/>
        <w:rPr>
          <w:color w:val="000000" w:themeColor="text1"/>
          <w:szCs w:val="24"/>
        </w:rPr>
      </w:pPr>
      <w:r w:rsidRPr="00AE08CF">
        <w:rPr>
          <w:color w:val="000000" w:themeColor="text1"/>
          <w:szCs w:val="24"/>
        </w:rPr>
        <w:t>Representative of 1 (</w:t>
      </w:r>
      <w:r w:rsidRPr="00AE08CF">
        <w:rPr>
          <w:b/>
          <w:bCs/>
          <w:color w:val="000000" w:themeColor="text1"/>
          <w:szCs w:val="24"/>
        </w:rPr>
        <w:t>a</w:t>
      </w:r>
      <w:r w:rsidRPr="00AE08CF">
        <w:rPr>
          <w:color w:val="000000" w:themeColor="text1"/>
          <w:szCs w:val="24"/>
        </w:rPr>
        <w:t>) and 2 (</w:t>
      </w:r>
      <w:r w:rsidRPr="00AE08CF">
        <w:rPr>
          <w:b/>
          <w:bCs/>
          <w:color w:val="000000" w:themeColor="text1"/>
          <w:szCs w:val="24"/>
        </w:rPr>
        <w:t>b</w:t>
      </w:r>
      <w:r w:rsidRPr="00AE08CF">
        <w:rPr>
          <w:color w:val="000000" w:themeColor="text1"/>
          <w:szCs w:val="24"/>
        </w:rPr>
        <w:t xml:space="preserve">, </w:t>
      </w:r>
      <w:r w:rsidRPr="00AE08CF">
        <w:rPr>
          <w:b/>
          <w:bCs/>
          <w:color w:val="000000" w:themeColor="text1"/>
          <w:szCs w:val="24"/>
        </w:rPr>
        <w:t>c</w:t>
      </w:r>
      <w:r w:rsidRPr="00AE08CF">
        <w:rPr>
          <w:color w:val="000000" w:themeColor="text1"/>
          <w:szCs w:val="24"/>
        </w:rPr>
        <w:t xml:space="preserve">) experiments. Data are presented as the mean ± SEM. ns, not significant, *p &lt; 0.05, **p &lt; 0.01, ****p &lt; 0.0001 by Student’s </w:t>
      </w:r>
      <w:r w:rsidRPr="00AE08CF">
        <w:rPr>
          <w:i/>
          <w:iCs/>
          <w:color w:val="000000" w:themeColor="text1"/>
          <w:szCs w:val="24"/>
        </w:rPr>
        <w:t>t</w:t>
      </w:r>
      <w:r w:rsidRPr="00AE08CF">
        <w:rPr>
          <w:color w:val="000000" w:themeColor="text1"/>
          <w:szCs w:val="24"/>
        </w:rPr>
        <w:t xml:space="preserve"> test (</w:t>
      </w:r>
      <w:r w:rsidRPr="00AE08CF">
        <w:rPr>
          <w:b/>
          <w:bCs/>
          <w:color w:val="000000" w:themeColor="text1"/>
          <w:szCs w:val="24"/>
        </w:rPr>
        <w:t>c</w:t>
      </w:r>
      <w:r w:rsidRPr="00AE08CF">
        <w:rPr>
          <w:color w:val="000000" w:themeColor="text1"/>
          <w:szCs w:val="24"/>
        </w:rPr>
        <w:t>).</w:t>
      </w:r>
    </w:p>
    <w:p w14:paraId="417DA58A" w14:textId="77777777" w:rsidR="00AE08CF" w:rsidRPr="00AE08CF" w:rsidRDefault="00AE08CF" w:rsidP="00AE08CF">
      <w:pPr>
        <w:spacing w:after="58"/>
        <w:jc w:val="both"/>
        <w:rPr>
          <w:b/>
          <w:bCs/>
          <w:szCs w:val="24"/>
        </w:rPr>
      </w:pPr>
    </w:p>
    <w:p w14:paraId="0C446F76" w14:textId="77777777" w:rsidR="00AE08CF" w:rsidRPr="009618E3" w:rsidRDefault="00AE08CF" w:rsidP="00AE08CF">
      <w:pPr>
        <w:rPr>
          <w:rFonts w:ascii="Arial" w:hAnsi="Arial" w:cs="Arial"/>
          <w:b/>
          <w:bCs/>
          <w:sz w:val="22"/>
          <w:szCs w:val="22"/>
        </w:rPr>
      </w:pPr>
      <w:r w:rsidRPr="009618E3">
        <w:rPr>
          <w:rFonts w:ascii="Arial" w:hAnsi="Arial" w:cs="Arial"/>
          <w:b/>
          <w:bCs/>
          <w:sz w:val="22"/>
          <w:szCs w:val="22"/>
        </w:rPr>
        <w:br w:type="page"/>
      </w:r>
    </w:p>
    <w:p w14:paraId="3874AA8E" w14:textId="77777777" w:rsidR="00AE08CF" w:rsidRPr="009618E3" w:rsidRDefault="00AE08CF" w:rsidP="00AE08CF">
      <w:pPr>
        <w:spacing w:line="360" w:lineRule="auto"/>
        <w:jc w:val="center"/>
        <w:rPr>
          <w:rFonts w:ascii="Arial" w:hAnsi="Arial" w:cs="Arial"/>
          <w:b/>
          <w:bCs/>
          <w:sz w:val="22"/>
          <w:szCs w:val="22"/>
        </w:rPr>
      </w:pPr>
      <w:r w:rsidRPr="009618E3">
        <w:rPr>
          <w:rFonts w:ascii="Arial" w:hAnsi="Arial" w:cs="Arial"/>
          <w:b/>
          <w:bCs/>
          <w:noProof/>
          <w:sz w:val="22"/>
          <w:szCs w:val="22"/>
        </w:rPr>
        <w:lastRenderedPageBreak/>
        <w:drawing>
          <wp:inline distT="0" distB="0" distL="0" distR="0" wp14:anchorId="524455E6" wp14:editId="22A03A6A">
            <wp:extent cx="5197041" cy="612006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3.pdf"/>
                    <pic:cNvPicPr/>
                  </pic:nvPicPr>
                  <pic:blipFill>
                    <a:blip r:embed="rId15">
                      <a:extLst>
                        <a:ext uri="{28A0092B-C50C-407E-A947-70E740481C1C}">
                          <a14:useLocalDpi xmlns:a14="http://schemas.microsoft.com/office/drawing/2010/main" val="0"/>
                        </a:ext>
                      </a:extLst>
                    </a:blip>
                    <a:stretch>
                      <a:fillRect/>
                    </a:stretch>
                  </pic:blipFill>
                  <pic:spPr>
                    <a:xfrm>
                      <a:off x="0" y="0"/>
                      <a:ext cx="5202300" cy="6126256"/>
                    </a:xfrm>
                    <a:prstGeom prst="rect">
                      <a:avLst/>
                    </a:prstGeom>
                  </pic:spPr>
                </pic:pic>
              </a:graphicData>
            </a:graphic>
          </wp:inline>
        </w:drawing>
      </w:r>
    </w:p>
    <w:p w14:paraId="6EBFD543" w14:textId="77777777" w:rsidR="00AE08CF" w:rsidRPr="009618E3" w:rsidRDefault="00AE08CF" w:rsidP="00AE08CF">
      <w:pPr>
        <w:spacing w:line="360" w:lineRule="auto"/>
        <w:jc w:val="both"/>
        <w:rPr>
          <w:rFonts w:ascii="Arial" w:hAnsi="Arial" w:cs="Arial"/>
          <w:b/>
          <w:bCs/>
          <w:sz w:val="22"/>
          <w:szCs w:val="22"/>
        </w:rPr>
      </w:pPr>
    </w:p>
    <w:p w14:paraId="506556B6" w14:textId="1323C8A7" w:rsidR="00AE08CF" w:rsidRPr="00AE08CF" w:rsidRDefault="00AE08CF" w:rsidP="00AE08CF">
      <w:pPr>
        <w:spacing w:after="58"/>
        <w:jc w:val="both"/>
        <w:rPr>
          <w:b/>
          <w:bCs/>
          <w:szCs w:val="24"/>
        </w:rPr>
      </w:pPr>
      <w:r w:rsidRPr="00AE08CF">
        <w:rPr>
          <w:b/>
          <w:bCs/>
          <w:szCs w:val="24"/>
        </w:rPr>
        <w:t>Fig</w:t>
      </w:r>
      <w:r w:rsidRPr="00AE08CF">
        <w:rPr>
          <w:b/>
          <w:bCs/>
          <w:szCs w:val="24"/>
          <w:lang w:eastAsia="zh-CN"/>
        </w:rPr>
        <w:t>ure</w:t>
      </w:r>
      <w:r w:rsidRPr="00AE08CF">
        <w:rPr>
          <w:b/>
          <w:bCs/>
          <w:szCs w:val="24"/>
        </w:rPr>
        <w:t xml:space="preserve">. S7. Longitudinal dynamics of metabolic programs across CAR-T and CAR-NKT cell states. </w:t>
      </w:r>
    </w:p>
    <w:p w14:paraId="5ABC6932" w14:textId="77777777" w:rsidR="00AE08CF" w:rsidRPr="00AE08CF" w:rsidRDefault="00AE08CF" w:rsidP="00AE08CF">
      <w:pPr>
        <w:spacing w:after="58"/>
        <w:jc w:val="both"/>
        <w:rPr>
          <w:szCs w:val="24"/>
        </w:rPr>
      </w:pPr>
      <w:r w:rsidRPr="00AE08CF">
        <w:rPr>
          <w:szCs w:val="24"/>
        </w:rPr>
        <w:t xml:space="preserve">Line plots summarize pathway activity scores for amino-acid metabolism, glycolysis, oxidative phosphorylation, and the electron-transport chain. Within each panel, the left time series corresponds to CAR-T and the right to CAR-NKT cells. The x-axis shows the indicated days (0, 14, 28, 42, 56). Colored traces represent transcriptional states, including proliferating, effector-like, memory-like, exhaustion, and resting. Values reflect the mean module score for cells in each state at each time point. </w:t>
      </w:r>
    </w:p>
    <w:p w14:paraId="25253ED7" w14:textId="77777777" w:rsidR="00AE08CF" w:rsidRPr="009618E3" w:rsidRDefault="00AE08CF" w:rsidP="00AE08CF">
      <w:pPr>
        <w:rPr>
          <w:rFonts w:ascii="Arial" w:hAnsi="Arial" w:cs="Arial"/>
          <w:sz w:val="22"/>
          <w:szCs w:val="22"/>
        </w:rPr>
      </w:pPr>
      <w:r w:rsidRPr="009618E3">
        <w:rPr>
          <w:rFonts w:ascii="Arial" w:hAnsi="Arial" w:cs="Arial"/>
          <w:sz w:val="22"/>
          <w:szCs w:val="22"/>
        </w:rPr>
        <w:br w:type="page"/>
      </w:r>
    </w:p>
    <w:p w14:paraId="20E877CD" w14:textId="00C718A1" w:rsidR="00AE08CF" w:rsidRPr="009618E3" w:rsidRDefault="00B06D49" w:rsidP="00AE08CF">
      <w:pPr>
        <w:spacing w:line="360" w:lineRule="auto"/>
        <w:rPr>
          <w:rFonts w:ascii="Arial" w:hAnsi="Arial" w:cs="Arial"/>
          <w:sz w:val="22"/>
          <w:szCs w:val="22"/>
        </w:rPr>
      </w:pPr>
      <w:r>
        <w:rPr>
          <w:rFonts w:ascii="Arial" w:hAnsi="Arial" w:cs="Arial"/>
          <w:noProof/>
          <w:sz w:val="22"/>
          <w:szCs w:val="22"/>
        </w:rPr>
        <w:lastRenderedPageBreak/>
        <w:drawing>
          <wp:anchor distT="0" distB="0" distL="114300" distR="114300" simplePos="0" relativeHeight="251675648" behindDoc="0" locked="0" layoutInCell="1" allowOverlap="1" wp14:anchorId="71088AB0" wp14:editId="70703777">
            <wp:simplePos x="0" y="0"/>
            <wp:positionH relativeFrom="column">
              <wp:posOffset>-226616</wp:posOffset>
            </wp:positionH>
            <wp:positionV relativeFrom="paragraph">
              <wp:posOffset>0</wp:posOffset>
            </wp:positionV>
            <wp:extent cx="6323330" cy="8228330"/>
            <wp:effectExtent l="0" t="0" r="127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8.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23330" cy="8228330"/>
                    </a:xfrm>
                    <a:prstGeom prst="rect">
                      <a:avLst/>
                    </a:prstGeom>
                  </pic:spPr>
                </pic:pic>
              </a:graphicData>
            </a:graphic>
            <wp14:sizeRelH relativeFrom="page">
              <wp14:pctWidth>0</wp14:pctWidth>
            </wp14:sizeRelH>
            <wp14:sizeRelV relativeFrom="page">
              <wp14:pctHeight>0</wp14:pctHeight>
            </wp14:sizeRelV>
          </wp:anchor>
        </w:drawing>
      </w:r>
    </w:p>
    <w:p w14:paraId="1148C812" w14:textId="6DCDA4FE" w:rsidR="00AE08CF" w:rsidRPr="00AE08CF" w:rsidRDefault="00AE08CF" w:rsidP="00AE08CF">
      <w:pPr>
        <w:spacing w:after="58"/>
        <w:rPr>
          <w:b/>
          <w:bCs/>
          <w:szCs w:val="24"/>
        </w:rPr>
      </w:pPr>
      <w:r w:rsidRPr="00AE08CF">
        <w:rPr>
          <w:b/>
          <w:bCs/>
          <w:szCs w:val="24"/>
        </w:rPr>
        <w:lastRenderedPageBreak/>
        <w:t>Fig</w:t>
      </w:r>
      <w:r w:rsidRPr="00AE08CF">
        <w:rPr>
          <w:b/>
          <w:bCs/>
          <w:szCs w:val="24"/>
          <w:lang w:eastAsia="zh-CN"/>
        </w:rPr>
        <w:t>ure</w:t>
      </w:r>
      <w:r w:rsidRPr="00AE08CF">
        <w:rPr>
          <w:b/>
          <w:bCs/>
          <w:szCs w:val="24"/>
        </w:rPr>
        <w:t>. S8.</w:t>
      </w:r>
      <w:r w:rsidRPr="00AE08CF">
        <w:rPr>
          <w:szCs w:val="24"/>
        </w:rPr>
        <w:t xml:space="preserve"> </w:t>
      </w:r>
      <w:r w:rsidRPr="00AE08CF">
        <w:rPr>
          <w:b/>
          <w:bCs/>
          <w:szCs w:val="24"/>
        </w:rPr>
        <w:t xml:space="preserve"> Metabolic profiling of CAR-T and CAR-NKT cells.</w:t>
      </w:r>
    </w:p>
    <w:p w14:paraId="303010CA" w14:textId="77777777" w:rsidR="00AE08CF" w:rsidRPr="00AE08CF" w:rsidRDefault="00AE08CF" w:rsidP="00AE08CF">
      <w:pPr>
        <w:spacing w:after="58"/>
        <w:jc w:val="both"/>
        <w:rPr>
          <w:szCs w:val="24"/>
        </w:rPr>
      </w:pPr>
      <w:r w:rsidRPr="00AE08CF">
        <w:rPr>
          <w:b/>
          <w:bCs/>
          <w:szCs w:val="24"/>
        </w:rPr>
        <w:t>a</w:t>
      </w:r>
      <w:r w:rsidRPr="00AE08CF">
        <w:rPr>
          <w:szCs w:val="24"/>
        </w:rPr>
        <w:t xml:space="preserve"> Heatmap showing metabolic profiling of CAR-T and CAR-NKT cells. CAR-T cells were generated from six different PBMC donors and CAR-NKT cells from six different cord blood donors. Metabolites marked with asterisks indicate statistically significant differences between CAR-T and CAR-NKT cells. PPP, pentose phosphate pathway; Redox, reduction-oxidation; SAM, S-Adenosyl methionine; GSSG, glutathione disulfide.</w:t>
      </w:r>
    </w:p>
    <w:p w14:paraId="3F00DC57" w14:textId="77777777" w:rsidR="00AE08CF" w:rsidRPr="00AE08CF" w:rsidRDefault="00AE08CF" w:rsidP="00AE08CF">
      <w:pPr>
        <w:spacing w:after="58"/>
        <w:jc w:val="both"/>
        <w:rPr>
          <w:szCs w:val="24"/>
        </w:rPr>
      </w:pPr>
      <w:r w:rsidRPr="00AE08CF">
        <w:rPr>
          <w:b/>
          <w:bCs/>
          <w:szCs w:val="24"/>
        </w:rPr>
        <w:t>b</w:t>
      </w:r>
      <w:r w:rsidRPr="00AE08CF">
        <w:rPr>
          <w:szCs w:val="24"/>
        </w:rPr>
        <w:t xml:space="preserve"> Quantification of metabolic differences between CAR-T and CAR-NKT cells, with significant metabolites presented.</w:t>
      </w:r>
    </w:p>
    <w:p w14:paraId="1F11CFF9" w14:textId="77777777" w:rsidR="00AE08CF" w:rsidRPr="009618E3" w:rsidRDefault="00AE08CF" w:rsidP="00AE08CF">
      <w:pPr>
        <w:spacing w:after="58"/>
        <w:jc w:val="both"/>
        <w:rPr>
          <w:rFonts w:ascii="Arial" w:hAnsi="Arial" w:cs="Arial"/>
          <w:sz w:val="22"/>
          <w:szCs w:val="22"/>
        </w:rPr>
      </w:pPr>
      <w:r w:rsidRPr="00AE08CF">
        <w:rPr>
          <w:color w:val="000000" w:themeColor="text1"/>
          <w:szCs w:val="24"/>
        </w:rPr>
        <w:t>Data are presented as the mean ± SEM. ns, not significant, *p &lt; 0.05, **p &lt; 0.01, ***p &lt; 0.001 by one-way ANOVA.</w:t>
      </w:r>
      <w:r w:rsidRPr="009618E3">
        <w:rPr>
          <w:rFonts w:ascii="Arial" w:hAnsi="Arial" w:cs="Arial"/>
          <w:color w:val="000000" w:themeColor="text1"/>
          <w:sz w:val="22"/>
          <w:szCs w:val="22"/>
        </w:rPr>
        <w:t xml:space="preserve"> </w:t>
      </w:r>
      <w:r w:rsidRPr="009618E3">
        <w:rPr>
          <w:rFonts w:ascii="Arial" w:hAnsi="Arial" w:cs="Arial"/>
          <w:sz w:val="22"/>
          <w:szCs w:val="22"/>
        </w:rPr>
        <w:br w:type="page"/>
      </w:r>
    </w:p>
    <w:p w14:paraId="0964392F" w14:textId="77777777" w:rsidR="00AE08CF" w:rsidRPr="009618E3" w:rsidRDefault="00AE08CF" w:rsidP="00AE08CF">
      <w:pPr>
        <w:spacing w:line="360" w:lineRule="auto"/>
        <w:jc w:val="center"/>
        <w:rPr>
          <w:rFonts w:ascii="Arial" w:hAnsi="Arial" w:cs="Arial"/>
          <w:b/>
          <w:bCs/>
          <w:sz w:val="22"/>
          <w:szCs w:val="22"/>
        </w:rPr>
      </w:pPr>
      <w:r w:rsidRPr="009618E3">
        <w:rPr>
          <w:rFonts w:ascii="Arial" w:hAnsi="Arial" w:cs="Arial"/>
          <w:b/>
          <w:bCs/>
          <w:noProof/>
          <w:sz w:val="22"/>
          <w:szCs w:val="22"/>
        </w:rPr>
        <w:lastRenderedPageBreak/>
        <w:drawing>
          <wp:anchor distT="0" distB="0" distL="114300" distR="114300" simplePos="0" relativeHeight="251661312" behindDoc="0" locked="0" layoutInCell="1" allowOverlap="1" wp14:anchorId="50D1A545" wp14:editId="192A5AE9">
            <wp:simplePos x="0" y="0"/>
            <wp:positionH relativeFrom="column">
              <wp:posOffset>-457648</wp:posOffset>
            </wp:positionH>
            <wp:positionV relativeFrom="paragraph">
              <wp:posOffset>448</wp:posOffset>
            </wp:positionV>
            <wp:extent cx="6845935" cy="188341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4.pdf"/>
                    <pic:cNvPicPr/>
                  </pic:nvPicPr>
                  <pic:blipFill>
                    <a:blip r:embed="rId17">
                      <a:extLst>
                        <a:ext uri="{28A0092B-C50C-407E-A947-70E740481C1C}">
                          <a14:useLocalDpi xmlns:a14="http://schemas.microsoft.com/office/drawing/2010/main" val="0"/>
                        </a:ext>
                      </a:extLst>
                    </a:blip>
                    <a:stretch>
                      <a:fillRect/>
                    </a:stretch>
                  </pic:blipFill>
                  <pic:spPr>
                    <a:xfrm>
                      <a:off x="0" y="0"/>
                      <a:ext cx="6845935" cy="1883410"/>
                    </a:xfrm>
                    <a:prstGeom prst="rect">
                      <a:avLst/>
                    </a:prstGeom>
                  </pic:spPr>
                </pic:pic>
              </a:graphicData>
            </a:graphic>
            <wp14:sizeRelH relativeFrom="page">
              <wp14:pctWidth>0</wp14:pctWidth>
            </wp14:sizeRelH>
            <wp14:sizeRelV relativeFrom="page">
              <wp14:pctHeight>0</wp14:pctHeight>
            </wp14:sizeRelV>
          </wp:anchor>
        </w:drawing>
      </w:r>
    </w:p>
    <w:p w14:paraId="64F27C9D" w14:textId="3813843E" w:rsidR="00AE08CF" w:rsidRPr="00AF1F1F" w:rsidRDefault="00AF1F1F" w:rsidP="00AF1F1F">
      <w:pPr>
        <w:spacing w:after="58"/>
        <w:jc w:val="both"/>
        <w:rPr>
          <w:b/>
          <w:bCs/>
          <w:szCs w:val="24"/>
        </w:rPr>
      </w:pPr>
      <w:r w:rsidRPr="00AF1F1F">
        <w:rPr>
          <w:b/>
          <w:bCs/>
          <w:szCs w:val="24"/>
        </w:rPr>
        <w:t>Fig</w:t>
      </w:r>
      <w:r w:rsidRPr="00AF1F1F">
        <w:rPr>
          <w:b/>
          <w:bCs/>
          <w:szCs w:val="24"/>
          <w:lang w:eastAsia="zh-CN"/>
        </w:rPr>
        <w:t>ure</w:t>
      </w:r>
      <w:r w:rsidRPr="00AF1F1F">
        <w:rPr>
          <w:b/>
          <w:bCs/>
          <w:szCs w:val="24"/>
        </w:rPr>
        <w:t>. S9.</w:t>
      </w:r>
      <w:r w:rsidRPr="00AF1F1F">
        <w:rPr>
          <w:szCs w:val="24"/>
        </w:rPr>
        <w:t xml:space="preserve"> </w:t>
      </w:r>
      <w:r w:rsidR="00AE08CF" w:rsidRPr="00AF1F1F">
        <w:rPr>
          <w:b/>
          <w:bCs/>
          <w:szCs w:val="24"/>
        </w:rPr>
        <w:t>Dot plots showing representative genes grouped by functional signatures from cells isolated across the indicated tissues on day 28.</w:t>
      </w:r>
      <w:r w:rsidR="00AE08CF" w:rsidRPr="00AF1F1F">
        <w:rPr>
          <w:szCs w:val="24"/>
        </w:rPr>
        <w:t xml:space="preserve"> </w:t>
      </w:r>
    </w:p>
    <w:p w14:paraId="45A38A3F" w14:textId="77777777" w:rsidR="00AE08CF" w:rsidRPr="00AF1F1F" w:rsidRDefault="00AE08CF" w:rsidP="00AF1F1F">
      <w:pPr>
        <w:spacing w:after="58"/>
        <w:jc w:val="both"/>
        <w:rPr>
          <w:b/>
          <w:bCs/>
          <w:szCs w:val="24"/>
        </w:rPr>
      </w:pPr>
      <w:r w:rsidRPr="00AF1F1F">
        <w:rPr>
          <w:szCs w:val="24"/>
        </w:rPr>
        <w:t xml:space="preserve">Rows correspond to CAR-T (top) and CAR-NKT (bottom). Each column represents one gene, and dotted vertical lines delineate signature groups. Dot color encodes the standardized average expression (blue to red; scale −1 to 1; greater saturation = higher expression), and dot area reflects the fraction of cells expressing the gene. </w:t>
      </w:r>
    </w:p>
    <w:p w14:paraId="2DFB6C5A" w14:textId="77777777" w:rsidR="00AE08CF" w:rsidRPr="009618E3" w:rsidRDefault="00AE08CF" w:rsidP="00AE08CF">
      <w:pPr>
        <w:spacing w:line="360" w:lineRule="auto"/>
        <w:jc w:val="both"/>
        <w:rPr>
          <w:rFonts w:ascii="Arial" w:hAnsi="Arial" w:cs="Arial"/>
          <w:b/>
          <w:bCs/>
          <w:sz w:val="22"/>
          <w:szCs w:val="22"/>
        </w:rPr>
      </w:pPr>
    </w:p>
    <w:p w14:paraId="21788DE4" w14:textId="77777777" w:rsidR="00AE08CF" w:rsidRPr="009618E3" w:rsidRDefault="00AE08CF" w:rsidP="00AE08CF">
      <w:pPr>
        <w:rPr>
          <w:rFonts w:ascii="Arial" w:hAnsi="Arial" w:cs="Arial"/>
          <w:b/>
          <w:bCs/>
          <w:sz w:val="22"/>
          <w:szCs w:val="22"/>
        </w:rPr>
      </w:pPr>
      <w:r w:rsidRPr="009618E3">
        <w:rPr>
          <w:rFonts w:ascii="Arial" w:hAnsi="Arial" w:cs="Arial"/>
          <w:b/>
          <w:bCs/>
          <w:sz w:val="22"/>
          <w:szCs w:val="22"/>
        </w:rPr>
        <w:br w:type="page"/>
      </w:r>
    </w:p>
    <w:p w14:paraId="28E82B76" w14:textId="1EE29962" w:rsidR="00AE08CF" w:rsidRPr="009618E3" w:rsidRDefault="00215F10" w:rsidP="00AE08CF">
      <w:pPr>
        <w:rPr>
          <w:rFonts w:ascii="Arial" w:hAnsi="Arial" w:cs="Arial"/>
          <w:b/>
          <w:bCs/>
          <w:sz w:val="22"/>
          <w:szCs w:val="22"/>
        </w:rPr>
      </w:pPr>
      <w:r>
        <w:rPr>
          <w:rFonts w:ascii="Arial" w:hAnsi="Arial" w:cs="Arial"/>
          <w:b/>
          <w:bCs/>
          <w:noProof/>
          <w:sz w:val="22"/>
          <w:szCs w:val="22"/>
        </w:rPr>
        <w:lastRenderedPageBreak/>
        <w:drawing>
          <wp:anchor distT="0" distB="0" distL="114300" distR="114300" simplePos="0" relativeHeight="251674624" behindDoc="0" locked="0" layoutInCell="1" allowOverlap="1" wp14:anchorId="762318AB" wp14:editId="4C8D176B">
            <wp:simplePos x="0" y="0"/>
            <wp:positionH relativeFrom="column">
              <wp:posOffset>-163696</wp:posOffset>
            </wp:positionH>
            <wp:positionV relativeFrom="paragraph">
              <wp:posOffset>0</wp:posOffset>
            </wp:positionV>
            <wp:extent cx="6241415" cy="419544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S10.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241415" cy="4195445"/>
                    </a:xfrm>
                    <a:prstGeom prst="rect">
                      <a:avLst/>
                    </a:prstGeom>
                  </pic:spPr>
                </pic:pic>
              </a:graphicData>
            </a:graphic>
            <wp14:sizeRelH relativeFrom="page">
              <wp14:pctWidth>0</wp14:pctWidth>
            </wp14:sizeRelH>
            <wp14:sizeRelV relativeFrom="page">
              <wp14:pctHeight>0</wp14:pctHeight>
            </wp14:sizeRelV>
          </wp:anchor>
        </w:drawing>
      </w:r>
    </w:p>
    <w:p w14:paraId="6DD81A37" w14:textId="0194F5D4" w:rsidR="00AE08CF" w:rsidRPr="00AF1F1F" w:rsidRDefault="00AF1F1F" w:rsidP="00AF1F1F">
      <w:pPr>
        <w:spacing w:after="58"/>
        <w:jc w:val="both"/>
        <w:rPr>
          <w:b/>
          <w:bCs/>
          <w:szCs w:val="24"/>
        </w:rPr>
      </w:pPr>
      <w:r w:rsidRPr="00AF1F1F">
        <w:rPr>
          <w:b/>
          <w:bCs/>
          <w:szCs w:val="24"/>
        </w:rPr>
        <w:t>Fig</w:t>
      </w:r>
      <w:r w:rsidRPr="00AF1F1F">
        <w:rPr>
          <w:b/>
          <w:bCs/>
          <w:szCs w:val="24"/>
          <w:lang w:eastAsia="zh-CN"/>
        </w:rPr>
        <w:t>ure</w:t>
      </w:r>
      <w:r w:rsidRPr="00AF1F1F">
        <w:rPr>
          <w:b/>
          <w:bCs/>
          <w:szCs w:val="24"/>
        </w:rPr>
        <w:t>. S10.</w:t>
      </w:r>
      <w:r w:rsidRPr="00AF1F1F">
        <w:rPr>
          <w:szCs w:val="24"/>
        </w:rPr>
        <w:t xml:space="preserve"> </w:t>
      </w:r>
      <w:r w:rsidR="00AE08CF" w:rsidRPr="00AF1F1F">
        <w:rPr>
          <w:b/>
          <w:bCs/>
          <w:i/>
          <w:iCs/>
          <w:szCs w:val="24"/>
        </w:rPr>
        <w:t>In vivo</w:t>
      </w:r>
      <w:r w:rsidR="00AE08CF" w:rsidRPr="00AF1F1F">
        <w:rPr>
          <w:b/>
          <w:bCs/>
          <w:szCs w:val="24"/>
        </w:rPr>
        <w:t xml:space="preserve"> detection and characterization of CAR-T and CAR-NKT cells under checkpoint blockade.</w:t>
      </w:r>
    </w:p>
    <w:p w14:paraId="1672B3B5" w14:textId="77777777" w:rsidR="00AE08CF" w:rsidRPr="00AF1F1F" w:rsidRDefault="00AE08CF" w:rsidP="00AF1F1F">
      <w:pPr>
        <w:spacing w:after="58"/>
        <w:jc w:val="both"/>
        <w:rPr>
          <w:szCs w:val="24"/>
        </w:rPr>
      </w:pPr>
      <w:r w:rsidRPr="00AF1F1F">
        <w:rPr>
          <w:b/>
          <w:bCs/>
          <w:szCs w:val="24"/>
        </w:rPr>
        <w:t xml:space="preserve">a </w:t>
      </w:r>
      <w:r w:rsidRPr="00AF1F1F">
        <w:rPr>
          <w:szCs w:val="24"/>
        </w:rPr>
        <w:t>FACS plots showing CAR-T cells in the peritoneal cavity on days 20 and 50 under anti-CD96, anti-TIGIT, or control treatment.</w:t>
      </w:r>
      <w:r w:rsidRPr="00AF1F1F">
        <w:rPr>
          <w:rFonts w:eastAsia="Times New Roman"/>
          <w:color w:val="222222"/>
          <w:szCs w:val="24"/>
        </w:rPr>
        <w:t xml:space="preserve"> Data are related to main Fig. 6</w:t>
      </w:r>
      <w:r w:rsidRPr="00AF1F1F">
        <w:rPr>
          <w:rFonts w:eastAsia="Times New Roman"/>
          <w:b/>
          <w:bCs/>
          <w:color w:val="222222"/>
          <w:szCs w:val="24"/>
        </w:rPr>
        <w:t>g</w:t>
      </w:r>
      <w:r w:rsidRPr="00AF1F1F">
        <w:rPr>
          <w:rFonts w:eastAsia="Times New Roman"/>
          <w:color w:val="222222"/>
          <w:szCs w:val="24"/>
        </w:rPr>
        <w:t>-</w:t>
      </w:r>
      <w:r w:rsidRPr="00AF1F1F">
        <w:rPr>
          <w:rFonts w:eastAsia="Times New Roman"/>
          <w:b/>
          <w:bCs/>
          <w:color w:val="222222"/>
          <w:szCs w:val="24"/>
        </w:rPr>
        <w:t>j</w:t>
      </w:r>
      <w:r w:rsidRPr="00AF1F1F">
        <w:rPr>
          <w:rFonts w:eastAsia="Times New Roman"/>
          <w:color w:val="222222"/>
          <w:szCs w:val="24"/>
        </w:rPr>
        <w:t>.</w:t>
      </w:r>
    </w:p>
    <w:p w14:paraId="4964E6D1" w14:textId="77777777" w:rsidR="00AE08CF" w:rsidRPr="00AF1F1F" w:rsidRDefault="00AE08CF" w:rsidP="00AF1F1F">
      <w:pPr>
        <w:spacing w:after="58"/>
        <w:jc w:val="both"/>
        <w:rPr>
          <w:szCs w:val="24"/>
        </w:rPr>
      </w:pPr>
      <w:r w:rsidRPr="00AF1F1F">
        <w:rPr>
          <w:b/>
          <w:bCs/>
          <w:szCs w:val="24"/>
        </w:rPr>
        <w:t xml:space="preserve">b </w:t>
      </w:r>
      <w:r w:rsidRPr="00AF1F1F">
        <w:rPr>
          <w:szCs w:val="24"/>
        </w:rPr>
        <w:t xml:space="preserve">Quantification of </w:t>
      </w:r>
      <w:r w:rsidRPr="00AF1F1F">
        <w:rPr>
          <w:b/>
          <w:bCs/>
          <w:szCs w:val="24"/>
        </w:rPr>
        <w:t>a</w:t>
      </w:r>
      <w:r w:rsidRPr="00AF1F1F">
        <w:rPr>
          <w:szCs w:val="24"/>
        </w:rPr>
        <w:t>. Day 20, n = 8; Day 50, CAR-T, n = 3; CAR-T + TIGIT, n = 8; CAR-T + CD96, n = 5. Data represent pooled results from two independent experiments; some mice did not survive to day 50.</w:t>
      </w:r>
    </w:p>
    <w:p w14:paraId="3EF7C561" w14:textId="77777777" w:rsidR="00AE08CF" w:rsidRPr="00AF1F1F" w:rsidRDefault="00AE08CF" w:rsidP="00AF1F1F">
      <w:pPr>
        <w:spacing w:after="58"/>
        <w:jc w:val="both"/>
        <w:rPr>
          <w:b/>
          <w:bCs/>
          <w:szCs w:val="24"/>
        </w:rPr>
      </w:pPr>
      <w:r w:rsidRPr="00AF1F1F">
        <w:rPr>
          <w:b/>
          <w:bCs/>
          <w:szCs w:val="24"/>
        </w:rPr>
        <w:t>c</w:t>
      </w:r>
      <w:r w:rsidRPr="00AF1F1F">
        <w:rPr>
          <w:szCs w:val="24"/>
        </w:rPr>
        <w:t xml:space="preserve"> FACS plots showing the expression of activation markers CD69 and CD25 on CAR-T cells. The numbers indicate the mean fluorescence intensity (MFI) of CD69 or CD25.</w:t>
      </w:r>
    </w:p>
    <w:p w14:paraId="425BF1D4" w14:textId="77777777" w:rsidR="00AE08CF" w:rsidRPr="00AF1F1F" w:rsidRDefault="00AE08CF" w:rsidP="00AF1F1F">
      <w:pPr>
        <w:spacing w:after="58"/>
        <w:jc w:val="both"/>
        <w:rPr>
          <w:szCs w:val="24"/>
        </w:rPr>
      </w:pPr>
      <w:r w:rsidRPr="00AF1F1F">
        <w:rPr>
          <w:b/>
          <w:bCs/>
          <w:szCs w:val="24"/>
        </w:rPr>
        <w:t xml:space="preserve">d </w:t>
      </w:r>
      <w:r w:rsidRPr="00AF1F1F">
        <w:rPr>
          <w:szCs w:val="24"/>
        </w:rPr>
        <w:t xml:space="preserve">Quantification of </w:t>
      </w:r>
      <w:r w:rsidRPr="00AF1F1F">
        <w:rPr>
          <w:b/>
          <w:bCs/>
          <w:szCs w:val="24"/>
        </w:rPr>
        <w:t>c</w:t>
      </w:r>
      <w:r w:rsidRPr="00AF1F1F">
        <w:rPr>
          <w:szCs w:val="24"/>
        </w:rPr>
        <w:t>. Day 20, n = 8; Day 50, CAR-T, n = 3; CAR-T + TIGIT, n = 8; CAR-T + CD96, n = 5.</w:t>
      </w:r>
    </w:p>
    <w:p w14:paraId="5C5938D1" w14:textId="77777777" w:rsidR="00AE08CF" w:rsidRPr="00AF1F1F" w:rsidRDefault="00AE08CF" w:rsidP="00AF1F1F">
      <w:pPr>
        <w:spacing w:after="58"/>
        <w:jc w:val="both"/>
        <w:rPr>
          <w:szCs w:val="24"/>
        </w:rPr>
      </w:pPr>
      <w:r w:rsidRPr="00AF1F1F">
        <w:rPr>
          <w:b/>
          <w:bCs/>
          <w:szCs w:val="24"/>
        </w:rPr>
        <w:t xml:space="preserve">e </w:t>
      </w:r>
      <w:r w:rsidRPr="00AF1F1F">
        <w:rPr>
          <w:szCs w:val="24"/>
        </w:rPr>
        <w:t>FACS plots showing CAR-NKT cells in the peritoneal cavity on days 20 and 50 under anti-CD96, anti-TIGIT, or control treatment.</w:t>
      </w:r>
      <w:r w:rsidRPr="00AF1F1F">
        <w:rPr>
          <w:rFonts w:eastAsia="Times New Roman"/>
          <w:color w:val="222222"/>
          <w:szCs w:val="24"/>
        </w:rPr>
        <w:t xml:space="preserve"> Data are related to main Fig. 6</w:t>
      </w:r>
      <w:r w:rsidRPr="00AF1F1F">
        <w:rPr>
          <w:rFonts w:eastAsia="Times New Roman"/>
          <w:b/>
          <w:bCs/>
          <w:color w:val="222222"/>
          <w:szCs w:val="24"/>
        </w:rPr>
        <w:t>k</w:t>
      </w:r>
      <w:r w:rsidRPr="00AF1F1F">
        <w:rPr>
          <w:rFonts w:eastAsia="Times New Roman"/>
          <w:color w:val="222222"/>
          <w:szCs w:val="24"/>
        </w:rPr>
        <w:t>-</w:t>
      </w:r>
      <w:r w:rsidRPr="00AF1F1F">
        <w:rPr>
          <w:rFonts w:eastAsia="Times New Roman"/>
          <w:b/>
          <w:bCs/>
          <w:color w:val="222222"/>
          <w:szCs w:val="24"/>
        </w:rPr>
        <w:t>n</w:t>
      </w:r>
      <w:r w:rsidRPr="00AF1F1F">
        <w:rPr>
          <w:rFonts w:eastAsia="Times New Roman"/>
          <w:color w:val="222222"/>
          <w:szCs w:val="24"/>
        </w:rPr>
        <w:t>.</w:t>
      </w:r>
    </w:p>
    <w:p w14:paraId="65E58BDB" w14:textId="77777777" w:rsidR="00AE08CF" w:rsidRPr="00AF1F1F" w:rsidRDefault="00AE08CF" w:rsidP="00AF1F1F">
      <w:pPr>
        <w:spacing w:after="58"/>
        <w:jc w:val="both"/>
        <w:rPr>
          <w:szCs w:val="24"/>
        </w:rPr>
      </w:pPr>
      <w:r w:rsidRPr="00AF1F1F">
        <w:rPr>
          <w:b/>
          <w:bCs/>
          <w:szCs w:val="24"/>
        </w:rPr>
        <w:t xml:space="preserve">f </w:t>
      </w:r>
      <w:r w:rsidRPr="00AF1F1F">
        <w:rPr>
          <w:szCs w:val="24"/>
        </w:rPr>
        <w:t xml:space="preserve">Quantification of </w:t>
      </w:r>
      <w:r w:rsidRPr="00AF1F1F">
        <w:rPr>
          <w:b/>
          <w:bCs/>
          <w:szCs w:val="24"/>
        </w:rPr>
        <w:t>e</w:t>
      </w:r>
      <w:r w:rsidRPr="00AF1F1F">
        <w:rPr>
          <w:szCs w:val="24"/>
        </w:rPr>
        <w:t>. Day 20, n = 8; Day 50, CAR-NKT, n = 7; CAR-NKT + TIGIT, n = 7; CAR-NKT + CD96, n = 8. Data represent pooled results from two independent experiments; some mice did not survive to day 50.</w:t>
      </w:r>
    </w:p>
    <w:p w14:paraId="323339E9" w14:textId="77777777" w:rsidR="00AE08CF" w:rsidRPr="00AF1F1F" w:rsidRDefault="00AE08CF" w:rsidP="00AF1F1F">
      <w:pPr>
        <w:spacing w:after="58"/>
        <w:jc w:val="both"/>
        <w:rPr>
          <w:b/>
          <w:bCs/>
          <w:szCs w:val="24"/>
        </w:rPr>
      </w:pPr>
      <w:r w:rsidRPr="00AF1F1F">
        <w:rPr>
          <w:b/>
          <w:bCs/>
          <w:szCs w:val="24"/>
        </w:rPr>
        <w:t>g</w:t>
      </w:r>
      <w:r w:rsidRPr="00AF1F1F">
        <w:rPr>
          <w:szCs w:val="24"/>
        </w:rPr>
        <w:t xml:space="preserve"> FACS plots showing the expression of activation markers CD69 and CD25 on CAR-NKT cells. The numbers indicate the MFI of CD69 or CD25.</w:t>
      </w:r>
    </w:p>
    <w:p w14:paraId="724161F4" w14:textId="77777777" w:rsidR="00AE08CF" w:rsidRPr="00AF1F1F" w:rsidRDefault="00AE08CF" w:rsidP="00AF1F1F">
      <w:pPr>
        <w:spacing w:after="58"/>
        <w:jc w:val="both"/>
        <w:rPr>
          <w:szCs w:val="24"/>
        </w:rPr>
      </w:pPr>
      <w:r w:rsidRPr="00AF1F1F">
        <w:rPr>
          <w:b/>
          <w:bCs/>
          <w:szCs w:val="24"/>
        </w:rPr>
        <w:t xml:space="preserve">h </w:t>
      </w:r>
      <w:r w:rsidRPr="00AF1F1F">
        <w:rPr>
          <w:szCs w:val="24"/>
        </w:rPr>
        <w:t xml:space="preserve">Quantification of </w:t>
      </w:r>
      <w:r w:rsidRPr="00AF1F1F">
        <w:rPr>
          <w:b/>
          <w:bCs/>
          <w:szCs w:val="24"/>
        </w:rPr>
        <w:t>g</w:t>
      </w:r>
      <w:r w:rsidRPr="00AF1F1F">
        <w:rPr>
          <w:szCs w:val="24"/>
        </w:rPr>
        <w:t>. Day 20, n = 8; Day 50, CAR-NKT, n = 7; CAR-NKT + TIGIT, n = 7; CAR-NKT + CD96, n = 8.</w:t>
      </w:r>
    </w:p>
    <w:p w14:paraId="5157C454" w14:textId="77777777" w:rsidR="00AE08CF" w:rsidRPr="00AF1F1F" w:rsidRDefault="00AE08CF" w:rsidP="00AF1F1F">
      <w:pPr>
        <w:spacing w:after="58"/>
        <w:jc w:val="both"/>
        <w:rPr>
          <w:color w:val="000000" w:themeColor="text1"/>
          <w:szCs w:val="24"/>
        </w:rPr>
      </w:pPr>
      <w:r w:rsidRPr="00AF1F1F">
        <w:rPr>
          <w:color w:val="000000" w:themeColor="text1"/>
          <w:szCs w:val="24"/>
        </w:rPr>
        <w:lastRenderedPageBreak/>
        <w:t>Representative of 2 experiments. Data are presented as the mean ± SEM. ns, not significant, *p &lt; 0.05, **p &lt; 0.01, ****p &lt; 0.0001 by one-way ANOVA.</w:t>
      </w:r>
    </w:p>
    <w:p w14:paraId="2F139991" w14:textId="77777777" w:rsidR="00AE08CF" w:rsidRPr="009618E3" w:rsidRDefault="00AE08CF" w:rsidP="00AE08CF">
      <w:pPr>
        <w:spacing w:line="360" w:lineRule="auto"/>
        <w:jc w:val="both"/>
        <w:rPr>
          <w:rFonts w:ascii="Arial" w:hAnsi="Arial" w:cs="Arial"/>
          <w:b/>
          <w:bCs/>
          <w:sz w:val="22"/>
          <w:szCs w:val="22"/>
        </w:rPr>
      </w:pPr>
      <w:r w:rsidRPr="009618E3">
        <w:rPr>
          <w:rFonts w:ascii="Arial" w:hAnsi="Arial" w:cs="Arial"/>
          <w:b/>
          <w:bCs/>
          <w:sz w:val="22"/>
          <w:szCs w:val="22"/>
        </w:rPr>
        <w:br w:type="page"/>
      </w:r>
    </w:p>
    <w:p w14:paraId="1DF71B5B" w14:textId="5B600288" w:rsidR="00AE08CF" w:rsidRPr="009618E3" w:rsidRDefault="006723E8" w:rsidP="00AE08CF">
      <w:pPr>
        <w:spacing w:line="360" w:lineRule="auto"/>
        <w:jc w:val="both"/>
        <w:rPr>
          <w:rFonts w:ascii="Arial" w:hAnsi="Arial" w:cs="Arial"/>
          <w:b/>
          <w:bCs/>
          <w:sz w:val="22"/>
          <w:szCs w:val="22"/>
        </w:rPr>
      </w:pPr>
      <w:r>
        <w:rPr>
          <w:rFonts w:ascii="Arial" w:hAnsi="Arial" w:cs="Arial"/>
          <w:b/>
          <w:bCs/>
          <w:noProof/>
          <w:sz w:val="22"/>
          <w:szCs w:val="22"/>
        </w:rPr>
        <w:lastRenderedPageBreak/>
        <w:drawing>
          <wp:anchor distT="0" distB="0" distL="114300" distR="114300" simplePos="0" relativeHeight="251670528" behindDoc="0" locked="0" layoutInCell="1" allowOverlap="1" wp14:anchorId="0D4E0788" wp14:editId="26B0D0E2">
            <wp:simplePos x="0" y="0"/>
            <wp:positionH relativeFrom="column">
              <wp:posOffset>-172820</wp:posOffset>
            </wp:positionH>
            <wp:positionV relativeFrom="paragraph">
              <wp:posOffset>0</wp:posOffset>
            </wp:positionV>
            <wp:extent cx="6289675" cy="2701925"/>
            <wp:effectExtent l="0" t="0" r="0" b="317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 S11.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89675" cy="2701925"/>
                    </a:xfrm>
                    <a:prstGeom prst="rect">
                      <a:avLst/>
                    </a:prstGeom>
                  </pic:spPr>
                </pic:pic>
              </a:graphicData>
            </a:graphic>
            <wp14:sizeRelH relativeFrom="page">
              <wp14:pctWidth>0</wp14:pctWidth>
            </wp14:sizeRelH>
            <wp14:sizeRelV relativeFrom="page">
              <wp14:pctHeight>0</wp14:pctHeight>
            </wp14:sizeRelV>
          </wp:anchor>
        </w:drawing>
      </w:r>
    </w:p>
    <w:p w14:paraId="2BE13712" w14:textId="50496FCB" w:rsidR="00AE08CF" w:rsidRPr="00AF1F1F" w:rsidRDefault="00AF1F1F" w:rsidP="00AF1F1F">
      <w:pPr>
        <w:spacing w:after="58"/>
        <w:jc w:val="both"/>
        <w:rPr>
          <w:b/>
          <w:bCs/>
          <w:szCs w:val="24"/>
        </w:rPr>
      </w:pPr>
      <w:r w:rsidRPr="00AF1F1F">
        <w:rPr>
          <w:b/>
          <w:bCs/>
          <w:szCs w:val="24"/>
        </w:rPr>
        <w:t>Fig</w:t>
      </w:r>
      <w:r w:rsidRPr="00AF1F1F">
        <w:rPr>
          <w:b/>
          <w:bCs/>
          <w:szCs w:val="24"/>
          <w:lang w:eastAsia="zh-CN"/>
        </w:rPr>
        <w:t>ure</w:t>
      </w:r>
      <w:r w:rsidRPr="00AF1F1F">
        <w:rPr>
          <w:b/>
          <w:bCs/>
          <w:szCs w:val="24"/>
        </w:rPr>
        <w:t>. S11.</w:t>
      </w:r>
      <w:r w:rsidRPr="00AF1F1F">
        <w:rPr>
          <w:szCs w:val="24"/>
        </w:rPr>
        <w:t xml:space="preserve"> </w:t>
      </w:r>
      <w:r w:rsidR="00AE08CF" w:rsidRPr="00AF1F1F">
        <w:rPr>
          <w:b/>
          <w:bCs/>
          <w:color w:val="000000" w:themeColor="text1"/>
          <w:szCs w:val="24"/>
        </w:rPr>
        <w:t>Studying the relevance of PD-1/PD-L1 blockade for CAR-T cell-mediated OC targeting.</w:t>
      </w:r>
    </w:p>
    <w:p w14:paraId="7A0A6C2D" w14:textId="77777777" w:rsidR="00AE08CF" w:rsidRPr="00AF1F1F" w:rsidRDefault="00AE08CF" w:rsidP="00AF1F1F">
      <w:pPr>
        <w:spacing w:after="58"/>
        <w:jc w:val="both"/>
        <w:rPr>
          <w:color w:val="000000" w:themeColor="text1"/>
          <w:szCs w:val="24"/>
        </w:rPr>
      </w:pPr>
      <w:r w:rsidRPr="00AF1F1F">
        <w:rPr>
          <w:b/>
          <w:bCs/>
          <w:color w:val="000000" w:themeColor="text1"/>
          <w:szCs w:val="24"/>
        </w:rPr>
        <w:t>a</w:t>
      </w:r>
      <w:r w:rsidRPr="00AF1F1F">
        <w:rPr>
          <w:color w:val="000000" w:themeColor="text1"/>
          <w:szCs w:val="24"/>
        </w:rPr>
        <w:t>-</w:t>
      </w:r>
      <w:r w:rsidRPr="00AF1F1F">
        <w:rPr>
          <w:b/>
          <w:bCs/>
          <w:color w:val="000000" w:themeColor="text1"/>
          <w:szCs w:val="24"/>
        </w:rPr>
        <w:t>d</w:t>
      </w:r>
      <w:r w:rsidRPr="00AF1F1F">
        <w:rPr>
          <w:color w:val="000000" w:themeColor="text1"/>
          <w:szCs w:val="24"/>
        </w:rPr>
        <w:t xml:space="preserve"> Studying the impact of PD-1 blockade on anti-tumor efficacy of CAR-T cells in an OVCAR8-FG human ovarian cancer xenograft NSG mouse model. Note that the data for the Vehicle and CAR-T groups are shared with those presented in Fig. 6</w:t>
      </w:r>
      <w:r w:rsidRPr="00AF1F1F">
        <w:rPr>
          <w:b/>
          <w:bCs/>
          <w:color w:val="000000" w:themeColor="text1"/>
          <w:szCs w:val="24"/>
        </w:rPr>
        <w:t>g</w:t>
      </w:r>
      <w:r w:rsidRPr="00AF1F1F">
        <w:rPr>
          <w:color w:val="000000" w:themeColor="text1"/>
          <w:szCs w:val="24"/>
        </w:rPr>
        <w:t>-6</w:t>
      </w:r>
      <w:r w:rsidRPr="00AF1F1F">
        <w:rPr>
          <w:b/>
          <w:bCs/>
          <w:color w:val="000000" w:themeColor="text1"/>
          <w:szCs w:val="24"/>
        </w:rPr>
        <w:t>j</w:t>
      </w:r>
      <w:r w:rsidRPr="00AF1F1F">
        <w:rPr>
          <w:color w:val="000000" w:themeColor="text1"/>
          <w:szCs w:val="24"/>
        </w:rPr>
        <w:t xml:space="preserve">. </w:t>
      </w:r>
      <w:proofErr w:type="spellStart"/>
      <w:proofErr w:type="gramStart"/>
      <w:r w:rsidRPr="00AF1F1F">
        <w:rPr>
          <w:b/>
          <w:bCs/>
          <w:color w:val="000000" w:themeColor="text1"/>
          <w:szCs w:val="24"/>
        </w:rPr>
        <w:t>a</w:t>
      </w:r>
      <w:proofErr w:type="spellEnd"/>
      <w:proofErr w:type="gramEnd"/>
      <w:r w:rsidRPr="00AF1F1F">
        <w:rPr>
          <w:color w:val="000000" w:themeColor="text1"/>
          <w:szCs w:val="24"/>
        </w:rPr>
        <w:t xml:space="preserve"> Experimental design. </w:t>
      </w:r>
      <w:r w:rsidRPr="00AF1F1F">
        <w:rPr>
          <w:b/>
          <w:bCs/>
          <w:color w:val="000000" w:themeColor="text1"/>
          <w:szCs w:val="24"/>
        </w:rPr>
        <w:t>b</w:t>
      </w:r>
      <w:r w:rsidRPr="00AF1F1F">
        <w:rPr>
          <w:color w:val="000000" w:themeColor="text1"/>
          <w:szCs w:val="24"/>
        </w:rPr>
        <w:t xml:space="preserve"> BLI images. </w:t>
      </w:r>
      <w:r w:rsidRPr="00AF1F1F">
        <w:rPr>
          <w:b/>
          <w:bCs/>
          <w:color w:val="000000" w:themeColor="text1"/>
          <w:szCs w:val="24"/>
        </w:rPr>
        <w:t>c</w:t>
      </w:r>
      <w:r w:rsidRPr="00AF1F1F">
        <w:rPr>
          <w:color w:val="000000" w:themeColor="text1"/>
          <w:szCs w:val="24"/>
        </w:rPr>
        <w:t xml:space="preserve"> Quantification of </w:t>
      </w:r>
      <w:r w:rsidRPr="00AF1F1F">
        <w:rPr>
          <w:b/>
          <w:bCs/>
          <w:color w:val="000000" w:themeColor="text1"/>
          <w:szCs w:val="24"/>
        </w:rPr>
        <w:t>b</w:t>
      </w:r>
      <w:r w:rsidRPr="00AF1F1F">
        <w:rPr>
          <w:color w:val="000000" w:themeColor="text1"/>
          <w:szCs w:val="24"/>
        </w:rPr>
        <w:t xml:space="preserve"> (n = 5). </w:t>
      </w:r>
      <w:r w:rsidRPr="00AF1F1F">
        <w:rPr>
          <w:b/>
          <w:bCs/>
          <w:color w:val="000000" w:themeColor="text1"/>
          <w:szCs w:val="24"/>
        </w:rPr>
        <w:t>d</w:t>
      </w:r>
      <w:r w:rsidRPr="00AF1F1F">
        <w:rPr>
          <w:color w:val="000000" w:themeColor="text1"/>
          <w:szCs w:val="24"/>
        </w:rPr>
        <w:t xml:space="preserve"> Survival curve (n = 5). </w:t>
      </w:r>
    </w:p>
    <w:p w14:paraId="7CE4F4DA" w14:textId="77777777" w:rsidR="00AE08CF" w:rsidRPr="00AF1F1F" w:rsidRDefault="00AE08CF" w:rsidP="00AF1F1F">
      <w:pPr>
        <w:spacing w:after="58"/>
        <w:jc w:val="both"/>
        <w:rPr>
          <w:color w:val="000000" w:themeColor="text1"/>
          <w:szCs w:val="24"/>
        </w:rPr>
      </w:pPr>
      <w:r w:rsidRPr="00AF1F1F">
        <w:rPr>
          <w:b/>
          <w:bCs/>
          <w:color w:val="000000" w:themeColor="text1"/>
          <w:szCs w:val="24"/>
        </w:rPr>
        <w:t>e</w:t>
      </w:r>
      <w:r w:rsidRPr="00AF1F1F">
        <w:rPr>
          <w:color w:val="000000" w:themeColor="text1"/>
          <w:szCs w:val="24"/>
        </w:rPr>
        <w:t>-</w:t>
      </w:r>
      <w:r w:rsidRPr="00AF1F1F">
        <w:rPr>
          <w:b/>
          <w:bCs/>
          <w:color w:val="000000" w:themeColor="text1"/>
          <w:szCs w:val="24"/>
        </w:rPr>
        <w:t>h</w:t>
      </w:r>
      <w:r w:rsidRPr="00AF1F1F">
        <w:rPr>
          <w:color w:val="000000" w:themeColor="text1"/>
          <w:szCs w:val="24"/>
        </w:rPr>
        <w:t xml:space="preserve"> FACS detection of PD-1 and TIGIT expressions on CAR-T cells. CAR-T cells were collected either from </w:t>
      </w:r>
      <w:r w:rsidRPr="00AF1F1F">
        <w:rPr>
          <w:i/>
          <w:iCs/>
          <w:color w:val="000000" w:themeColor="text1"/>
          <w:szCs w:val="24"/>
        </w:rPr>
        <w:t>in vitro</w:t>
      </w:r>
      <w:r w:rsidRPr="00AF1F1F">
        <w:rPr>
          <w:color w:val="000000" w:themeColor="text1"/>
          <w:szCs w:val="24"/>
        </w:rPr>
        <w:t xml:space="preserve"> culture or from peritoneal cavity of experimental mice at week 4. </w:t>
      </w:r>
      <w:r w:rsidRPr="00AF1F1F">
        <w:rPr>
          <w:b/>
          <w:bCs/>
          <w:color w:val="000000" w:themeColor="text1"/>
          <w:szCs w:val="24"/>
        </w:rPr>
        <w:t>e</w:t>
      </w:r>
      <w:r w:rsidRPr="00AF1F1F">
        <w:rPr>
          <w:color w:val="000000" w:themeColor="text1"/>
          <w:szCs w:val="24"/>
        </w:rPr>
        <w:t xml:space="preserve"> FACS plots showing the PD-1 expression on the indicated cells. </w:t>
      </w:r>
      <w:r w:rsidRPr="00AF1F1F">
        <w:rPr>
          <w:b/>
          <w:bCs/>
          <w:color w:val="000000" w:themeColor="text1"/>
          <w:szCs w:val="24"/>
        </w:rPr>
        <w:t xml:space="preserve">f </w:t>
      </w:r>
      <w:r w:rsidRPr="00AF1F1F">
        <w:rPr>
          <w:color w:val="000000" w:themeColor="text1"/>
          <w:szCs w:val="24"/>
        </w:rPr>
        <w:t xml:space="preserve">Quantification of </w:t>
      </w:r>
      <w:r w:rsidRPr="00AF1F1F">
        <w:rPr>
          <w:b/>
          <w:bCs/>
          <w:color w:val="000000" w:themeColor="text1"/>
          <w:szCs w:val="24"/>
        </w:rPr>
        <w:t>e</w:t>
      </w:r>
      <w:r w:rsidRPr="00AF1F1F">
        <w:rPr>
          <w:color w:val="000000" w:themeColor="text1"/>
          <w:szCs w:val="24"/>
        </w:rPr>
        <w:t xml:space="preserve"> (n = 5). </w:t>
      </w:r>
      <w:r w:rsidRPr="00AF1F1F">
        <w:rPr>
          <w:b/>
          <w:bCs/>
          <w:color w:val="000000" w:themeColor="text1"/>
          <w:szCs w:val="24"/>
        </w:rPr>
        <w:t>g</w:t>
      </w:r>
      <w:r w:rsidRPr="00AF1F1F">
        <w:rPr>
          <w:color w:val="000000" w:themeColor="text1"/>
          <w:szCs w:val="24"/>
        </w:rPr>
        <w:t xml:space="preserve"> FACS plots showing the TIGIT expression on the indicated cells. </w:t>
      </w:r>
      <w:r w:rsidRPr="00AF1F1F">
        <w:rPr>
          <w:b/>
          <w:bCs/>
          <w:color w:val="000000" w:themeColor="text1"/>
          <w:szCs w:val="24"/>
        </w:rPr>
        <w:t>h</w:t>
      </w:r>
      <w:r w:rsidRPr="00AF1F1F">
        <w:rPr>
          <w:color w:val="000000" w:themeColor="text1"/>
          <w:szCs w:val="24"/>
        </w:rPr>
        <w:t xml:space="preserve"> Quantification of </w:t>
      </w:r>
      <w:r w:rsidRPr="00AF1F1F">
        <w:rPr>
          <w:b/>
          <w:bCs/>
          <w:color w:val="000000" w:themeColor="text1"/>
          <w:szCs w:val="24"/>
        </w:rPr>
        <w:t>g</w:t>
      </w:r>
      <w:r w:rsidRPr="00AF1F1F">
        <w:rPr>
          <w:color w:val="000000" w:themeColor="text1"/>
          <w:szCs w:val="24"/>
        </w:rPr>
        <w:t xml:space="preserve"> (n = 5).</w:t>
      </w:r>
    </w:p>
    <w:p w14:paraId="76924ECC" w14:textId="77777777" w:rsidR="00AE08CF" w:rsidRPr="00AF1F1F" w:rsidRDefault="00AE08CF" w:rsidP="00AF1F1F">
      <w:pPr>
        <w:spacing w:after="58"/>
        <w:jc w:val="both"/>
        <w:rPr>
          <w:color w:val="000000" w:themeColor="text1"/>
          <w:szCs w:val="24"/>
        </w:rPr>
      </w:pPr>
      <w:r w:rsidRPr="00AF1F1F">
        <w:rPr>
          <w:color w:val="000000" w:themeColor="text1"/>
          <w:szCs w:val="24"/>
        </w:rPr>
        <w:t xml:space="preserve">Representative of 2 experiments. Data are presented as the mean ± SEM. ns, not significant, *p &lt; 0.05, **p &lt; 0.01, ****p &lt; 0.0001 by Student's </w:t>
      </w:r>
      <w:r w:rsidRPr="00AF1F1F">
        <w:rPr>
          <w:i/>
          <w:iCs/>
          <w:color w:val="000000" w:themeColor="text1"/>
          <w:szCs w:val="24"/>
        </w:rPr>
        <w:t>t</w:t>
      </w:r>
      <w:r w:rsidRPr="00AF1F1F">
        <w:rPr>
          <w:color w:val="000000" w:themeColor="text1"/>
          <w:szCs w:val="24"/>
        </w:rPr>
        <w:t xml:space="preserve"> test (</w:t>
      </w:r>
      <w:r w:rsidRPr="00AF1F1F">
        <w:rPr>
          <w:b/>
          <w:bCs/>
          <w:color w:val="000000" w:themeColor="text1"/>
          <w:szCs w:val="24"/>
        </w:rPr>
        <w:t>f</w:t>
      </w:r>
      <w:r w:rsidRPr="00AF1F1F">
        <w:rPr>
          <w:color w:val="000000" w:themeColor="text1"/>
          <w:szCs w:val="24"/>
        </w:rPr>
        <w:t xml:space="preserve"> and </w:t>
      </w:r>
      <w:r w:rsidRPr="00AF1F1F">
        <w:rPr>
          <w:b/>
          <w:bCs/>
          <w:color w:val="000000" w:themeColor="text1"/>
          <w:szCs w:val="24"/>
        </w:rPr>
        <w:t>h</w:t>
      </w:r>
      <w:r w:rsidRPr="00AF1F1F">
        <w:rPr>
          <w:color w:val="000000" w:themeColor="text1"/>
          <w:szCs w:val="24"/>
        </w:rPr>
        <w:t>), one-way ANOVA (</w:t>
      </w:r>
      <w:r w:rsidRPr="00AF1F1F">
        <w:rPr>
          <w:b/>
          <w:bCs/>
          <w:color w:val="000000" w:themeColor="text1"/>
          <w:szCs w:val="24"/>
        </w:rPr>
        <w:t>c</w:t>
      </w:r>
      <w:r w:rsidRPr="00AF1F1F">
        <w:rPr>
          <w:color w:val="000000" w:themeColor="text1"/>
          <w:szCs w:val="24"/>
        </w:rPr>
        <w:t>), or log rank (Mantel-Cox) test adjusted for multiple comparisons (</w:t>
      </w:r>
      <w:r w:rsidRPr="00AF1F1F">
        <w:rPr>
          <w:b/>
          <w:bCs/>
          <w:color w:val="000000" w:themeColor="text1"/>
          <w:szCs w:val="24"/>
        </w:rPr>
        <w:t>d</w:t>
      </w:r>
      <w:r w:rsidRPr="00AF1F1F">
        <w:rPr>
          <w:color w:val="000000" w:themeColor="text1"/>
          <w:szCs w:val="24"/>
        </w:rPr>
        <w:t>).</w:t>
      </w:r>
    </w:p>
    <w:p w14:paraId="65E5CED6" w14:textId="77777777" w:rsidR="00AE08CF" w:rsidRPr="00AF1F1F" w:rsidRDefault="00AE08CF" w:rsidP="00AF1F1F">
      <w:pPr>
        <w:spacing w:after="58"/>
        <w:jc w:val="both"/>
        <w:rPr>
          <w:color w:val="000000" w:themeColor="text1"/>
          <w:szCs w:val="24"/>
        </w:rPr>
      </w:pPr>
    </w:p>
    <w:p w14:paraId="3C3CC2C8" w14:textId="77777777" w:rsidR="00AE08CF" w:rsidRPr="009618E3" w:rsidRDefault="00AE08CF" w:rsidP="00AE08CF">
      <w:pPr>
        <w:rPr>
          <w:b/>
          <w:bCs/>
          <w:color w:val="000000" w:themeColor="text1"/>
        </w:rPr>
      </w:pPr>
      <w:r w:rsidRPr="009618E3">
        <w:rPr>
          <w:b/>
          <w:bCs/>
          <w:color w:val="000000" w:themeColor="text1"/>
        </w:rPr>
        <w:br w:type="page"/>
      </w:r>
    </w:p>
    <w:p w14:paraId="020940BC" w14:textId="1CEC1789" w:rsidR="00AE08CF" w:rsidRPr="009618E3" w:rsidRDefault="004B3D84" w:rsidP="00AE08CF">
      <w:pPr>
        <w:jc w:val="both"/>
        <w:rPr>
          <w:b/>
          <w:bCs/>
          <w:color w:val="000000" w:themeColor="text1"/>
        </w:rPr>
      </w:pPr>
      <w:r>
        <w:rPr>
          <w:b/>
          <w:bCs/>
          <w:noProof/>
          <w:color w:val="000000" w:themeColor="text1"/>
        </w:rPr>
        <w:lastRenderedPageBreak/>
        <w:drawing>
          <wp:anchor distT="0" distB="0" distL="114300" distR="114300" simplePos="0" relativeHeight="251673600" behindDoc="0" locked="0" layoutInCell="1" allowOverlap="1" wp14:anchorId="284FA322" wp14:editId="7A31B42A">
            <wp:simplePos x="0" y="0"/>
            <wp:positionH relativeFrom="column">
              <wp:posOffset>-308610</wp:posOffset>
            </wp:positionH>
            <wp:positionV relativeFrom="paragraph">
              <wp:posOffset>0</wp:posOffset>
            </wp:positionV>
            <wp:extent cx="6515735" cy="8108950"/>
            <wp:effectExtent l="0" t="0" r="0" b="635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S1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15735" cy="8108950"/>
                    </a:xfrm>
                    <a:prstGeom prst="rect">
                      <a:avLst/>
                    </a:prstGeom>
                  </pic:spPr>
                </pic:pic>
              </a:graphicData>
            </a:graphic>
            <wp14:sizeRelH relativeFrom="page">
              <wp14:pctWidth>0</wp14:pctWidth>
            </wp14:sizeRelH>
            <wp14:sizeRelV relativeFrom="page">
              <wp14:pctHeight>0</wp14:pctHeight>
            </wp14:sizeRelV>
          </wp:anchor>
        </w:drawing>
      </w:r>
    </w:p>
    <w:p w14:paraId="38052A1D" w14:textId="62C6A985" w:rsidR="00AE08CF" w:rsidRPr="00AF1F1F" w:rsidRDefault="00AF1F1F" w:rsidP="00AF1F1F">
      <w:pPr>
        <w:spacing w:after="58"/>
        <w:jc w:val="both"/>
        <w:rPr>
          <w:b/>
          <w:bCs/>
          <w:color w:val="000000" w:themeColor="text1"/>
          <w:szCs w:val="24"/>
        </w:rPr>
      </w:pPr>
      <w:r w:rsidRPr="00AF1F1F">
        <w:rPr>
          <w:b/>
          <w:bCs/>
          <w:szCs w:val="24"/>
        </w:rPr>
        <w:lastRenderedPageBreak/>
        <w:t>Fig</w:t>
      </w:r>
      <w:r w:rsidRPr="00AF1F1F">
        <w:rPr>
          <w:b/>
          <w:bCs/>
          <w:szCs w:val="24"/>
          <w:lang w:eastAsia="zh-CN"/>
        </w:rPr>
        <w:t>ure</w:t>
      </w:r>
      <w:r w:rsidRPr="00AF1F1F">
        <w:rPr>
          <w:b/>
          <w:bCs/>
          <w:szCs w:val="24"/>
        </w:rPr>
        <w:t>. S12.</w:t>
      </w:r>
      <w:r w:rsidRPr="00AF1F1F">
        <w:rPr>
          <w:szCs w:val="24"/>
        </w:rPr>
        <w:t xml:space="preserve"> </w:t>
      </w:r>
      <w:r w:rsidR="00AE08CF" w:rsidRPr="00AF1F1F">
        <w:rPr>
          <w:b/>
          <w:bCs/>
          <w:color w:val="000000" w:themeColor="text1"/>
          <w:szCs w:val="24"/>
        </w:rPr>
        <w:t xml:space="preserve"> </w:t>
      </w:r>
      <w:r w:rsidR="00AE08CF" w:rsidRPr="00AF1F1F">
        <w:rPr>
          <w:b/>
          <w:bCs/>
          <w:szCs w:val="24"/>
        </w:rPr>
        <w:t>Comparison between HSPC-derived and PBMC-derived CAR-NKT cells.</w:t>
      </w:r>
    </w:p>
    <w:p w14:paraId="392D6EC2" w14:textId="77777777" w:rsidR="00AE08CF" w:rsidRPr="00AF1F1F" w:rsidRDefault="00AE08CF" w:rsidP="00AF1F1F">
      <w:pPr>
        <w:spacing w:after="58"/>
        <w:jc w:val="both"/>
        <w:rPr>
          <w:szCs w:val="24"/>
        </w:rPr>
      </w:pPr>
      <w:r w:rsidRPr="00AF1F1F">
        <w:rPr>
          <w:b/>
          <w:bCs/>
          <w:color w:val="000000" w:themeColor="text1"/>
          <w:szCs w:val="24"/>
        </w:rPr>
        <w:t xml:space="preserve">a-d </w:t>
      </w:r>
      <w:r w:rsidRPr="00AF1F1F">
        <w:rPr>
          <w:color w:val="000000" w:themeColor="text1"/>
          <w:szCs w:val="24"/>
        </w:rPr>
        <w:t>Generation of healthy donor PBMC-derived</w:t>
      </w:r>
      <w:r w:rsidRPr="00AF1F1F">
        <w:rPr>
          <w:szCs w:val="24"/>
        </w:rPr>
        <w:t xml:space="preserve"> CAR-NKT (</w:t>
      </w:r>
      <w:r w:rsidRPr="00AF1F1F">
        <w:rPr>
          <w:szCs w:val="24"/>
          <w:vertAlign w:val="superscript"/>
        </w:rPr>
        <w:t>PBMC</w:t>
      </w:r>
      <w:r w:rsidRPr="00AF1F1F">
        <w:rPr>
          <w:szCs w:val="24"/>
        </w:rPr>
        <w:t xml:space="preserve">CAR-NKT) cells. </w:t>
      </w:r>
      <w:r w:rsidRPr="00AF1F1F">
        <w:rPr>
          <w:b/>
          <w:bCs/>
          <w:szCs w:val="24"/>
        </w:rPr>
        <w:t>a</w:t>
      </w:r>
      <w:r w:rsidRPr="00AF1F1F">
        <w:rPr>
          <w:szCs w:val="24"/>
        </w:rPr>
        <w:t xml:space="preserve"> Diagram showing the design of </w:t>
      </w:r>
      <w:proofErr w:type="spellStart"/>
      <w:r w:rsidRPr="00AF1F1F">
        <w:rPr>
          <w:szCs w:val="24"/>
        </w:rPr>
        <w:t>Lenti</w:t>
      </w:r>
      <w:proofErr w:type="spellEnd"/>
      <w:r w:rsidRPr="00AF1F1F">
        <w:rPr>
          <w:szCs w:val="24"/>
        </w:rPr>
        <w:t xml:space="preserve">/MCAR-IL-15 lentivector, and the generation of </w:t>
      </w:r>
      <w:r w:rsidRPr="00AF1F1F">
        <w:rPr>
          <w:szCs w:val="24"/>
          <w:vertAlign w:val="superscript"/>
        </w:rPr>
        <w:t>PBMC</w:t>
      </w:r>
      <w:r w:rsidRPr="00AF1F1F">
        <w:rPr>
          <w:szCs w:val="24"/>
        </w:rPr>
        <w:t xml:space="preserve">CAR-NKT cells. </w:t>
      </w:r>
      <w:r w:rsidRPr="00AF1F1F">
        <w:rPr>
          <w:b/>
          <w:bCs/>
          <w:szCs w:val="24"/>
        </w:rPr>
        <w:t>b</w:t>
      </w:r>
      <w:r w:rsidRPr="00AF1F1F">
        <w:rPr>
          <w:szCs w:val="24"/>
        </w:rPr>
        <w:t xml:space="preserve"> FACS detection of the purity and CAR expression on CAR-NKT cells before and after FACS sorting. </w:t>
      </w:r>
      <w:r w:rsidRPr="00AF1F1F">
        <w:rPr>
          <w:b/>
          <w:bCs/>
          <w:szCs w:val="24"/>
        </w:rPr>
        <w:t>c</w:t>
      </w:r>
      <w:r w:rsidRPr="00AF1F1F">
        <w:rPr>
          <w:szCs w:val="24"/>
        </w:rPr>
        <w:t xml:space="preserve"> Yield of </w:t>
      </w:r>
      <w:r w:rsidRPr="00AF1F1F">
        <w:rPr>
          <w:szCs w:val="24"/>
          <w:vertAlign w:val="superscript"/>
        </w:rPr>
        <w:t>PBMC</w:t>
      </w:r>
      <w:r w:rsidRPr="00AF1F1F">
        <w:rPr>
          <w:szCs w:val="24"/>
        </w:rPr>
        <w:t xml:space="preserve">CAR-NKT cells (n = 4; n indicates different PBMC donors). </w:t>
      </w:r>
      <w:r w:rsidRPr="00AF1F1F">
        <w:rPr>
          <w:b/>
          <w:bCs/>
          <w:szCs w:val="24"/>
        </w:rPr>
        <w:t xml:space="preserve">d </w:t>
      </w:r>
      <w:r w:rsidRPr="00AF1F1F">
        <w:rPr>
          <w:szCs w:val="24"/>
        </w:rPr>
        <w:t>Quantification of CAR transduction rate (n = 4; n indicates different PBMC donors).</w:t>
      </w:r>
    </w:p>
    <w:p w14:paraId="1EFED940" w14:textId="77777777" w:rsidR="00AE08CF" w:rsidRPr="00AF1F1F" w:rsidRDefault="00AE08CF" w:rsidP="00AF1F1F">
      <w:pPr>
        <w:spacing w:after="58"/>
        <w:jc w:val="both"/>
        <w:rPr>
          <w:b/>
          <w:bCs/>
          <w:szCs w:val="24"/>
        </w:rPr>
      </w:pPr>
      <w:r w:rsidRPr="00AF1F1F">
        <w:rPr>
          <w:b/>
          <w:bCs/>
          <w:szCs w:val="24"/>
        </w:rPr>
        <w:t xml:space="preserve">e </w:t>
      </w:r>
      <w:r w:rsidRPr="00AF1F1F">
        <w:rPr>
          <w:szCs w:val="24"/>
        </w:rPr>
        <w:t>Comparison of CD4/CD8 subpopulation percentages of CAR-NKT cells generated from four donors.</w:t>
      </w:r>
    </w:p>
    <w:p w14:paraId="31E13EBF" w14:textId="77777777" w:rsidR="00AE08CF" w:rsidRPr="00AF1F1F" w:rsidRDefault="00AE08CF" w:rsidP="00AF1F1F">
      <w:pPr>
        <w:spacing w:after="58"/>
        <w:jc w:val="both"/>
        <w:rPr>
          <w:szCs w:val="24"/>
        </w:rPr>
      </w:pPr>
      <w:r w:rsidRPr="00AF1F1F">
        <w:rPr>
          <w:b/>
          <w:bCs/>
          <w:color w:val="000000" w:themeColor="text1"/>
          <w:szCs w:val="24"/>
        </w:rPr>
        <w:t xml:space="preserve">f </w:t>
      </w:r>
      <w:r w:rsidRPr="00AF1F1F">
        <w:rPr>
          <w:color w:val="000000" w:themeColor="text1"/>
          <w:szCs w:val="24"/>
        </w:rPr>
        <w:t xml:space="preserve">and </w:t>
      </w:r>
      <w:r w:rsidRPr="00AF1F1F">
        <w:rPr>
          <w:b/>
          <w:bCs/>
          <w:color w:val="000000" w:themeColor="text1"/>
          <w:szCs w:val="24"/>
        </w:rPr>
        <w:t xml:space="preserve">g </w:t>
      </w:r>
      <w:r w:rsidRPr="00AF1F1F">
        <w:rPr>
          <w:szCs w:val="24"/>
        </w:rPr>
        <w:t xml:space="preserve">FACS plots showing the Ki-67 expression in </w:t>
      </w:r>
      <w:r w:rsidRPr="00AF1F1F">
        <w:rPr>
          <w:rFonts w:eastAsia="Times New Roman"/>
          <w:color w:val="222222"/>
          <w:szCs w:val="24"/>
        </w:rPr>
        <w:t>two types of CAR-NKT cells (</w:t>
      </w:r>
      <w:r w:rsidRPr="00AF1F1F">
        <w:rPr>
          <w:rFonts w:eastAsia="Times New Roman"/>
          <w:b/>
          <w:bCs/>
          <w:color w:val="222222"/>
          <w:szCs w:val="24"/>
        </w:rPr>
        <w:t>f</w:t>
      </w:r>
      <w:r w:rsidRPr="00AF1F1F">
        <w:rPr>
          <w:rFonts w:eastAsia="Times New Roman"/>
          <w:color w:val="222222"/>
          <w:szCs w:val="24"/>
        </w:rPr>
        <w:t xml:space="preserve">) and the </w:t>
      </w:r>
      <w:r w:rsidRPr="00AF1F1F">
        <w:rPr>
          <w:szCs w:val="24"/>
        </w:rPr>
        <w:t>quantification (</w:t>
      </w:r>
      <w:r w:rsidRPr="00AF1F1F">
        <w:rPr>
          <w:b/>
          <w:bCs/>
          <w:szCs w:val="24"/>
        </w:rPr>
        <w:t>g</w:t>
      </w:r>
      <w:r w:rsidRPr="00AF1F1F">
        <w:rPr>
          <w:szCs w:val="24"/>
        </w:rPr>
        <w:t>) (n = 4; n indicates different PBMC or CB donors).</w:t>
      </w:r>
    </w:p>
    <w:p w14:paraId="2930FEB4" w14:textId="77777777" w:rsidR="00AE08CF" w:rsidRPr="00AF1F1F" w:rsidRDefault="00AE08CF" w:rsidP="00AF1F1F">
      <w:pPr>
        <w:spacing w:after="58"/>
        <w:jc w:val="both"/>
        <w:rPr>
          <w:b/>
          <w:bCs/>
          <w:szCs w:val="24"/>
        </w:rPr>
      </w:pPr>
      <w:r w:rsidRPr="00AF1F1F">
        <w:rPr>
          <w:b/>
          <w:bCs/>
          <w:szCs w:val="24"/>
        </w:rPr>
        <w:t>h</w:t>
      </w:r>
      <w:r w:rsidRPr="00AF1F1F">
        <w:rPr>
          <w:szCs w:val="24"/>
        </w:rPr>
        <w:t xml:space="preserve"> Heatmap showing the cytokine profiles of two types of CAR-NKT cells. Intracellular flow cytometry was performed to assess cytokine production by CAR-NKT cells following PMA/ionomycin stimulation. Values in the heatmap represent the percentage of cytokine-positive cells for each cytokine.</w:t>
      </w:r>
    </w:p>
    <w:p w14:paraId="57A806A5" w14:textId="77777777" w:rsidR="00AE08CF" w:rsidRPr="00AF1F1F" w:rsidRDefault="00AE08CF" w:rsidP="00AF1F1F">
      <w:pPr>
        <w:spacing w:after="58"/>
        <w:jc w:val="both"/>
        <w:rPr>
          <w:color w:val="000000" w:themeColor="text1"/>
          <w:szCs w:val="24"/>
        </w:rPr>
      </w:pPr>
      <w:proofErr w:type="spellStart"/>
      <w:r w:rsidRPr="00AF1F1F">
        <w:rPr>
          <w:b/>
          <w:bCs/>
          <w:color w:val="000000" w:themeColor="text1"/>
          <w:szCs w:val="24"/>
        </w:rPr>
        <w:t>i</w:t>
      </w:r>
      <w:proofErr w:type="spellEnd"/>
      <w:r w:rsidRPr="00AF1F1F">
        <w:rPr>
          <w:color w:val="000000" w:themeColor="text1"/>
          <w:szCs w:val="24"/>
        </w:rPr>
        <w:t xml:space="preserve"> FACS analyses of the expression of indicated NKRs and NK markers on CAR-NKT cells (</w:t>
      </w:r>
      <w:r w:rsidRPr="00AF1F1F">
        <w:rPr>
          <w:szCs w:val="24"/>
        </w:rPr>
        <w:t>n = 4; n indicates different PBMC or CB donors</w:t>
      </w:r>
      <w:r w:rsidRPr="00AF1F1F">
        <w:rPr>
          <w:color w:val="000000" w:themeColor="text1"/>
          <w:szCs w:val="24"/>
        </w:rPr>
        <w:t>).</w:t>
      </w:r>
    </w:p>
    <w:p w14:paraId="6413DE2D" w14:textId="77777777" w:rsidR="00AE08CF" w:rsidRPr="00AF1F1F" w:rsidRDefault="00AE08CF" w:rsidP="00AF1F1F">
      <w:pPr>
        <w:spacing w:after="58"/>
        <w:jc w:val="both"/>
        <w:rPr>
          <w:szCs w:val="24"/>
        </w:rPr>
      </w:pPr>
      <w:r w:rsidRPr="00AF1F1F">
        <w:rPr>
          <w:b/>
          <w:bCs/>
          <w:szCs w:val="24"/>
        </w:rPr>
        <w:t>j</w:t>
      </w:r>
      <w:r w:rsidRPr="00AF1F1F">
        <w:rPr>
          <w:szCs w:val="24"/>
        </w:rPr>
        <w:t xml:space="preserve"> and </w:t>
      </w:r>
      <w:r w:rsidRPr="00AF1F1F">
        <w:rPr>
          <w:b/>
          <w:bCs/>
          <w:szCs w:val="24"/>
        </w:rPr>
        <w:t>k</w:t>
      </w:r>
      <w:r w:rsidRPr="00AF1F1F">
        <w:rPr>
          <w:szCs w:val="24"/>
        </w:rPr>
        <w:t xml:space="preserve"> Studying the </w:t>
      </w:r>
      <w:r w:rsidRPr="00AF1F1F">
        <w:rPr>
          <w:i/>
          <w:iCs/>
          <w:szCs w:val="24"/>
        </w:rPr>
        <w:t>in vitro</w:t>
      </w:r>
      <w:r w:rsidRPr="00AF1F1F">
        <w:rPr>
          <w:szCs w:val="24"/>
        </w:rPr>
        <w:t xml:space="preserve"> antitumor efficacy of two types of CAR-NKT cells</w:t>
      </w:r>
      <w:r w:rsidRPr="00AF1F1F">
        <w:rPr>
          <w:color w:val="000000" w:themeColor="text1"/>
          <w:szCs w:val="24"/>
        </w:rPr>
        <w:t xml:space="preserve">. </w:t>
      </w:r>
      <w:r w:rsidRPr="00AF1F1F">
        <w:rPr>
          <w:b/>
          <w:bCs/>
          <w:color w:val="000000" w:themeColor="text1"/>
          <w:szCs w:val="24"/>
        </w:rPr>
        <w:t>j</w:t>
      </w:r>
      <w:r w:rsidRPr="00AF1F1F">
        <w:rPr>
          <w:color w:val="000000" w:themeColor="text1"/>
          <w:szCs w:val="24"/>
        </w:rPr>
        <w:t xml:space="preserve"> Experimental design. </w:t>
      </w:r>
      <w:r w:rsidRPr="00AF1F1F">
        <w:rPr>
          <w:b/>
          <w:bCs/>
          <w:color w:val="000000" w:themeColor="text1"/>
          <w:szCs w:val="24"/>
        </w:rPr>
        <w:t>k</w:t>
      </w:r>
      <w:r w:rsidRPr="00AF1F1F">
        <w:rPr>
          <w:color w:val="000000" w:themeColor="text1"/>
          <w:szCs w:val="24"/>
        </w:rPr>
        <w:t xml:space="preserve"> Tumor cell killing data at 24 h (n = 4; </w:t>
      </w:r>
      <w:proofErr w:type="gramStart"/>
      <w:r w:rsidRPr="00AF1F1F">
        <w:rPr>
          <w:color w:val="000000" w:themeColor="text1"/>
          <w:szCs w:val="24"/>
        </w:rPr>
        <w:t>E:T</w:t>
      </w:r>
      <w:proofErr w:type="gramEnd"/>
      <w:r w:rsidRPr="00AF1F1F">
        <w:rPr>
          <w:color w:val="000000" w:themeColor="text1"/>
          <w:szCs w:val="24"/>
        </w:rPr>
        <w:t xml:space="preserve"> = 2:1).</w:t>
      </w:r>
    </w:p>
    <w:p w14:paraId="693F5650" w14:textId="77777777" w:rsidR="00AE08CF" w:rsidRPr="00AF1F1F" w:rsidRDefault="00AE08CF" w:rsidP="00AF1F1F">
      <w:pPr>
        <w:spacing w:after="58"/>
        <w:jc w:val="both"/>
        <w:rPr>
          <w:color w:val="000000" w:themeColor="text1"/>
          <w:szCs w:val="24"/>
        </w:rPr>
      </w:pPr>
      <w:r w:rsidRPr="00AF1F1F">
        <w:rPr>
          <w:b/>
          <w:bCs/>
          <w:szCs w:val="24"/>
        </w:rPr>
        <w:t>l</w:t>
      </w:r>
      <w:r w:rsidRPr="00AF1F1F">
        <w:rPr>
          <w:szCs w:val="24"/>
        </w:rPr>
        <w:t>-</w:t>
      </w:r>
      <w:r w:rsidRPr="00AF1F1F">
        <w:rPr>
          <w:b/>
          <w:bCs/>
          <w:szCs w:val="24"/>
        </w:rPr>
        <w:t>n</w:t>
      </w:r>
      <w:r w:rsidRPr="00AF1F1F">
        <w:rPr>
          <w:szCs w:val="24"/>
        </w:rPr>
        <w:t xml:space="preserve"> </w:t>
      </w:r>
      <w:r w:rsidRPr="00AF1F1F">
        <w:rPr>
          <w:color w:val="000000" w:themeColor="text1"/>
          <w:szCs w:val="24"/>
        </w:rPr>
        <w:t xml:space="preserve">Studying the long-term tumor cell killing of </w:t>
      </w:r>
      <w:r w:rsidRPr="00AF1F1F">
        <w:rPr>
          <w:szCs w:val="24"/>
        </w:rPr>
        <w:t>two types of CAR-NKT cells</w:t>
      </w:r>
      <w:r w:rsidRPr="00AF1F1F">
        <w:rPr>
          <w:color w:val="000000" w:themeColor="text1"/>
          <w:szCs w:val="24"/>
        </w:rPr>
        <w:t xml:space="preserve">. </w:t>
      </w:r>
      <w:r w:rsidRPr="00AF1F1F">
        <w:rPr>
          <w:b/>
          <w:bCs/>
          <w:color w:val="000000" w:themeColor="text1"/>
          <w:szCs w:val="24"/>
        </w:rPr>
        <w:t>l</w:t>
      </w:r>
      <w:r w:rsidRPr="00AF1F1F">
        <w:rPr>
          <w:color w:val="000000" w:themeColor="text1"/>
          <w:szCs w:val="24"/>
        </w:rPr>
        <w:t xml:space="preserve"> Experimental design. Note the stimulator cells were not labeled with FG while the indicator cells were labeled with FG. </w:t>
      </w:r>
      <w:r w:rsidRPr="00AF1F1F">
        <w:rPr>
          <w:b/>
          <w:bCs/>
          <w:color w:val="000000" w:themeColor="text1"/>
          <w:szCs w:val="24"/>
        </w:rPr>
        <w:t>m</w:t>
      </w:r>
      <w:r w:rsidRPr="00AF1F1F">
        <w:rPr>
          <w:color w:val="000000" w:themeColor="text1"/>
          <w:szCs w:val="24"/>
        </w:rPr>
        <w:t xml:space="preserve"> Tumor cell killing data (n = 4). </w:t>
      </w:r>
      <w:r w:rsidRPr="00AF1F1F">
        <w:rPr>
          <w:b/>
          <w:bCs/>
          <w:color w:val="000000" w:themeColor="text1"/>
          <w:szCs w:val="24"/>
        </w:rPr>
        <w:t>n</w:t>
      </w:r>
      <w:r w:rsidRPr="00AF1F1F">
        <w:rPr>
          <w:color w:val="000000" w:themeColor="text1"/>
          <w:szCs w:val="24"/>
        </w:rPr>
        <w:t xml:space="preserve"> Radar plots showing the exhaustion marker expression on CAR-NKT cells (n = 4).</w:t>
      </w:r>
    </w:p>
    <w:p w14:paraId="3DDF1F78" w14:textId="77777777" w:rsidR="00AE08CF" w:rsidRPr="00AF1F1F" w:rsidRDefault="00AE08CF" w:rsidP="00AF1F1F">
      <w:pPr>
        <w:spacing w:after="58"/>
        <w:jc w:val="both"/>
        <w:rPr>
          <w:szCs w:val="24"/>
        </w:rPr>
      </w:pPr>
      <w:r w:rsidRPr="00AF1F1F">
        <w:rPr>
          <w:b/>
          <w:bCs/>
          <w:szCs w:val="24"/>
        </w:rPr>
        <w:t>o</w:t>
      </w:r>
      <w:r w:rsidRPr="00AF1F1F">
        <w:rPr>
          <w:szCs w:val="24"/>
        </w:rPr>
        <w:t>-</w:t>
      </w:r>
      <w:r w:rsidRPr="00AF1F1F">
        <w:rPr>
          <w:b/>
          <w:bCs/>
          <w:szCs w:val="24"/>
        </w:rPr>
        <w:t>r</w:t>
      </w:r>
      <w:r w:rsidRPr="00AF1F1F">
        <w:rPr>
          <w:szCs w:val="24"/>
        </w:rPr>
        <w:t xml:space="preserve"> Studying the </w:t>
      </w:r>
      <w:r w:rsidRPr="00AF1F1F">
        <w:rPr>
          <w:i/>
          <w:iCs/>
          <w:szCs w:val="24"/>
        </w:rPr>
        <w:t>in vivo</w:t>
      </w:r>
      <w:r w:rsidRPr="00AF1F1F">
        <w:rPr>
          <w:szCs w:val="24"/>
        </w:rPr>
        <w:t xml:space="preserve"> antitumor efficacy of two types of CAR-NKT cells</w:t>
      </w:r>
      <w:r w:rsidRPr="00AF1F1F">
        <w:rPr>
          <w:color w:val="000000" w:themeColor="text1"/>
          <w:szCs w:val="24"/>
        </w:rPr>
        <w:t xml:space="preserve">. </w:t>
      </w:r>
      <w:r w:rsidRPr="00AF1F1F">
        <w:rPr>
          <w:b/>
          <w:bCs/>
          <w:color w:val="000000" w:themeColor="text1"/>
          <w:szCs w:val="24"/>
        </w:rPr>
        <w:t>o</w:t>
      </w:r>
      <w:r w:rsidRPr="00AF1F1F">
        <w:rPr>
          <w:color w:val="000000" w:themeColor="text1"/>
          <w:szCs w:val="24"/>
        </w:rPr>
        <w:t xml:space="preserve"> Experimental design. </w:t>
      </w:r>
      <w:r w:rsidRPr="00AF1F1F">
        <w:rPr>
          <w:b/>
          <w:bCs/>
          <w:color w:val="000000" w:themeColor="text1"/>
          <w:szCs w:val="24"/>
        </w:rPr>
        <w:t xml:space="preserve">p </w:t>
      </w:r>
      <w:r w:rsidRPr="00AF1F1F">
        <w:rPr>
          <w:color w:val="000000" w:themeColor="text1"/>
          <w:szCs w:val="24"/>
        </w:rPr>
        <w:t xml:space="preserve">BLI images showing tumor loads in experimental mice over time. </w:t>
      </w:r>
      <w:r w:rsidRPr="00AF1F1F">
        <w:rPr>
          <w:b/>
          <w:bCs/>
          <w:color w:val="000000" w:themeColor="text1"/>
          <w:szCs w:val="24"/>
        </w:rPr>
        <w:t>q</w:t>
      </w:r>
      <w:r w:rsidRPr="00AF1F1F">
        <w:rPr>
          <w:color w:val="000000" w:themeColor="text1"/>
          <w:szCs w:val="24"/>
        </w:rPr>
        <w:t xml:space="preserve"> Quantification of </w:t>
      </w:r>
      <w:r w:rsidRPr="00AF1F1F">
        <w:rPr>
          <w:b/>
          <w:bCs/>
          <w:color w:val="000000" w:themeColor="text1"/>
          <w:szCs w:val="24"/>
        </w:rPr>
        <w:t>p</w:t>
      </w:r>
      <w:r w:rsidRPr="00AF1F1F">
        <w:rPr>
          <w:color w:val="000000" w:themeColor="text1"/>
          <w:szCs w:val="24"/>
        </w:rPr>
        <w:t xml:space="preserve"> (n = 4). </w:t>
      </w:r>
      <w:r w:rsidRPr="00AF1F1F">
        <w:rPr>
          <w:b/>
          <w:bCs/>
          <w:color w:val="000000" w:themeColor="text1"/>
          <w:szCs w:val="24"/>
        </w:rPr>
        <w:t>r</w:t>
      </w:r>
      <w:r w:rsidRPr="00AF1F1F">
        <w:rPr>
          <w:color w:val="000000" w:themeColor="text1"/>
          <w:szCs w:val="24"/>
        </w:rPr>
        <w:t xml:space="preserve"> Survival curve of experimental mice (n = 4).</w:t>
      </w:r>
    </w:p>
    <w:p w14:paraId="10BF7DE9" w14:textId="517D855D" w:rsidR="00B9440A" w:rsidRPr="00695B28" w:rsidRDefault="00AE08CF" w:rsidP="00695B28">
      <w:pPr>
        <w:spacing w:after="58"/>
        <w:jc w:val="both"/>
        <w:rPr>
          <w:szCs w:val="24"/>
        </w:rPr>
      </w:pPr>
      <w:r w:rsidRPr="00AF1F1F">
        <w:rPr>
          <w:szCs w:val="24"/>
        </w:rPr>
        <w:t xml:space="preserve">Representative of 3 experiments. Data are presented as the mean ± SEM. ns, not significant, **p &lt; 0.01, ***p &lt; 0.001, ****p &lt; 0.0001, by Student's </w:t>
      </w:r>
      <w:r w:rsidRPr="00AF1F1F">
        <w:rPr>
          <w:i/>
          <w:iCs/>
          <w:szCs w:val="24"/>
        </w:rPr>
        <w:t>t</w:t>
      </w:r>
      <w:r w:rsidRPr="00AF1F1F">
        <w:rPr>
          <w:szCs w:val="24"/>
        </w:rPr>
        <w:t xml:space="preserve"> test (</w:t>
      </w:r>
      <w:r w:rsidRPr="00AF1F1F">
        <w:rPr>
          <w:b/>
          <w:bCs/>
          <w:szCs w:val="24"/>
        </w:rPr>
        <w:t xml:space="preserve">g </w:t>
      </w:r>
      <w:r w:rsidRPr="00AF1F1F">
        <w:rPr>
          <w:szCs w:val="24"/>
        </w:rPr>
        <w:t>and</w:t>
      </w:r>
      <w:r w:rsidRPr="00AF1F1F">
        <w:rPr>
          <w:b/>
          <w:bCs/>
          <w:szCs w:val="24"/>
        </w:rPr>
        <w:t xml:space="preserve"> </w:t>
      </w:r>
      <w:proofErr w:type="spellStart"/>
      <w:r w:rsidRPr="00AF1F1F">
        <w:rPr>
          <w:b/>
          <w:bCs/>
          <w:szCs w:val="24"/>
        </w:rPr>
        <w:t>i</w:t>
      </w:r>
      <w:proofErr w:type="spellEnd"/>
      <w:r w:rsidRPr="00AF1F1F">
        <w:rPr>
          <w:szCs w:val="24"/>
        </w:rPr>
        <w:t>), one-way ANOVA (</w:t>
      </w:r>
      <w:r w:rsidRPr="00AF1F1F">
        <w:rPr>
          <w:b/>
          <w:bCs/>
          <w:szCs w:val="24"/>
        </w:rPr>
        <w:t>k</w:t>
      </w:r>
      <w:r w:rsidRPr="00AF1F1F">
        <w:rPr>
          <w:szCs w:val="24"/>
        </w:rPr>
        <w:t xml:space="preserve"> and</w:t>
      </w:r>
      <w:r w:rsidRPr="00AF1F1F">
        <w:rPr>
          <w:b/>
          <w:bCs/>
          <w:szCs w:val="24"/>
        </w:rPr>
        <w:t xml:space="preserve"> q</w:t>
      </w:r>
      <w:r w:rsidRPr="00AF1F1F">
        <w:rPr>
          <w:szCs w:val="24"/>
        </w:rPr>
        <w:t>), two-way ANOVA (</w:t>
      </w:r>
      <w:r w:rsidRPr="00AF1F1F">
        <w:rPr>
          <w:b/>
          <w:bCs/>
          <w:szCs w:val="24"/>
        </w:rPr>
        <w:t xml:space="preserve">m </w:t>
      </w:r>
      <w:r w:rsidRPr="00AF1F1F">
        <w:rPr>
          <w:szCs w:val="24"/>
        </w:rPr>
        <w:t>and</w:t>
      </w:r>
      <w:r w:rsidRPr="00AF1F1F">
        <w:rPr>
          <w:b/>
          <w:bCs/>
          <w:szCs w:val="24"/>
        </w:rPr>
        <w:t xml:space="preserve"> q</w:t>
      </w:r>
      <w:r w:rsidRPr="00AF1F1F">
        <w:rPr>
          <w:szCs w:val="24"/>
        </w:rPr>
        <w:t>), or log rank (Mantel-Cox) test adjusted for multiple comparisons (</w:t>
      </w:r>
      <w:r w:rsidRPr="00AF1F1F">
        <w:rPr>
          <w:b/>
          <w:bCs/>
          <w:szCs w:val="24"/>
        </w:rPr>
        <w:t>r</w:t>
      </w:r>
      <w:r w:rsidRPr="00AF1F1F">
        <w:rPr>
          <w:szCs w:val="24"/>
        </w:rPr>
        <w:t>).</w:t>
      </w:r>
    </w:p>
    <w:sectPr w:rsidR="00B9440A" w:rsidRPr="00695B28" w:rsidSect="00E853D5">
      <w:headerReference w:type="default" r:id="rId21"/>
      <w:footerReference w:type="default" r:id="rId2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89DB5C" w14:textId="77777777" w:rsidR="000340FE" w:rsidRDefault="000340FE">
      <w:r>
        <w:separator/>
      </w:r>
    </w:p>
  </w:endnote>
  <w:endnote w:type="continuationSeparator" w:id="0">
    <w:p w14:paraId="2DB04EA9" w14:textId="77777777" w:rsidR="000340FE" w:rsidRDefault="0003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A00002EF" w:usb1="4000004B" w:usb2="00000000" w:usb3="00000000" w:csb0="0000009F" w:csb1="00000000"/>
  </w:font>
  <w:font w:name="Times">
    <w:panose1 w:val="00000000000000000000"/>
    <w:charset w:val="00"/>
    <w:family w:val="auto"/>
    <w:pitch w:val="variable"/>
    <w:sig w:usb0="00000003" w:usb1="00000000" w:usb2="00000000" w:usb3="00000000" w:csb0="00000007"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F25C66" w14:textId="77777777" w:rsidR="000340FE" w:rsidRDefault="000340FE">
      <w:r>
        <w:separator/>
      </w:r>
    </w:p>
  </w:footnote>
  <w:footnote w:type="continuationSeparator" w:id="0">
    <w:p w14:paraId="7BF80368" w14:textId="77777777" w:rsidR="000340FE" w:rsidRDefault="00034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5B6D"/>
    <w:rsid w:val="00015F74"/>
    <w:rsid w:val="000340FE"/>
    <w:rsid w:val="00065EBD"/>
    <w:rsid w:val="00083B44"/>
    <w:rsid w:val="000850DC"/>
    <w:rsid w:val="000945E5"/>
    <w:rsid w:val="000C2771"/>
    <w:rsid w:val="000D46F4"/>
    <w:rsid w:val="000F0DCE"/>
    <w:rsid w:val="000F6BE3"/>
    <w:rsid w:val="00112C5B"/>
    <w:rsid w:val="00114193"/>
    <w:rsid w:val="00115A38"/>
    <w:rsid w:val="0011687B"/>
    <w:rsid w:val="00124F82"/>
    <w:rsid w:val="0016337A"/>
    <w:rsid w:val="00164269"/>
    <w:rsid w:val="001A1BDE"/>
    <w:rsid w:val="001C3F25"/>
    <w:rsid w:val="001F0876"/>
    <w:rsid w:val="001F167C"/>
    <w:rsid w:val="001F5E91"/>
    <w:rsid w:val="002077B9"/>
    <w:rsid w:val="00215F10"/>
    <w:rsid w:val="00262D72"/>
    <w:rsid w:val="00294FBB"/>
    <w:rsid w:val="002B3205"/>
    <w:rsid w:val="002C030F"/>
    <w:rsid w:val="002C06CB"/>
    <w:rsid w:val="002F708B"/>
    <w:rsid w:val="003013CE"/>
    <w:rsid w:val="00331D75"/>
    <w:rsid w:val="00355362"/>
    <w:rsid w:val="00363E44"/>
    <w:rsid w:val="00395E86"/>
    <w:rsid w:val="003A2FD8"/>
    <w:rsid w:val="003B40E6"/>
    <w:rsid w:val="003D2112"/>
    <w:rsid w:val="003E74FB"/>
    <w:rsid w:val="003F6E14"/>
    <w:rsid w:val="00405336"/>
    <w:rsid w:val="00425810"/>
    <w:rsid w:val="004571D5"/>
    <w:rsid w:val="00461D81"/>
    <w:rsid w:val="0046356B"/>
    <w:rsid w:val="00477182"/>
    <w:rsid w:val="004779CB"/>
    <w:rsid w:val="004B3D84"/>
    <w:rsid w:val="004E42D8"/>
    <w:rsid w:val="004E7BA2"/>
    <w:rsid w:val="004F7EDF"/>
    <w:rsid w:val="005001AC"/>
    <w:rsid w:val="00527D71"/>
    <w:rsid w:val="005520A8"/>
    <w:rsid w:val="005607DD"/>
    <w:rsid w:val="005A558C"/>
    <w:rsid w:val="005E28F8"/>
    <w:rsid w:val="005E6513"/>
    <w:rsid w:val="00651114"/>
    <w:rsid w:val="00664560"/>
    <w:rsid w:val="00670299"/>
    <w:rsid w:val="006723E8"/>
    <w:rsid w:val="00691985"/>
    <w:rsid w:val="0069480C"/>
    <w:rsid w:val="00695B28"/>
    <w:rsid w:val="006A1B64"/>
    <w:rsid w:val="006A7207"/>
    <w:rsid w:val="007108F5"/>
    <w:rsid w:val="00713E5B"/>
    <w:rsid w:val="007402FC"/>
    <w:rsid w:val="007411A1"/>
    <w:rsid w:val="00793072"/>
    <w:rsid w:val="007E5DFD"/>
    <w:rsid w:val="00807D35"/>
    <w:rsid w:val="008218C4"/>
    <w:rsid w:val="00821F38"/>
    <w:rsid w:val="0083605D"/>
    <w:rsid w:val="00867A98"/>
    <w:rsid w:val="00870867"/>
    <w:rsid w:val="00885C9B"/>
    <w:rsid w:val="008D5D2A"/>
    <w:rsid w:val="00914B63"/>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499C"/>
    <w:rsid w:val="00AE08CF"/>
    <w:rsid w:val="00AF1F1F"/>
    <w:rsid w:val="00B06D49"/>
    <w:rsid w:val="00B36869"/>
    <w:rsid w:val="00B43B31"/>
    <w:rsid w:val="00B47CFA"/>
    <w:rsid w:val="00B57F00"/>
    <w:rsid w:val="00B66635"/>
    <w:rsid w:val="00B77B2A"/>
    <w:rsid w:val="00B82C22"/>
    <w:rsid w:val="00B93DBA"/>
    <w:rsid w:val="00B9440A"/>
    <w:rsid w:val="00BB2D2A"/>
    <w:rsid w:val="00BC0FAC"/>
    <w:rsid w:val="00BC3E04"/>
    <w:rsid w:val="00BD58CF"/>
    <w:rsid w:val="00BF0C92"/>
    <w:rsid w:val="00C04CC1"/>
    <w:rsid w:val="00C4096C"/>
    <w:rsid w:val="00C50C6D"/>
    <w:rsid w:val="00C600D9"/>
    <w:rsid w:val="00C92B22"/>
    <w:rsid w:val="00CC1384"/>
    <w:rsid w:val="00CC743F"/>
    <w:rsid w:val="00CD3720"/>
    <w:rsid w:val="00CF1848"/>
    <w:rsid w:val="00CF5C2F"/>
    <w:rsid w:val="00D04BCF"/>
    <w:rsid w:val="00D143D9"/>
    <w:rsid w:val="00D5511B"/>
    <w:rsid w:val="00D766F1"/>
    <w:rsid w:val="00E257C8"/>
    <w:rsid w:val="00E41512"/>
    <w:rsid w:val="00E4519A"/>
    <w:rsid w:val="00E853D5"/>
    <w:rsid w:val="00E9773B"/>
    <w:rsid w:val="00EA6F42"/>
    <w:rsid w:val="00EB1C52"/>
    <w:rsid w:val="00EC13A3"/>
    <w:rsid w:val="00EC7C85"/>
    <w:rsid w:val="00F125EE"/>
    <w:rsid w:val="00F12E98"/>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ie.li@ucla.edu" TargetMode="External"/><Relationship Id="rId13" Type="http://schemas.openxmlformats.org/officeDocument/2006/relationships/image" Target="media/image5.tif"/><Relationship Id="rId18" Type="http://schemas.openxmlformats.org/officeDocument/2006/relationships/image" Target="media/image10.ti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liliyang@ucla.edu" TargetMode="External"/><Relationship Id="rId12" Type="http://schemas.openxmlformats.org/officeDocument/2006/relationships/image" Target="media/image4.tif"/><Relationship Id="rId17" Type="http://schemas.openxmlformats.org/officeDocument/2006/relationships/image" Target="media/image9.emf"/><Relationship Id="rId2" Type="http://schemas.openxmlformats.org/officeDocument/2006/relationships/styles" Target="styles.xml"/><Relationship Id="rId16" Type="http://schemas.openxmlformats.org/officeDocument/2006/relationships/image" Target="media/image8.tif"/><Relationship Id="rId20" Type="http://schemas.openxmlformats.org/officeDocument/2006/relationships/image" Target="media/image12.t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tif"/><Relationship Id="rId19" Type="http://schemas.openxmlformats.org/officeDocument/2006/relationships/image" Target="media/image11.tif"/><Relationship Id="rId4" Type="http://schemas.openxmlformats.org/officeDocument/2006/relationships/webSettings" Target="webSettings.xml"/><Relationship Id="rId9" Type="http://schemas.openxmlformats.org/officeDocument/2006/relationships/image" Target="media/image1.tif"/><Relationship Id="rId14" Type="http://schemas.openxmlformats.org/officeDocument/2006/relationships/image" Target="media/image6.ti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4137</Words>
  <Characters>23581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27663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LIYanruide</cp:lastModifiedBy>
  <cp:revision>18</cp:revision>
  <cp:lastPrinted>2018-01-11T19:53:00Z</cp:lastPrinted>
  <dcterms:created xsi:type="dcterms:W3CDTF">2019-07-16T09:29:00Z</dcterms:created>
  <dcterms:modified xsi:type="dcterms:W3CDTF">2025-12-28T21:10:00Z</dcterms:modified>
</cp:coreProperties>
</file>