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7CF4D" w14:textId="77777777" w:rsidR="00EC7C85" w:rsidRPr="001F5870" w:rsidRDefault="00EC7C85" w:rsidP="00F125EE">
      <w:pPr>
        <w:rPr>
          <w:rFonts w:ascii="Arial" w:hAnsi="Arial" w:cs="Arial"/>
          <w:szCs w:val="24"/>
        </w:rPr>
      </w:pPr>
    </w:p>
    <w:p w14:paraId="33788641" w14:textId="77777777" w:rsidR="00F125EE" w:rsidRPr="001F5870" w:rsidRDefault="00F125EE" w:rsidP="00FA1481">
      <w:pPr>
        <w:jc w:val="center"/>
        <w:rPr>
          <w:rFonts w:ascii="Arial" w:hAnsi="Arial" w:cs="Arial"/>
          <w:szCs w:val="24"/>
        </w:rPr>
      </w:pPr>
    </w:p>
    <w:p w14:paraId="31C337D1" w14:textId="77777777" w:rsidR="00D04BCF" w:rsidRPr="001F5870" w:rsidRDefault="00BB2D2A" w:rsidP="00FA1481">
      <w:pPr>
        <w:jc w:val="center"/>
        <w:rPr>
          <w:rFonts w:ascii="Arial" w:hAnsi="Arial" w:cs="Arial"/>
          <w:szCs w:val="24"/>
        </w:rPr>
      </w:pPr>
      <w:r w:rsidRPr="001F5870">
        <w:rPr>
          <w:rFonts w:ascii="Arial" w:hAnsi="Arial" w:cs="Arial"/>
          <w:szCs w:val="24"/>
        </w:rPr>
        <w:t>Supplementary Materials</w:t>
      </w:r>
      <w:r w:rsidR="009743A9" w:rsidRPr="001F5870">
        <w:rPr>
          <w:rFonts w:ascii="Arial" w:hAnsi="Arial" w:cs="Arial"/>
          <w:szCs w:val="24"/>
        </w:rPr>
        <w:t xml:space="preserve"> for</w:t>
      </w:r>
    </w:p>
    <w:p w14:paraId="29411C5A" w14:textId="77777777" w:rsidR="005001AC" w:rsidRPr="001F5870" w:rsidRDefault="005001AC">
      <w:pPr>
        <w:rPr>
          <w:rFonts w:ascii="Arial" w:hAnsi="Arial" w:cs="Arial"/>
          <w:szCs w:val="24"/>
        </w:rPr>
      </w:pPr>
    </w:p>
    <w:p w14:paraId="41E970DA" w14:textId="7EA94E58" w:rsidR="002C030F" w:rsidRPr="001F5870" w:rsidRDefault="00D303DC" w:rsidP="003B40E6">
      <w:pPr>
        <w:jc w:val="center"/>
        <w:rPr>
          <w:rFonts w:ascii="Arial" w:hAnsi="Arial" w:cs="Arial"/>
          <w:szCs w:val="24"/>
        </w:rPr>
      </w:pPr>
      <w:r w:rsidRPr="001F5870">
        <w:rPr>
          <w:rFonts w:ascii="Arial" w:hAnsi="Arial" w:cs="Arial"/>
          <w:szCs w:val="24"/>
        </w:rPr>
        <w:t>STRATEGIC-1: Multiple-Lines, Randomized, Open-label GERCOR-PRODIG-39 Phase III Trial in Unresectable RAS/BRAF Wild-Type Metastatic Colorectal Cancer</w:t>
      </w:r>
    </w:p>
    <w:p w14:paraId="339B31F7" w14:textId="77777777" w:rsidR="00015F74" w:rsidRPr="001F5870" w:rsidRDefault="00015F74" w:rsidP="003B40E6">
      <w:pPr>
        <w:jc w:val="center"/>
        <w:rPr>
          <w:rFonts w:ascii="Arial" w:hAnsi="Arial" w:cs="Arial"/>
          <w:szCs w:val="24"/>
        </w:rPr>
      </w:pPr>
    </w:p>
    <w:p w14:paraId="63D8913E" w14:textId="023F2932" w:rsidR="002C030F" w:rsidRPr="001F5870" w:rsidRDefault="00D303DC" w:rsidP="005001AC">
      <w:pPr>
        <w:jc w:val="center"/>
        <w:rPr>
          <w:rFonts w:ascii="Arial" w:hAnsi="Arial" w:cs="Arial"/>
          <w:szCs w:val="24"/>
        </w:rPr>
      </w:pPr>
      <w:r w:rsidRPr="001F5870">
        <w:rPr>
          <w:rFonts w:ascii="Arial" w:hAnsi="Arial" w:cs="Arial"/>
          <w:szCs w:val="24"/>
        </w:rPr>
        <w:t>Benoist Chibaudel, MD1*; Louis-Marie Dourthe,MD2; Thierry Andre, MD3; Julie Henriques, Msc4; Vincent Bourgeois, MD5; Pierre-Luc Etienne, MD6; Jérôme Desrame, MD7; Elisabeth Carola, MD8; Olivier Dupuis, MD9; Nabil Baba-Hamed, MD10; Dominique Auby, MD11; Christophe Louvet, MD12; Emmanuel Maillard, MD13; Olivier Romano, MD14; Christophe Tournigand, MD15; Marie-Line Garcia-Larnicol, MD 3,16; Einat Shacham Shmueli, MD17; Brian Healey Bird, MD18; François Ghiringhelli, MD19; Aimery de Gramont, MD1</w:t>
      </w:r>
    </w:p>
    <w:p w14:paraId="0648E06D" w14:textId="77777777" w:rsidR="000F0DCE" w:rsidRPr="001F5870" w:rsidRDefault="000F0DCE" w:rsidP="005001AC">
      <w:pPr>
        <w:jc w:val="center"/>
        <w:rPr>
          <w:rFonts w:ascii="Arial" w:hAnsi="Arial" w:cs="Arial"/>
          <w:szCs w:val="24"/>
        </w:rPr>
      </w:pPr>
    </w:p>
    <w:p w14:paraId="34D67477" w14:textId="18A3F081" w:rsidR="004779CB" w:rsidRPr="001F5870" w:rsidRDefault="00E4519A" w:rsidP="005001AC">
      <w:pPr>
        <w:jc w:val="center"/>
        <w:rPr>
          <w:rFonts w:ascii="Arial" w:hAnsi="Arial" w:cs="Arial"/>
          <w:szCs w:val="24"/>
        </w:rPr>
      </w:pPr>
      <w:r w:rsidRPr="001F5870">
        <w:rPr>
          <w:rFonts w:ascii="Arial" w:hAnsi="Arial" w:cs="Arial"/>
          <w:szCs w:val="24"/>
        </w:rPr>
        <w:t xml:space="preserve">Correspondence </w:t>
      </w:r>
      <w:r w:rsidR="004779CB" w:rsidRPr="001F5870">
        <w:rPr>
          <w:rFonts w:ascii="Arial" w:hAnsi="Arial" w:cs="Arial"/>
          <w:szCs w:val="24"/>
        </w:rPr>
        <w:t>to:</w:t>
      </w:r>
      <w:r w:rsidR="00BC3E04" w:rsidRPr="001F5870">
        <w:rPr>
          <w:rFonts w:ascii="Arial" w:hAnsi="Arial" w:cs="Arial"/>
          <w:szCs w:val="24"/>
        </w:rPr>
        <w:t xml:space="preserve"> </w:t>
      </w:r>
      <w:r w:rsidR="00D303DC" w:rsidRPr="001F5870">
        <w:rPr>
          <w:rFonts w:ascii="Arial" w:hAnsi="Arial" w:cs="Arial"/>
          <w:szCs w:val="24"/>
        </w:rPr>
        <w:t>Benoist Chibaudel, MD, Department of Medical Oncology, Hôpital Franco-Britannique – Fondation Cognacq-Jay, Cancérologie Paris Ouest, 4, rue Kléber 92300 Levallois-Perret, France; Tel +33(0)147595965; email: benoist.chibaudel@cognacq-jay.fr</w:t>
      </w:r>
    </w:p>
    <w:p w14:paraId="223EBBEB" w14:textId="77777777" w:rsidR="002C030F" w:rsidRPr="001F5870" w:rsidRDefault="002C030F">
      <w:pPr>
        <w:rPr>
          <w:rFonts w:ascii="Arial" w:hAnsi="Arial" w:cs="Arial"/>
          <w:szCs w:val="24"/>
        </w:rPr>
      </w:pPr>
    </w:p>
    <w:p w14:paraId="5BBBF32C" w14:textId="77777777" w:rsidR="00015F74" w:rsidRPr="001F5870" w:rsidRDefault="00015F74">
      <w:pPr>
        <w:rPr>
          <w:rFonts w:ascii="Arial" w:hAnsi="Arial" w:cs="Arial"/>
          <w:b/>
          <w:szCs w:val="24"/>
        </w:rPr>
      </w:pPr>
    </w:p>
    <w:p w14:paraId="546CBFCA" w14:textId="77777777" w:rsidR="002C030F" w:rsidRPr="001F5870" w:rsidRDefault="009743A9">
      <w:pPr>
        <w:rPr>
          <w:rFonts w:ascii="Arial" w:hAnsi="Arial" w:cs="Arial"/>
          <w:b/>
          <w:szCs w:val="24"/>
        </w:rPr>
      </w:pPr>
      <w:r w:rsidRPr="001F5870">
        <w:rPr>
          <w:rFonts w:ascii="Arial" w:hAnsi="Arial" w:cs="Arial"/>
          <w:b/>
          <w:szCs w:val="24"/>
        </w:rPr>
        <w:t xml:space="preserve">This PDF file </w:t>
      </w:r>
      <w:r w:rsidR="002C030F" w:rsidRPr="001F5870">
        <w:rPr>
          <w:rFonts w:ascii="Arial" w:hAnsi="Arial" w:cs="Arial"/>
          <w:b/>
          <w:szCs w:val="24"/>
        </w:rPr>
        <w:t>includes:</w:t>
      </w:r>
    </w:p>
    <w:p w14:paraId="6B069C4B" w14:textId="77777777" w:rsidR="002C030F" w:rsidRPr="001F5870" w:rsidRDefault="002C030F">
      <w:pPr>
        <w:rPr>
          <w:rFonts w:ascii="Arial" w:hAnsi="Arial" w:cs="Arial"/>
          <w:szCs w:val="24"/>
        </w:rPr>
      </w:pPr>
    </w:p>
    <w:p w14:paraId="5953D2BA" w14:textId="697A123A" w:rsidR="002C030F" w:rsidRPr="001F5870" w:rsidRDefault="00BB2D2A" w:rsidP="00262D72">
      <w:pPr>
        <w:ind w:left="720"/>
        <w:rPr>
          <w:rFonts w:ascii="Arial" w:hAnsi="Arial" w:cs="Arial"/>
          <w:szCs w:val="24"/>
        </w:rPr>
      </w:pPr>
      <w:r w:rsidRPr="001F5870">
        <w:rPr>
          <w:rFonts w:ascii="Arial" w:hAnsi="Arial" w:cs="Arial"/>
          <w:szCs w:val="24"/>
        </w:rPr>
        <w:t>Supplementary</w:t>
      </w:r>
      <w:r w:rsidR="00AB399E" w:rsidRPr="001F5870">
        <w:rPr>
          <w:rFonts w:ascii="Arial" w:hAnsi="Arial" w:cs="Arial"/>
          <w:szCs w:val="24"/>
        </w:rPr>
        <w:t xml:space="preserve"> </w:t>
      </w:r>
      <w:r w:rsidR="002C030F" w:rsidRPr="001F5870">
        <w:rPr>
          <w:rFonts w:ascii="Arial" w:hAnsi="Arial" w:cs="Arial"/>
          <w:szCs w:val="24"/>
        </w:rPr>
        <w:t>Text</w:t>
      </w:r>
    </w:p>
    <w:p w14:paraId="7FC81517" w14:textId="531467E4" w:rsidR="002C030F" w:rsidRPr="001F5870" w:rsidRDefault="00732051" w:rsidP="00262D72">
      <w:pPr>
        <w:ind w:left="720"/>
        <w:rPr>
          <w:rFonts w:ascii="Arial" w:hAnsi="Arial" w:cs="Arial"/>
          <w:szCs w:val="24"/>
        </w:rPr>
      </w:pPr>
      <w:r w:rsidRPr="001F5870">
        <w:rPr>
          <w:rFonts w:ascii="Arial" w:hAnsi="Arial" w:cs="Arial"/>
          <w:szCs w:val="24"/>
        </w:rPr>
        <w:t xml:space="preserve">Supplementary </w:t>
      </w:r>
      <w:r w:rsidR="002C030F" w:rsidRPr="001F5870">
        <w:rPr>
          <w:rFonts w:ascii="Arial" w:hAnsi="Arial" w:cs="Arial"/>
          <w:szCs w:val="24"/>
        </w:rPr>
        <w:t>Fig</w:t>
      </w:r>
      <w:r w:rsidR="00821F38" w:rsidRPr="001F5870">
        <w:rPr>
          <w:rFonts w:ascii="Arial" w:hAnsi="Arial" w:cs="Arial"/>
          <w:szCs w:val="24"/>
          <w:lang w:eastAsia="zh-CN"/>
        </w:rPr>
        <w:t>ure</w:t>
      </w:r>
      <w:r w:rsidR="00A3403B" w:rsidRPr="001F5870">
        <w:rPr>
          <w:rFonts w:ascii="Arial" w:hAnsi="Arial" w:cs="Arial"/>
          <w:szCs w:val="24"/>
        </w:rPr>
        <w:t xml:space="preserve">s. </w:t>
      </w:r>
      <w:r w:rsidRPr="001F5870">
        <w:rPr>
          <w:rFonts w:ascii="Arial" w:hAnsi="Arial" w:cs="Arial"/>
          <w:szCs w:val="24"/>
        </w:rPr>
        <w:t>1</w:t>
      </w:r>
      <w:r w:rsidR="00A3403B" w:rsidRPr="001F5870">
        <w:rPr>
          <w:rFonts w:ascii="Arial" w:hAnsi="Arial" w:cs="Arial"/>
          <w:szCs w:val="24"/>
        </w:rPr>
        <w:t xml:space="preserve"> to </w:t>
      </w:r>
      <w:r w:rsidR="000069D7" w:rsidRPr="001F5870">
        <w:rPr>
          <w:rFonts w:ascii="Arial" w:hAnsi="Arial" w:cs="Arial"/>
          <w:szCs w:val="24"/>
        </w:rPr>
        <w:t>2</w:t>
      </w:r>
    </w:p>
    <w:p w14:paraId="39DE064C" w14:textId="0A2E1171" w:rsidR="002C030F" w:rsidRPr="001F5870" w:rsidRDefault="00732051" w:rsidP="00262D72">
      <w:pPr>
        <w:ind w:left="720"/>
        <w:rPr>
          <w:rFonts w:ascii="Arial" w:hAnsi="Arial" w:cs="Arial"/>
          <w:szCs w:val="24"/>
        </w:rPr>
      </w:pPr>
      <w:r w:rsidRPr="001F5870">
        <w:rPr>
          <w:rFonts w:ascii="Arial" w:hAnsi="Arial" w:cs="Arial"/>
          <w:szCs w:val="24"/>
        </w:rPr>
        <w:t xml:space="preserve">Supplementary </w:t>
      </w:r>
      <w:r w:rsidR="002C030F" w:rsidRPr="001F5870">
        <w:rPr>
          <w:rFonts w:ascii="Arial" w:hAnsi="Arial" w:cs="Arial"/>
          <w:szCs w:val="24"/>
        </w:rPr>
        <w:t>Tables 1</w:t>
      </w:r>
      <w:r w:rsidR="00A3403B" w:rsidRPr="001F5870">
        <w:rPr>
          <w:rFonts w:ascii="Arial" w:hAnsi="Arial" w:cs="Arial"/>
          <w:szCs w:val="24"/>
        </w:rPr>
        <w:t xml:space="preserve"> to </w:t>
      </w:r>
      <w:r w:rsidR="0065566D">
        <w:rPr>
          <w:rFonts w:ascii="Arial" w:hAnsi="Arial" w:cs="Arial"/>
          <w:szCs w:val="24"/>
        </w:rPr>
        <w:t>4</w:t>
      </w:r>
    </w:p>
    <w:p w14:paraId="5E71B549" w14:textId="6B6E2D18" w:rsidR="00F74F95" w:rsidRPr="001F5870" w:rsidRDefault="00F74F95" w:rsidP="00262D72">
      <w:pPr>
        <w:ind w:left="720"/>
        <w:rPr>
          <w:rFonts w:ascii="Arial" w:hAnsi="Arial" w:cs="Arial"/>
          <w:szCs w:val="24"/>
        </w:rPr>
      </w:pPr>
      <w:r w:rsidRPr="001F5870">
        <w:rPr>
          <w:rFonts w:ascii="Arial" w:hAnsi="Arial" w:cs="Arial"/>
          <w:szCs w:val="24"/>
        </w:rPr>
        <w:t xml:space="preserve">Captions for </w:t>
      </w:r>
      <w:r w:rsidR="00AB399E" w:rsidRPr="001F5870">
        <w:rPr>
          <w:rFonts w:ascii="Arial" w:hAnsi="Arial" w:cs="Arial"/>
          <w:szCs w:val="24"/>
        </w:rPr>
        <w:t xml:space="preserve">Data </w:t>
      </w:r>
      <w:r w:rsidRPr="001F5870">
        <w:rPr>
          <w:rFonts w:ascii="Arial" w:hAnsi="Arial" w:cs="Arial"/>
          <w:szCs w:val="24"/>
        </w:rPr>
        <w:t xml:space="preserve">1 </w:t>
      </w:r>
    </w:p>
    <w:p w14:paraId="4B448789" w14:textId="77777777" w:rsidR="002C030F" w:rsidRPr="001F5870" w:rsidRDefault="002C030F">
      <w:pPr>
        <w:rPr>
          <w:rFonts w:ascii="Arial" w:hAnsi="Arial" w:cs="Arial"/>
          <w:szCs w:val="24"/>
        </w:rPr>
      </w:pPr>
    </w:p>
    <w:p w14:paraId="1F1080B1" w14:textId="64A22570" w:rsidR="00065EBD" w:rsidRPr="001F5870" w:rsidRDefault="002C030F" w:rsidP="00015F74">
      <w:pPr>
        <w:rPr>
          <w:rFonts w:ascii="Arial" w:hAnsi="Arial" w:cs="Arial"/>
          <w:szCs w:val="24"/>
        </w:rPr>
      </w:pPr>
      <w:r w:rsidRPr="001F5870">
        <w:rPr>
          <w:rFonts w:ascii="Arial" w:hAnsi="Arial" w:cs="Arial"/>
          <w:b/>
          <w:szCs w:val="24"/>
        </w:rPr>
        <w:t>Other Sup</w:t>
      </w:r>
      <w:r w:rsidR="00B77B2A" w:rsidRPr="001F5870">
        <w:rPr>
          <w:rFonts w:ascii="Arial" w:hAnsi="Arial" w:cs="Arial"/>
          <w:b/>
          <w:szCs w:val="24"/>
        </w:rPr>
        <w:t>p</w:t>
      </w:r>
      <w:r w:rsidR="00BB2D2A" w:rsidRPr="001F5870">
        <w:rPr>
          <w:rFonts w:ascii="Arial" w:hAnsi="Arial" w:cs="Arial"/>
          <w:b/>
          <w:szCs w:val="24"/>
        </w:rPr>
        <w:t>lementary</w:t>
      </w:r>
      <w:r w:rsidRPr="001F5870">
        <w:rPr>
          <w:rFonts w:ascii="Arial" w:hAnsi="Arial" w:cs="Arial"/>
          <w:b/>
          <w:szCs w:val="24"/>
        </w:rPr>
        <w:t xml:space="preserve"> Material</w:t>
      </w:r>
      <w:r w:rsidR="00BB2D2A" w:rsidRPr="001F5870">
        <w:rPr>
          <w:rFonts w:ascii="Arial" w:hAnsi="Arial" w:cs="Arial"/>
          <w:b/>
          <w:szCs w:val="24"/>
        </w:rPr>
        <w:t>s</w:t>
      </w:r>
      <w:r w:rsidRPr="001F5870">
        <w:rPr>
          <w:rFonts w:ascii="Arial" w:hAnsi="Arial" w:cs="Arial"/>
          <w:b/>
          <w:szCs w:val="24"/>
        </w:rPr>
        <w:t xml:space="preserve"> </w:t>
      </w:r>
      <w:r w:rsidR="009743A9" w:rsidRPr="001F5870">
        <w:rPr>
          <w:rFonts w:ascii="Arial" w:hAnsi="Arial" w:cs="Arial"/>
          <w:b/>
          <w:szCs w:val="24"/>
        </w:rPr>
        <w:t xml:space="preserve">for this manuscript </w:t>
      </w:r>
      <w:r w:rsidRPr="001F5870">
        <w:rPr>
          <w:rFonts w:ascii="Arial" w:hAnsi="Arial" w:cs="Arial"/>
          <w:b/>
          <w:szCs w:val="24"/>
        </w:rPr>
        <w:t>include the following</w:t>
      </w:r>
      <w:r w:rsidR="00B57F00" w:rsidRPr="001F5870">
        <w:rPr>
          <w:rFonts w:ascii="Arial" w:hAnsi="Arial" w:cs="Arial"/>
          <w:b/>
          <w:szCs w:val="24"/>
        </w:rPr>
        <w:t xml:space="preserve">: </w:t>
      </w:r>
    </w:p>
    <w:p w14:paraId="5725CBAF" w14:textId="77777777" w:rsidR="002C030F" w:rsidRPr="001F5870" w:rsidRDefault="002C030F">
      <w:pPr>
        <w:rPr>
          <w:rFonts w:ascii="Arial" w:hAnsi="Arial" w:cs="Arial"/>
          <w:szCs w:val="24"/>
        </w:rPr>
      </w:pPr>
    </w:p>
    <w:p w14:paraId="0A5134F4" w14:textId="58485EEA" w:rsidR="002C030F" w:rsidRPr="001F5870" w:rsidRDefault="002C030F" w:rsidP="00262D72">
      <w:pPr>
        <w:ind w:left="720"/>
        <w:rPr>
          <w:rFonts w:ascii="Arial" w:hAnsi="Arial" w:cs="Arial"/>
          <w:szCs w:val="24"/>
        </w:rPr>
      </w:pPr>
      <w:r w:rsidRPr="001F5870">
        <w:rPr>
          <w:rFonts w:ascii="Arial" w:hAnsi="Arial" w:cs="Arial"/>
          <w:szCs w:val="24"/>
        </w:rPr>
        <w:t>Data</w:t>
      </w:r>
      <w:r w:rsidR="00065EBD" w:rsidRPr="001F5870">
        <w:rPr>
          <w:rFonts w:ascii="Arial" w:hAnsi="Arial" w:cs="Arial"/>
          <w:szCs w:val="24"/>
        </w:rPr>
        <w:t xml:space="preserve"> 1 </w:t>
      </w:r>
    </w:p>
    <w:p w14:paraId="68691C5A" w14:textId="77777777" w:rsidR="00065EBD" w:rsidRPr="001F5870" w:rsidRDefault="00065EBD" w:rsidP="00262D72">
      <w:pPr>
        <w:ind w:left="720"/>
        <w:rPr>
          <w:rFonts w:ascii="Arial" w:hAnsi="Arial" w:cs="Arial"/>
          <w:szCs w:val="24"/>
        </w:rPr>
      </w:pPr>
    </w:p>
    <w:p w14:paraId="23718CE0" w14:textId="77777777" w:rsidR="00015F74" w:rsidRPr="001F5870" w:rsidRDefault="00015F74" w:rsidP="00262D72">
      <w:pPr>
        <w:ind w:left="720"/>
        <w:rPr>
          <w:rFonts w:ascii="Arial" w:hAnsi="Arial" w:cs="Arial"/>
          <w:szCs w:val="24"/>
        </w:rPr>
      </w:pPr>
      <w:r w:rsidRPr="001F5870">
        <w:rPr>
          <w:rFonts w:ascii="Arial" w:hAnsi="Arial" w:cs="Arial"/>
          <w:szCs w:val="24"/>
        </w:rPr>
        <w:br/>
      </w:r>
    </w:p>
    <w:p w14:paraId="12923ABF" w14:textId="77777777" w:rsidR="00015F74" w:rsidRPr="001F5870" w:rsidRDefault="00BB2D2A" w:rsidP="00B9440A">
      <w:pPr>
        <w:pStyle w:val="SMHeading"/>
        <w:rPr>
          <w:rFonts w:ascii="Arial" w:hAnsi="Arial" w:cs="Arial"/>
        </w:rPr>
      </w:pPr>
      <w:bookmarkStart w:id="0" w:name="Tables"/>
      <w:bookmarkStart w:id="1" w:name="MaterialsMethods"/>
      <w:bookmarkEnd w:id="0"/>
      <w:bookmarkEnd w:id="1"/>
      <w:r w:rsidRPr="001F5870">
        <w:rPr>
          <w:rFonts w:ascii="Arial" w:hAnsi="Arial" w:cs="Arial"/>
        </w:rPr>
        <w:lastRenderedPageBreak/>
        <w:t>Supplementary</w:t>
      </w:r>
      <w:r w:rsidR="00015F74" w:rsidRPr="001F5870">
        <w:rPr>
          <w:rFonts w:ascii="Arial" w:hAnsi="Arial" w:cs="Arial"/>
        </w:rPr>
        <w:t xml:space="preserve"> Text</w:t>
      </w:r>
    </w:p>
    <w:p w14:paraId="582792C2" w14:textId="77777777" w:rsidR="000069D7" w:rsidRPr="001F5870" w:rsidRDefault="000069D7" w:rsidP="007402FC">
      <w:pPr>
        <w:pStyle w:val="SMText"/>
        <w:rPr>
          <w:rFonts w:ascii="Arial" w:hAnsi="Arial" w:cs="Arial"/>
          <w:szCs w:val="24"/>
          <w:u w:val="words"/>
        </w:rPr>
      </w:pPr>
      <w:r w:rsidRPr="001F5870">
        <w:rPr>
          <w:rFonts w:ascii="Arial" w:hAnsi="Arial" w:cs="Arial"/>
          <w:szCs w:val="24"/>
          <w:u w:val="words"/>
        </w:rPr>
        <w:t xml:space="preserve">Investigators list. </w:t>
      </w:r>
    </w:p>
    <w:p w14:paraId="30EA357E" w14:textId="77777777" w:rsidR="00D766F1" w:rsidRPr="001F5870" w:rsidRDefault="00D766F1" w:rsidP="00B9440A">
      <w:pPr>
        <w:pStyle w:val="SMText"/>
        <w:rPr>
          <w:rFonts w:ascii="Arial" w:hAnsi="Arial" w:cs="Arial"/>
          <w:szCs w:val="24"/>
        </w:rPr>
      </w:pPr>
    </w:p>
    <w:tbl>
      <w:tblPr>
        <w:tblW w:w="10180" w:type="dxa"/>
        <w:tblLook w:val="04A0" w:firstRow="1" w:lastRow="0" w:firstColumn="1" w:lastColumn="0" w:noHBand="0" w:noVBand="1"/>
      </w:tblPr>
      <w:tblGrid>
        <w:gridCol w:w="5280"/>
        <w:gridCol w:w="4900"/>
      </w:tblGrid>
      <w:tr w:rsidR="000069D7" w:rsidRPr="001F5870" w14:paraId="04130400" w14:textId="77777777" w:rsidTr="007B341F">
        <w:trPr>
          <w:trHeight w:val="290"/>
          <w:tblHeader/>
        </w:trPr>
        <w:tc>
          <w:tcPr>
            <w:tcW w:w="5280" w:type="dxa"/>
            <w:tcBorders>
              <w:top w:val="single" w:sz="4" w:space="0" w:color="auto"/>
              <w:left w:val="nil"/>
              <w:bottom w:val="single" w:sz="4" w:space="0" w:color="auto"/>
              <w:right w:val="nil"/>
            </w:tcBorders>
            <w:noWrap/>
            <w:vAlign w:val="bottom"/>
            <w:hideMark/>
          </w:tcPr>
          <w:p w14:paraId="117CC648" w14:textId="77777777" w:rsidR="000069D7" w:rsidRPr="001F5870" w:rsidRDefault="000069D7" w:rsidP="007B341F">
            <w:pPr>
              <w:rPr>
                <w:rFonts w:ascii="Arial" w:eastAsia="Times New Roman" w:hAnsi="Arial" w:cs="Arial"/>
                <w:b/>
                <w:bCs/>
                <w:color w:val="000000"/>
                <w:szCs w:val="24"/>
              </w:rPr>
            </w:pPr>
            <w:r w:rsidRPr="001F5870">
              <w:rPr>
                <w:rFonts w:ascii="Arial" w:eastAsia="Times New Roman" w:hAnsi="Arial" w:cs="Arial"/>
                <w:b/>
                <w:bCs/>
                <w:color w:val="000000"/>
                <w:szCs w:val="24"/>
              </w:rPr>
              <w:t>Principal Investigator</w:t>
            </w:r>
          </w:p>
        </w:tc>
        <w:tc>
          <w:tcPr>
            <w:tcW w:w="4900" w:type="dxa"/>
            <w:tcBorders>
              <w:top w:val="single" w:sz="4" w:space="0" w:color="auto"/>
              <w:left w:val="nil"/>
              <w:bottom w:val="single" w:sz="4" w:space="0" w:color="auto"/>
              <w:right w:val="nil"/>
            </w:tcBorders>
            <w:noWrap/>
            <w:vAlign w:val="bottom"/>
            <w:hideMark/>
          </w:tcPr>
          <w:p w14:paraId="7ACF76F1" w14:textId="77777777" w:rsidR="000069D7" w:rsidRPr="001F5870" w:rsidRDefault="000069D7" w:rsidP="007B341F">
            <w:pPr>
              <w:rPr>
                <w:rFonts w:ascii="Arial" w:eastAsia="Times New Roman" w:hAnsi="Arial" w:cs="Arial"/>
                <w:b/>
                <w:bCs/>
                <w:color w:val="000000"/>
                <w:szCs w:val="24"/>
              </w:rPr>
            </w:pPr>
            <w:r w:rsidRPr="001F5870">
              <w:rPr>
                <w:rFonts w:ascii="Arial" w:eastAsia="Times New Roman" w:hAnsi="Arial" w:cs="Arial"/>
                <w:b/>
                <w:bCs/>
                <w:color w:val="000000"/>
                <w:szCs w:val="24"/>
              </w:rPr>
              <w:t>Center Name</w:t>
            </w:r>
          </w:p>
        </w:tc>
      </w:tr>
      <w:tr w:rsidR="000069D7" w:rsidRPr="001F5870" w14:paraId="245ECE91" w14:textId="77777777" w:rsidTr="007B341F">
        <w:trPr>
          <w:trHeight w:val="290"/>
        </w:trPr>
        <w:tc>
          <w:tcPr>
            <w:tcW w:w="5280" w:type="dxa"/>
            <w:tcBorders>
              <w:top w:val="nil"/>
              <w:left w:val="nil"/>
              <w:bottom w:val="nil"/>
              <w:right w:val="nil"/>
            </w:tcBorders>
            <w:shd w:val="clear" w:color="000000" w:fill="D9D9D9"/>
            <w:noWrap/>
            <w:vAlign w:val="bottom"/>
            <w:hideMark/>
          </w:tcPr>
          <w:p w14:paraId="688D1EA2" w14:textId="77777777" w:rsidR="000069D7" w:rsidRPr="001F5870" w:rsidRDefault="000069D7" w:rsidP="007B341F">
            <w:pPr>
              <w:rPr>
                <w:rFonts w:ascii="Arial" w:eastAsia="Times New Roman" w:hAnsi="Arial" w:cs="Arial"/>
                <w:b/>
                <w:bCs/>
                <w:color w:val="000000"/>
                <w:szCs w:val="24"/>
              </w:rPr>
            </w:pPr>
            <w:r w:rsidRPr="001F5870">
              <w:rPr>
                <w:rFonts w:ascii="Arial" w:eastAsia="Times New Roman" w:hAnsi="Arial" w:cs="Arial"/>
                <w:b/>
                <w:bCs/>
                <w:color w:val="000000"/>
                <w:szCs w:val="24"/>
              </w:rPr>
              <w:t>ISRAEL</w:t>
            </w:r>
          </w:p>
        </w:tc>
        <w:tc>
          <w:tcPr>
            <w:tcW w:w="4900" w:type="dxa"/>
            <w:tcBorders>
              <w:top w:val="nil"/>
              <w:left w:val="nil"/>
              <w:bottom w:val="nil"/>
              <w:right w:val="nil"/>
            </w:tcBorders>
            <w:shd w:val="clear" w:color="000000" w:fill="D9D9D9"/>
            <w:noWrap/>
            <w:vAlign w:val="bottom"/>
            <w:hideMark/>
          </w:tcPr>
          <w:p w14:paraId="08DD1442" w14:textId="77777777" w:rsidR="000069D7" w:rsidRPr="001F5870" w:rsidRDefault="000069D7" w:rsidP="007B341F">
            <w:pPr>
              <w:rPr>
                <w:rFonts w:ascii="Arial" w:eastAsia="Times New Roman" w:hAnsi="Arial" w:cs="Arial"/>
                <w:b/>
                <w:bCs/>
                <w:color w:val="000000"/>
                <w:szCs w:val="24"/>
              </w:rPr>
            </w:pPr>
            <w:r w:rsidRPr="001F5870">
              <w:rPr>
                <w:rFonts w:ascii="Arial" w:eastAsia="Times New Roman" w:hAnsi="Arial" w:cs="Arial"/>
                <w:b/>
                <w:bCs/>
                <w:color w:val="000000"/>
                <w:szCs w:val="24"/>
              </w:rPr>
              <w:t> </w:t>
            </w:r>
          </w:p>
        </w:tc>
      </w:tr>
      <w:tr w:rsidR="000069D7" w:rsidRPr="001F5870" w14:paraId="40D041FD" w14:textId="77777777" w:rsidTr="007B341F">
        <w:trPr>
          <w:trHeight w:val="290"/>
        </w:trPr>
        <w:tc>
          <w:tcPr>
            <w:tcW w:w="5280" w:type="dxa"/>
            <w:tcBorders>
              <w:top w:val="nil"/>
              <w:left w:val="nil"/>
              <w:bottom w:val="nil"/>
              <w:right w:val="nil"/>
            </w:tcBorders>
            <w:vAlign w:val="center"/>
            <w:hideMark/>
          </w:tcPr>
          <w:p w14:paraId="6427590E"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SHACHAM SHMUELI Einat</w:t>
            </w:r>
          </w:p>
        </w:tc>
        <w:tc>
          <w:tcPr>
            <w:tcW w:w="4900" w:type="dxa"/>
            <w:tcBorders>
              <w:top w:val="nil"/>
              <w:left w:val="nil"/>
              <w:bottom w:val="nil"/>
              <w:right w:val="nil"/>
            </w:tcBorders>
            <w:noWrap/>
            <w:vAlign w:val="center"/>
            <w:hideMark/>
          </w:tcPr>
          <w:p w14:paraId="549059C2"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Sheba Medical Center, Tel Hashomer Hospital</w:t>
            </w:r>
          </w:p>
        </w:tc>
      </w:tr>
      <w:tr w:rsidR="000069D7" w:rsidRPr="001F5870" w14:paraId="0CB79C03" w14:textId="77777777" w:rsidTr="007B341F">
        <w:trPr>
          <w:trHeight w:val="290"/>
        </w:trPr>
        <w:tc>
          <w:tcPr>
            <w:tcW w:w="5280" w:type="dxa"/>
            <w:tcBorders>
              <w:top w:val="nil"/>
              <w:left w:val="nil"/>
              <w:bottom w:val="nil"/>
              <w:right w:val="nil"/>
            </w:tcBorders>
            <w:noWrap/>
            <w:vAlign w:val="center"/>
            <w:hideMark/>
          </w:tcPr>
          <w:p w14:paraId="108070F0"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YAROM Nirit</w:t>
            </w:r>
          </w:p>
        </w:tc>
        <w:tc>
          <w:tcPr>
            <w:tcW w:w="4900" w:type="dxa"/>
            <w:tcBorders>
              <w:top w:val="nil"/>
              <w:left w:val="nil"/>
              <w:bottom w:val="nil"/>
              <w:right w:val="nil"/>
            </w:tcBorders>
            <w:noWrap/>
            <w:vAlign w:val="center"/>
            <w:hideMark/>
          </w:tcPr>
          <w:p w14:paraId="2A795B7D"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Assaf Harofeh Medical Center</w:t>
            </w:r>
          </w:p>
        </w:tc>
      </w:tr>
      <w:tr w:rsidR="000069D7" w:rsidRPr="001F5870" w14:paraId="040AFAA0" w14:textId="77777777" w:rsidTr="007B341F">
        <w:trPr>
          <w:trHeight w:val="290"/>
        </w:trPr>
        <w:tc>
          <w:tcPr>
            <w:tcW w:w="5280" w:type="dxa"/>
            <w:tcBorders>
              <w:top w:val="nil"/>
              <w:left w:val="nil"/>
              <w:bottom w:val="nil"/>
              <w:right w:val="nil"/>
            </w:tcBorders>
            <w:shd w:val="clear" w:color="000000" w:fill="D9D9D9"/>
            <w:noWrap/>
            <w:vAlign w:val="center"/>
            <w:hideMark/>
          </w:tcPr>
          <w:p w14:paraId="7AE8CB25" w14:textId="77777777" w:rsidR="000069D7" w:rsidRPr="001F5870" w:rsidRDefault="000069D7" w:rsidP="007B341F">
            <w:pPr>
              <w:rPr>
                <w:rFonts w:ascii="Arial" w:eastAsia="Times New Roman" w:hAnsi="Arial" w:cs="Arial"/>
                <w:b/>
                <w:bCs/>
                <w:color w:val="000000"/>
                <w:szCs w:val="24"/>
              </w:rPr>
            </w:pPr>
            <w:r w:rsidRPr="001F5870">
              <w:rPr>
                <w:rFonts w:ascii="Arial" w:eastAsia="Times New Roman" w:hAnsi="Arial" w:cs="Arial"/>
                <w:b/>
                <w:bCs/>
                <w:color w:val="000000"/>
                <w:szCs w:val="24"/>
              </w:rPr>
              <w:t>IRLAND</w:t>
            </w:r>
          </w:p>
        </w:tc>
        <w:tc>
          <w:tcPr>
            <w:tcW w:w="4900" w:type="dxa"/>
            <w:tcBorders>
              <w:top w:val="nil"/>
              <w:left w:val="nil"/>
              <w:bottom w:val="nil"/>
              <w:right w:val="nil"/>
            </w:tcBorders>
            <w:shd w:val="clear" w:color="000000" w:fill="D9D9D9"/>
            <w:noWrap/>
            <w:vAlign w:val="center"/>
            <w:hideMark/>
          </w:tcPr>
          <w:p w14:paraId="4FC64326"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 </w:t>
            </w:r>
          </w:p>
        </w:tc>
      </w:tr>
      <w:tr w:rsidR="000069D7" w:rsidRPr="001F5870" w14:paraId="14D7D1B6" w14:textId="77777777" w:rsidTr="007B341F">
        <w:trPr>
          <w:trHeight w:val="290"/>
        </w:trPr>
        <w:tc>
          <w:tcPr>
            <w:tcW w:w="5280" w:type="dxa"/>
            <w:tcBorders>
              <w:top w:val="nil"/>
              <w:left w:val="nil"/>
              <w:bottom w:val="nil"/>
              <w:right w:val="nil"/>
            </w:tcBorders>
            <w:vAlign w:val="center"/>
            <w:hideMark/>
          </w:tcPr>
          <w:p w14:paraId="343D7C3B"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MCDERMOTT Ray</w:t>
            </w:r>
          </w:p>
        </w:tc>
        <w:tc>
          <w:tcPr>
            <w:tcW w:w="4900" w:type="dxa"/>
            <w:tcBorders>
              <w:top w:val="nil"/>
              <w:left w:val="nil"/>
              <w:bottom w:val="nil"/>
              <w:right w:val="nil"/>
            </w:tcBorders>
            <w:noWrap/>
            <w:vAlign w:val="center"/>
            <w:hideMark/>
          </w:tcPr>
          <w:p w14:paraId="35D3AE70"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St. Vincent’s University Hospital  </w:t>
            </w:r>
          </w:p>
        </w:tc>
      </w:tr>
      <w:tr w:rsidR="000069D7" w:rsidRPr="001F5870" w14:paraId="7EB26BC8" w14:textId="77777777" w:rsidTr="007B341F">
        <w:trPr>
          <w:trHeight w:val="290"/>
        </w:trPr>
        <w:tc>
          <w:tcPr>
            <w:tcW w:w="5280" w:type="dxa"/>
            <w:tcBorders>
              <w:top w:val="nil"/>
              <w:left w:val="nil"/>
              <w:bottom w:val="nil"/>
              <w:right w:val="nil"/>
            </w:tcBorders>
            <w:noWrap/>
            <w:vAlign w:val="center"/>
            <w:hideMark/>
          </w:tcPr>
          <w:p w14:paraId="3694F07C"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POWER Derek</w:t>
            </w:r>
          </w:p>
        </w:tc>
        <w:tc>
          <w:tcPr>
            <w:tcW w:w="4900" w:type="dxa"/>
            <w:tcBorders>
              <w:top w:val="nil"/>
              <w:left w:val="nil"/>
              <w:bottom w:val="nil"/>
              <w:right w:val="nil"/>
            </w:tcBorders>
            <w:noWrap/>
            <w:vAlign w:val="center"/>
            <w:hideMark/>
          </w:tcPr>
          <w:p w14:paraId="0ADA95D3"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Cork University Hospital        (CUH)            </w:t>
            </w:r>
          </w:p>
        </w:tc>
      </w:tr>
      <w:tr w:rsidR="000069D7" w:rsidRPr="001F5870" w14:paraId="66978F5F" w14:textId="77777777" w:rsidTr="007B341F">
        <w:trPr>
          <w:trHeight w:val="290"/>
        </w:trPr>
        <w:tc>
          <w:tcPr>
            <w:tcW w:w="5280" w:type="dxa"/>
            <w:tcBorders>
              <w:top w:val="nil"/>
              <w:left w:val="nil"/>
              <w:bottom w:val="nil"/>
              <w:right w:val="nil"/>
            </w:tcBorders>
            <w:vAlign w:val="center"/>
            <w:hideMark/>
          </w:tcPr>
          <w:p w14:paraId="1DDDD756"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GALLAGHER David</w:t>
            </w:r>
          </w:p>
        </w:tc>
        <w:tc>
          <w:tcPr>
            <w:tcW w:w="4900" w:type="dxa"/>
            <w:tcBorders>
              <w:top w:val="nil"/>
              <w:left w:val="nil"/>
              <w:bottom w:val="nil"/>
              <w:right w:val="nil"/>
            </w:tcBorders>
            <w:noWrap/>
            <w:vAlign w:val="center"/>
            <w:hideMark/>
          </w:tcPr>
          <w:p w14:paraId="629AC57F"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St. James’s Hospital     (SJH)             </w:t>
            </w:r>
          </w:p>
        </w:tc>
      </w:tr>
      <w:tr w:rsidR="000069D7" w:rsidRPr="001F5870" w14:paraId="06FE8756" w14:textId="77777777" w:rsidTr="007B341F">
        <w:trPr>
          <w:trHeight w:val="290"/>
        </w:trPr>
        <w:tc>
          <w:tcPr>
            <w:tcW w:w="5280" w:type="dxa"/>
            <w:tcBorders>
              <w:top w:val="nil"/>
              <w:left w:val="nil"/>
              <w:bottom w:val="nil"/>
              <w:right w:val="nil"/>
            </w:tcBorders>
            <w:noWrap/>
            <w:vAlign w:val="center"/>
            <w:hideMark/>
          </w:tcPr>
          <w:p w14:paraId="5F64217A"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HORGAN Anne</w:t>
            </w:r>
          </w:p>
        </w:tc>
        <w:tc>
          <w:tcPr>
            <w:tcW w:w="4900" w:type="dxa"/>
            <w:tcBorders>
              <w:top w:val="nil"/>
              <w:left w:val="nil"/>
              <w:bottom w:val="nil"/>
              <w:right w:val="nil"/>
            </w:tcBorders>
            <w:noWrap/>
            <w:vAlign w:val="center"/>
            <w:hideMark/>
          </w:tcPr>
          <w:p w14:paraId="1F6529BA"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University Hospital Waterford    (UHW)                 </w:t>
            </w:r>
          </w:p>
        </w:tc>
      </w:tr>
      <w:tr w:rsidR="000069D7" w:rsidRPr="001F5870" w14:paraId="69A2DD46" w14:textId="77777777" w:rsidTr="007B341F">
        <w:trPr>
          <w:trHeight w:val="290"/>
        </w:trPr>
        <w:tc>
          <w:tcPr>
            <w:tcW w:w="5280" w:type="dxa"/>
            <w:tcBorders>
              <w:top w:val="nil"/>
              <w:left w:val="nil"/>
              <w:bottom w:val="nil"/>
              <w:right w:val="nil"/>
            </w:tcBorders>
            <w:shd w:val="clear" w:color="000000" w:fill="D9D9D9"/>
            <w:noWrap/>
            <w:vAlign w:val="center"/>
            <w:hideMark/>
          </w:tcPr>
          <w:p w14:paraId="6D9A9BA5" w14:textId="77777777" w:rsidR="000069D7" w:rsidRPr="001F5870" w:rsidRDefault="000069D7" w:rsidP="007B341F">
            <w:pPr>
              <w:rPr>
                <w:rFonts w:ascii="Arial" w:eastAsia="Times New Roman" w:hAnsi="Arial" w:cs="Arial"/>
                <w:b/>
                <w:bCs/>
                <w:color w:val="000000"/>
                <w:szCs w:val="24"/>
              </w:rPr>
            </w:pPr>
            <w:r w:rsidRPr="001F5870">
              <w:rPr>
                <w:rFonts w:ascii="Arial" w:eastAsia="Times New Roman" w:hAnsi="Arial" w:cs="Arial"/>
                <w:b/>
                <w:bCs/>
                <w:color w:val="000000"/>
                <w:szCs w:val="24"/>
              </w:rPr>
              <w:t>FRANCE</w:t>
            </w:r>
          </w:p>
        </w:tc>
        <w:tc>
          <w:tcPr>
            <w:tcW w:w="4900" w:type="dxa"/>
            <w:tcBorders>
              <w:top w:val="nil"/>
              <w:left w:val="nil"/>
              <w:bottom w:val="nil"/>
              <w:right w:val="nil"/>
            </w:tcBorders>
            <w:shd w:val="clear" w:color="000000" w:fill="D9D9D9"/>
            <w:noWrap/>
            <w:vAlign w:val="center"/>
            <w:hideMark/>
          </w:tcPr>
          <w:p w14:paraId="5F520BFD"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 </w:t>
            </w:r>
          </w:p>
        </w:tc>
      </w:tr>
      <w:tr w:rsidR="000069D7" w:rsidRPr="001F5870" w14:paraId="2247F122" w14:textId="77777777" w:rsidTr="007B341F">
        <w:trPr>
          <w:trHeight w:val="290"/>
        </w:trPr>
        <w:tc>
          <w:tcPr>
            <w:tcW w:w="5280" w:type="dxa"/>
            <w:tcBorders>
              <w:top w:val="nil"/>
              <w:left w:val="nil"/>
              <w:bottom w:val="nil"/>
              <w:right w:val="nil"/>
            </w:tcBorders>
            <w:vAlign w:val="center"/>
            <w:hideMark/>
          </w:tcPr>
          <w:p w14:paraId="280FA3A4"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CHIBAUDEL Benoist</w:t>
            </w:r>
          </w:p>
        </w:tc>
        <w:tc>
          <w:tcPr>
            <w:tcW w:w="4900" w:type="dxa"/>
            <w:tcBorders>
              <w:top w:val="nil"/>
              <w:left w:val="nil"/>
              <w:bottom w:val="nil"/>
              <w:right w:val="nil"/>
            </w:tcBorders>
            <w:vAlign w:val="center"/>
            <w:hideMark/>
          </w:tcPr>
          <w:p w14:paraId="7B05A2EA" w14:textId="1F11B913" w:rsidR="000069D7" w:rsidRPr="001F5870" w:rsidRDefault="009A498B" w:rsidP="007B341F">
            <w:pPr>
              <w:rPr>
                <w:rFonts w:ascii="Arial" w:eastAsia="Times New Roman" w:hAnsi="Arial" w:cs="Arial"/>
                <w:color w:val="000000"/>
                <w:szCs w:val="24"/>
              </w:rPr>
            </w:pPr>
            <w:r w:rsidRPr="001F5870">
              <w:rPr>
                <w:rFonts w:ascii="Arial" w:eastAsia="Times New Roman" w:hAnsi="Arial" w:cs="Arial"/>
                <w:color w:val="000000"/>
                <w:szCs w:val="24"/>
              </w:rPr>
              <w:t>Hôpital Franco-Britannique – Fondation Cognacq-Jay, Cancérologie Paris Ouest</w:t>
            </w:r>
          </w:p>
        </w:tc>
      </w:tr>
      <w:tr w:rsidR="000069D7" w:rsidRPr="001F5870" w14:paraId="77F29774" w14:textId="77777777" w:rsidTr="007B341F">
        <w:trPr>
          <w:trHeight w:val="290"/>
        </w:trPr>
        <w:tc>
          <w:tcPr>
            <w:tcW w:w="5280" w:type="dxa"/>
            <w:tcBorders>
              <w:top w:val="nil"/>
              <w:left w:val="nil"/>
              <w:bottom w:val="nil"/>
              <w:right w:val="nil"/>
            </w:tcBorders>
            <w:noWrap/>
            <w:vAlign w:val="center"/>
            <w:hideMark/>
          </w:tcPr>
          <w:p w14:paraId="3CFA5E39"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ANDRE Thierry</w:t>
            </w:r>
          </w:p>
        </w:tc>
        <w:tc>
          <w:tcPr>
            <w:tcW w:w="4900" w:type="dxa"/>
            <w:tcBorders>
              <w:top w:val="nil"/>
              <w:left w:val="nil"/>
              <w:bottom w:val="nil"/>
              <w:right w:val="nil"/>
            </w:tcBorders>
            <w:vAlign w:val="center"/>
            <w:hideMark/>
          </w:tcPr>
          <w:p w14:paraId="6BFD8560"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 xml:space="preserve">CHU Saint-Antoine </w:t>
            </w:r>
          </w:p>
        </w:tc>
      </w:tr>
      <w:tr w:rsidR="000069D7" w:rsidRPr="001F5870" w14:paraId="297FFC4C" w14:textId="77777777" w:rsidTr="007B341F">
        <w:trPr>
          <w:trHeight w:val="290"/>
        </w:trPr>
        <w:tc>
          <w:tcPr>
            <w:tcW w:w="5280" w:type="dxa"/>
            <w:tcBorders>
              <w:top w:val="nil"/>
              <w:left w:val="nil"/>
              <w:bottom w:val="nil"/>
              <w:right w:val="nil"/>
            </w:tcBorders>
            <w:vAlign w:val="center"/>
            <w:hideMark/>
          </w:tcPr>
          <w:p w14:paraId="30A9266B"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DOURTHE Louis Marie</w:t>
            </w:r>
          </w:p>
        </w:tc>
        <w:tc>
          <w:tcPr>
            <w:tcW w:w="4900" w:type="dxa"/>
            <w:tcBorders>
              <w:top w:val="nil"/>
              <w:left w:val="nil"/>
              <w:bottom w:val="nil"/>
              <w:right w:val="nil"/>
            </w:tcBorders>
            <w:vAlign w:val="center"/>
            <w:hideMark/>
          </w:tcPr>
          <w:p w14:paraId="6433924A"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 xml:space="preserve">Clinique Sainte Anne </w:t>
            </w:r>
          </w:p>
        </w:tc>
      </w:tr>
      <w:tr w:rsidR="000069D7" w:rsidRPr="001F5870" w14:paraId="394B3D79" w14:textId="77777777" w:rsidTr="007B341F">
        <w:trPr>
          <w:trHeight w:val="290"/>
        </w:trPr>
        <w:tc>
          <w:tcPr>
            <w:tcW w:w="5280" w:type="dxa"/>
            <w:tcBorders>
              <w:top w:val="nil"/>
              <w:left w:val="nil"/>
              <w:bottom w:val="nil"/>
              <w:right w:val="nil"/>
            </w:tcBorders>
            <w:vAlign w:val="center"/>
            <w:hideMark/>
          </w:tcPr>
          <w:p w14:paraId="2DFEBA2A"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BOURGEOIS Vincent</w:t>
            </w:r>
          </w:p>
        </w:tc>
        <w:tc>
          <w:tcPr>
            <w:tcW w:w="4900" w:type="dxa"/>
            <w:tcBorders>
              <w:top w:val="nil"/>
              <w:left w:val="nil"/>
              <w:bottom w:val="nil"/>
              <w:right w:val="nil"/>
            </w:tcBorders>
            <w:vAlign w:val="center"/>
            <w:hideMark/>
          </w:tcPr>
          <w:p w14:paraId="2038ACD5"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Centre Hospitalier Boulogne sur Mer</w:t>
            </w:r>
          </w:p>
        </w:tc>
      </w:tr>
      <w:tr w:rsidR="000069D7" w:rsidRPr="001F5870" w14:paraId="7BD9978D" w14:textId="77777777" w:rsidTr="007B341F">
        <w:trPr>
          <w:trHeight w:val="290"/>
        </w:trPr>
        <w:tc>
          <w:tcPr>
            <w:tcW w:w="5280" w:type="dxa"/>
            <w:tcBorders>
              <w:top w:val="nil"/>
              <w:left w:val="nil"/>
              <w:bottom w:val="nil"/>
              <w:right w:val="nil"/>
            </w:tcBorders>
            <w:vAlign w:val="center"/>
            <w:hideMark/>
          </w:tcPr>
          <w:p w14:paraId="1682197C"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ETIENNE Pierre-Luc</w:t>
            </w:r>
          </w:p>
        </w:tc>
        <w:tc>
          <w:tcPr>
            <w:tcW w:w="4900" w:type="dxa"/>
            <w:tcBorders>
              <w:top w:val="nil"/>
              <w:left w:val="nil"/>
              <w:bottom w:val="nil"/>
              <w:right w:val="nil"/>
            </w:tcBorders>
            <w:vAlign w:val="center"/>
            <w:hideMark/>
          </w:tcPr>
          <w:p w14:paraId="18186B50"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Clinique Armoricaine de Radiologie</w:t>
            </w:r>
          </w:p>
        </w:tc>
      </w:tr>
      <w:tr w:rsidR="000069D7" w:rsidRPr="001F5870" w14:paraId="61373EDC" w14:textId="77777777" w:rsidTr="007B341F">
        <w:trPr>
          <w:trHeight w:val="290"/>
        </w:trPr>
        <w:tc>
          <w:tcPr>
            <w:tcW w:w="5280" w:type="dxa"/>
            <w:tcBorders>
              <w:top w:val="nil"/>
              <w:left w:val="nil"/>
              <w:bottom w:val="nil"/>
              <w:right w:val="nil"/>
            </w:tcBorders>
            <w:vAlign w:val="center"/>
            <w:hideMark/>
          </w:tcPr>
          <w:p w14:paraId="659804F7"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DESRAME Jérôme</w:t>
            </w:r>
          </w:p>
        </w:tc>
        <w:tc>
          <w:tcPr>
            <w:tcW w:w="4900" w:type="dxa"/>
            <w:tcBorders>
              <w:top w:val="nil"/>
              <w:left w:val="nil"/>
              <w:bottom w:val="nil"/>
              <w:right w:val="nil"/>
            </w:tcBorders>
            <w:vAlign w:val="center"/>
            <w:hideMark/>
          </w:tcPr>
          <w:p w14:paraId="1403649B"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Hôpital privé Jean Mermoz</w:t>
            </w:r>
          </w:p>
        </w:tc>
      </w:tr>
      <w:tr w:rsidR="000069D7" w:rsidRPr="001F5870" w14:paraId="0BB1549F" w14:textId="77777777" w:rsidTr="007B341F">
        <w:trPr>
          <w:trHeight w:val="290"/>
        </w:trPr>
        <w:tc>
          <w:tcPr>
            <w:tcW w:w="5280" w:type="dxa"/>
            <w:tcBorders>
              <w:top w:val="nil"/>
              <w:left w:val="nil"/>
              <w:bottom w:val="nil"/>
              <w:right w:val="nil"/>
            </w:tcBorders>
            <w:vAlign w:val="center"/>
            <w:hideMark/>
          </w:tcPr>
          <w:p w14:paraId="1F7372BD"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CAROLA Elisabeth</w:t>
            </w:r>
          </w:p>
        </w:tc>
        <w:tc>
          <w:tcPr>
            <w:tcW w:w="4900" w:type="dxa"/>
            <w:tcBorders>
              <w:top w:val="nil"/>
              <w:left w:val="nil"/>
              <w:bottom w:val="nil"/>
              <w:right w:val="nil"/>
            </w:tcBorders>
            <w:vAlign w:val="center"/>
            <w:hideMark/>
          </w:tcPr>
          <w:p w14:paraId="2B0576F5"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GHPSO - Site de Creil</w:t>
            </w:r>
          </w:p>
        </w:tc>
      </w:tr>
      <w:tr w:rsidR="000069D7" w:rsidRPr="001F5870" w14:paraId="28EF7EDA" w14:textId="77777777" w:rsidTr="007B341F">
        <w:trPr>
          <w:trHeight w:val="290"/>
        </w:trPr>
        <w:tc>
          <w:tcPr>
            <w:tcW w:w="5280" w:type="dxa"/>
            <w:tcBorders>
              <w:top w:val="nil"/>
              <w:left w:val="nil"/>
              <w:bottom w:val="nil"/>
              <w:right w:val="nil"/>
            </w:tcBorders>
            <w:noWrap/>
            <w:vAlign w:val="center"/>
            <w:hideMark/>
          </w:tcPr>
          <w:p w14:paraId="2D081368"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DUPUIS Olivier</w:t>
            </w:r>
          </w:p>
        </w:tc>
        <w:tc>
          <w:tcPr>
            <w:tcW w:w="4900" w:type="dxa"/>
            <w:tcBorders>
              <w:top w:val="nil"/>
              <w:left w:val="nil"/>
              <w:bottom w:val="nil"/>
              <w:right w:val="nil"/>
            </w:tcBorders>
            <w:vAlign w:val="center"/>
            <w:hideMark/>
          </w:tcPr>
          <w:p w14:paraId="29DD46BD"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Clinique Victor Hugo</w:t>
            </w:r>
          </w:p>
        </w:tc>
      </w:tr>
      <w:tr w:rsidR="000069D7" w:rsidRPr="001F5870" w14:paraId="6A0FA547" w14:textId="77777777" w:rsidTr="007B341F">
        <w:trPr>
          <w:trHeight w:val="290"/>
        </w:trPr>
        <w:tc>
          <w:tcPr>
            <w:tcW w:w="5280" w:type="dxa"/>
            <w:tcBorders>
              <w:top w:val="nil"/>
              <w:left w:val="nil"/>
              <w:bottom w:val="nil"/>
              <w:right w:val="nil"/>
            </w:tcBorders>
            <w:vAlign w:val="center"/>
            <w:hideMark/>
          </w:tcPr>
          <w:p w14:paraId="06E241E6"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GHIRINGHELLI François</w:t>
            </w:r>
          </w:p>
        </w:tc>
        <w:tc>
          <w:tcPr>
            <w:tcW w:w="4900" w:type="dxa"/>
            <w:tcBorders>
              <w:top w:val="nil"/>
              <w:left w:val="nil"/>
              <w:bottom w:val="nil"/>
              <w:right w:val="nil"/>
            </w:tcBorders>
            <w:vAlign w:val="center"/>
            <w:hideMark/>
          </w:tcPr>
          <w:p w14:paraId="3106B9B8"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 xml:space="preserve">Centre Georges François Leclerc </w:t>
            </w:r>
          </w:p>
        </w:tc>
      </w:tr>
      <w:tr w:rsidR="000069D7" w:rsidRPr="001F5870" w14:paraId="345825D4" w14:textId="77777777" w:rsidTr="007B341F">
        <w:trPr>
          <w:trHeight w:val="290"/>
        </w:trPr>
        <w:tc>
          <w:tcPr>
            <w:tcW w:w="5280" w:type="dxa"/>
            <w:tcBorders>
              <w:top w:val="nil"/>
              <w:left w:val="nil"/>
              <w:bottom w:val="nil"/>
              <w:right w:val="nil"/>
            </w:tcBorders>
            <w:vAlign w:val="center"/>
            <w:hideMark/>
          </w:tcPr>
          <w:p w14:paraId="75448209"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BABA HAMED Nabil</w:t>
            </w:r>
          </w:p>
        </w:tc>
        <w:tc>
          <w:tcPr>
            <w:tcW w:w="4900" w:type="dxa"/>
            <w:tcBorders>
              <w:top w:val="nil"/>
              <w:left w:val="nil"/>
              <w:bottom w:val="nil"/>
              <w:right w:val="nil"/>
            </w:tcBorders>
            <w:vAlign w:val="center"/>
            <w:hideMark/>
          </w:tcPr>
          <w:p w14:paraId="603D8D07"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 xml:space="preserve">Hôpital Privé Saint Joseph </w:t>
            </w:r>
          </w:p>
        </w:tc>
      </w:tr>
      <w:tr w:rsidR="000069D7" w:rsidRPr="001F5870" w14:paraId="45D359F4" w14:textId="77777777" w:rsidTr="007B341F">
        <w:trPr>
          <w:trHeight w:val="290"/>
        </w:trPr>
        <w:tc>
          <w:tcPr>
            <w:tcW w:w="5280" w:type="dxa"/>
            <w:tcBorders>
              <w:top w:val="nil"/>
              <w:left w:val="nil"/>
              <w:bottom w:val="nil"/>
              <w:right w:val="nil"/>
            </w:tcBorders>
            <w:vAlign w:val="center"/>
            <w:hideMark/>
          </w:tcPr>
          <w:p w14:paraId="34AFF927"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AUBY Dominique</w:t>
            </w:r>
          </w:p>
        </w:tc>
        <w:tc>
          <w:tcPr>
            <w:tcW w:w="4900" w:type="dxa"/>
            <w:tcBorders>
              <w:top w:val="nil"/>
              <w:left w:val="nil"/>
              <w:bottom w:val="nil"/>
              <w:right w:val="nil"/>
            </w:tcBorders>
            <w:vAlign w:val="center"/>
            <w:hideMark/>
          </w:tcPr>
          <w:p w14:paraId="5DF61D6A"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Hôpital Layné</w:t>
            </w:r>
          </w:p>
        </w:tc>
      </w:tr>
      <w:tr w:rsidR="000069D7" w:rsidRPr="001F5870" w14:paraId="20D0461A" w14:textId="77777777" w:rsidTr="007B341F">
        <w:trPr>
          <w:trHeight w:val="290"/>
        </w:trPr>
        <w:tc>
          <w:tcPr>
            <w:tcW w:w="5280" w:type="dxa"/>
            <w:tcBorders>
              <w:top w:val="nil"/>
              <w:left w:val="nil"/>
              <w:bottom w:val="nil"/>
              <w:right w:val="nil"/>
            </w:tcBorders>
            <w:vAlign w:val="center"/>
            <w:hideMark/>
          </w:tcPr>
          <w:p w14:paraId="582EB570"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LOUVET Christophe</w:t>
            </w:r>
          </w:p>
        </w:tc>
        <w:tc>
          <w:tcPr>
            <w:tcW w:w="4900" w:type="dxa"/>
            <w:tcBorders>
              <w:top w:val="nil"/>
              <w:left w:val="nil"/>
              <w:bottom w:val="nil"/>
              <w:right w:val="nil"/>
            </w:tcBorders>
            <w:vAlign w:val="center"/>
            <w:hideMark/>
          </w:tcPr>
          <w:p w14:paraId="12F374B0"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Institut Mutualiste Montsouris</w:t>
            </w:r>
          </w:p>
        </w:tc>
      </w:tr>
      <w:tr w:rsidR="000069D7" w:rsidRPr="001F5870" w14:paraId="5054887D" w14:textId="77777777" w:rsidTr="007B341F">
        <w:trPr>
          <w:trHeight w:val="290"/>
        </w:trPr>
        <w:tc>
          <w:tcPr>
            <w:tcW w:w="5280" w:type="dxa"/>
            <w:tcBorders>
              <w:top w:val="nil"/>
              <w:left w:val="nil"/>
              <w:bottom w:val="nil"/>
              <w:right w:val="nil"/>
            </w:tcBorders>
            <w:vAlign w:val="center"/>
            <w:hideMark/>
          </w:tcPr>
          <w:p w14:paraId="711E15D4"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MAILLARD Emmanuel</w:t>
            </w:r>
          </w:p>
        </w:tc>
        <w:tc>
          <w:tcPr>
            <w:tcW w:w="4900" w:type="dxa"/>
            <w:tcBorders>
              <w:top w:val="nil"/>
              <w:left w:val="nil"/>
              <w:bottom w:val="nil"/>
              <w:right w:val="nil"/>
            </w:tcBorders>
            <w:vAlign w:val="center"/>
            <w:hideMark/>
          </w:tcPr>
          <w:p w14:paraId="2A3863AC"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 xml:space="preserve">CH Annecy Genevois </w:t>
            </w:r>
          </w:p>
        </w:tc>
      </w:tr>
      <w:tr w:rsidR="000069D7" w:rsidRPr="001F5870" w14:paraId="0E700014" w14:textId="77777777" w:rsidTr="007B341F">
        <w:trPr>
          <w:trHeight w:val="290"/>
        </w:trPr>
        <w:tc>
          <w:tcPr>
            <w:tcW w:w="5280" w:type="dxa"/>
            <w:tcBorders>
              <w:top w:val="nil"/>
              <w:left w:val="nil"/>
              <w:bottom w:val="nil"/>
              <w:right w:val="nil"/>
            </w:tcBorders>
            <w:noWrap/>
            <w:vAlign w:val="center"/>
            <w:hideMark/>
          </w:tcPr>
          <w:p w14:paraId="5604F66E"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ROMANO Olivier</w:t>
            </w:r>
          </w:p>
        </w:tc>
        <w:tc>
          <w:tcPr>
            <w:tcW w:w="4900" w:type="dxa"/>
            <w:tcBorders>
              <w:top w:val="nil"/>
              <w:left w:val="nil"/>
              <w:bottom w:val="nil"/>
              <w:right w:val="nil"/>
            </w:tcBorders>
            <w:vAlign w:val="center"/>
            <w:hideMark/>
          </w:tcPr>
          <w:p w14:paraId="176EBDB1"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Hôpital Privé de Villeneuve d'Ascq</w:t>
            </w:r>
          </w:p>
        </w:tc>
      </w:tr>
      <w:tr w:rsidR="000069D7" w:rsidRPr="001F5870" w14:paraId="4F1BA0C5" w14:textId="77777777" w:rsidTr="007B341F">
        <w:trPr>
          <w:trHeight w:val="290"/>
        </w:trPr>
        <w:tc>
          <w:tcPr>
            <w:tcW w:w="5280" w:type="dxa"/>
            <w:tcBorders>
              <w:top w:val="nil"/>
              <w:left w:val="nil"/>
              <w:bottom w:val="nil"/>
              <w:right w:val="nil"/>
            </w:tcBorders>
            <w:vAlign w:val="center"/>
            <w:hideMark/>
          </w:tcPr>
          <w:p w14:paraId="79BFAB65"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 xml:space="preserve"> TOURNIGAND Christophe</w:t>
            </w:r>
          </w:p>
        </w:tc>
        <w:tc>
          <w:tcPr>
            <w:tcW w:w="4900" w:type="dxa"/>
            <w:tcBorders>
              <w:top w:val="nil"/>
              <w:left w:val="nil"/>
              <w:bottom w:val="nil"/>
              <w:right w:val="nil"/>
            </w:tcBorders>
            <w:vAlign w:val="center"/>
            <w:hideMark/>
          </w:tcPr>
          <w:p w14:paraId="491F415E"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 xml:space="preserve">CHU Henri-Mondor </w:t>
            </w:r>
          </w:p>
        </w:tc>
      </w:tr>
      <w:tr w:rsidR="000069D7" w:rsidRPr="001F5870" w14:paraId="5F165A25" w14:textId="77777777" w:rsidTr="007B341F">
        <w:trPr>
          <w:trHeight w:val="290"/>
        </w:trPr>
        <w:tc>
          <w:tcPr>
            <w:tcW w:w="5280" w:type="dxa"/>
            <w:tcBorders>
              <w:top w:val="nil"/>
              <w:left w:val="nil"/>
              <w:bottom w:val="nil"/>
              <w:right w:val="nil"/>
            </w:tcBorders>
            <w:vAlign w:val="center"/>
            <w:hideMark/>
          </w:tcPr>
          <w:p w14:paraId="71F37570"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GORNET Jean-Marc</w:t>
            </w:r>
          </w:p>
        </w:tc>
        <w:tc>
          <w:tcPr>
            <w:tcW w:w="4900" w:type="dxa"/>
            <w:tcBorders>
              <w:top w:val="nil"/>
              <w:left w:val="nil"/>
              <w:bottom w:val="nil"/>
              <w:right w:val="nil"/>
            </w:tcBorders>
            <w:vAlign w:val="center"/>
            <w:hideMark/>
          </w:tcPr>
          <w:p w14:paraId="23ED3BA8"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CHU Saint-Louis</w:t>
            </w:r>
          </w:p>
        </w:tc>
      </w:tr>
      <w:tr w:rsidR="000069D7" w:rsidRPr="001F5870" w14:paraId="1434D603" w14:textId="77777777" w:rsidTr="007B341F">
        <w:trPr>
          <w:trHeight w:val="290"/>
        </w:trPr>
        <w:tc>
          <w:tcPr>
            <w:tcW w:w="5280" w:type="dxa"/>
            <w:tcBorders>
              <w:top w:val="nil"/>
              <w:left w:val="nil"/>
              <w:bottom w:val="nil"/>
              <w:right w:val="nil"/>
            </w:tcBorders>
            <w:noWrap/>
            <w:vAlign w:val="center"/>
            <w:hideMark/>
          </w:tcPr>
          <w:p w14:paraId="778D2D88"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lastRenderedPageBreak/>
              <w:t>KHALIL Ahmed</w:t>
            </w:r>
          </w:p>
        </w:tc>
        <w:tc>
          <w:tcPr>
            <w:tcW w:w="4900" w:type="dxa"/>
            <w:tcBorders>
              <w:top w:val="nil"/>
              <w:left w:val="nil"/>
              <w:bottom w:val="nil"/>
              <w:right w:val="nil"/>
            </w:tcBorders>
            <w:vAlign w:val="center"/>
            <w:hideMark/>
          </w:tcPr>
          <w:p w14:paraId="7E18B06A"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Hôpital Tenon</w:t>
            </w:r>
          </w:p>
        </w:tc>
      </w:tr>
      <w:tr w:rsidR="000069D7" w:rsidRPr="001F5870" w14:paraId="3339BBF8" w14:textId="77777777" w:rsidTr="007B341F">
        <w:trPr>
          <w:trHeight w:val="290"/>
        </w:trPr>
        <w:tc>
          <w:tcPr>
            <w:tcW w:w="5280" w:type="dxa"/>
            <w:tcBorders>
              <w:top w:val="nil"/>
              <w:left w:val="nil"/>
              <w:bottom w:val="nil"/>
              <w:right w:val="nil"/>
            </w:tcBorders>
            <w:noWrap/>
            <w:vAlign w:val="center"/>
            <w:hideMark/>
          </w:tcPr>
          <w:p w14:paraId="4A02DC2C"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RINALDI Yves</w:t>
            </w:r>
          </w:p>
        </w:tc>
        <w:tc>
          <w:tcPr>
            <w:tcW w:w="4900" w:type="dxa"/>
            <w:tcBorders>
              <w:top w:val="nil"/>
              <w:left w:val="nil"/>
              <w:bottom w:val="nil"/>
              <w:right w:val="nil"/>
            </w:tcBorders>
            <w:vAlign w:val="center"/>
            <w:hideMark/>
          </w:tcPr>
          <w:p w14:paraId="6AC56ED4"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 xml:space="preserve">Hôpital Européen </w:t>
            </w:r>
          </w:p>
        </w:tc>
      </w:tr>
      <w:tr w:rsidR="000069D7" w:rsidRPr="001F5870" w14:paraId="6EFB2F9C" w14:textId="77777777" w:rsidTr="007B341F">
        <w:trPr>
          <w:trHeight w:val="290"/>
        </w:trPr>
        <w:tc>
          <w:tcPr>
            <w:tcW w:w="5280" w:type="dxa"/>
            <w:tcBorders>
              <w:top w:val="nil"/>
              <w:left w:val="nil"/>
              <w:bottom w:val="nil"/>
              <w:right w:val="nil"/>
            </w:tcBorders>
            <w:vAlign w:val="center"/>
            <w:hideMark/>
          </w:tcPr>
          <w:p w14:paraId="48ECE3CC"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VILLING Anne-Laure</w:t>
            </w:r>
          </w:p>
        </w:tc>
        <w:tc>
          <w:tcPr>
            <w:tcW w:w="4900" w:type="dxa"/>
            <w:tcBorders>
              <w:top w:val="nil"/>
              <w:left w:val="nil"/>
              <w:bottom w:val="nil"/>
              <w:right w:val="nil"/>
            </w:tcBorders>
            <w:vAlign w:val="center"/>
            <w:hideMark/>
          </w:tcPr>
          <w:p w14:paraId="42EBE69F"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CentreHospitalier d'Auxerre</w:t>
            </w:r>
          </w:p>
        </w:tc>
      </w:tr>
      <w:tr w:rsidR="000069D7" w:rsidRPr="001F5870" w14:paraId="0FE754E9" w14:textId="77777777" w:rsidTr="007B341F">
        <w:trPr>
          <w:trHeight w:val="290"/>
        </w:trPr>
        <w:tc>
          <w:tcPr>
            <w:tcW w:w="5280" w:type="dxa"/>
            <w:tcBorders>
              <w:top w:val="nil"/>
              <w:left w:val="nil"/>
              <w:bottom w:val="nil"/>
              <w:right w:val="nil"/>
            </w:tcBorders>
            <w:vAlign w:val="center"/>
            <w:hideMark/>
          </w:tcPr>
          <w:p w14:paraId="355E694F"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Dr BOUREDJI Daoud</w:t>
            </w:r>
          </w:p>
        </w:tc>
        <w:tc>
          <w:tcPr>
            <w:tcW w:w="4900" w:type="dxa"/>
            <w:tcBorders>
              <w:top w:val="nil"/>
              <w:left w:val="nil"/>
              <w:bottom w:val="nil"/>
              <w:right w:val="nil"/>
            </w:tcBorders>
            <w:vAlign w:val="center"/>
            <w:hideMark/>
          </w:tcPr>
          <w:p w14:paraId="01FADC70"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CH -Gonesses</w:t>
            </w:r>
          </w:p>
        </w:tc>
      </w:tr>
      <w:tr w:rsidR="000069D7" w:rsidRPr="001F5870" w14:paraId="7587089A" w14:textId="77777777" w:rsidTr="007B341F">
        <w:trPr>
          <w:trHeight w:val="290"/>
        </w:trPr>
        <w:tc>
          <w:tcPr>
            <w:tcW w:w="5280" w:type="dxa"/>
            <w:tcBorders>
              <w:top w:val="nil"/>
              <w:left w:val="nil"/>
              <w:bottom w:val="nil"/>
              <w:right w:val="nil"/>
            </w:tcBorders>
            <w:vAlign w:val="center"/>
            <w:hideMark/>
          </w:tcPr>
          <w:p w14:paraId="38B1262B"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DESGRIPPES Romain</w:t>
            </w:r>
          </w:p>
        </w:tc>
        <w:tc>
          <w:tcPr>
            <w:tcW w:w="4900" w:type="dxa"/>
            <w:tcBorders>
              <w:top w:val="nil"/>
              <w:left w:val="nil"/>
              <w:bottom w:val="nil"/>
              <w:right w:val="nil"/>
            </w:tcBorders>
            <w:vAlign w:val="center"/>
            <w:hideMark/>
          </w:tcPr>
          <w:p w14:paraId="7F1220F3"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Hôpital Broussais</w:t>
            </w:r>
          </w:p>
        </w:tc>
      </w:tr>
      <w:tr w:rsidR="000069D7" w:rsidRPr="001F5870" w14:paraId="137D6697" w14:textId="77777777" w:rsidTr="007B341F">
        <w:trPr>
          <w:trHeight w:val="290"/>
        </w:trPr>
        <w:tc>
          <w:tcPr>
            <w:tcW w:w="5280" w:type="dxa"/>
            <w:tcBorders>
              <w:top w:val="nil"/>
              <w:left w:val="nil"/>
              <w:bottom w:val="nil"/>
              <w:right w:val="nil"/>
            </w:tcBorders>
            <w:vAlign w:val="center"/>
            <w:hideMark/>
          </w:tcPr>
          <w:p w14:paraId="586205BD"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HARTWIG Johannes</w:t>
            </w:r>
          </w:p>
        </w:tc>
        <w:tc>
          <w:tcPr>
            <w:tcW w:w="4900" w:type="dxa"/>
            <w:tcBorders>
              <w:top w:val="nil"/>
              <w:left w:val="nil"/>
              <w:bottom w:val="nil"/>
              <w:right w:val="nil"/>
            </w:tcBorders>
            <w:vAlign w:val="center"/>
            <w:hideMark/>
          </w:tcPr>
          <w:p w14:paraId="4382FEFF"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Infirmerie Protestante</w:t>
            </w:r>
          </w:p>
        </w:tc>
      </w:tr>
      <w:tr w:rsidR="000069D7" w:rsidRPr="001F5870" w14:paraId="66D49793" w14:textId="77777777" w:rsidTr="007B341F">
        <w:trPr>
          <w:trHeight w:val="290"/>
        </w:trPr>
        <w:tc>
          <w:tcPr>
            <w:tcW w:w="5280" w:type="dxa"/>
            <w:tcBorders>
              <w:top w:val="nil"/>
              <w:left w:val="nil"/>
              <w:bottom w:val="nil"/>
              <w:right w:val="nil"/>
            </w:tcBorders>
            <w:vAlign w:val="center"/>
            <w:hideMark/>
          </w:tcPr>
          <w:p w14:paraId="4CD55C30"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SIBERTIN-BLANC Camille</w:t>
            </w:r>
          </w:p>
        </w:tc>
        <w:tc>
          <w:tcPr>
            <w:tcW w:w="4900" w:type="dxa"/>
            <w:tcBorders>
              <w:top w:val="nil"/>
              <w:left w:val="nil"/>
              <w:bottom w:val="nil"/>
              <w:right w:val="nil"/>
            </w:tcBorders>
            <w:vAlign w:val="center"/>
            <w:hideMark/>
          </w:tcPr>
          <w:p w14:paraId="303E7328"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 xml:space="preserve">Hôpital Sainte Musse </w:t>
            </w:r>
          </w:p>
        </w:tc>
      </w:tr>
      <w:tr w:rsidR="000069D7" w:rsidRPr="001F5870" w14:paraId="6D22FB5E" w14:textId="77777777" w:rsidTr="007B341F">
        <w:trPr>
          <w:trHeight w:val="290"/>
        </w:trPr>
        <w:tc>
          <w:tcPr>
            <w:tcW w:w="5280" w:type="dxa"/>
            <w:tcBorders>
              <w:top w:val="nil"/>
              <w:left w:val="nil"/>
              <w:bottom w:val="nil"/>
              <w:right w:val="nil"/>
            </w:tcBorders>
            <w:noWrap/>
            <w:vAlign w:val="center"/>
            <w:hideMark/>
          </w:tcPr>
          <w:p w14:paraId="04C7DEA3"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BREYSACHER Gilles</w:t>
            </w:r>
          </w:p>
        </w:tc>
        <w:tc>
          <w:tcPr>
            <w:tcW w:w="4900" w:type="dxa"/>
            <w:tcBorders>
              <w:top w:val="nil"/>
              <w:left w:val="nil"/>
              <w:bottom w:val="nil"/>
              <w:right w:val="nil"/>
            </w:tcBorders>
            <w:vAlign w:val="center"/>
            <w:hideMark/>
          </w:tcPr>
          <w:p w14:paraId="02B4CCD7"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Centre Hospitalier de Colmar</w:t>
            </w:r>
          </w:p>
        </w:tc>
      </w:tr>
      <w:tr w:rsidR="000069D7" w:rsidRPr="001F5870" w14:paraId="7B7330D4" w14:textId="77777777" w:rsidTr="007B341F">
        <w:trPr>
          <w:trHeight w:val="290"/>
        </w:trPr>
        <w:tc>
          <w:tcPr>
            <w:tcW w:w="5280" w:type="dxa"/>
            <w:tcBorders>
              <w:top w:val="nil"/>
              <w:left w:val="nil"/>
              <w:bottom w:val="nil"/>
              <w:right w:val="nil"/>
            </w:tcBorders>
            <w:noWrap/>
            <w:vAlign w:val="center"/>
            <w:hideMark/>
          </w:tcPr>
          <w:p w14:paraId="721225E1"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KIM Stefano</w:t>
            </w:r>
          </w:p>
        </w:tc>
        <w:tc>
          <w:tcPr>
            <w:tcW w:w="4900" w:type="dxa"/>
            <w:tcBorders>
              <w:top w:val="nil"/>
              <w:left w:val="nil"/>
              <w:bottom w:val="nil"/>
              <w:right w:val="nil"/>
            </w:tcBorders>
            <w:vAlign w:val="center"/>
            <w:hideMark/>
          </w:tcPr>
          <w:p w14:paraId="3D442CB0"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 xml:space="preserve">CHU Jean Minjoz </w:t>
            </w:r>
          </w:p>
        </w:tc>
      </w:tr>
      <w:tr w:rsidR="000069D7" w:rsidRPr="001F5870" w14:paraId="0EC9131C" w14:textId="77777777" w:rsidTr="007B341F">
        <w:trPr>
          <w:trHeight w:val="290"/>
        </w:trPr>
        <w:tc>
          <w:tcPr>
            <w:tcW w:w="5280" w:type="dxa"/>
            <w:tcBorders>
              <w:top w:val="nil"/>
              <w:left w:val="nil"/>
              <w:bottom w:val="nil"/>
              <w:right w:val="nil"/>
            </w:tcBorders>
            <w:vAlign w:val="center"/>
            <w:hideMark/>
          </w:tcPr>
          <w:p w14:paraId="0D252D81"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GASMI Mohamed</w:t>
            </w:r>
          </w:p>
        </w:tc>
        <w:tc>
          <w:tcPr>
            <w:tcW w:w="4900" w:type="dxa"/>
            <w:tcBorders>
              <w:top w:val="nil"/>
              <w:left w:val="nil"/>
              <w:bottom w:val="nil"/>
              <w:right w:val="nil"/>
            </w:tcBorders>
            <w:vAlign w:val="center"/>
            <w:hideMark/>
          </w:tcPr>
          <w:p w14:paraId="664F6456"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 xml:space="preserve">Hôpital Nord </w:t>
            </w:r>
          </w:p>
        </w:tc>
      </w:tr>
      <w:tr w:rsidR="000069D7" w:rsidRPr="001F5870" w14:paraId="1ECE6E7D" w14:textId="77777777" w:rsidTr="007B341F">
        <w:trPr>
          <w:trHeight w:val="290"/>
        </w:trPr>
        <w:tc>
          <w:tcPr>
            <w:tcW w:w="5280" w:type="dxa"/>
            <w:tcBorders>
              <w:top w:val="nil"/>
              <w:left w:val="nil"/>
              <w:bottom w:val="nil"/>
              <w:right w:val="nil"/>
            </w:tcBorders>
            <w:vAlign w:val="center"/>
            <w:hideMark/>
          </w:tcPr>
          <w:p w14:paraId="52EEC0CF"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BEDJAOUI Ahmed</w:t>
            </w:r>
          </w:p>
        </w:tc>
        <w:tc>
          <w:tcPr>
            <w:tcW w:w="4900" w:type="dxa"/>
            <w:tcBorders>
              <w:top w:val="nil"/>
              <w:left w:val="nil"/>
              <w:bottom w:val="nil"/>
              <w:right w:val="nil"/>
            </w:tcBorders>
            <w:vAlign w:val="center"/>
            <w:hideMark/>
          </w:tcPr>
          <w:p w14:paraId="2C67A269"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 xml:space="preserve">Hôpitaux de Léman </w:t>
            </w:r>
          </w:p>
        </w:tc>
      </w:tr>
      <w:tr w:rsidR="000069D7" w:rsidRPr="001F5870" w14:paraId="1270078B" w14:textId="77777777" w:rsidTr="007B341F">
        <w:trPr>
          <w:trHeight w:val="290"/>
        </w:trPr>
        <w:tc>
          <w:tcPr>
            <w:tcW w:w="5280" w:type="dxa"/>
            <w:tcBorders>
              <w:top w:val="nil"/>
              <w:left w:val="nil"/>
              <w:bottom w:val="nil"/>
              <w:right w:val="nil"/>
            </w:tcBorders>
            <w:vAlign w:val="center"/>
            <w:hideMark/>
          </w:tcPr>
          <w:p w14:paraId="70716ACD"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REBISCHUNG Christine</w:t>
            </w:r>
          </w:p>
        </w:tc>
        <w:tc>
          <w:tcPr>
            <w:tcW w:w="4900" w:type="dxa"/>
            <w:tcBorders>
              <w:top w:val="nil"/>
              <w:left w:val="nil"/>
              <w:bottom w:val="nil"/>
              <w:right w:val="nil"/>
            </w:tcBorders>
            <w:vAlign w:val="center"/>
            <w:hideMark/>
          </w:tcPr>
          <w:p w14:paraId="4A1B3FEB"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GHM</w:t>
            </w:r>
          </w:p>
        </w:tc>
      </w:tr>
      <w:tr w:rsidR="000069D7" w:rsidRPr="001F5870" w14:paraId="4C92050B" w14:textId="77777777" w:rsidTr="007B341F">
        <w:trPr>
          <w:trHeight w:val="290"/>
        </w:trPr>
        <w:tc>
          <w:tcPr>
            <w:tcW w:w="5280" w:type="dxa"/>
            <w:tcBorders>
              <w:top w:val="nil"/>
              <w:left w:val="nil"/>
              <w:bottom w:val="nil"/>
              <w:right w:val="nil"/>
            </w:tcBorders>
            <w:noWrap/>
            <w:vAlign w:val="center"/>
            <w:hideMark/>
          </w:tcPr>
          <w:p w14:paraId="6EDE2BEC"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MABRO May</w:t>
            </w:r>
          </w:p>
        </w:tc>
        <w:tc>
          <w:tcPr>
            <w:tcW w:w="4900" w:type="dxa"/>
            <w:tcBorders>
              <w:top w:val="nil"/>
              <w:left w:val="nil"/>
              <w:bottom w:val="nil"/>
              <w:right w:val="nil"/>
            </w:tcBorders>
            <w:vAlign w:val="center"/>
            <w:hideMark/>
          </w:tcPr>
          <w:p w14:paraId="5C47E110"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Hôpital Foch</w:t>
            </w:r>
          </w:p>
        </w:tc>
      </w:tr>
      <w:tr w:rsidR="000069D7" w:rsidRPr="001F5870" w14:paraId="6571B992" w14:textId="77777777" w:rsidTr="007B341F">
        <w:trPr>
          <w:trHeight w:val="290"/>
        </w:trPr>
        <w:tc>
          <w:tcPr>
            <w:tcW w:w="5280" w:type="dxa"/>
            <w:tcBorders>
              <w:top w:val="nil"/>
              <w:left w:val="nil"/>
              <w:bottom w:val="nil"/>
              <w:right w:val="nil"/>
            </w:tcBorders>
            <w:vAlign w:val="center"/>
            <w:hideMark/>
          </w:tcPr>
          <w:p w14:paraId="18D855DC"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FRIKHA Ahmed</w:t>
            </w:r>
          </w:p>
        </w:tc>
        <w:tc>
          <w:tcPr>
            <w:tcW w:w="4900" w:type="dxa"/>
            <w:tcBorders>
              <w:top w:val="nil"/>
              <w:left w:val="nil"/>
              <w:bottom w:val="nil"/>
              <w:right w:val="nil"/>
            </w:tcBorders>
            <w:vAlign w:val="center"/>
            <w:hideMark/>
          </w:tcPr>
          <w:p w14:paraId="3E628AC0"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Polyclinique Maymard</w:t>
            </w:r>
          </w:p>
        </w:tc>
      </w:tr>
      <w:tr w:rsidR="000069D7" w:rsidRPr="001F5870" w14:paraId="733375DA" w14:textId="77777777" w:rsidTr="007B341F">
        <w:trPr>
          <w:trHeight w:val="290"/>
        </w:trPr>
        <w:tc>
          <w:tcPr>
            <w:tcW w:w="5280" w:type="dxa"/>
            <w:tcBorders>
              <w:top w:val="nil"/>
              <w:left w:val="nil"/>
              <w:bottom w:val="nil"/>
              <w:right w:val="nil"/>
            </w:tcBorders>
            <w:vAlign w:val="center"/>
            <w:hideMark/>
          </w:tcPr>
          <w:p w14:paraId="56E8FD5D"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HOMOKOS Helen</w:t>
            </w:r>
          </w:p>
        </w:tc>
        <w:tc>
          <w:tcPr>
            <w:tcW w:w="4900" w:type="dxa"/>
            <w:tcBorders>
              <w:top w:val="nil"/>
              <w:left w:val="nil"/>
              <w:bottom w:val="nil"/>
              <w:right w:val="nil"/>
            </w:tcBorders>
            <w:vAlign w:val="center"/>
            <w:hideMark/>
          </w:tcPr>
          <w:p w14:paraId="434CC522"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 xml:space="preserve">Hôpital privé de l'Estuaire </w:t>
            </w:r>
          </w:p>
        </w:tc>
      </w:tr>
      <w:tr w:rsidR="000069D7" w:rsidRPr="001F5870" w14:paraId="77004F76" w14:textId="77777777" w:rsidTr="007B341F">
        <w:trPr>
          <w:trHeight w:val="290"/>
        </w:trPr>
        <w:tc>
          <w:tcPr>
            <w:tcW w:w="5280" w:type="dxa"/>
            <w:tcBorders>
              <w:top w:val="nil"/>
              <w:left w:val="nil"/>
              <w:bottom w:val="nil"/>
              <w:right w:val="nil"/>
            </w:tcBorders>
            <w:vAlign w:val="center"/>
            <w:hideMark/>
          </w:tcPr>
          <w:p w14:paraId="183D177F"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BOILLEAU JOLIMOY Geneviève</w:t>
            </w:r>
          </w:p>
        </w:tc>
        <w:tc>
          <w:tcPr>
            <w:tcW w:w="4900" w:type="dxa"/>
            <w:tcBorders>
              <w:top w:val="nil"/>
              <w:left w:val="nil"/>
              <w:bottom w:val="nil"/>
              <w:right w:val="nil"/>
            </w:tcBorders>
            <w:vAlign w:val="center"/>
            <w:hideMark/>
          </w:tcPr>
          <w:p w14:paraId="7ABB1ACE"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 xml:space="preserve">Polyclinic Parc Drevon </w:t>
            </w:r>
          </w:p>
        </w:tc>
      </w:tr>
      <w:tr w:rsidR="000069D7" w:rsidRPr="001F5870" w14:paraId="4309C031" w14:textId="77777777" w:rsidTr="007B341F">
        <w:trPr>
          <w:trHeight w:val="290"/>
        </w:trPr>
        <w:tc>
          <w:tcPr>
            <w:tcW w:w="5280" w:type="dxa"/>
            <w:tcBorders>
              <w:top w:val="nil"/>
              <w:left w:val="nil"/>
              <w:bottom w:val="nil"/>
              <w:right w:val="nil"/>
            </w:tcBorders>
            <w:vAlign w:val="center"/>
            <w:hideMark/>
          </w:tcPr>
          <w:p w14:paraId="61F5612B"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SEITZ Jean-François</w:t>
            </w:r>
          </w:p>
        </w:tc>
        <w:tc>
          <w:tcPr>
            <w:tcW w:w="4900" w:type="dxa"/>
            <w:tcBorders>
              <w:top w:val="nil"/>
              <w:left w:val="nil"/>
              <w:bottom w:val="nil"/>
              <w:right w:val="nil"/>
            </w:tcBorders>
            <w:vAlign w:val="center"/>
            <w:hideMark/>
          </w:tcPr>
          <w:p w14:paraId="1D9D9FD7"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 xml:space="preserve">Hôpital la Timone </w:t>
            </w:r>
          </w:p>
        </w:tc>
      </w:tr>
      <w:tr w:rsidR="000069D7" w:rsidRPr="001F5870" w14:paraId="1D9EAC2A" w14:textId="77777777" w:rsidTr="007B341F">
        <w:trPr>
          <w:trHeight w:val="290"/>
        </w:trPr>
        <w:tc>
          <w:tcPr>
            <w:tcW w:w="5280" w:type="dxa"/>
            <w:tcBorders>
              <w:top w:val="nil"/>
              <w:left w:val="nil"/>
              <w:bottom w:val="nil"/>
              <w:right w:val="nil"/>
            </w:tcBorders>
            <w:vAlign w:val="center"/>
            <w:hideMark/>
          </w:tcPr>
          <w:p w14:paraId="681EDD68"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LECAILLE Cédric</w:t>
            </w:r>
          </w:p>
        </w:tc>
        <w:tc>
          <w:tcPr>
            <w:tcW w:w="4900" w:type="dxa"/>
            <w:tcBorders>
              <w:top w:val="nil"/>
              <w:left w:val="nil"/>
              <w:bottom w:val="nil"/>
              <w:right w:val="nil"/>
            </w:tcBorders>
            <w:vAlign w:val="center"/>
            <w:hideMark/>
          </w:tcPr>
          <w:p w14:paraId="0320D52C"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Polyclinique Bordeaux Nord Aquitaine</w:t>
            </w:r>
          </w:p>
        </w:tc>
      </w:tr>
      <w:tr w:rsidR="000069D7" w:rsidRPr="001F5870" w14:paraId="04860165" w14:textId="77777777" w:rsidTr="007B341F">
        <w:trPr>
          <w:trHeight w:val="290"/>
        </w:trPr>
        <w:tc>
          <w:tcPr>
            <w:tcW w:w="5280" w:type="dxa"/>
            <w:tcBorders>
              <w:top w:val="nil"/>
              <w:left w:val="nil"/>
              <w:bottom w:val="nil"/>
              <w:right w:val="nil"/>
            </w:tcBorders>
            <w:vAlign w:val="center"/>
            <w:hideMark/>
          </w:tcPr>
          <w:p w14:paraId="6B3F7D0E"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CASTANIE Hélène</w:t>
            </w:r>
          </w:p>
        </w:tc>
        <w:tc>
          <w:tcPr>
            <w:tcW w:w="4900" w:type="dxa"/>
            <w:tcBorders>
              <w:top w:val="nil"/>
              <w:left w:val="nil"/>
              <w:bottom w:val="nil"/>
              <w:right w:val="nil"/>
            </w:tcBorders>
            <w:vAlign w:val="center"/>
            <w:hideMark/>
          </w:tcPr>
          <w:p w14:paraId="7DAD82F6"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Hôpital Privé du confluent SAS</w:t>
            </w:r>
          </w:p>
        </w:tc>
      </w:tr>
      <w:tr w:rsidR="000069D7" w:rsidRPr="001F5870" w14:paraId="12956F54" w14:textId="77777777" w:rsidTr="007B341F">
        <w:trPr>
          <w:trHeight w:val="290"/>
        </w:trPr>
        <w:tc>
          <w:tcPr>
            <w:tcW w:w="5280" w:type="dxa"/>
            <w:tcBorders>
              <w:top w:val="nil"/>
              <w:left w:val="nil"/>
              <w:bottom w:val="nil"/>
              <w:right w:val="nil"/>
            </w:tcBorders>
            <w:vAlign w:val="center"/>
            <w:hideMark/>
          </w:tcPr>
          <w:p w14:paraId="23F03411"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FERRAND François-Régis</w:t>
            </w:r>
          </w:p>
        </w:tc>
        <w:tc>
          <w:tcPr>
            <w:tcW w:w="4900" w:type="dxa"/>
            <w:tcBorders>
              <w:top w:val="nil"/>
              <w:left w:val="nil"/>
              <w:bottom w:val="nil"/>
              <w:right w:val="nil"/>
            </w:tcBorders>
            <w:noWrap/>
            <w:vAlign w:val="center"/>
            <w:hideMark/>
          </w:tcPr>
          <w:p w14:paraId="510A48BE"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HIA Begin</w:t>
            </w:r>
          </w:p>
        </w:tc>
      </w:tr>
      <w:tr w:rsidR="000069D7" w:rsidRPr="001F5870" w14:paraId="1F540AB1" w14:textId="77777777" w:rsidTr="007B341F">
        <w:trPr>
          <w:trHeight w:val="290"/>
        </w:trPr>
        <w:tc>
          <w:tcPr>
            <w:tcW w:w="5280" w:type="dxa"/>
            <w:tcBorders>
              <w:top w:val="nil"/>
              <w:left w:val="nil"/>
              <w:bottom w:val="nil"/>
              <w:right w:val="nil"/>
            </w:tcBorders>
            <w:vAlign w:val="center"/>
            <w:hideMark/>
          </w:tcPr>
          <w:p w14:paraId="09DC95E0"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HOCINE Fayçal</w:t>
            </w:r>
          </w:p>
        </w:tc>
        <w:tc>
          <w:tcPr>
            <w:tcW w:w="4900" w:type="dxa"/>
            <w:tcBorders>
              <w:top w:val="nil"/>
              <w:left w:val="nil"/>
              <w:bottom w:val="nil"/>
              <w:right w:val="nil"/>
            </w:tcBorders>
            <w:vAlign w:val="center"/>
            <w:hideMark/>
          </w:tcPr>
          <w:p w14:paraId="6E6E7A3B"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Centre hospitalier de Beauvais</w:t>
            </w:r>
          </w:p>
        </w:tc>
      </w:tr>
      <w:tr w:rsidR="000069D7" w:rsidRPr="001F5870" w14:paraId="3321D3F9" w14:textId="77777777" w:rsidTr="007B341F">
        <w:trPr>
          <w:trHeight w:val="290"/>
        </w:trPr>
        <w:tc>
          <w:tcPr>
            <w:tcW w:w="5280" w:type="dxa"/>
            <w:tcBorders>
              <w:top w:val="nil"/>
              <w:left w:val="nil"/>
              <w:bottom w:val="nil"/>
              <w:right w:val="nil"/>
            </w:tcBorders>
            <w:vAlign w:val="center"/>
            <w:hideMark/>
          </w:tcPr>
          <w:p w14:paraId="762AF972"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BACHET Jean-Baptiste</w:t>
            </w:r>
          </w:p>
        </w:tc>
        <w:tc>
          <w:tcPr>
            <w:tcW w:w="4900" w:type="dxa"/>
            <w:tcBorders>
              <w:top w:val="nil"/>
              <w:left w:val="nil"/>
              <w:bottom w:val="nil"/>
              <w:right w:val="nil"/>
            </w:tcBorders>
            <w:vAlign w:val="center"/>
            <w:hideMark/>
          </w:tcPr>
          <w:p w14:paraId="69B07FC0"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GH Pitié Salpêtrière</w:t>
            </w:r>
          </w:p>
        </w:tc>
      </w:tr>
      <w:tr w:rsidR="000069D7" w:rsidRPr="001F5870" w14:paraId="2979AF98" w14:textId="77777777" w:rsidTr="007B341F">
        <w:trPr>
          <w:trHeight w:val="290"/>
        </w:trPr>
        <w:tc>
          <w:tcPr>
            <w:tcW w:w="5280" w:type="dxa"/>
            <w:tcBorders>
              <w:top w:val="nil"/>
              <w:left w:val="nil"/>
              <w:bottom w:val="nil"/>
              <w:right w:val="nil"/>
            </w:tcBorders>
            <w:vAlign w:val="center"/>
            <w:hideMark/>
          </w:tcPr>
          <w:p w14:paraId="33CDCE86"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SAUDES Laurence</w:t>
            </w:r>
          </w:p>
        </w:tc>
        <w:tc>
          <w:tcPr>
            <w:tcW w:w="4900" w:type="dxa"/>
            <w:tcBorders>
              <w:top w:val="nil"/>
              <w:left w:val="nil"/>
              <w:bottom w:val="nil"/>
              <w:right w:val="nil"/>
            </w:tcBorders>
            <w:vAlign w:val="center"/>
            <w:hideMark/>
          </w:tcPr>
          <w:p w14:paraId="7978C710"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Centre Hospitalier de Cannes</w:t>
            </w:r>
          </w:p>
        </w:tc>
      </w:tr>
      <w:tr w:rsidR="000069D7" w:rsidRPr="001F5870" w14:paraId="0F7ADCD4" w14:textId="77777777" w:rsidTr="007B341F">
        <w:trPr>
          <w:trHeight w:val="290"/>
        </w:trPr>
        <w:tc>
          <w:tcPr>
            <w:tcW w:w="5280" w:type="dxa"/>
            <w:tcBorders>
              <w:top w:val="nil"/>
              <w:left w:val="nil"/>
              <w:bottom w:val="nil"/>
              <w:right w:val="nil"/>
            </w:tcBorders>
            <w:vAlign w:val="center"/>
            <w:hideMark/>
          </w:tcPr>
          <w:p w14:paraId="3C521A95"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PERE VERGE Denis</w:t>
            </w:r>
          </w:p>
        </w:tc>
        <w:tc>
          <w:tcPr>
            <w:tcW w:w="4900" w:type="dxa"/>
            <w:tcBorders>
              <w:top w:val="nil"/>
              <w:left w:val="nil"/>
              <w:bottom w:val="nil"/>
              <w:right w:val="nil"/>
            </w:tcBorders>
            <w:vAlign w:val="center"/>
            <w:hideMark/>
          </w:tcPr>
          <w:p w14:paraId="34D2A118"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 xml:space="preserve">Hôpital Saint Joseph </w:t>
            </w:r>
          </w:p>
        </w:tc>
      </w:tr>
      <w:tr w:rsidR="000069D7" w:rsidRPr="001F5870" w14:paraId="1D124EC7" w14:textId="77777777" w:rsidTr="007B341F">
        <w:trPr>
          <w:trHeight w:val="290"/>
        </w:trPr>
        <w:tc>
          <w:tcPr>
            <w:tcW w:w="5280" w:type="dxa"/>
            <w:tcBorders>
              <w:top w:val="nil"/>
              <w:left w:val="nil"/>
              <w:bottom w:val="nil"/>
              <w:right w:val="nil"/>
            </w:tcBorders>
            <w:noWrap/>
            <w:vAlign w:val="center"/>
            <w:hideMark/>
          </w:tcPr>
          <w:p w14:paraId="777672F3"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LEDIT Alain</w:t>
            </w:r>
          </w:p>
        </w:tc>
        <w:tc>
          <w:tcPr>
            <w:tcW w:w="4900" w:type="dxa"/>
            <w:tcBorders>
              <w:top w:val="nil"/>
              <w:left w:val="nil"/>
              <w:bottom w:val="nil"/>
              <w:right w:val="nil"/>
            </w:tcBorders>
            <w:vAlign w:val="center"/>
            <w:hideMark/>
          </w:tcPr>
          <w:p w14:paraId="1624CE7D"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Clinique des Cèdres</w:t>
            </w:r>
          </w:p>
        </w:tc>
      </w:tr>
      <w:tr w:rsidR="000069D7" w:rsidRPr="001F5870" w14:paraId="4BCC46CC" w14:textId="77777777" w:rsidTr="007B341F">
        <w:trPr>
          <w:trHeight w:val="290"/>
        </w:trPr>
        <w:tc>
          <w:tcPr>
            <w:tcW w:w="5280" w:type="dxa"/>
            <w:tcBorders>
              <w:top w:val="nil"/>
              <w:left w:val="nil"/>
              <w:bottom w:val="nil"/>
              <w:right w:val="nil"/>
            </w:tcBorders>
            <w:vAlign w:val="center"/>
            <w:hideMark/>
          </w:tcPr>
          <w:p w14:paraId="6264F910"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BENOUNNA Jafaar</w:t>
            </w:r>
          </w:p>
        </w:tc>
        <w:tc>
          <w:tcPr>
            <w:tcW w:w="4900" w:type="dxa"/>
            <w:tcBorders>
              <w:top w:val="nil"/>
              <w:left w:val="nil"/>
              <w:bottom w:val="nil"/>
              <w:right w:val="nil"/>
            </w:tcBorders>
            <w:vAlign w:val="center"/>
            <w:hideMark/>
          </w:tcPr>
          <w:p w14:paraId="56B3D3AC"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 xml:space="preserve">ICO René Gauducheau </w:t>
            </w:r>
          </w:p>
        </w:tc>
      </w:tr>
      <w:tr w:rsidR="000069D7" w:rsidRPr="001F5870" w14:paraId="7F3646F3" w14:textId="77777777" w:rsidTr="007B341F">
        <w:trPr>
          <w:trHeight w:val="290"/>
        </w:trPr>
        <w:tc>
          <w:tcPr>
            <w:tcW w:w="5280" w:type="dxa"/>
            <w:tcBorders>
              <w:top w:val="nil"/>
              <w:left w:val="nil"/>
              <w:bottom w:val="nil"/>
              <w:right w:val="nil"/>
            </w:tcBorders>
            <w:vAlign w:val="center"/>
            <w:hideMark/>
          </w:tcPr>
          <w:p w14:paraId="76C4EDBA"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BROCARD Fabien</w:t>
            </w:r>
          </w:p>
        </w:tc>
        <w:tc>
          <w:tcPr>
            <w:tcW w:w="4900" w:type="dxa"/>
            <w:tcBorders>
              <w:top w:val="nil"/>
              <w:left w:val="nil"/>
              <w:bottom w:val="nil"/>
              <w:right w:val="nil"/>
            </w:tcBorders>
            <w:vAlign w:val="center"/>
            <w:hideMark/>
          </w:tcPr>
          <w:p w14:paraId="7BE0EECE"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 xml:space="preserve">Centre d’Oncologie de Gentilly </w:t>
            </w:r>
          </w:p>
        </w:tc>
      </w:tr>
      <w:tr w:rsidR="000069D7" w:rsidRPr="001F5870" w14:paraId="56291870" w14:textId="77777777" w:rsidTr="007B341F">
        <w:trPr>
          <w:trHeight w:val="290"/>
        </w:trPr>
        <w:tc>
          <w:tcPr>
            <w:tcW w:w="5280" w:type="dxa"/>
            <w:tcBorders>
              <w:top w:val="nil"/>
              <w:left w:val="nil"/>
              <w:bottom w:val="nil"/>
              <w:right w:val="nil"/>
            </w:tcBorders>
            <w:vAlign w:val="center"/>
            <w:hideMark/>
          </w:tcPr>
          <w:p w14:paraId="604CCAB1"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SABAN-ROCHE Léa</w:t>
            </w:r>
          </w:p>
        </w:tc>
        <w:tc>
          <w:tcPr>
            <w:tcW w:w="4900" w:type="dxa"/>
            <w:tcBorders>
              <w:top w:val="nil"/>
              <w:left w:val="nil"/>
              <w:bottom w:val="nil"/>
              <w:right w:val="nil"/>
            </w:tcBorders>
            <w:vAlign w:val="center"/>
            <w:hideMark/>
          </w:tcPr>
          <w:p w14:paraId="7D08D039"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 xml:space="preserve">ICLOIRE </w:t>
            </w:r>
          </w:p>
        </w:tc>
      </w:tr>
      <w:tr w:rsidR="000069D7" w:rsidRPr="001F5870" w14:paraId="2BC2473E" w14:textId="77777777" w:rsidTr="007B341F">
        <w:trPr>
          <w:trHeight w:val="290"/>
        </w:trPr>
        <w:tc>
          <w:tcPr>
            <w:tcW w:w="5280" w:type="dxa"/>
            <w:tcBorders>
              <w:top w:val="nil"/>
              <w:left w:val="nil"/>
              <w:bottom w:val="nil"/>
              <w:right w:val="nil"/>
            </w:tcBorders>
            <w:vAlign w:val="center"/>
            <w:hideMark/>
          </w:tcPr>
          <w:p w14:paraId="019B52BD"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CHAUVENET Laure</w:t>
            </w:r>
          </w:p>
        </w:tc>
        <w:tc>
          <w:tcPr>
            <w:tcW w:w="4900" w:type="dxa"/>
            <w:tcBorders>
              <w:top w:val="nil"/>
              <w:left w:val="nil"/>
              <w:bottom w:val="nil"/>
              <w:right w:val="nil"/>
            </w:tcBorders>
            <w:vAlign w:val="center"/>
            <w:hideMark/>
          </w:tcPr>
          <w:p w14:paraId="3EC1CC2A"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Centre Hospitalier de Sens</w:t>
            </w:r>
          </w:p>
        </w:tc>
      </w:tr>
      <w:tr w:rsidR="000069D7" w:rsidRPr="001F5870" w14:paraId="3DF602FD" w14:textId="77777777" w:rsidTr="007B341F">
        <w:trPr>
          <w:trHeight w:val="290"/>
        </w:trPr>
        <w:tc>
          <w:tcPr>
            <w:tcW w:w="5280" w:type="dxa"/>
            <w:tcBorders>
              <w:top w:val="nil"/>
              <w:left w:val="nil"/>
              <w:bottom w:val="nil"/>
              <w:right w:val="nil"/>
            </w:tcBorders>
            <w:noWrap/>
            <w:vAlign w:val="center"/>
            <w:hideMark/>
          </w:tcPr>
          <w:p w14:paraId="5733EE9D"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VANOLI André</w:t>
            </w:r>
          </w:p>
        </w:tc>
        <w:tc>
          <w:tcPr>
            <w:tcW w:w="4900" w:type="dxa"/>
            <w:tcBorders>
              <w:top w:val="nil"/>
              <w:left w:val="nil"/>
              <w:bottom w:val="nil"/>
              <w:right w:val="nil"/>
            </w:tcBorders>
            <w:vAlign w:val="center"/>
            <w:hideMark/>
          </w:tcPr>
          <w:p w14:paraId="7E55D5BF" w14:textId="77777777" w:rsidR="000069D7" w:rsidRPr="001F5870" w:rsidRDefault="000069D7" w:rsidP="007B341F">
            <w:pPr>
              <w:rPr>
                <w:rFonts w:ascii="Arial" w:eastAsia="Times New Roman" w:hAnsi="Arial" w:cs="Arial"/>
                <w:color w:val="000000"/>
                <w:szCs w:val="24"/>
              </w:rPr>
            </w:pPr>
            <w:r w:rsidRPr="001F5870">
              <w:rPr>
                <w:rFonts w:ascii="Arial" w:eastAsia="Times New Roman" w:hAnsi="Arial" w:cs="Arial"/>
                <w:color w:val="000000"/>
                <w:szCs w:val="24"/>
              </w:rPr>
              <w:t>Hôpital Privé Sainte Marie</w:t>
            </w:r>
          </w:p>
        </w:tc>
      </w:tr>
    </w:tbl>
    <w:p w14:paraId="11988C2C" w14:textId="0B8D4291" w:rsidR="000069D7" w:rsidRPr="001F5870" w:rsidRDefault="000069D7" w:rsidP="00B9440A">
      <w:pPr>
        <w:pStyle w:val="SMText"/>
        <w:rPr>
          <w:rFonts w:ascii="Arial" w:hAnsi="Arial" w:cs="Arial"/>
          <w:szCs w:val="24"/>
        </w:rPr>
      </w:pPr>
    </w:p>
    <w:p w14:paraId="453F5FC2" w14:textId="1ACB2243" w:rsidR="000069D7" w:rsidRPr="001F5870" w:rsidRDefault="000069D7">
      <w:pPr>
        <w:rPr>
          <w:rFonts w:ascii="Arial" w:hAnsi="Arial" w:cs="Arial"/>
          <w:szCs w:val="24"/>
        </w:rPr>
      </w:pPr>
    </w:p>
    <w:p w14:paraId="147B2DBF" w14:textId="71A94BD9" w:rsidR="0044170B" w:rsidRDefault="008A0CCA" w:rsidP="0044170B">
      <w:pPr>
        <w:rPr>
          <w:rFonts w:ascii="Arial" w:hAnsi="Arial" w:cs="Arial"/>
        </w:rPr>
      </w:pPr>
      <w:r>
        <w:rPr>
          <w:rFonts w:ascii="Arial" w:hAnsi="Arial" w:cs="Arial"/>
          <w:noProof/>
        </w:rPr>
        <w:drawing>
          <wp:inline distT="0" distB="0" distL="0" distR="0" wp14:anchorId="6BE16A09" wp14:editId="61BACACE">
            <wp:extent cx="7981950" cy="3990975"/>
            <wp:effectExtent l="0" t="0" r="0" b="9525"/>
            <wp:docPr id="11048825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83836" cy="3991918"/>
                    </a:xfrm>
                    <a:prstGeom prst="rect">
                      <a:avLst/>
                    </a:prstGeom>
                    <a:noFill/>
                    <a:ln>
                      <a:noFill/>
                    </a:ln>
                  </pic:spPr>
                </pic:pic>
              </a:graphicData>
            </a:graphic>
          </wp:inline>
        </w:drawing>
      </w:r>
    </w:p>
    <w:p w14:paraId="330FB1AD" w14:textId="77777777" w:rsidR="0044170B" w:rsidRPr="006E202F" w:rsidRDefault="0044170B" w:rsidP="006E202F"/>
    <w:p w14:paraId="7147AAA8" w14:textId="77777777" w:rsidR="0044170B" w:rsidRPr="006E202F" w:rsidRDefault="0044170B" w:rsidP="006E202F"/>
    <w:p w14:paraId="4FE4BF83" w14:textId="77777777" w:rsidR="0044170B" w:rsidRPr="006E202F" w:rsidRDefault="0044170B" w:rsidP="006E202F"/>
    <w:p w14:paraId="79EA6D56" w14:textId="77777777" w:rsidR="0044170B" w:rsidRPr="006E202F" w:rsidRDefault="0044170B" w:rsidP="006E202F"/>
    <w:p w14:paraId="6A414D44" w14:textId="77777777" w:rsidR="0044170B" w:rsidRPr="006E202F" w:rsidRDefault="0044170B" w:rsidP="006E202F"/>
    <w:p w14:paraId="6D50BBEF" w14:textId="31717FD1" w:rsidR="00015F74" w:rsidRPr="001F5870" w:rsidRDefault="005648D6" w:rsidP="00B9440A">
      <w:pPr>
        <w:pStyle w:val="SMHeading"/>
        <w:rPr>
          <w:rFonts w:ascii="Arial" w:hAnsi="Arial" w:cs="Arial"/>
        </w:rPr>
      </w:pPr>
      <w:r w:rsidRPr="001F5870">
        <w:rPr>
          <w:rFonts w:ascii="Arial" w:hAnsi="Arial" w:cs="Arial"/>
        </w:rPr>
        <w:t xml:space="preserve">Supplementary </w:t>
      </w:r>
      <w:r w:rsidR="007411A1" w:rsidRPr="001F5870">
        <w:rPr>
          <w:rFonts w:ascii="Arial" w:hAnsi="Arial" w:cs="Arial"/>
        </w:rPr>
        <w:t>Fig</w:t>
      </w:r>
      <w:r w:rsidRPr="001F5870">
        <w:rPr>
          <w:rFonts w:ascii="Arial" w:hAnsi="Arial" w:cs="Arial"/>
        </w:rPr>
        <w:t>.</w:t>
      </w:r>
      <w:r w:rsidR="007411A1" w:rsidRPr="001F5870">
        <w:rPr>
          <w:rFonts w:ascii="Arial" w:hAnsi="Arial" w:cs="Arial"/>
        </w:rPr>
        <w:t xml:space="preserve"> 1.</w:t>
      </w:r>
    </w:p>
    <w:p w14:paraId="2AD205DD" w14:textId="68B7F66F" w:rsidR="009A5287" w:rsidRPr="001F5870" w:rsidRDefault="004C711A" w:rsidP="00B9440A">
      <w:pPr>
        <w:pStyle w:val="SMcaption"/>
        <w:rPr>
          <w:rFonts w:ascii="Arial" w:hAnsi="Arial" w:cs="Arial"/>
          <w:szCs w:val="24"/>
        </w:rPr>
      </w:pPr>
      <w:bookmarkStart w:id="2" w:name="_Hlk197449772"/>
      <w:r w:rsidRPr="001F5870">
        <w:rPr>
          <w:rFonts w:ascii="Arial" w:hAnsi="Arial" w:cs="Arial"/>
          <w:szCs w:val="24"/>
        </w:rPr>
        <w:t>Forest plot of prespecified subgroups. (</w:t>
      </w:r>
      <w:r w:rsidR="00CE6D53">
        <w:rPr>
          <w:rFonts w:ascii="Arial" w:hAnsi="Arial" w:cs="Arial"/>
          <w:szCs w:val="24"/>
        </w:rPr>
        <w:t>a</w:t>
      </w:r>
      <w:r w:rsidRPr="001F5870">
        <w:rPr>
          <w:rFonts w:ascii="Arial" w:hAnsi="Arial" w:cs="Arial"/>
          <w:szCs w:val="24"/>
        </w:rPr>
        <w:t>) Duration of disease control. (</w:t>
      </w:r>
      <w:r w:rsidR="00CE6D53">
        <w:rPr>
          <w:rFonts w:ascii="Arial" w:hAnsi="Arial" w:cs="Arial"/>
          <w:szCs w:val="24"/>
        </w:rPr>
        <w:t>b</w:t>
      </w:r>
      <w:r w:rsidRPr="001F5870">
        <w:rPr>
          <w:rFonts w:ascii="Arial" w:hAnsi="Arial" w:cs="Arial"/>
          <w:szCs w:val="24"/>
        </w:rPr>
        <w:t>) Overall survival.</w:t>
      </w:r>
      <w:bookmarkEnd w:id="2"/>
    </w:p>
    <w:p w14:paraId="24D6928E" w14:textId="77777777" w:rsidR="004C711A" w:rsidRPr="001F5870" w:rsidRDefault="004C711A">
      <w:pPr>
        <w:rPr>
          <w:rFonts w:ascii="Arial" w:hAnsi="Arial" w:cs="Arial"/>
          <w:szCs w:val="24"/>
        </w:rPr>
      </w:pPr>
      <w:r w:rsidRPr="001F5870">
        <w:rPr>
          <w:rFonts w:ascii="Arial" w:hAnsi="Arial" w:cs="Arial"/>
          <w:szCs w:val="24"/>
        </w:rPr>
        <w:br w:type="page"/>
      </w:r>
    </w:p>
    <w:p w14:paraId="1B7A92AC" w14:textId="5DA8EAB5" w:rsidR="004C711A" w:rsidRPr="001F5870" w:rsidRDefault="008A0CCA" w:rsidP="004C711A">
      <w:pPr>
        <w:autoSpaceDE w:val="0"/>
        <w:autoSpaceDN w:val="0"/>
        <w:adjustRightInd w:val="0"/>
        <w:spacing w:line="480" w:lineRule="auto"/>
        <w:jc w:val="both"/>
        <w:rPr>
          <w:rFonts w:ascii="Arial" w:hAnsi="Arial" w:cs="Arial"/>
          <w:noProof/>
          <w:color w:val="000000"/>
          <w:szCs w:val="24"/>
        </w:rPr>
      </w:pPr>
      <w:r>
        <w:rPr>
          <w:rFonts w:ascii="Arial" w:hAnsi="Arial" w:cs="Arial"/>
          <w:noProof/>
          <w:color w:val="000000"/>
          <w:szCs w:val="24"/>
        </w:rPr>
        <w:lastRenderedPageBreak/>
        <w:drawing>
          <wp:inline distT="0" distB="0" distL="0" distR="0" wp14:anchorId="15581C9A" wp14:editId="6EEBA8E2">
            <wp:extent cx="7772400" cy="5181600"/>
            <wp:effectExtent l="0" t="0" r="0" b="0"/>
            <wp:docPr id="17346149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72400" cy="5181600"/>
                    </a:xfrm>
                    <a:prstGeom prst="rect">
                      <a:avLst/>
                    </a:prstGeom>
                    <a:noFill/>
                    <a:ln>
                      <a:noFill/>
                    </a:ln>
                  </pic:spPr>
                </pic:pic>
              </a:graphicData>
            </a:graphic>
          </wp:inline>
        </w:drawing>
      </w:r>
    </w:p>
    <w:p w14:paraId="3567FF95" w14:textId="0B3D8708" w:rsidR="00112C5B" w:rsidRPr="001F5870" w:rsidRDefault="005648D6" w:rsidP="00B9440A">
      <w:pPr>
        <w:pStyle w:val="SMHeading"/>
        <w:rPr>
          <w:rFonts w:ascii="Arial" w:hAnsi="Arial" w:cs="Arial"/>
        </w:rPr>
      </w:pPr>
      <w:r w:rsidRPr="001F5870">
        <w:rPr>
          <w:rFonts w:ascii="Arial" w:hAnsi="Arial" w:cs="Arial"/>
        </w:rPr>
        <w:lastRenderedPageBreak/>
        <w:t xml:space="preserve">Supplementary </w:t>
      </w:r>
      <w:r w:rsidR="00112C5B" w:rsidRPr="001F5870">
        <w:rPr>
          <w:rFonts w:ascii="Arial" w:hAnsi="Arial" w:cs="Arial"/>
        </w:rPr>
        <w:t>Fig. 2</w:t>
      </w:r>
      <w:r w:rsidR="008218C4" w:rsidRPr="001F5870">
        <w:rPr>
          <w:rFonts w:ascii="Arial" w:hAnsi="Arial" w:cs="Arial"/>
        </w:rPr>
        <w:t>.</w:t>
      </w:r>
    </w:p>
    <w:p w14:paraId="229C0DA8" w14:textId="1F0599E9" w:rsidR="004C711A" w:rsidRPr="001F5870" w:rsidRDefault="004C711A" w:rsidP="004C711A">
      <w:pPr>
        <w:autoSpaceDE w:val="0"/>
        <w:autoSpaceDN w:val="0"/>
        <w:adjustRightInd w:val="0"/>
        <w:spacing w:line="480" w:lineRule="auto"/>
        <w:jc w:val="both"/>
        <w:rPr>
          <w:rFonts w:ascii="Arial" w:hAnsi="Arial" w:cs="Arial"/>
          <w:szCs w:val="24"/>
        </w:rPr>
      </w:pPr>
      <w:r w:rsidRPr="001F5870">
        <w:rPr>
          <w:rFonts w:ascii="Arial" w:hAnsi="Arial" w:cs="Arial"/>
          <w:szCs w:val="24"/>
        </w:rPr>
        <w:t>Secondary endpoints. (</w:t>
      </w:r>
      <w:r w:rsidR="00CE6D53">
        <w:rPr>
          <w:rFonts w:ascii="Arial" w:hAnsi="Arial" w:cs="Arial"/>
          <w:szCs w:val="24"/>
        </w:rPr>
        <w:t>a</w:t>
      </w:r>
      <w:r w:rsidRPr="001F5870">
        <w:rPr>
          <w:rFonts w:ascii="Arial" w:hAnsi="Arial" w:cs="Arial"/>
          <w:szCs w:val="24"/>
        </w:rPr>
        <w:t>) Progression-free survival in first-line. (</w:t>
      </w:r>
      <w:r w:rsidR="00CE6D53">
        <w:rPr>
          <w:rFonts w:ascii="Arial" w:hAnsi="Arial" w:cs="Arial"/>
          <w:szCs w:val="24"/>
        </w:rPr>
        <w:t>b</w:t>
      </w:r>
      <w:r w:rsidRPr="001F5870">
        <w:rPr>
          <w:rFonts w:ascii="Arial" w:hAnsi="Arial" w:cs="Arial"/>
          <w:szCs w:val="24"/>
        </w:rPr>
        <w:t>) Progression-free survival in second-line. (</w:t>
      </w:r>
      <w:r w:rsidR="00CE6D53">
        <w:rPr>
          <w:rFonts w:ascii="Arial" w:hAnsi="Arial" w:cs="Arial"/>
          <w:szCs w:val="24"/>
        </w:rPr>
        <w:t>c</w:t>
      </w:r>
      <w:r w:rsidRPr="001F5870">
        <w:rPr>
          <w:rFonts w:ascii="Arial" w:hAnsi="Arial" w:cs="Arial"/>
          <w:szCs w:val="24"/>
        </w:rPr>
        <w:t>) Time to failure of strategy (TFS). (</w:t>
      </w:r>
      <w:r w:rsidR="00CE6D53">
        <w:rPr>
          <w:rFonts w:ascii="Arial" w:hAnsi="Arial" w:cs="Arial"/>
          <w:szCs w:val="24"/>
        </w:rPr>
        <w:t>d</w:t>
      </w:r>
      <w:r w:rsidRPr="001F5870">
        <w:rPr>
          <w:rFonts w:ascii="Arial" w:hAnsi="Arial" w:cs="Arial"/>
          <w:szCs w:val="24"/>
        </w:rPr>
        <w:t>) Time until definitive deterioration of Global Health Status (excluding death as an event).</w:t>
      </w:r>
    </w:p>
    <w:tbl>
      <w:tblPr>
        <w:tblW w:w="5000" w:type="pct"/>
        <w:tblBorders>
          <w:insideH w:val="single" w:sz="4" w:space="0" w:color="auto"/>
        </w:tblBorders>
        <w:tblLook w:val="04A0" w:firstRow="1" w:lastRow="0" w:firstColumn="1" w:lastColumn="0" w:noHBand="0" w:noVBand="1"/>
      </w:tblPr>
      <w:tblGrid>
        <w:gridCol w:w="6853"/>
        <w:gridCol w:w="3240"/>
        <w:gridCol w:w="2867"/>
      </w:tblGrid>
      <w:tr w:rsidR="00EA633C" w:rsidRPr="001F5870" w14:paraId="3B6F0939" w14:textId="77777777" w:rsidTr="00EA633C">
        <w:trPr>
          <w:trHeight w:val="175"/>
          <w:tblHeader/>
        </w:trPr>
        <w:tc>
          <w:tcPr>
            <w:tcW w:w="2644" w:type="pct"/>
          </w:tcPr>
          <w:p w14:paraId="3A277F53" w14:textId="77777777" w:rsidR="00C46982" w:rsidRPr="001F5870" w:rsidRDefault="00C46982" w:rsidP="00DD6FF0">
            <w:pPr>
              <w:autoSpaceDE w:val="0"/>
              <w:autoSpaceDN w:val="0"/>
              <w:adjustRightInd w:val="0"/>
              <w:spacing w:line="480" w:lineRule="auto"/>
              <w:rPr>
                <w:rFonts w:ascii="Arial" w:hAnsi="Arial" w:cs="Arial"/>
                <w:szCs w:val="24"/>
              </w:rPr>
            </w:pPr>
          </w:p>
        </w:tc>
        <w:tc>
          <w:tcPr>
            <w:tcW w:w="1250" w:type="pct"/>
          </w:tcPr>
          <w:p w14:paraId="184C699F" w14:textId="77777777" w:rsidR="00C46982" w:rsidRPr="001F5870" w:rsidRDefault="00C46982" w:rsidP="00DD6FF0">
            <w:pPr>
              <w:autoSpaceDE w:val="0"/>
              <w:autoSpaceDN w:val="0"/>
              <w:adjustRightInd w:val="0"/>
              <w:spacing w:line="480" w:lineRule="auto"/>
              <w:jc w:val="both"/>
              <w:rPr>
                <w:rFonts w:ascii="Arial" w:hAnsi="Arial" w:cs="Arial"/>
                <w:b/>
                <w:bCs/>
                <w:szCs w:val="24"/>
              </w:rPr>
            </w:pPr>
            <w:r w:rsidRPr="001F5870">
              <w:rPr>
                <w:rFonts w:ascii="Arial" w:hAnsi="Arial" w:cs="Arial"/>
                <w:b/>
                <w:bCs/>
                <w:szCs w:val="24"/>
              </w:rPr>
              <w:t>Arm A</w:t>
            </w:r>
          </w:p>
        </w:tc>
        <w:tc>
          <w:tcPr>
            <w:tcW w:w="1106" w:type="pct"/>
          </w:tcPr>
          <w:p w14:paraId="467CC3C4" w14:textId="77777777" w:rsidR="00C46982" w:rsidRPr="001F5870" w:rsidRDefault="00C46982" w:rsidP="00DD6FF0">
            <w:pPr>
              <w:autoSpaceDE w:val="0"/>
              <w:autoSpaceDN w:val="0"/>
              <w:adjustRightInd w:val="0"/>
              <w:spacing w:line="480" w:lineRule="auto"/>
              <w:jc w:val="both"/>
              <w:rPr>
                <w:rFonts w:ascii="Arial" w:hAnsi="Arial" w:cs="Arial"/>
                <w:b/>
                <w:bCs/>
                <w:szCs w:val="24"/>
              </w:rPr>
            </w:pPr>
            <w:r w:rsidRPr="001F5870">
              <w:rPr>
                <w:rFonts w:ascii="Arial" w:hAnsi="Arial" w:cs="Arial"/>
                <w:b/>
                <w:bCs/>
                <w:szCs w:val="24"/>
              </w:rPr>
              <w:t>Arm B</w:t>
            </w:r>
          </w:p>
        </w:tc>
      </w:tr>
      <w:tr w:rsidR="00EA633C" w:rsidRPr="001F5870" w14:paraId="0928462E" w14:textId="77777777" w:rsidTr="00EA633C">
        <w:trPr>
          <w:trHeight w:val="293"/>
        </w:trPr>
        <w:tc>
          <w:tcPr>
            <w:tcW w:w="2644" w:type="pct"/>
            <w:tcBorders>
              <w:bottom w:val="single" w:sz="4" w:space="0" w:color="auto"/>
            </w:tcBorders>
          </w:tcPr>
          <w:p w14:paraId="2DC1B370" w14:textId="77777777" w:rsidR="00C46982" w:rsidRPr="001F5870" w:rsidRDefault="00C46982" w:rsidP="00DD6FF0">
            <w:pPr>
              <w:autoSpaceDE w:val="0"/>
              <w:autoSpaceDN w:val="0"/>
              <w:adjustRightInd w:val="0"/>
              <w:spacing w:line="480" w:lineRule="auto"/>
              <w:rPr>
                <w:rFonts w:ascii="Arial" w:hAnsi="Arial" w:cs="Arial"/>
                <w:b/>
                <w:bCs/>
                <w:szCs w:val="24"/>
              </w:rPr>
            </w:pPr>
          </w:p>
        </w:tc>
        <w:tc>
          <w:tcPr>
            <w:tcW w:w="1250" w:type="pct"/>
            <w:tcBorders>
              <w:top w:val="single" w:sz="4" w:space="0" w:color="auto"/>
              <w:bottom w:val="single" w:sz="4" w:space="0" w:color="auto"/>
            </w:tcBorders>
          </w:tcPr>
          <w:p w14:paraId="7B0DA075" w14:textId="77777777" w:rsidR="00C46982" w:rsidRPr="001F5870" w:rsidRDefault="00C46982" w:rsidP="00DD6FF0">
            <w:pPr>
              <w:autoSpaceDE w:val="0"/>
              <w:autoSpaceDN w:val="0"/>
              <w:adjustRightInd w:val="0"/>
              <w:spacing w:line="480" w:lineRule="auto"/>
              <w:jc w:val="both"/>
              <w:rPr>
                <w:rFonts w:ascii="Arial" w:hAnsi="Arial" w:cs="Arial"/>
                <w:b/>
                <w:bCs/>
                <w:szCs w:val="24"/>
              </w:rPr>
            </w:pPr>
            <w:r w:rsidRPr="001F5870">
              <w:rPr>
                <w:rFonts w:ascii="Arial" w:hAnsi="Arial" w:cs="Arial"/>
                <w:b/>
                <w:bCs/>
                <w:szCs w:val="24"/>
              </w:rPr>
              <w:t>n = 83</w:t>
            </w:r>
          </w:p>
        </w:tc>
        <w:tc>
          <w:tcPr>
            <w:tcW w:w="1106" w:type="pct"/>
            <w:tcBorders>
              <w:top w:val="single" w:sz="4" w:space="0" w:color="auto"/>
              <w:bottom w:val="single" w:sz="4" w:space="0" w:color="auto"/>
            </w:tcBorders>
          </w:tcPr>
          <w:p w14:paraId="54D1A15D" w14:textId="77777777" w:rsidR="00C46982" w:rsidRPr="001F5870" w:rsidRDefault="00C46982" w:rsidP="00DD6FF0">
            <w:pPr>
              <w:autoSpaceDE w:val="0"/>
              <w:autoSpaceDN w:val="0"/>
              <w:adjustRightInd w:val="0"/>
              <w:spacing w:line="480" w:lineRule="auto"/>
              <w:jc w:val="both"/>
              <w:rPr>
                <w:rFonts w:ascii="Arial" w:hAnsi="Arial" w:cs="Arial"/>
                <w:b/>
                <w:bCs/>
                <w:szCs w:val="24"/>
              </w:rPr>
            </w:pPr>
            <w:r w:rsidRPr="001F5870">
              <w:rPr>
                <w:rFonts w:ascii="Arial" w:hAnsi="Arial" w:cs="Arial"/>
                <w:b/>
                <w:bCs/>
                <w:szCs w:val="24"/>
              </w:rPr>
              <w:t>n = 69</w:t>
            </w:r>
          </w:p>
        </w:tc>
      </w:tr>
      <w:tr w:rsidR="00EA633C" w:rsidRPr="001F5870" w14:paraId="4ADB4B42" w14:textId="77777777" w:rsidTr="00EA633C">
        <w:trPr>
          <w:trHeight w:val="293"/>
        </w:trPr>
        <w:tc>
          <w:tcPr>
            <w:tcW w:w="2644" w:type="pct"/>
            <w:tcBorders>
              <w:top w:val="single" w:sz="4" w:space="0" w:color="auto"/>
              <w:bottom w:val="nil"/>
              <w:right w:val="single" w:sz="4" w:space="0" w:color="auto"/>
            </w:tcBorders>
            <w:vAlign w:val="bottom"/>
          </w:tcPr>
          <w:p w14:paraId="6918FA92" w14:textId="77777777" w:rsidR="00C46982" w:rsidRPr="001F5870" w:rsidRDefault="00C46982" w:rsidP="00DD6FF0">
            <w:pPr>
              <w:autoSpaceDE w:val="0"/>
              <w:autoSpaceDN w:val="0"/>
              <w:adjustRightInd w:val="0"/>
              <w:spacing w:line="480" w:lineRule="auto"/>
              <w:rPr>
                <w:rFonts w:ascii="Arial" w:hAnsi="Arial" w:cs="Arial"/>
                <w:szCs w:val="24"/>
              </w:rPr>
            </w:pPr>
            <w:r w:rsidRPr="001F5870">
              <w:rPr>
                <w:rFonts w:ascii="Arial" w:eastAsia="Times New Roman" w:hAnsi="Arial" w:cs="Arial"/>
                <w:color w:val="000000"/>
                <w:szCs w:val="24"/>
              </w:rPr>
              <w:t>Death</w:t>
            </w:r>
          </w:p>
        </w:tc>
        <w:tc>
          <w:tcPr>
            <w:tcW w:w="1250" w:type="pct"/>
            <w:tcBorders>
              <w:left w:val="single" w:sz="4" w:space="0" w:color="auto"/>
              <w:right w:val="single" w:sz="4" w:space="0" w:color="auto"/>
            </w:tcBorders>
            <w:vAlign w:val="bottom"/>
          </w:tcPr>
          <w:p w14:paraId="7E51A527" w14:textId="77777777" w:rsidR="00C46982" w:rsidRPr="001F5870" w:rsidRDefault="00C46982" w:rsidP="00DD6FF0">
            <w:pPr>
              <w:autoSpaceDE w:val="0"/>
              <w:autoSpaceDN w:val="0"/>
              <w:adjustRightInd w:val="0"/>
              <w:spacing w:line="480" w:lineRule="auto"/>
              <w:rPr>
                <w:rFonts w:ascii="Arial" w:hAnsi="Arial" w:cs="Arial"/>
                <w:szCs w:val="24"/>
              </w:rPr>
            </w:pPr>
            <w:r w:rsidRPr="001F5870">
              <w:rPr>
                <w:rFonts w:ascii="Arial" w:eastAsia="Times New Roman" w:hAnsi="Arial" w:cs="Arial"/>
                <w:color w:val="000000"/>
                <w:szCs w:val="24"/>
              </w:rPr>
              <w:t>9 (25.0)</w:t>
            </w:r>
          </w:p>
        </w:tc>
        <w:tc>
          <w:tcPr>
            <w:tcW w:w="1106" w:type="pct"/>
            <w:tcBorders>
              <w:left w:val="single" w:sz="4" w:space="0" w:color="auto"/>
              <w:right w:val="single" w:sz="4" w:space="0" w:color="auto"/>
            </w:tcBorders>
            <w:vAlign w:val="bottom"/>
          </w:tcPr>
          <w:p w14:paraId="1D39BB83" w14:textId="77777777" w:rsidR="00C46982" w:rsidRPr="001F5870" w:rsidRDefault="00C46982" w:rsidP="00DD6FF0">
            <w:pPr>
              <w:autoSpaceDE w:val="0"/>
              <w:autoSpaceDN w:val="0"/>
              <w:adjustRightInd w:val="0"/>
              <w:spacing w:line="480" w:lineRule="auto"/>
              <w:rPr>
                <w:rFonts w:ascii="Arial" w:hAnsi="Arial" w:cs="Arial"/>
                <w:szCs w:val="24"/>
              </w:rPr>
            </w:pPr>
            <w:r w:rsidRPr="001F5870">
              <w:rPr>
                <w:rFonts w:ascii="Arial" w:eastAsia="Times New Roman" w:hAnsi="Arial" w:cs="Arial"/>
                <w:color w:val="000000"/>
                <w:szCs w:val="24"/>
              </w:rPr>
              <w:t>18 (32.7)</w:t>
            </w:r>
          </w:p>
        </w:tc>
      </w:tr>
      <w:tr w:rsidR="00EA633C" w:rsidRPr="001F5870" w14:paraId="14AA7B01" w14:textId="77777777" w:rsidTr="00EA633C">
        <w:trPr>
          <w:trHeight w:val="293"/>
        </w:trPr>
        <w:tc>
          <w:tcPr>
            <w:tcW w:w="2644" w:type="pct"/>
            <w:tcBorders>
              <w:top w:val="single" w:sz="4" w:space="0" w:color="auto"/>
              <w:bottom w:val="nil"/>
              <w:right w:val="single" w:sz="4" w:space="0" w:color="auto"/>
            </w:tcBorders>
            <w:vAlign w:val="bottom"/>
          </w:tcPr>
          <w:p w14:paraId="59E3056E" w14:textId="77777777" w:rsidR="00C46982" w:rsidRPr="001F5870" w:rsidRDefault="00C46982" w:rsidP="00DD6FF0">
            <w:pPr>
              <w:autoSpaceDE w:val="0"/>
              <w:autoSpaceDN w:val="0"/>
              <w:adjustRightInd w:val="0"/>
              <w:spacing w:line="480" w:lineRule="auto"/>
              <w:rPr>
                <w:rFonts w:ascii="Arial" w:hAnsi="Arial" w:cs="Arial"/>
                <w:szCs w:val="24"/>
              </w:rPr>
            </w:pPr>
            <w:r w:rsidRPr="001F5870">
              <w:rPr>
                <w:rFonts w:ascii="Arial" w:eastAsia="Times New Roman" w:hAnsi="Arial" w:cs="Arial"/>
                <w:color w:val="000000"/>
                <w:szCs w:val="24"/>
              </w:rPr>
              <w:t>Progression following full treatment strategy</w:t>
            </w:r>
          </w:p>
        </w:tc>
        <w:tc>
          <w:tcPr>
            <w:tcW w:w="1250" w:type="pct"/>
            <w:tcBorders>
              <w:left w:val="single" w:sz="4" w:space="0" w:color="auto"/>
              <w:right w:val="single" w:sz="4" w:space="0" w:color="auto"/>
            </w:tcBorders>
            <w:vAlign w:val="bottom"/>
          </w:tcPr>
          <w:p w14:paraId="755440B9" w14:textId="77777777" w:rsidR="00C46982" w:rsidRPr="001F5870" w:rsidRDefault="00C46982" w:rsidP="00DD6FF0">
            <w:pPr>
              <w:autoSpaceDE w:val="0"/>
              <w:autoSpaceDN w:val="0"/>
              <w:adjustRightInd w:val="0"/>
              <w:spacing w:line="480" w:lineRule="auto"/>
              <w:rPr>
                <w:rFonts w:ascii="Arial" w:hAnsi="Arial" w:cs="Arial"/>
                <w:szCs w:val="24"/>
              </w:rPr>
            </w:pPr>
            <w:r w:rsidRPr="001F5870">
              <w:rPr>
                <w:rFonts w:ascii="Arial" w:eastAsia="Times New Roman" w:hAnsi="Arial" w:cs="Arial"/>
                <w:color w:val="000000"/>
                <w:szCs w:val="24"/>
              </w:rPr>
              <w:t>0 (0.0)</w:t>
            </w:r>
          </w:p>
        </w:tc>
        <w:tc>
          <w:tcPr>
            <w:tcW w:w="1106" w:type="pct"/>
            <w:tcBorders>
              <w:left w:val="single" w:sz="4" w:space="0" w:color="auto"/>
              <w:right w:val="single" w:sz="4" w:space="0" w:color="auto"/>
            </w:tcBorders>
            <w:vAlign w:val="bottom"/>
          </w:tcPr>
          <w:p w14:paraId="3C43EB66" w14:textId="77777777" w:rsidR="00C46982" w:rsidRPr="001F5870" w:rsidRDefault="00C46982" w:rsidP="00DD6FF0">
            <w:pPr>
              <w:autoSpaceDE w:val="0"/>
              <w:autoSpaceDN w:val="0"/>
              <w:adjustRightInd w:val="0"/>
              <w:spacing w:line="480" w:lineRule="auto"/>
              <w:rPr>
                <w:rFonts w:ascii="Arial" w:eastAsia="Times New Roman" w:hAnsi="Arial" w:cs="Arial"/>
                <w:color w:val="000000"/>
                <w:szCs w:val="24"/>
              </w:rPr>
            </w:pPr>
            <w:r w:rsidRPr="001F5870">
              <w:rPr>
                <w:rFonts w:ascii="Arial" w:eastAsia="Times New Roman" w:hAnsi="Arial" w:cs="Arial"/>
                <w:color w:val="000000"/>
                <w:szCs w:val="24"/>
              </w:rPr>
              <w:t>4 (7.3)</w:t>
            </w:r>
          </w:p>
        </w:tc>
      </w:tr>
      <w:tr w:rsidR="00EA633C" w:rsidRPr="001F5870" w14:paraId="5F20F794" w14:textId="77777777" w:rsidTr="00EA633C">
        <w:trPr>
          <w:trHeight w:val="293"/>
        </w:trPr>
        <w:tc>
          <w:tcPr>
            <w:tcW w:w="2644" w:type="pct"/>
            <w:tcBorders>
              <w:top w:val="single" w:sz="4" w:space="0" w:color="auto"/>
              <w:bottom w:val="nil"/>
              <w:right w:val="single" w:sz="4" w:space="0" w:color="auto"/>
            </w:tcBorders>
            <w:vAlign w:val="bottom"/>
          </w:tcPr>
          <w:p w14:paraId="6B3D8BC2" w14:textId="77777777" w:rsidR="00C46982" w:rsidRPr="001F5870" w:rsidRDefault="00C46982" w:rsidP="00DD6FF0">
            <w:pPr>
              <w:autoSpaceDE w:val="0"/>
              <w:autoSpaceDN w:val="0"/>
              <w:adjustRightInd w:val="0"/>
              <w:spacing w:line="480" w:lineRule="auto"/>
              <w:rPr>
                <w:rFonts w:ascii="Arial" w:hAnsi="Arial" w:cs="Arial"/>
                <w:szCs w:val="24"/>
              </w:rPr>
            </w:pPr>
            <w:r w:rsidRPr="001F5870">
              <w:rPr>
                <w:rFonts w:ascii="Arial" w:eastAsia="Times New Roman" w:hAnsi="Arial" w:cs="Arial"/>
                <w:color w:val="000000"/>
                <w:szCs w:val="24"/>
              </w:rPr>
              <w:t xml:space="preserve">Patient unfit to continue treatment </w:t>
            </w:r>
          </w:p>
        </w:tc>
        <w:tc>
          <w:tcPr>
            <w:tcW w:w="1250" w:type="pct"/>
            <w:tcBorders>
              <w:left w:val="single" w:sz="4" w:space="0" w:color="auto"/>
              <w:right w:val="single" w:sz="4" w:space="0" w:color="auto"/>
            </w:tcBorders>
            <w:vAlign w:val="bottom"/>
          </w:tcPr>
          <w:p w14:paraId="33278CBC" w14:textId="77777777" w:rsidR="00C46982" w:rsidRPr="001F5870" w:rsidRDefault="00C46982" w:rsidP="00DD6FF0">
            <w:pPr>
              <w:autoSpaceDE w:val="0"/>
              <w:autoSpaceDN w:val="0"/>
              <w:adjustRightInd w:val="0"/>
              <w:spacing w:line="480" w:lineRule="auto"/>
              <w:rPr>
                <w:rFonts w:ascii="Arial" w:hAnsi="Arial" w:cs="Arial"/>
                <w:szCs w:val="24"/>
              </w:rPr>
            </w:pPr>
            <w:r w:rsidRPr="001F5870">
              <w:rPr>
                <w:rFonts w:ascii="Arial" w:eastAsia="Times New Roman" w:hAnsi="Arial" w:cs="Arial"/>
                <w:color w:val="000000"/>
                <w:szCs w:val="24"/>
              </w:rPr>
              <w:t>1 (2.8)</w:t>
            </w:r>
          </w:p>
        </w:tc>
        <w:tc>
          <w:tcPr>
            <w:tcW w:w="1106" w:type="pct"/>
            <w:tcBorders>
              <w:left w:val="single" w:sz="4" w:space="0" w:color="auto"/>
              <w:right w:val="single" w:sz="4" w:space="0" w:color="auto"/>
            </w:tcBorders>
            <w:vAlign w:val="bottom"/>
          </w:tcPr>
          <w:p w14:paraId="0F4EDA7F" w14:textId="77777777" w:rsidR="00C46982" w:rsidRPr="001F5870" w:rsidRDefault="00C46982" w:rsidP="00DD6FF0">
            <w:pPr>
              <w:autoSpaceDE w:val="0"/>
              <w:autoSpaceDN w:val="0"/>
              <w:adjustRightInd w:val="0"/>
              <w:spacing w:line="480" w:lineRule="auto"/>
              <w:rPr>
                <w:rFonts w:ascii="Arial" w:hAnsi="Arial" w:cs="Arial"/>
                <w:szCs w:val="24"/>
              </w:rPr>
            </w:pPr>
            <w:r w:rsidRPr="001F5870">
              <w:rPr>
                <w:rFonts w:ascii="Arial" w:eastAsia="Times New Roman" w:hAnsi="Arial" w:cs="Arial"/>
                <w:color w:val="000000"/>
                <w:szCs w:val="24"/>
              </w:rPr>
              <w:t>3 (5.4)</w:t>
            </w:r>
          </w:p>
        </w:tc>
      </w:tr>
      <w:tr w:rsidR="00EA633C" w:rsidRPr="001F5870" w14:paraId="35805B07" w14:textId="77777777" w:rsidTr="00EA633C">
        <w:trPr>
          <w:trHeight w:val="293"/>
        </w:trPr>
        <w:tc>
          <w:tcPr>
            <w:tcW w:w="2644" w:type="pct"/>
            <w:tcBorders>
              <w:top w:val="single" w:sz="4" w:space="0" w:color="auto"/>
              <w:bottom w:val="nil"/>
              <w:right w:val="single" w:sz="4" w:space="0" w:color="auto"/>
            </w:tcBorders>
            <w:vAlign w:val="bottom"/>
          </w:tcPr>
          <w:p w14:paraId="0EC6C083" w14:textId="77777777" w:rsidR="00C46982" w:rsidRPr="001F5870" w:rsidRDefault="00C46982" w:rsidP="00DD6FF0">
            <w:pPr>
              <w:autoSpaceDE w:val="0"/>
              <w:autoSpaceDN w:val="0"/>
              <w:adjustRightInd w:val="0"/>
              <w:spacing w:line="480" w:lineRule="auto"/>
              <w:rPr>
                <w:rFonts w:ascii="Arial" w:hAnsi="Arial" w:cs="Arial"/>
                <w:szCs w:val="24"/>
              </w:rPr>
            </w:pPr>
            <w:r w:rsidRPr="001F5870">
              <w:rPr>
                <w:rFonts w:ascii="Arial" w:eastAsia="Times New Roman" w:hAnsi="Arial" w:cs="Arial"/>
                <w:color w:val="000000"/>
                <w:szCs w:val="24"/>
              </w:rPr>
              <w:t>Investigator decision</w:t>
            </w:r>
          </w:p>
        </w:tc>
        <w:tc>
          <w:tcPr>
            <w:tcW w:w="1250" w:type="pct"/>
            <w:tcBorders>
              <w:left w:val="single" w:sz="4" w:space="0" w:color="auto"/>
              <w:right w:val="single" w:sz="4" w:space="0" w:color="auto"/>
            </w:tcBorders>
            <w:vAlign w:val="bottom"/>
          </w:tcPr>
          <w:p w14:paraId="79D40999" w14:textId="77777777" w:rsidR="00C46982" w:rsidRPr="001F5870" w:rsidRDefault="00C46982" w:rsidP="00DD6FF0">
            <w:pPr>
              <w:autoSpaceDE w:val="0"/>
              <w:autoSpaceDN w:val="0"/>
              <w:adjustRightInd w:val="0"/>
              <w:spacing w:line="480" w:lineRule="auto"/>
              <w:rPr>
                <w:rFonts w:ascii="Arial" w:hAnsi="Arial" w:cs="Arial"/>
                <w:szCs w:val="24"/>
              </w:rPr>
            </w:pPr>
            <w:r w:rsidRPr="001F5870">
              <w:rPr>
                <w:rFonts w:ascii="Arial" w:eastAsia="Times New Roman" w:hAnsi="Arial" w:cs="Arial"/>
                <w:color w:val="000000"/>
                <w:szCs w:val="24"/>
              </w:rPr>
              <w:t>4 (11.1)</w:t>
            </w:r>
          </w:p>
        </w:tc>
        <w:tc>
          <w:tcPr>
            <w:tcW w:w="1106" w:type="pct"/>
            <w:tcBorders>
              <w:left w:val="single" w:sz="4" w:space="0" w:color="auto"/>
              <w:right w:val="single" w:sz="4" w:space="0" w:color="auto"/>
            </w:tcBorders>
            <w:vAlign w:val="bottom"/>
          </w:tcPr>
          <w:p w14:paraId="568132A2" w14:textId="77777777" w:rsidR="00C46982" w:rsidRPr="001F5870" w:rsidRDefault="00C46982" w:rsidP="00DD6FF0">
            <w:pPr>
              <w:autoSpaceDE w:val="0"/>
              <w:autoSpaceDN w:val="0"/>
              <w:adjustRightInd w:val="0"/>
              <w:spacing w:line="480" w:lineRule="auto"/>
              <w:rPr>
                <w:rFonts w:ascii="Arial" w:eastAsia="Times New Roman" w:hAnsi="Arial" w:cs="Arial"/>
                <w:color w:val="000000"/>
                <w:szCs w:val="24"/>
              </w:rPr>
            </w:pPr>
            <w:r w:rsidRPr="001F5870">
              <w:rPr>
                <w:rFonts w:ascii="Arial" w:eastAsia="Times New Roman" w:hAnsi="Arial" w:cs="Arial"/>
                <w:color w:val="000000"/>
                <w:szCs w:val="24"/>
              </w:rPr>
              <w:t>0 (0.0)</w:t>
            </w:r>
          </w:p>
        </w:tc>
      </w:tr>
      <w:tr w:rsidR="00EA633C" w:rsidRPr="001F5870" w14:paraId="57B5E6A4" w14:textId="77777777" w:rsidTr="00EA633C">
        <w:trPr>
          <w:trHeight w:val="293"/>
        </w:trPr>
        <w:tc>
          <w:tcPr>
            <w:tcW w:w="2644" w:type="pct"/>
            <w:tcBorders>
              <w:top w:val="single" w:sz="4" w:space="0" w:color="auto"/>
              <w:bottom w:val="nil"/>
              <w:right w:val="single" w:sz="4" w:space="0" w:color="auto"/>
            </w:tcBorders>
            <w:vAlign w:val="bottom"/>
          </w:tcPr>
          <w:p w14:paraId="1830DDC8" w14:textId="77777777" w:rsidR="00C46982" w:rsidRPr="001F5870" w:rsidRDefault="00C46982" w:rsidP="00DD6FF0">
            <w:pPr>
              <w:autoSpaceDE w:val="0"/>
              <w:autoSpaceDN w:val="0"/>
              <w:adjustRightInd w:val="0"/>
              <w:spacing w:line="480" w:lineRule="auto"/>
              <w:rPr>
                <w:rFonts w:ascii="Arial" w:hAnsi="Arial" w:cs="Arial"/>
                <w:szCs w:val="24"/>
              </w:rPr>
            </w:pPr>
            <w:r w:rsidRPr="001F5870">
              <w:rPr>
                <w:rFonts w:ascii="Arial" w:eastAsia="Times New Roman" w:hAnsi="Arial" w:cs="Arial"/>
                <w:color w:val="000000"/>
                <w:szCs w:val="24"/>
              </w:rPr>
              <w:t>Patient consent withdrawal</w:t>
            </w:r>
          </w:p>
        </w:tc>
        <w:tc>
          <w:tcPr>
            <w:tcW w:w="1250" w:type="pct"/>
            <w:tcBorders>
              <w:left w:val="single" w:sz="4" w:space="0" w:color="auto"/>
              <w:right w:val="single" w:sz="4" w:space="0" w:color="auto"/>
            </w:tcBorders>
            <w:vAlign w:val="bottom"/>
          </w:tcPr>
          <w:p w14:paraId="25B90B03" w14:textId="77777777" w:rsidR="00C46982" w:rsidRPr="001F5870" w:rsidRDefault="00C46982" w:rsidP="00DD6FF0">
            <w:pPr>
              <w:autoSpaceDE w:val="0"/>
              <w:autoSpaceDN w:val="0"/>
              <w:adjustRightInd w:val="0"/>
              <w:spacing w:line="480" w:lineRule="auto"/>
              <w:rPr>
                <w:rFonts w:ascii="Arial" w:hAnsi="Arial" w:cs="Arial"/>
                <w:szCs w:val="24"/>
              </w:rPr>
            </w:pPr>
            <w:r w:rsidRPr="001F5870">
              <w:rPr>
                <w:rFonts w:ascii="Arial" w:eastAsia="Times New Roman" w:hAnsi="Arial" w:cs="Arial"/>
                <w:color w:val="000000"/>
                <w:szCs w:val="24"/>
              </w:rPr>
              <w:t>2 (5.6)</w:t>
            </w:r>
          </w:p>
        </w:tc>
        <w:tc>
          <w:tcPr>
            <w:tcW w:w="1106" w:type="pct"/>
            <w:tcBorders>
              <w:left w:val="single" w:sz="4" w:space="0" w:color="auto"/>
              <w:right w:val="single" w:sz="4" w:space="0" w:color="auto"/>
            </w:tcBorders>
            <w:vAlign w:val="bottom"/>
          </w:tcPr>
          <w:p w14:paraId="46E84543" w14:textId="77777777" w:rsidR="00C46982" w:rsidRPr="001F5870" w:rsidRDefault="00C46982" w:rsidP="00DD6FF0">
            <w:pPr>
              <w:autoSpaceDE w:val="0"/>
              <w:autoSpaceDN w:val="0"/>
              <w:adjustRightInd w:val="0"/>
              <w:spacing w:line="480" w:lineRule="auto"/>
              <w:rPr>
                <w:rFonts w:ascii="Arial" w:hAnsi="Arial" w:cs="Arial"/>
                <w:szCs w:val="24"/>
              </w:rPr>
            </w:pPr>
            <w:r w:rsidRPr="001F5870">
              <w:rPr>
                <w:rFonts w:ascii="Arial" w:eastAsia="Times New Roman" w:hAnsi="Arial" w:cs="Arial"/>
                <w:color w:val="000000"/>
                <w:szCs w:val="24"/>
              </w:rPr>
              <w:t>0 (0.0)</w:t>
            </w:r>
          </w:p>
        </w:tc>
      </w:tr>
      <w:tr w:rsidR="00EA633C" w:rsidRPr="001F5870" w14:paraId="7866A589" w14:textId="77777777" w:rsidTr="00EA633C">
        <w:trPr>
          <w:trHeight w:val="293"/>
        </w:trPr>
        <w:tc>
          <w:tcPr>
            <w:tcW w:w="2644" w:type="pct"/>
            <w:tcBorders>
              <w:top w:val="single" w:sz="4" w:space="0" w:color="auto"/>
              <w:bottom w:val="nil"/>
              <w:right w:val="single" w:sz="4" w:space="0" w:color="auto"/>
            </w:tcBorders>
            <w:vAlign w:val="bottom"/>
          </w:tcPr>
          <w:p w14:paraId="785E1078" w14:textId="77777777" w:rsidR="00C46982" w:rsidRPr="001F5870" w:rsidRDefault="00C46982" w:rsidP="00DD6FF0">
            <w:pPr>
              <w:autoSpaceDE w:val="0"/>
              <w:autoSpaceDN w:val="0"/>
              <w:adjustRightInd w:val="0"/>
              <w:spacing w:line="480" w:lineRule="auto"/>
              <w:rPr>
                <w:rFonts w:ascii="Arial" w:hAnsi="Arial" w:cs="Arial"/>
                <w:szCs w:val="24"/>
              </w:rPr>
            </w:pPr>
            <w:r w:rsidRPr="001F5870">
              <w:rPr>
                <w:rFonts w:ascii="Arial" w:eastAsia="Times New Roman" w:hAnsi="Arial" w:cs="Arial"/>
                <w:color w:val="000000"/>
                <w:szCs w:val="24"/>
              </w:rPr>
              <w:t>Patient choice, no consent withdrawal</w:t>
            </w:r>
          </w:p>
        </w:tc>
        <w:tc>
          <w:tcPr>
            <w:tcW w:w="1250" w:type="pct"/>
            <w:tcBorders>
              <w:left w:val="single" w:sz="4" w:space="0" w:color="auto"/>
              <w:right w:val="single" w:sz="4" w:space="0" w:color="auto"/>
            </w:tcBorders>
            <w:vAlign w:val="bottom"/>
          </w:tcPr>
          <w:p w14:paraId="4BAAC534" w14:textId="77777777" w:rsidR="00C46982" w:rsidRPr="001F5870" w:rsidRDefault="00C46982" w:rsidP="00DD6FF0">
            <w:pPr>
              <w:autoSpaceDE w:val="0"/>
              <w:autoSpaceDN w:val="0"/>
              <w:adjustRightInd w:val="0"/>
              <w:spacing w:line="480" w:lineRule="auto"/>
              <w:rPr>
                <w:rFonts w:ascii="Arial" w:hAnsi="Arial" w:cs="Arial"/>
                <w:szCs w:val="24"/>
              </w:rPr>
            </w:pPr>
            <w:r w:rsidRPr="001F5870">
              <w:rPr>
                <w:rFonts w:ascii="Arial" w:eastAsia="Times New Roman" w:hAnsi="Arial" w:cs="Arial"/>
                <w:color w:val="000000"/>
                <w:szCs w:val="24"/>
              </w:rPr>
              <w:t>5 (13.9)</w:t>
            </w:r>
          </w:p>
        </w:tc>
        <w:tc>
          <w:tcPr>
            <w:tcW w:w="1106" w:type="pct"/>
            <w:tcBorders>
              <w:left w:val="single" w:sz="4" w:space="0" w:color="auto"/>
              <w:right w:val="single" w:sz="4" w:space="0" w:color="auto"/>
            </w:tcBorders>
            <w:vAlign w:val="bottom"/>
          </w:tcPr>
          <w:p w14:paraId="715C2E3C" w14:textId="77777777" w:rsidR="00C46982" w:rsidRPr="001F5870" w:rsidRDefault="00C46982" w:rsidP="00DD6FF0">
            <w:pPr>
              <w:autoSpaceDE w:val="0"/>
              <w:autoSpaceDN w:val="0"/>
              <w:adjustRightInd w:val="0"/>
              <w:spacing w:line="480" w:lineRule="auto"/>
              <w:rPr>
                <w:rFonts w:ascii="Arial" w:hAnsi="Arial" w:cs="Arial"/>
                <w:szCs w:val="24"/>
              </w:rPr>
            </w:pPr>
            <w:r w:rsidRPr="001F5870">
              <w:rPr>
                <w:rFonts w:ascii="Arial" w:eastAsia="Times New Roman" w:hAnsi="Arial" w:cs="Arial"/>
                <w:color w:val="000000"/>
                <w:szCs w:val="24"/>
              </w:rPr>
              <w:t>3 (5.4)</w:t>
            </w:r>
          </w:p>
        </w:tc>
      </w:tr>
      <w:tr w:rsidR="00EA633C" w:rsidRPr="001F5870" w14:paraId="3435EEC7" w14:textId="77777777" w:rsidTr="00EA633C">
        <w:trPr>
          <w:trHeight w:val="293"/>
        </w:trPr>
        <w:tc>
          <w:tcPr>
            <w:tcW w:w="2644" w:type="pct"/>
            <w:tcBorders>
              <w:top w:val="single" w:sz="4" w:space="0" w:color="auto"/>
              <w:bottom w:val="nil"/>
              <w:right w:val="single" w:sz="4" w:space="0" w:color="auto"/>
            </w:tcBorders>
            <w:vAlign w:val="bottom"/>
          </w:tcPr>
          <w:p w14:paraId="14E96EC9" w14:textId="77777777" w:rsidR="00C46982" w:rsidRPr="001F5870" w:rsidRDefault="00C46982" w:rsidP="00DD6FF0">
            <w:pPr>
              <w:autoSpaceDE w:val="0"/>
              <w:autoSpaceDN w:val="0"/>
              <w:adjustRightInd w:val="0"/>
              <w:spacing w:line="480" w:lineRule="auto"/>
              <w:rPr>
                <w:rFonts w:ascii="Arial" w:hAnsi="Arial" w:cs="Arial"/>
                <w:szCs w:val="24"/>
              </w:rPr>
            </w:pPr>
            <w:r w:rsidRPr="001F5870">
              <w:rPr>
                <w:rFonts w:ascii="Arial" w:eastAsia="Times New Roman" w:hAnsi="Arial" w:cs="Arial"/>
                <w:color w:val="000000"/>
                <w:szCs w:val="24"/>
              </w:rPr>
              <w:t>Lost to follow-up</w:t>
            </w:r>
          </w:p>
        </w:tc>
        <w:tc>
          <w:tcPr>
            <w:tcW w:w="1250" w:type="pct"/>
            <w:tcBorders>
              <w:left w:val="single" w:sz="4" w:space="0" w:color="auto"/>
              <w:right w:val="single" w:sz="4" w:space="0" w:color="auto"/>
            </w:tcBorders>
            <w:vAlign w:val="bottom"/>
          </w:tcPr>
          <w:p w14:paraId="5A4BCBCA" w14:textId="77777777" w:rsidR="00C46982" w:rsidRPr="001F5870" w:rsidRDefault="00C46982" w:rsidP="00DD6FF0">
            <w:pPr>
              <w:autoSpaceDE w:val="0"/>
              <w:autoSpaceDN w:val="0"/>
              <w:adjustRightInd w:val="0"/>
              <w:spacing w:line="480" w:lineRule="auto"/>
              <w:rPr>
                <w:rFonts w:ascii="Arial" w:hAnsi="Arial" w:cs="Arial"/>
                <w:szCs w:val="24"/>
              </w:rPr>
            </w:pPr>
            <w:r w:rsidRPr="001F5870">
              <w:rPr>
                <w:rFonts w:ascii="Arial" w:eastAsia="Times New Roman" w:hAnsi="Arial" w:cs="Arial"/>
                <w:color w:val="000000"/>
                <w:szCs w:val="24"/>
              </w:rPr>
              <w:t>1 (2.8)</w:t>
            </w:r>
          </w:p>
        </w:tc>
        <w:tc>
          <w:tcPr>
            <w:tcW w:w="1106" w:type="pct"/>
            <w:tcBorders>
              <w:left w:val="single" w:sz="4" w:space="0" w:color="auto"/>
              <w:right w:val="single" w:sz="4" w:space="0" w:color="auto"/>
            </w:tcBorders>
            <w:vAlign w:val="bottom"/>
          </w:tcPr>
          <w:p w14:paraId="28D5FC1F" w14:textId="77777777" w:rsidR="00C46982" w:rsidRPr="001F5870" w:rsidRDefault="00C46982" w:rsidP="00DD6FF0">
            <w:pPr>
              <w:autoSpaceDE w:val="0"/>
              <w:autoSpaceDN w:val="0"/>
              <w:adjustRightInd w:val="0"/>
              <w:spacing w:line="480" w:lineRule="auto"/>
              <w:rPr>
                <w:rFonts w:ascii="Arial" w:hAnsi="Arial" w:cs="Arial"/>
                <w:szCs w:val="24"/>
              </w:rPr>
            </w:pPr>
            <w:r w:rsidRPr="001F5870">
              <w:rPr>
                <w:rFonts w:ascii="Arial" w:eastAsia="Times New Roman" w:hAnsi="Arial" w:cs="Arial"/>
                <w:color w:val="000000"/>
                <w:szCs w:val="24"/>
              </w:rPr>
              <w:t>4 (7.3)</w:t>
            </w:r>
          </w:p>
        </w:tc>
      </w:tr>
      <w:tr w:rsidR="00EA633C" w:rsidRPr="001F5870" w14:paraId="15ACD372" w14:textId="77777777" w:rsidTr="00EA633C">
        <w:trPr>
          <w:trHeight w:val="293"/>
        </w:trPr>
        <w:tc>
          <w:tcPr>
            <w:tcW w:w="2644" w:type="pct"/>
            <w:tcBorders>
              <w:top w:val="single" w:sz="4" w:space="0" w:color="auto"/>
              <w:bottom w:val="nil"/>
              <w:right w:val="single" w:sz="4" w:space="0" w:color="auto"/>
            </w:tcBorders>
            <w:vAlign w:val="bottom"/>
          </w:tcPr>
          <w:p w14:paraId="14162701" w14:textId="77777777" w:rsidR="00C46982" w:rsidRPr="001F5870" w:rsidRDefault="00C46982" w:rsidP="00DD6FF0">
            <w:pPr>
              <w:autoSpaceDE w:val="0"/>
              <w:autoSpaceDN w:val="0"/>
              <w:adjustRightInd w:val="0"/>
              <w:spacing w:line="480" w:lineRule="auto"/>
              <w:rPr>
                <w:rFonts w:ascii="Arial" w:hAnsi="Arial" w:cs="Arial"/>
                <w:szCs w:val="24"/>
              </w:rPr>
            </w:pPr>
            <w:r w:rsidRPr="001F5870">
              <w:rPr>
                <w:rFonts w:ascii="Arial" w:eastAsia="Times New Roman" w:hAnsi="Arial" w:cs="Arial"/>
                <w:color w:val="000000"/>
                <w:szCs w:val="24"/>
              </w:rPr>
              <w:t xml:space="preserve">Other </w:t>
            </w:r>
          </w:p>
        </w:tc>
        <w:tc>
          <w:tcPr>
            <w:tcW w:w="1250" w:type="pct"/>
            <w:tcBorders>
              <w:left w:val="single" w:sz="4" w:space="0" w:color="auto"/>
              <w:right w:val="single" w:sz="4" w:space="0" w:color="auto"/>
            </w:tcBorders>
            <w:vAlign w:val="bottom"/>
          </w:tcPr>
          <w:p w14:paraId="30E31B9E" w14:textId="77777777" w:rsidR="00C46982" w:rsidRPr="001F5870" w:rsidRDefault="00C46982" w:rsidP="00DD6FF0">
            <w:pPr>
              <w:autoSpaceDE w:val="0"/>
              <w:autoSpaceDN w:val="0"/>
              <w:adjustRightInd w:val="0"/>
              <w:spacing w:line="480" w:lineRule="auto"/>
              <w:rPr>
                <w:rFonts w:ascii="Arial" w:hAnsi="Arial" w:cs="Arial"/>
                <w:szCs w:val="24"/>
              </w:rPr>
            </w:pPr>
            <w:r w:rsidRPr="001F5870">
              <w:rPr>
                <w:rFonts w:ascii="Arial" w:eastAsia="Times New Roman" w:hAnsi="Arial" w:cs="Arial"/>
                <w:color w:val="000000"/>
                <w:szCs w:val="24"/>
              </w:rPr>
              <w:t>2 (5.6)</w:t>
            </w:r>
          </w:p>
        </w:tc>
        <w:tc>
          <w:tcPr>
            <w:tcW w:w="1106" w:type="pct"/>
            <w:tcBorders>
              <w:left w:val="single" w:sz="4" w:space="0" w:color="auto"/>
              <w:right w:val="single" w:sz="4" w:space="0" w:color="auto"/>
            </w:tcBorders>
            <w:vAlign w:val="bottom"/>
          </w:tcPr>
          <w:p w14:paraId="13A75677" w14:textId="77777777" w:rsidR="00C46982" w:rsidRPr="001F5870" w:rsidRDefault="00C46982" w:rsidP="00DD6FF0">
            <w:pPr>
              <w:autoSpaceDE w:val="0"/>
              <w:autoSpaceDN w:val="0"/>
              <w:adjustRightInd w:val="0"/>
              <w:spacing w:line="480" w:lineRule="auto"/>
              <w:rPr>
                <w:rFonts w:ascii="Arial" w:hAnsi="Arial" w:cs="Arial"/>
                <w:szCs w:val="24"/>
              </w:rPr>
            </w:pPr>
            <w:r w:rsidRPr="001F5870">
              <w:rPr>
                <w:rFonts w:ascii="Arial" w:eastAsia="Times New Roman" w:hAnsi="Arial" w:cs="Arial"/>
                <w:color w:val="000000"/>
                <w:szCs w:val="24"/>
              </w:rPr>
              <w:t>3 (5.4)</w:t>
            </w:r>
          </w:p>
        </w:tc>
      </w:tr>
      <w:tr w:rsidR="00EA633C" w:rsidRPr="001F5870" w14:paraId="66446058" w14:textId="77777777" w:rsidTr="00EA633C">
        <w:trPr>
          <w:trHeight w:val="293"/>
        </w:trPr>
        <w:tc>
          <w:tcPr>
            <w:tcW w:w="2644" w:type="pct"/>
            <w:tcBorders>
              <w:top w:val="single" w:sz="4" w:space="0" w:color="auto"/>
              <w:bottom w:val="nil"/>
              <w:right w:val="single" w:sz="4" w:space="0" w:color="auto"/>
            </w:tcBorders>
            <w:vAlign w:val="bottom"/>
          </w:tcPr>
          <w:p w14:paraId="22388971" w14:textId="77777777" w:rsidR="00C46982" w:rsidRPr="001F5870" w:rsidRDefault="00C46982" w:rsidP="00DD6FF0">
            <w:pPr>
              <w:autoSpaceDE w:val="0"/>
              <w:autoSpaceDN w:val="0"/>
              <w:adjustRightInd w:val="0"/>
              <w:spacing w:line="480" w:lineRule="auto"/>
              <w:rPr>
                <w:rFonts w:ascii="Arial" w:hAnsi="Arial" w:cs="Arial"/>
                <w:szCs w:val="24"/>
              </w:rPr>
            </w:pPr>
            <w:r w:rsidRPr="001F5870">
              <w:rPr>
                <w:rFonts w:ascii="Arial" w:eastAsia="Times New Roman" w:hAnsi="Arial" w:cs="Arial"/>
                <w:color w:val="000000"/>
                <w:szCs w:val="24"/>
              </w:rPr>
              <w:t>New, unplanned therapy</w:t>
            </w:r>
          </w:p>
        </w:tc>
        <w:tc>
          <w:tcPr>
            <w:tcW w:w="1250" w:type="pct"/>
            <w:tcBorders>
              <w:left w:val="single" w:sz="4" w:space="0" w:color="auto"/>
              <w:right w:val="single" w:sz="4" w:space="0" w:color="auto"/>
            </w:tcBorders>
            <w:vAlign w:val="bottom"/>
          </w:tcPr>
          <w:p w14:paraId="6DFD8366" w14:textId="77777777" w:rsidR="00C46982" w:rsidRPr="001F5870" w:rsidRDefault="00C46982" w:rsidP="00DD6FF0">
            <w:pPr>
              <w:autoSpaceDE w:val="0"/>
              <w:autoSpaceDN w:val="0"/>
              <w:adjustRightInd w:val="0"/>
              <w:spacing w:line="480" w:lineRule="auto"/>
              <w:rPr>
                <w:rFonts w:ascii="Arial" w:hAnsi="Arial" w:cs="Arial"/>
                <w:szCs w:val="24"/>
              </w:rPr>
            </w:pPr>
            <w:r w:rsidRPr="001F5870">
              <w:rPr>
                <w:rFonts w:ascii="Arial" w:eastAsia="Times New Roman" w:hAnsi="Arial" w:cs="Arial"/>
                <w:color w:val="000000"/>
                <w:szCs w:val="24"/>
              </w:rPr>
              <w:t>12 (33.3)</w:t>
            </w:r>
          </w:p>
        </w:tc>
        <w:tc>
          <w:tcPr>
            <w:tcW w:w="1106" w:type="pct"/>
            <w:tcBorders>
              <w:left w:val="single" w:sz="4" w:space="0" w:color="auto"/>
              <w:right w:val="single" w:sz="4" w:space="0" w:color="auto"/>
            </w:tcBorders>
            <w:vAlign w:val="bottom"/>
          </w:tcPr>
          <w:p w14:paraId="31A6C79B" w14:textId="77777777" w:rsidR="00C46982" w:rsidRPr="001F5870" w:rsidRDefault="00C46982" w:rsidP="00DD6FF0">
            <w:pPr>
              <w:autoSpaceDE w:val="0"/>
              <w:autoSpaceDN w:val="0"/>
              <w:adjustRightInd w:val="0"/>
              <w:spacing w:line="480" w:lineRule="auto"/>
              <w:rPr>
                <w:rFonts w:ascii="Arial" w:hAnsi="Arial" w:cs="Arial"/>
                <w:szCs w:val="24"/>
              </w:rPr>
            </w:pPr>
            <w:r w:rsidRPr="001F5870">
              <w:rPr>
                <w:rFonts w:ascii="Arial" w:eastAsia="Times New Roman" w:hAnsi="Arial" w:cs="Arial"/>
                <w:color w:val="000000"/>
                <w:szCs w:val="24"/>
              </w:rPr>
              <w:t>20 (36.4)</w:t>
            </w:r>
          </w:p>
        </w:tc>
      </w:tr>
    </w:tbl>
    <w:p w14:paraId="50F6B15F" w14:textId="77777777" w:rsidR="00C46982" w:rsidRPr="001F5870" w:rsidRDefault="00C46982">
      <w:pPr>
        <w:rPr>
          <w:rFonts w:ascii="Arial" w:hAnsi="Arial" w:cs="Arial"/>
          <w:szCs w:val="24"/>
        </w:rPr>
      </w:pPr>
    </w:p>
    <w:p w14:paraId="7A817191" w14:textId="347C50C5" w:rsidR="00C46982" w:rsidRPr="001F5870" w:rsidRDefault="005648D6" w:rsidP="00C46982">
      <w:pPr>
        <w:pStyle w:val="SMHeading"/>
        <w:rPr>
          <w:rFonts w:ascii="Arial" w:hAnsi="Arial" w:cs="Arial"/>
        </w:rPr>
      </w:pPr>
      <w:r w:rsidRPr="001F5870">
        <w:rPr>
          <w:rFonts w:ascii="Arial" w:hAnsi="Arial" w:cs="Arial"/>
        </w:rPr>
        <w:t xml:space="preserve">Supplementary </w:t>
      </w:r>
      <w:r w:rsidR="00C46982" w:rsidRPr="001F5870">
        <w:rPr>
          <w:rFonts w:ascii="Arial" w:hAnsi="Arial" w:cs="Arial"/>
        </w:rPr>
        <w:t>Table 1.</w:t>
      </w:r>
    </w:p>
    <w:p w14:paraId="52EEBC0A" w14:textId="50930459" w:rsidR="00C46982" w:rsidRPr="001F5870" w:rsidRDefault="00C46982" w:rsidP="00C46982">
      <w:pPr>
        <w:pStyle w:val="SMcaption"/>
        <w:rPr>
          <w:rFonts w:ascii="Arial" w:hAnsi="Arial" w:cs="Arial"/>
          <w:szCs w:val="24"/>
        </w:rPr>
      </w:pPr>
      <w:r w:rsidRPr="001F5870">
        <w:rPr>
          <w:rFonts w:ascii="Arial" w:hAnsi="Arial" w:cs="Arial"/>
          <w:szCs w:val="24"/>
        </w:rPr>
        <w:t xml:space="preserve">Reasons for not receiving second-line treatment. </w:t>
      </w:r>
    </w:p>
    <w:p w14:paraId="0B11C954" w14:textId="4C8040FC" w:rsidR="00C46982" w:rsidRPr="001F5870" w:rsidRDefault="00C46982">
      <w:pPr>
        <w:rPr>
          <w:rFonts w:ascii="Arial" w:hAnsi="Arial" w:cs="Arial"/>
          <w:szCs w:val="24"/>
        </w:rPr>
      </w:pPr>
      <w:r w:rsidRPr="001F5870">
        <w:rPr>
          <w:rFonts w:ascii="Arial" w:hAnsi="Arial" w:cs="Arial"/>
          <w:szCs w:val="24"/>
        </w:rPr>
        <w:br w:type="page"/>
      </w:r>
    </w:p>
    <w:tbl>
      <w:tblPr>
        <w:tblW w:w="5000" w:type="pct"/>
        <w:tblBorders>
          <w:insideH w:val="single" w:sz="4" w:space="0" w:color="auto"/>
        </w:tblBorders>
        <w:tblLook w:val="04A0" w:firstRow="1" w:lastRow="0" w:firstColumn="1" w:lastColumn="0" w:noHBand="0" w:noVBand="1"/>
      </w:tblPr>
      <w:tblGrid>
        <w:gridCol w:w="1921"/>
        <w:gridCol w:w="1536"/>
        <w:gridCol w:w="1631"/>
        <w:gridCol w:w="1536"/>
        <w:gridCol w:w="1631"/>
        <w:gridCol w:w="1631"/>
        <w:gridCol w:w="1538"/>
        <w:gridCol w:w="1536"/>
      </w:tblGrid>
      <w:tr w:rsidR="004C711A" w:rsidRPr="001F5870" w14:paraId="4650A256" w14:textId="77777777" w:rsidTr="00220456">
        <w:tc>
          <w:tcPr>
            <w:tcW w:w="755" w:type="pct"/>
          </w:tcPr>
          <w:p w14:paraId="0E91BD73" w14:textId="77777777" w:rsidR="004C711A" w:rsidRPr="001F5870" w:rsidRDefault="004C711A" w:rsidP="007B341F">
            <w:pPr>
              <w:autoSpaceDE w:val="0"/>
              <w:autoSpaceDN w:val="0"/>
              <w:adjustRightInd w:val="0"/>
              <w:spacing w:line="480" w:lineRule="auto"/>
              <w:jc w:val="both"/>
              <w:rPr>
                <w:rFonts w:ascii="Arial" w:hAnsi="Arial" w:cs="Arial"/>
                <w:b/>
                <w:bCs/>
                <w:szCs w:val="24"/>
              </w:rPr>
            </w:pPr>
          </w:p>
        </w:tc>
        <w:tc>
          <w:tcPr>
            <w:tcW w:w="606" w:type="pct"/>
          </w:tcPr>
          <w:p w14:paraId="081D9329" w14:textId="77777777" w:rsidR="004C711A" w:rsidRPr="001F5870" w:rsidRDefault="004C711A" w:rsidP="007B341F">
            <w:pPr>
              <w:autoSpaceDE w:val="0"/>
              <w:autoSpaceDN w:val="0"/>
              <w:adjustRightInd w:val="0"/>
              <w:spacing w:line="480" w:lineRule="auto"/>
              <w:jc w:val="center"/>
              <w:rPr>
                <w:rFonts w:ascii="Arial" w:hAnsi="Arial" w:cs="Arial"/>
                <w:b/>
                <w:bCs/>
                <w:szCs w:val="24"/>
              </w:rPr>
            </w:pPr>
            <w:r w:rsidRPr="001F5870">
              <w:rPr>
                <w:rFonts w:ascii="Arial" w:hAnsi="Arial" w:cs="Arial"/>
                <w:b/>
                <w:bCs/>
                <w:szCs w:val="24"/>
              </w:rPr>
              <w:t>First-line</w:t>
            </w:r>
          </w:p>
        </w:tc>
        <w:tc>
          <w:tcPr>
            <w:tcW w:w="606" w:type="pct"/>
          </w:tcPr>
          <w:p w14:paraId="71A35014" w14:textId="77777777" w:rsidR="004C711A" w:rsidRPr="001F5870" w:rsidRDefault="004C711A" w:rsidP="007B341F">
            <w:pPr>
              <w:autoSpaceDE w:val="0"/>
              <w:autoSpaceDN w:val="0"/>
              <w:adjustRightInd w:val="0"/>
              <w:spacing w:line="480" w:lineRule="auto"/>
              <w:jc w:val="center"/>
              <w:rPr>
                <w:rFonts w:ascii="Arial" w:hAnsi="Arial" w:cs="Arial"/>
                <w:b/>
                <w:bCs/>
                <w:szCs w:val="24"/>
              </w:rPr>
            </w:pPr>
          </w:p>
        </w:tc>
        <w:tc>
          <w:tcPr>
            <w:tcW w:w="606" w:type="pct"/>
          </w:tcPr>
          <w:p w14:paraId="2143F459" w14:textId="77777777" w:rsidR="004C711A" w:rsidRPr="001F5870" w:rsidRDefault="004C711A" w:rsidP="007B341F">
            <w:pPr>
              <w:autoSpaceDE w:val="0"/>
              <w:autoSpaceDN w:val="0"/>
              <w:adjustRightInd w:val="0"/>
              <w:spacing w:line="480" w:lineRule="auto"/>
              <w:jc w:val="center"/>
              <w:rPr>
                <w:rFonts w:ascii="Arial" w:hAnsi="Arial" w:cs="Arial"/>
                <w:b/>
                <w:bCs/>
                <w:szCs w:val="24"/>
              </w:rPr>
            </w:pPr>
          </w:p>
        </w:tc>
        <w:tc>
          <w:tcPr>
            <w:tcW w:w="607" w:type="pct"/>
          </w:tcPr>
          <w:p w14:paraId="4701AF28" w14:textId="77777777" w:rsidR="004C711A" w:rsidRPr="001F5870" w:rsidRDefault="004C711A" w:rsidP="007B341F">
            <w:pPr>
              <w:autoSpaceDE w:val="0"/>
              <w:autoSpaceDN w:val="0"/>
              <w:adjustRightInd w:val="0"/>
              <w:spacing w:line="480" w:lineRule="auto"/>
              <w:jc w:val="center"/>
              <w:rPr>
                <w:rFonts w:ascii="Arial" w:hAnsi="Arial" w:cs="Arial"/>
                <w:b/>
                <w:bCs/>
                <w:szCs w:val="24"/>
              </w:rPr>
            </w:pPr>
            <w:r w:rsidRPr="001F5870">
              <w:rPr>
                <w:rFonts w:ascii="Arial" w:hAnsi="Arial" w:cs="Arial"/>
                <w:b/>
                <w:bCs/>
                <w:szCs w:val="24"/>
              </w:rPr>
              <w:t>Second-line</w:t>
            </w:r>
          </w:p>
        </w:tc>
        <w:tc>
          <w:tcPr>
            <w:tcW w:w="607" w:type="pct"/>
          </w:tcPr>
          <w:p w14:paraId="26A96D8C" w14:textId="77777777" w:rsidR="004C711A" w:rsidRPr="001F5870" w:rsidRDefault="004C711A" w:rsidP="007B341F">
            <w:pPr>
              <w:autoSpaceDE w:val="0"/>
              <w:autoSpaceDN w:val="0"/>
              <w:adjustRightInd w:val="0"/>
              <w:spacing w:line="480" w:lineRule="auto"/>
              <w:jc w:val="center"/>
              <w:rPr>
                <w:rFonts w:ascii="Arial" w:hAnsi="Arial" w:cs="Arial"/>
                <w:b/>
                <w:bCs/>
                <w:szCs w:val="24"/>
              </w:rPr>
            </w:pPr>
          </w:p>
        </w:tc>
        <w:tc>
          <w:tcPr>
            <w:tcW w:w="607" w:type="pct"/>
          </w:tcPr>
          <w:p w14:paraId="4CDC496F" w14:textId="77777777" w:rsidR="004C711A" w:rsidRPr="001F5870" w:rsidRDefault="004C711A" w:rsidP="007B341F">
            <w:pPr>
              <w:autoSpaceDE w:val="0"/>
              <w:autoSpaceDN w:val="0"/>
              <w:adjustRightInd w:val="0"/>
              <w:spacing w:line="480" w:lineRule="auto"/>
              <w:jc w:val="center"/>
              <w:rPr>
                <w:rFonts w:ascii="Arial" w:hAnsi="Arial" w:cs="Arial"/>
                <w:b/>
                <w:bCs/>
                <w:szCs w:val="24"/>
              </w:rPr>
            </w:pPr>
          </w:p>
        </w:tc>
        <w:tc>
          <w:tcPr>
            <w:tcW w:w="607" w:type="pct"/>
          </w:tcPr>
          <w:p w14:paraId="39F9FC4B" w14:textId="77777777" w:rsidR="004C711A" w:rsidRPr="001F5870" w:rsidRDefault="004C711A" w:rsidP="007B341F">
            <w:pPr>
              <w:autoSpaceDE w:val="0"/>
              <w:autoSpaceDN w:val="0"/>
              <w:adjustRightInd w:val="0"/>
              <w:spacing w:line="480" w:lineRule="auto"/>
              <w:jc w:val="center"/>
              <w:rPr>
                <w:rFonts w:ascii="Arial" w:hAnsi="Arial" w:cs="Arial"/>
                <w:b/>
                <w:bCs/>
                <w:szCs w:val="24"/>
              </w:rPr>
            </w:pPr>
            <w:r w:rsidRPr="001F5870">
              <w:rPr>
                <w:rFonts w:ascii="Arial" w:hAnsi="Arial" w:cs="Arial"/>
                <w:b/>
                <w:bCs/>
                <w:szCs w:val="24"/>
              </w:rPr>
              <w:t>Third-line</w:t>
            </w:r>
          </w:p>
        </w:tc>
      </w:tr>
      <w:tr w:rsidR="004C711A" w:rsidRPr="001F5870" w14:paraId="53967E07" w14:textId="77777777" w:rsidTr="00220456">
        <w:tc>
          <w:tcPr>
            <w:tcW w:w="755" w:type="pct"/>
          </w:tcPr>
          <w:p w14:paraId="1E7095F6" w14:textId="77777777" w:rsidR="004C711A" w:rsidRPr="001F5870" w:rsidRDefault="004C711A" w:rsidP="007B341F">
            <w:pPr>
              <w:autoSpaceDE w:val="0"/>
              <w:autoSpaceDN w:val="0"/>
              <w:adjustRightInd w:val="0"/>
              <w:spacing w:line="480" w:lineRule="auto"/>
              <w:jc w:val="both"/>
              <w:rPr>
                <w:rFonts w:ascii="Arial" w:hAnsi="Arial" w:cs="Arial"/>
                <w:szCs w:val="24"/>
              </w:rPr>
            </w:pPr>
            <w:r w:rsidRPr="001F5870">
              <w:rPr>
                <w:rFonts w:ascii="Arial" w:hAnsi="Arial" w:cs="Arial"/>
                <w:szCs w:val="24"/>
              </w:rPr>
              <w:t>AE, n (%)</w:t>
            </w:r>
          </w:p>
        </w:tc>
        <w:tc>
          <w:tcPr>
            <w:tcW w:w="606" w:type="pct"/>
          </w:tcPr>
          <w:p w14:paraId="6035B43D"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FOLFIRI-cetuximab Arm A</w:t>
            </w:r>
          </w:p>
          <w:p w14:paraId="07507902"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(n = 131)</w:t>
            </w:r>
          </w:p>
        </w:tc>
        <w:tc>
          <w:tcPr>
            <w:tcW w:w="606" w:type="pct"/>
          </w:tcPr>
          <w:p w14:paraId="353EE3F8"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mFOLFOX7-bevacizumab Arm B</w:t>
            </w:r>
          </w:p>
          <w:p w14:paraId="48BC7B4F"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(n = 132)</w:t>
            </w:r>
          </w:p>
        </w:tc>
        <w:tc>
          <w:tcPr>
            <w:tcW w:w="606" w:type="pct"/>
          </w:tcPr>
          <w:p w14:paraId="01D353DB"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i/>
                <w:iCs/>
                <w:szCs w:val="24"/>
              </w:rPr>
              <w:t>P</w:t>
            </w:r>
            <w:r w:rsidRPr="001F5870">
              <w:rPr>
                <w:rFonts w:ascii="Arial" w:hAnsi="Arial" w:cs="Arial"/>
                <w:szCs w:val="24"/>
              </w:rPr>
              <w:t>-value</w:t>
            </w:r>
          </w:p>
        </w:tc>
        <w:tc>
          <w:tcPr>
            <w:tcW w:w="607" w:type="pct"/>
          </w:tcPr>
          <w:p w14:paraId="234496FB"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mFOLFOX6-bevacizumab Arm A</w:t>
            </w:r>
          </w:p>
          <w:p w14:paraId="1960EB49"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(n = 83)</w:t>
            </w:r>
          </w:p>
        </w:tc>
        <w:tc>
          <w:tcPr>
            <w:tcW w:w="607" w:type="pct"/>
          </w:tcPr>
          <w:p w14:paraId="362F20AB"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FOLFIRI-bevacizumab Arm B</w:t>
            </w:r>
          </w:p>
          <w:p w14:paraId="49050F18"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(n = 69)</w:t>
            </w:r>
          </w:p>
        </w:tc>
        <w:tc>
          <w:tcPr>
            <w:tcW w:w="607" w:type="pct"/>
          </w:tcPr>
          <w:p w14:paraId="6220F6CA"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i/>
                <w:iCs/>
                <w:szCs w:val="24"/>
              </w:rPr>
              <w:t>P</w:t>
            </w:r>
            <w:r w:rsidRPr="001F5870">
              <w:rPr>
                <w:rFonts w:ascii="Arial" w:hAnsi="Arial" w:cs="Arial"/>
                <w:szCs w:val="24"/>
              </w:rPr>
              <w:t>-value</w:t>
            </w:r>
          </w:p>
        </w:tc>
        <w:tc>
          <w:tcPr>
            <w:tcW w:w="607" w:type="pct"/>
          </w:tcPr>
          <w:p w14:paraId="25A892E1"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Anti-EGFR +/- irinotecan Arm B</w:t>
            </w:r>
          </w:p>
          <w:p w14:paraId="4F178001"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(n = 50)</w:t>
            </w:r>
          </w:p>
        </w:tc>
      </w:tr>
      <w:tr w:rsidR="004C711A" w:rsidRPr="001F5870" w14:paraId="080FA449" w14:textId="77777777" w:rsidTr="00220456">
        <w:tc>
          <w:tcPr>
            <w:tcW w:w="755" w:type="pct"/>
          </w:tcPr>
          <w:p w14:paraId="4F6DC050" w14:textId="77777777" w:rsidR="004C711A" w:rsidRPr="001F5870" w:rsidRDefault="004C711A" w:rsidP="007B341F">
            <w:pPr>
              <w:autoSpaceDE w:val="0"/>
              <w:autoSpaceDN w:val="0"/>
              <w:adjustRightInd w:val="0"/>
              <w:spacing w:line="480" w:lineRule="auto"/>
              <w:jc w:val="both"/>
              <w:rPr>
                <w:rFonts w:ascii="Arial" w:hAnsi="Arial" w:cs="Arial"/>
                <w:szCs w:val="24"/>
              </w:rPr>
            </w:pPr>
            <w:r w:rsidRPr="001F5870">
              <w:rPr>
                <w:rFonts w:ascii="Arial" w:hAnsi="Arial" w:cs="Arial"/>
                <w:szCs w:val="24"/>
              </w:rPr>
              <w:t>Neutropenia</w:t>
            </w:r>
          </w:p>
        </w:tc>
        <w:tc>
          <w:tcPr>
            <w:tcW w:w="606" w:type="pct"/>
          </w:tcPr>
          <w:p w14:paraId="40779ADF"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16 (12.6)</w:t>
            </w:r>
          </w:p>
        </w:tc>
        <w:tc>
          <w:tcPr>
            <w:tcW w:w="606" w:type="pct"/>
          </w:tcPr>
          <w:p w14:paraId="477D46BC"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17 (13.0)</w:t>
            </w:r>
          </w:p>
        </w:tc>
        <w:tc>
          <w:tcPr>
            <w:tcW w:w="606" w:type="pct"/>
          </w:tcPr>
          <w:p w14:paraId="2C0F7F74"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.928</w:t>
            </w:r>
          </w:p>
        </w:tc>
        <w:tc>
          <w:tcPr>
            <w:tcW w:w="607" w:type="pct"/>
          </w:tcPr>
          <w:p w14:paraId="699940DB"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10 (12.4)</w:t>
            </w:r>
          </w:p>
        </w:tc>
        <w:tc>
          <w:tcPr>
            <w:tcW w:w="607" w:type="pct"/>
          </w:tcPr>
          <w:p w14:paraId="375A08D8"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11 (16.4)</w:t>
            </w:r>
          </w:p>
        </w:tc>
        <w:tc>
          <w:tcPr>
            <w:tcW w:w="607" w:type="pct"/>
          </w:tcPr>
          <w:p w14:paraId="141226E8"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.480</w:t>
            </w:r>
          </w:p>
        </w:tc>
        <w:tc>
          <w:tcPr>
            <w:tcW w:w="607" w:type="pct"/>
          </w:tcPr>
          <w:p w14:paraId="176B3CFE"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2 (4.4)</w:t>
            </w:r>
          </w:p>
        </w:tc>
      </w:tr>
      <w:tr w:rsidR="004C711A" w:rsidRPr="001F5870" w14:paraId="79925FAF" w14:textId="77777777" w:rsidTr="00220456">
        <w:tc>
          <w:tcPr>
            <w:tcW w:w="755" w:type="pct"/>
          </w:tcPr>
          <w:p w14:paraId="5B1E26FC" w14:textId="77777777" w:rsidR="004C711A" w:rsidRPr="001F5870" w:rsidRDefault="004C711A" w:rsidP="007B341F">
            <w:pPr>
              <w:autoSpaceDE w:val="0"/>
              <w:autoSpaceDN w:val="0"/>
              <w:adjustRightInd w:val="0"/>
              <w:spacing w:line="480" w:lineRule="auto"/>
              <w:jc w:val="both"/>
              <w:rPr>
                <w:rFonts w:ascii="Arial" w:hAnsi="Arial" w:cs="Arial"/>
                <w:szCs w:val="24"/>
              </w:rPr>
            </w:pPr>
            <w:r w:rsidRPr="001F5870">
              <w:rPr>
                <w:rFonts w:ascii="Arial" w:hAnsi="Arial" w:cs="Arial"/>
                <w:szCs w:val="24"/>
              </w:rPr>
              <w:t>Diarrhea</w:t>
            </w:r>
          </w:p>
        </w:tc>
        <w:tc>
          <w:tcPr>
            <w:tcW w:w="606" w:type="pct"/>
          </w:tcPr>
          <w:p w14:paraId="2ECA80AB"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13 (10.2)</w:t>
            </w:r>
          </w:p>
        </w:tc>
        <w:tc>
          <w:tcPr>
            <w:tcW w:w="606" w:type="pct"/>
          </w:tcPr>
          <w:p w14:paraId="29B6E1E9"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4 (3.1)</w:t>
            </w:r>
          </w:p>
        </w:tc>
        <w:tc>
          <w:tcPr>
            <w:tcW w:w="606" w:type="pct"/>
          </w:tcPr>
          <w:p w14:paraId="68056D8D"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.021</w:t>
            </w:r>
          </w:p>
        </w:tc>
        <w:tc>
          <w:tcPr>
            <w:tcW w:w="607" w:type="pct"/>
          </w:tcPr>
          <w:p w14:paraId="3348A61F"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5 (6.2)</w:t>
            </w:r>
          </w:p>
        </w:tc>
        <w:tc>
          <w:tcPr>
            <w:tcW w:w="607" w:type="pct"/>
          </w:tcPr>
          <w:p w14:paraId="0519BC52"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4 (5.9)</w:t>
            </w:r>
          </w:p>
        </w:tc>
        <w:tc>
          <w:tcPr>
            <w:tcW w:w="607" w:type="pct"/>
          </w:tcPr>
          <w:p w14:paraId="475A4D16"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1.000</w:t>
            </w:r>
          </w:p>
        </w:tc>
        <w:tc>
          <w:tcPr>
            <w:tcW w:w="607" w:type="pct"/>
          </w:tcPr>
          <w:p w14:paraId="6E4C20C7"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 (2.2)</w:t>
            </w:r>
          </w:p>
        </w:tc>
      </w:tr>
      <w:tr w:rsidR="004C711A" w:rsidRPr="001F5870" w14:paraId="2DF39670" w14:textId="77777777" w:rsidTr="00220456">
        <w:tc>
          <w:tcPr>
            <w:tcW w:w="755" w:type="pct"/>
          </w:tcPr>
          <w:p w14:paraId="7F6DC444" w14:textId="77777777" w:rsidR="004C711A" w:rsidRPr="001F5870" w:rsidRDefault="004C711A" w:rsidP="007B341F">
            <w:pPr>
              <w:autoSpaceDE w:val="0"/>
              <w:autoSpaceDN w:val="0"/>
              <w:adjustRightInd w:val="0"/>
              <w:spacing w:line="480" w:lineRule="auto"/>
              <w:jc w:val="both"/>
              <w:rPr>
                <w:rFonts w:ascii="Arial" w:hAnsi="Arial" w:cs="Arial"/>
                <w:szCs w:val="24"/>
              </w:rPr>
            </w:pPr>
            <w:r w:rsidRPr="001F5870">
              <w:rPr>
                <w:rFonts w:ascii="Arial" w:hAnsi="Arial" w:cs="Arial"/>
                <w:szCs w:val="24"/>
              </w:rPr>
              <w:t>Nausea</w:t>
            </w:r>
          </w:p>
        </w:tc>
        <w:tc>
          <w:tcPr>
            <w:tcW w:w="606" w:type="pct"/>
          </w:tcPr>
          <w:p w14:paraId="310F631C"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8 (6.3)</w:t>
            </w:r>
          </w:p>
        </w:tc>
        <w:tc>
          <w:tcPr>
            <w:tcW w:w="606" w:type="pct"/>
          </w:tcPr>
          <w:p w14:paraId="3659ED22"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2 (1.5)</w:t>
            </w:r>
          </w:p>
        </w:tc>
        <w:tc>
          <w:tcPr>
            <w:tcW w:w="606" w:type="pct"/>
          </w:tcPr>
          <w:p w14:paraId="32EB0187"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.058</w:t>
            </w:r>
          </w:p>
        </w:tc>
        <w:tc>
          <w:tcPr>
            <w:tcW w:w="607" w:type="pct"/>
          </w:tcPr>
          <w:p w14:paraId="7CA65927"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 (1.2)</w:t>
            </w:r>
          </w:p>
        </w:tc>
        <w:tc>
          <w:tcPr>
            <w:tcW w:w="607" w:type="pct"/>
          </w:tcPr>
          <w:p w14:paraId="14B72774"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 (1.5)</w:t>
            </w:r>
          </w:p>
        </w:tc>
        <w:tc>
          <w:tcPr>
            <w:tcW w:w="607" w:type="pct"/>
          </w:tcPr>
          <w:p w14:paraId="51715166"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1.000</w:t>
            </w:r>
          </w:p>
        </w:tc>
        <w:tc>
          <w:tcPr>
            <w:tcW w:w="607" w:type="pct"/>
          </w:tcPr>
          <w:p w14:paraId="034CA21B"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 xml:space="preserve">0 </w:t>
            </w:r>
          </w:p>
        </w:tc>
      </w:tr>
      <w:tr w:rsidR="004C711A" w:rsidRPr="001F5870" w14:paraId="364C0AF5" w14:textId="77777777" w:rsidTr="00220456">
        <w:tc>
          <w:tcPr>
            <w:tcW w:w="755" w:type="pct"/>
          </w:tcPr>
          <w:p w14:paraId="74DF1C1B" w14:textId="77777777" w:rsidR="004C711A" w:rsidRPr="001F5870" w:rsidRDefault="004C711A" w:rsidP="007B341F">
            <w:pPr>
              <w:autoSpaceDE w:val="0"/>
              <w:autoSpaceDN w:val="0"/>
              <w:adjustRightInd w:val="0"/>
              <w:spacing w:line="480" w:lineRule="auto"/>
              <w:jc w:val="both"/>
              <w:rPr>
                <w:rFonts w:ascii="Arial" w:hAnsi="Arial" w:cs="Arial"/>
                <w:szCs w:val="24"/>
              </w:rPr>
            </w:pPr>
            <w:r w:rsidRPr="001F5870">
              <w:rPr>
                <w:rFonts w:ascii="Arial" w:hAnsi="Arial" w:cs="Arial"/>
                <w:szCs w:val="24"/>
              </w:rPr>
              <w:t>Vomiting</w:t>
            </w:r>
          </w:p>
        </w:tc>
        <w:tc>
          <w:tcPr>
            <w:tcW w:w="606" w:type="pct"/>
          </w:tcPr>
          <w:p w14:paraId="2E462B59"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6 (4.7)</w:t>
            </w:r>
          </w:p>
        </w:tc>
        <w:tc>
          <w:tcPr>
            <w:tcW w:w="606" w:type="pct"/>
          </w:tcPr>
          <w:p w14:paraId="54F9D2C4"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3 (2.3)</w:t>
            </w:r>
          </w:p>
        </w:tc>
        <w:tc>
          <w:tcPr>
            <w:tcW w:w="606" w:type="pct"/>
          </w:tcPr>
          <w:p w14:paraId="0F179674"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.330</w:t>
            </w:r>
          </w:p>
        </w:tc>
        <w:tc>
          <w:tcPr>
            <w:tcW w:w="607" w:type="pct"/>
          </w:tcPr>
          <w:p w14:paraId="16F38D2D"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 xml:space="preserve">0 </w:t>
            </w:r>
          </w:p>
        </w:tc>
        <w:tc>
          <w:tcPr>
            <w:tcW w:w="607" w:type="pct"/>
          </w:tcPr>
          <w:p w14:paraId="187BB132"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 xml:space="preserve">0 </w:t>
            </w:r>
          </w:p>
        </w:tc>
        <w:tc>
          <w:tcPr>
            <w:tcW w:w="607" w:type="pct"/>
          </w:tcPr>
          <w:p w14:paraId="5C498755" w14:textId="77777777" w:rsidR="004C711A" w:rsidRPr="001F5870" w:rsidRDefault="004C711A" w:rsidP="007B341F">
            <w:pPr>
              <w:autoSpaceDE w:val="0"/>
              <w:autoSpaceDN w:val="0"/>
              <w:adjustRightInd w:val="0"/>
              <w:spacing w:line="480" w:lineRule="auto"/>
              <w:jc w:val="center"/>
              <w:rPr>
                <w:rFonts w:ascii="Arial" w:hAnsi="Arial" w:cs="Arial"/>
                <w:szCs w:val="24"/>
              </w:rPr>
            </w:pPr>
          </w:p>
        </w:tc>
        <w:tc>
          <w:tcPr>
            <w:tcW w:w="607" w:type="pct"/>
          </w:tcPr>
          <w:p w14:paraId="0BD99C40"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 xml:space="preserve">0 </w:t>
            </w:r>
          </w:p>
        </w:tc>
      </w:tr>
      <w:tr w:rsidR="004C711A" w:rsidRPr="001F5870" w14:paraId="2D03E5DC" w14:textId="77777777" w:rsidTr="00220456">
        <w:tc>
          <w:tcPr>
            <w:tcW w:w="755" w:type="pct"/>
          </w:tcPr>
          <w:p w14:paraId="1E4D2C54" w14:textId="77777777" w:rsidR="004C711A" w:rsidRPr="001F5870" w:rsidRDefault="004C711A" w:rsidP="007B341F">
            <w:pPr>
              <w:autoSpaceDE w:val="0"/>
              <w:autoSpaceDN w:val="0"/>
              <w:adjustRightInd w:val="0"/>
              <w:spacing w:line="480" w:lineRule="auto"/>
              <w:jc w:val="both"/>
              <w:rPr>
                <w:rFonts w:ascii="Arial" w:hAnsi="Arial" w:cs="Arial"/>
                <w:szCs w:val="24"/>
              </w:rPr>
            </w:pPr>
            <w:r w:rsidRPr="001F5870">
              <w:rPr>
                <w:rFonts w:ascii="Arial" w:hAnsi="Arial" w:cs="Arial"/>
                <w:szCs w:val="24"/>
              </w:rPr>
              <w:t>Mucositis</w:t>
            </w:r>
          </w:p>
        </w:tc>
        <w:tc>
          <w:tcPr>
            <w:tcW w:w="606" w:type="pct"/>
          </w:tcPr>
          <w:p w14:paraId="11AA4565"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5 (3.9)</w:t>
            </w:r>
          </w:p>
        </w:tc>
        <w:tc>
          <w:tcPr>
            <w:tcW w:w="606" w:type="pct"/>
          </w:tcPr>
          <w:p w14:paraId="4C34F3FB"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6 (4.6)</w:t>
            </w:r>
          </w:p>
        </w:tc>
        <w:tc>
          <w:tcPr>
            <w:tcW w:w="606" w:type="pct"/>
          </w:tcPr>
          <w:p w14:paraId="2680B82E"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.788</w:t>
            </w:r>
          </w:p>
        </w:tc>
        <w:tc>
          <w:tcPr>
            <w:tcW w:w="607" w:type="pct"/>
          </w:tcPr>
          <w:p w14:paraId="332687F1"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4 (4.9)</w:t>
            </w:r>
          </w:p>
        </w:tc>
        <w:tc>
          <w:tcPr>
            <w:tcW w:w="607" w:type="pct"/>
          </w:tcPr>
          <w:p w14:paraId="6839EA1C"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4 (6.0)</w:t>
            </w:r>
          </w:p>
        </w:tc>
        <w:tc>
          <w:tcPr>
            <w:tcW w:w="607" w:type="pct"/>
          </w:tcPr>
          <w:p w14:paraId="10D731E8"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1.000</w:t>
            </w:r>
          </w:p>
        </w:tc>
        <w:tc>
          <w:tcPr>
            <w:tcW w:w="607" w:type="pct"/>
          </w:tcPr>
          <w:p w14:paraId="2AA23CD1"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3 (6.7)</w:t>
            </w:r>
          </w:p>
        </w:tc>
      </w:tr>
      <w:tr w:rsidR="004C711A" w:rsidRPr="001F5870" w14:paraId="2662C9C2" w14:textId="77777777" w:rsidTr="00220456">
        <w:tc>
          <w:tcPr>
            <w:tcW w:w="755" w:type="pct"/>
          </w:tcPr>
          <w:p w14:paraId="0995EACA" w14:textId="77777777" w:rsidR="004C711A" w:rsidRPr="001F5870" w:rsidRDefault="004C711A" w:rsidP="007B341F">
            <w:pPr>
              <w:autoSpaceDE w:val="0"/>
              <w:autoSpaceDN w:val="0"/>
              <w:adjustRightInd w:val="0"/>
              <w:spacing w:line="480" w:lineRule="auto"/>
              <w:jc w:val="both"/>
              <w:rPr>
                <w:rFonts w:ascii="Arial" w:hAnsi="Arial" w:cs="Arial"/>
                <w:szCs w:val="24"/>
              </w:rPr>
            </w:pPr>
            <w:r w:rsidRPr="001F5870">
              <w:rPr>
                <w:rFonts w:ascii="Arial" w:hAnsi="Arial" w:cs="Arial"/>
                <w:szCs w:val="24"/>
              </w:rPr>
              <w:t>Alopecia (grade 1-2)</w:t>
            </w:r>
          </w:p>
        </w:tc>
        <w:tc>
          <w:tcPr>
            <w:tcW w:w="606" w:type="pct"/>
          </w:tcPr>
          <w:p w14:paraId="575CEDE5"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49 (38.3)</w:t>
            </w:r>
          </w:p>
        </w:tc>
        <w:tc>
          <w:tcPr>
            <w:tcW w:w="606" w:type="pct"/>
          </w:tcPr>
          <w:p w14:paraId="231F51F8"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24 (18.8)</w:t>
            </w:r>
          </w:p>
        </w:tc>
        <w:tc>
          <w:tcPr>
            <w:tcW w:w="606" w:type="pct"/>
          </w:tcPr>
          <w:p w14:paraId="03986087"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&lt; .001</w:t>
            </w:r>
          </w:p>
        </w:tc>
        <w:tc>
          <w:tcPr>
            <w:tcW w:w="607" w:type="pct"/>
            <w:shd w:val="clear" w:color="auto" w:fill="FFFFFF"/>
          </w:tcPr>
          <w:p w14:paraId="07BBCED2"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10 (12.5)</w:t>
            </w:r>
          </w:p>
        </w:tc>
        <w:tc>
          <w:tcPr>
            <w:tcW w:w="607" w:type="pct"/>
            <w:shd w:val="clear" w:color="auto" w:fill="FFFFFF"/>
          </w:tcPr>
          <w:p w14:paraId="4AFA1578"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20 (30.3)</w:t>
            </w:r>
          </w:p>
        </w:tc>
        <w:tc>
          <w:tcPr>
            <w:tcW w:w="607" w:type="pct"/>
            <w:shd w:val="clear" w:color="auto" w:fill="FFFFFF"/>
          </w:tcPr>
          <w:p w14:paraId="77168BDC"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shd w:val="clear" w:color="auto" w:fill="FFFFFF"/>
              </w:rPr>
              <w:t>.008</w:t>
            </w:r>
          </w:p>
        </w:tc>
        <w:tc>
          <w:tcPr>
            <w:tcW w:w="607" w:type="pct"/>
          </w:tcPr>
          <w:p w14:paraId="37006D02"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7 (15.9)</w:t>
            </w:r>
          </w:p>
        </w:tc>
      </w:tr>
      <w:tr w:rsidR="004C711A" w:rsidRPr="001F5870" w14:paraId="4BD39722" w14:textId="77777777" w:rsidTr="00220456">
        <w:tc>
          <w:tcPr>
            <w:tcW w:w="755" w:type="pct"/>
          </w:tcPr>
          <w:p w14:paraId="36E2DDC3" w14:textId="77777777" w:rsidR="004C711A" w:rsidRPr="001F5870" w:rsidRDefault="004C711A" w:rsidP="007B341F">
            <w:pPr>
              <w:autoSpaceDE w:val="0"/>
              <w:autoSpaceDN w:val="0"/>
              <w:adjustRightInd w:val="0"/>
              <w:spacing w:line="480" w:lineRule="auto"/>
              <w:jc w:val="both"/>
              <w:rPr>
                <w:rFonts w:ascii="Arial" w:hAnsi="Arial" w:cs="Arial"/>
                <w:szCs w:val="24"/>
              </w:rPr>
            </w:pPr>
            <w:r w:rsidRPr="001F5870">
              <w:rPr>
                <w:rFonts w:ascii="Arial" w:hAnsi="Arial" w:cs="Arial"/>
                <w:szCs w:val="24"/>
              </w:rPr>
              <w:t>Neuropathy</w:t>
            </w:r>
          </w:p>
        </w:tc>
        <w:tc>
          <w:tcPr>
            <w:tcW w:w="606" w:type="pct"/>
          </w:tcPr>
          <w:p w14:paraId="386243DA"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 (0.8)</w:t>
            </w:r>
          </w:p>
        </w:tc>
        <w:tc>
          <w:tcPr>
            <w:tcW w:w="606" w:type="pct"/>
          </w:tcPr>
          <w:p w14:paraId="2CD1DD03"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5 (3.8)</w:t>
            </w:r>
          </w:p>
        </w:tc>
        <w:tc>
          <w:tcPr>
            <w:tcW w:w="606" w:type="pct"/>
          </w:tcPr>
          <w:p w14:paraId="0A187544"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.214</w:t>
            </w:r>
          </w:p>
        </w:tc>
        <w:tc>
          <w:tcPr>
            <w:tcW w:w="607" w:type="pct"/>
          </w:tcPr>
          <w:p w14:paraId="67575584"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10 (12.5)</w:t>
            </w:r>
          </w:p>
        </w:tc>
        <w:tc>
          <w:tcPr>
            <w:tcW w:w="607" w:type="pct"/>
          </w:tcPr>
          <w:p w14:paraId="1C78A26A"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3 (4.4)</w:t>
            </w:r>
          </w:p>
        </w:tc>
        <w:tc>
          <w:tcPr>
            <w:tcW w:w="607" w:type="pct"/>
          </w:tcPr>
          <w:p w14:paraId="5AFB80D7"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.083</w:t>
            </w:r>
          </w:p>
        </w:tc>
        <w:tc>
          <w:tcPr>
            <w:tcW w:w="607" w:type="pct"/>
          </w:tcPr>
          <w:p w14:paraId="7D8AAB1E"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2 (4.3)</w:t>
            </w:r>
          </w:p>
        </w:tc>
      </w:tr>
      <w:tr w:rsidR="004C711A" w:rsidRPr="001F5870" w14:paraId="1FB2C10A" w14:textId="77777777" w:rsidTr="00220456">
        <w:tc>
          <w:tcPr>
            <w:tcW w:w="755" w:type="pct"/>
          </w:tcPr>
          <w:p w14:paraId="0F59C94C" w14:textId="77777777" w:rsidR="004C711A" w:rsidRPr="001F5870" w:rsidRDefault="004C711A" w:rsidP="007B341F">
            <w:pPr>
              <w:autoSpaceDE w:val="0"/>
              <w:autoSpaceDN w:val="0"/>
              <w:adjustRightInd w:val="0"/>
              <w:spacing w:line="480" w:lineRule="auto"/>
              <w:jc w:val="both"/>
              <w:rPr>
                <w:rFonts w:ascii="Arial" w:hAnsi="Arial" w:cs="Arial"/>
                <w:szCs w:val="24"/>
              </w:rPr>
            </w:pPr>
            <w:r w:rsidRPr="001F5870">
              <w:rPr>
                <w:rFonts w:ascii="Arial" w:hAnsi="Arial" w:cs="Arial"/>
                <w:szCs w:val="24"/>
              </w:rPr>
              <w:t>Hand foot syndrome</w:t>
            </w:r>
          </w:p>
        </w:tc>
        <w:tc>
          <w:tcPr>
            <w:tcW w:w="606" w:type="pct"/>
          </w:tcPr>
          <w:p w14:paraId="028C2934"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6 (4.7)</w:t>
            </w:r>
          </w:p>
        </w:tc>
        <w:tc>
          <w:tcPr>
            <w:tcW w:w="606" w:type="pct"/>
          </w:tcPr>
          <w:p w14:paraId="56155308"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3 (2.3)</w:t>
            </w:r>
          </w:p>
        </w:tc>
        <w:tc>
          <w:tcPr>
            <w:tcW w:w="606" w:type="pct"/>
          </w:tcPr>
          <w:p w14:paraId="0B1F3B05"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.334</w:t>
            </w:r>
          </w:p>
        </w:tc>
        <w:tc>
          <w:tcPr>
            <w:tcW w:w="607" w:type="pct"/>
          </w:tcPr>
          <w:p w14:paraId="4827E284"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2 (2.5)</w:t>
            </w:r>
          </w:p>
        </w:tc>
        <w:tc>
          <w:tcPr>
            <w:tcW w:w="607" w:type="pct"/>
          </w:tcPr>
          <w:p w14:paraId="3D29C888"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 xml:space="preserve">0 </w:t>
            </w:r>
          </w:p>
        </w:tc>
        <w:tc>
          <w:tcPr>
            <w:tcW w:w="607" w:type="pct"/>
          </w:tcPr>
          <w:p w14:paraId="06FED670"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.501</w:t>
            </w:r>
          </w:p>
        </w:tc>
        <w:tc>
          <w:tcPr>
            <w:tcW w:w="607" w:type="pct"/>
          </w:tcPr>
          <w:p w14:paraId="79752FAC"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 xml:space="preserve">0 </w:t>
            </w:r>
          </w:p>
        </w:tc>
      </w:tr>
      <w:tr w:rsidR="004C711A" w:rsidRPr="001F5870" w14:paraId="438322CD" w14:textId="77777777" w:rsidTr="00220456">
        <w:tc>
          <w:tcPr>
            <w:tcW w:w="755" w:type="pct"/>
          </w:tcPr>
          <w:p w14:paraId="27A4514F" w14:textId="77777777" w:rsidR="004C711A" w:rsidRPr="001F5870" w:rsidRDefault="004C711A" w:rsidP="007B341F">
            <w:pPr>
              <w:autoSpaceDE w:val="0"/>
              <w:autoSpaceDN w:val="0"/>
              <w:adjustRightInd w:val="0"/>
              <w:spacing w:line="480" w:lineRule="auto"/>
              <w:jc w:val="both"/>
              <w:rPr>
                <w:rFonts w:ascii="Arial" w:hAnsi="Arial" w:cs="Arial"/>
                <w:szCs w:val="24"/>
              </w:rPr>
            </w:pPr>
            <w:r w:rsidRPr="001F5870">
              <w:rPr>
                <w:rFonts w:ascii="Arial" w:hAnsi="Arial" w:cs="Arial"/>
                <w:szCs w:val="24"/>
              </w:rPr>
              <w:lastRenderedPageBreak/>
              <w:t>Acne-like</w:t>
            </w:r>
          </w:p>
        </w:tc>
        <w:tc>
          <w:tcPr>
            <w:tcW w:w="606" w:type="pct"/>
          </w:tcPr>
          <w:p w14:paraId="65D011C6"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24 (18.6)</w:t>
            </w:r>
          </w:p>
        </w:tc>
        <w:tc>
          <w:tcPr>
            <w:tcW w:w="606" w:type="pct"/>
          </w:tcPr>
          <w:p w14:paraId="7A46BD1B"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 xml:space="preserve">0 </w:t>
            </w:r>
          </w:p>
        </w:tc>
        <w:tc>
          <w:tcPr>
            <w:tcW w:w="606" w:type="pct"/>
          </w:tcPr>
          <w:p w14:paraId="06D1AF65"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&lt; .001</w:t>
            </w:r>
          </w:p>
        </w:tc>
        <w:tc>
          <w:tcPr>
            <w:tcW w:w="607" w:type="pct"/>
          </w:tcPr>
          <w:p w14:paraId="35426F76"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 xml:space="preserve">0 </w:t>
            </w:r>
          </w:p>
        </w:tc>
        <w:tc>
          <w:tcPr>
            <w:tcW w:w="607" w:type="pct"/>
          </w:tcPr>
          <w:p w14:paraId="50BADD6E"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 xml:space="preserve">0 </w:t>
            </w:r>
          </w:p>
        </w:tc>
        <w:tc>
          <w:tcPr>
            <w:tcW w:w="607" w:type="pct"/>
          </w:tcPr>
          <w:p w14:paraId="2BCD9D74" w14:textId="77777777" w:rsidR="004C711A" w:rsidRPr="001F5870" w:rsidRDefault="004C711A" w:rsidP="007B341F">
            <w:pPr>
              <w:autoSpaceDE w:val="0"/>
              <w:autoSpaceDN w:val="0"/>
              <w:adjustRightInd w:val="0"/>
              <w:spacing w:line="480" w:lineRule="auto"/>
              <w:jc w:val="center"/>
              <w:rPr>
                <w:rFonts w:ascii="Arial" w:hAnsi="Arial" w:cs="Arial"/>
                <w:szCs w:val="24"/>
              </w:rPr>
            </w:pPr>
          </w:p>
        </w:tc>
        <w:tc>
          <w:tcPr>
            <w:tcW w:w="607" w:type="pct"/>
          </w:tcPr>
          <w:p w14:paraId="0A1E327A"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6 (13.4)</w:t>
            </w:r>
          </w:p>
        </w:tc>
      </w:tr>
      <w:tr w:rsidR="004C711A" w:rsidRPr="001F5870" w14:paraId="4E04F645" w14:textId="77777777" w:rsidTr="00220456">
        <w:tc>
          <w:tcPr>
            <w:tcW w:w="755" w:type="pct"/>
          </w:tcPr>
          <w:p w14:paraId="18DAD9F5" w14:textId="77777777" w:rsidR="004C711A" w:rsidRPr="001F5870" w:rsidRDefault="004C711A" w:rsidP="007B341F">
            <w:pPr>
              <w:autoSpaceDE w:val="0"/>
              <w:autoSpaceDN w:val="0"/>
              <w:adjustRightInd w:val="0"/>
              <w:spacing w:line="480" w:lineRule="auto"/>
              <w:jc w:val="both"/>
              <w:rPr>
                <w:rFonts w:ascii="Arial" w:hAnsi="Arial" w:cs="Arial"/>
                <w:szCs w:val="24"/>
              </w:rPr>
            </w:pPr>
            <w:r w:rsidRPr="001F5870">
              <w:rPr>
                <w:rFonts w:ascii="Arial" w:hAnsi="Arial" w:cs="Arial"/>
                <w:szCs w:val="24"/>
              </w:rPr>
              <w:t>Hypertension</w:t>
            </w:r>
          </w:p>
        </w:tc>
        <w:tc>
          <w:tcPr>
            <w:tcW w:w="606" w:type="pct"/>
          </w:tcPr>
          <w:p w14:paraId="1EE84A6C"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4 (3.2)</w:t>
            </w:r>
          </w:p>
        </w:tc>
        <w:tc>
          <w:tcPr>
            <w:tcW w:w="606" w:type="pct"/>
          </w:tcPr>
          <w:p w14:paraId="507BD079"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13 (10.0)</w:t>
            </w:r>
          </w:p>
        </w:tc>
        <w:tc>
          <w:tcPr>
            <w:tcW w:w="606" w:type="pct"/>
          </w:tcPr>
          <w:p w14:paraId="38F9977C"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.027</w:t>
            </w:r>
          </w:p>
        </w:tc>
        <w:tc>
          <w:tcPr>
            <w:tcW w:w="607" w:type="pct"/>
          </w:tcPr>
          <w:p w14:paraId="5A354E9B"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6 (7.5)</w:t>
            </w:r>
          </w:p>
        </w:tc>
        <w:tc>
          <w:tcPr>
            <w:tcW w:w="607" w:type="pct"/>
          </w:tcPr>
          <w:p w14:paraId="4A1572FD"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4 (6.1)</w:t>
            </w:r>
          </w:p>
        </w:tc>
        <w:tc>
          <w:tcPr>
            <w:tcW w:w="607" w:type="pct"/>
          </w:tcPr>
          <w:p w14:paraId="33E93638"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1.000</w:t>
            </w:r>
          </w:p>
        </w:tc>
        <w:tc>
          <w:tcPr>
            <w:tcW w:w="607" w:type="pct"/>
          </w:tcPr>
          <w:p w14:paraId="14D1C1D0"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 (2.2)</w:t>
            </w:r>
          </w:p>
        </w:tc>
      </w:tr>
      <w:tr w:rsidR="004C711A" w:rsidRPr="001F5870" w14:paraId="164683B1" w14:textId="77777777" w:rsidTr="00220456">
        <w:tc>
          <w:tcPr>
            <w:tcW w:w="755" w:type="pct"/>
          </w:tcPr>
          <w:p w14:paraId="2F688744" w14:textId="77777777" w:rsidR="004C711A" w:rsidRPr="001F5870" w:rsidRDefault="004C711A" w:rsidP="007B341F">
            <w:pPr>
              <w:autoSpaceDE w:val="0"/>
              <w:autoSpaceDN w:val="0"/>
              <w:adjustRightInd w:val="0"/>
              <w:spacing w:line="480" w:lineRule="auto"/>
              <w:jc w:val="both"/>
              <w:rPr>
                <w:rFonts w:ascii="Arial" w:hAnsi="Arial" w:cs="Arial"/>
                <w:szCs w:val="24"/>
              </w:rPr>
            </w:pPr>
            <w:r w:rsidRPr="001F5870">
              <w:rPr>
                <w:rFonts w:ascii="Arial" w:hAnsi="Arial" w:cs="Arial"/>
                <w:szCs w:val="24"/>
              </w:rPr>
              <w:t>Fatigue</w:t>
            </w:r>
          </w:p>
        </w:tc>
        <w:tc>
          <w:tcPr>
            <w:tcW w:w="606" w:type="pct"/>
          </w:tcPr>
          <w:p w14:paraId="5819F925"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11 (8.5)</w:t>
            </w:r>
          </w:p>
        </w:tc>
        <w:tc>
          <w:tcPr>
            <w:tcW w:w="606" w:type="pct"/>
          </w:tcPr>
          <w:p w14:paraId="7777D82E"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5 (3.8)</w:t>
            </w:r>
          </w:p>
        </w:tc>
        <w:tc>
          <w:tcPr>
            <w:tcW w:w="606" w:type="pct"/>
          </w:tcPr>
          <w:p w14:paraId="4BAD5173"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.114</w:t>
            </w:r>
          </w:p>
        </w:tc>
        <w:tc>
          <w:tcPr>
            <w:tcW w:w="607" w:type="pct"/>
          </w:tcPr>
          <w:p w14:paraId="531A829E"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6 (7.5)</w:t>
            </w:r>
          </w:p>
        </w:tc>
        <w:tc>
          <w:tcPr>
            <w:tcW w:w="607" w:type="pct"/>
          </w:tcPr>
          <w:p w14:paraId="3B11B912"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9 (13.4)</w:t>
            </w:r>
          </w:p>
        </w:tc>
        <w:tc>
          <w:tcPr>
            <w:tcW w:w="607" w:type="pct"/>
          </w:tcPr>
          <w:p w14:paraId="31F5C0EE"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.237</w:t>
            </w:r>
          </w:p>
        </w:tc>
        <w:tc>
          <w:tcPr>
            <w:tcW w:w="607" w:type="pct"/>
          </w:tcPr>
          <w:p w14:paraId="3BF738B0" w14:textId="77777777" w:rsidR="004C711A" w:rsidRPr="001F5870" w:rsidRDefault="004C711A"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4 (8.7)</w:t>
            </w:r>
          </w:p>
        </w:tc>
      </w:tr>
    </w:tbl>
    <w:p w14:paraId="74387DC0" w14:textId="77777777" w:rsidR="004C711A" w:rsidRPr="001F5870" w:rsidRDefault="004C711A">
      <w:pPr>
        <w:rPr>
          <w:rFonts w:ascii="Arial" w:hAnsi="Arial" w:cs="Arial"/>
          <w:szCs w:val="24"/>
        </w:rPr>
      </w:pPr>
    </w:p>
    <w:p w14:paraId="1C4ED036" w14:textId="65B7330F" w:rsidR="00015F74" w:rsidRPr="001F5870" w:rsidRDefault="005648D6" w:rsidP="00B9440A">
      <w:pPr>
        <w:pStyle w:val="SMHeading"/>
        <w:rPr>
          <w:rFonts w:ascii="Arial" w:hAnsi="Arial" w:cs="Arial"/>
        </w:rPr>
      </w:pPr>
      <w:r w:rsidRPr="001F5870">
        <w:rPr>
          <w:rFonts w:ascii="Arial" w:hAnsi="Arial" w:cs="Arial"/>
        </w:rPr>
        <w:t xml:space="preserve">Supplementary </w:t>
      </w:r>
      <w:r w:rsidR="00015F74" w:rsidRPr="001F5870">
        <w:rPr>
          <w:rFonts w:ascii="Arial" w:hAnsi="Arial" w:cs="Arial"/>
        </w:rPr>
        <w:t xml:space="preserve">Table </w:t>
      </w:r>
      <w:r w:rsidR="00C46982" w:rsidRPr="001F5870">
        <w:rPr>
          <w:rFonts w:ascii="Arial" w:hAnsi="Arial" w:cs="Arial"/>
        </w:rPr>
        <w:t>2</w:t>
      </w:r>
      <w:r w:rsidR="00015F74" w:rsidRPr="001F5870">
        <w:rPr>
          <w:rFonts w:ascii="Arial" w:hAnsi="Arial" w:cs="Arial"/>
        </w:rPr>
        <w:t>.</w:t>
      </w:r>
    </w:p>
    <w:p w14:paraId="067FE592" w14:textId="77777777" w:rsidR="004C711A" w:rsidRPr="001F5870" w:rsidRDefault="004C711A" w:rsidP="00477182">
      <w:pPr>
        <w:pStyle w:val="SMcaption"/>
        <w:rPr>
          <w:rFonts w:ascii="Arial" w:hAnsi="Arial" w:cs="Arial"/>
          <w:szCs w:val="24"/>
        </w:rPr>
      </w:pPr>
      <w:r w:rsidRPr="001F5870">
        <w:rPr>
          <w:rFonts w:ascii="Arial" w:hAnsi="Arial" w:cs="Arial"/>
          <w:szCs w:val="24"/>
        </w:rPr>
        <w:t xml:space="preserve">Summary of adverse events. </w:t>
      </w:r>
    </w:p>
    <w:p w14:paraId="7A4C68D0" w14:textId="77777777" w:rsidR="004C711A" w:rsidRPr="001F5870" w:rsidRDefault="004C711A" w:rsidP="00477182">
      <w:pPr>
        <w:pStyle w:val="SMcaption"/>
        <w:rPr>
          <w:rFonts w:ascii="Arial" w:hAnsi="Arial" w:cs="Arial"/>
          <w:szCs w:val="24"/>
        </w:rPr>
      </w:pPr>
    </w:p>
    <w:p w14:paraId="0C669A18" w14:textId="57325280" w:rsidR="004C711A" w:rsidRPr="001F5870" w:rsidRDefault="004C711A">
      <w:pPr>
        <w:rPr>
          <w:rFonts w:ascii="Arial" w:hAnsi="Arial" w:cs="Arial"/>
          <w:szCs w:val="24"/>
        </w:rPr>
      </w:pPr>
      <w:r w:rsidRPr="001F5870">
        <w:rPr>
          <w:rFonts w:ascii="Arial" w:hAnsi="Arial" w:cs="Arial"/>
          <w:szCs w:val="24"/>
        </w:rPr>
        <w:br w:type="page"/>
      </w:r>
    </w:p>
    <w:tbl>
      <w:tblPr>
        <w:tblW w:w="5000" w:type="pct"/>
        <w:tblLook w:val="04A0" w:firstRow="1" w:lastRow="0" w:firstColumn="1" w:lastColumn="0" w:noHBand="0" w:noVBand="1"/>
      </w:tblPr>
      <w:tblGrid>
        <w:gridCol w:w="3523"/>
        <w:gridCol w:w="2610"/>
        <w:gridCol w:w="988"/>
        <w:gridCol w:w="1633"/>
        <w:gridCol w:w="1700"/>
        <w:gridCol w:w="2506"/>
      </w:tblGrid>
      <w:tr w:rsidR="000069D7" w:rsidRPr="001F5870" w14:paraId="3C19213F" w14:textId="77777777" w:rsidTr="007B341F">
        <w:tc>
          <w:tcPr>
            <w:tcW w:w="1359" w:type="pct"/>
            <w:tcBorders>
              <w:bottom w:val="single" w:sz="4" w:space="0" w:color="auto"/>
            </w:tcBorders>
          </w:tcPr>
          <w:p w14:paraId="6CF30035" w14:textId="77777777" w:rsidR="000069D7" w:rsidRPr="001F5870" w:rsidRDefault="000069D7" w:rsidP="007B341F">
            <w:pPr>
              <w:autoSpaceDE w:val="0"/>
              <w:autoSpaceDN w:val="0"/>
              <w:adjustRightInd w:val="0"/>
              <w:spacing w:line="480" w:lineRule="auto"/>
              <w:jc w:val="both"/>
              <w:rPr>
                <w:rFonts w:ascii="Arial" w:hAnsi="Arial" w:cs="Arial"/>
                <w:b/>
                <w:bCs/>
                <w:szCs w:val="24"/>
              </w:rPr>
            </w:pPr>
            <w:bookmarkStart w:id="3" w:name="_Hlk176336165"/>
            <w:r w:rsidRPr="001F5870">
              <w:rPr>
                <w:rFonts w:ascii="Arial" w:hAnsi="Arial" w:cs="Arial"/>
                <w:b/>
                <w:bCs/>
                <w:szCs w:val="24"/>
              </w:rPr>
              <w:lastRenderedPageBreak/>
              <w:t>Studies</w:t>
            </w:r>
          </w:p>
        </w:tc>
        <w:tc>
          <w:tcPr>
            <w:tcW w:w="1007" w:type="pct"/>
            <w:tcBorders>
              <w:bottom w:val="single" w:sz="4" w:space="0" w:color="auto"/>
            </w:tcBorders>
          </w:tcPr>
          <w:p w14:paraId="415BF1C2" w14:textId="77777777" w:rsidR="000069D7" w:rsidRPr="001F5870" w:rsidRDefault="000069D7" w:rsidP="007B341F">
            <w:pPr>
              <w:autoSpaceDE w:val="0"/>
              <w:autoSpaceDN w:val="0"/>
              <w:adjustRightInd w:val="0"/>
              <w:spacing w:line="480" w:lineRule="auto"/>
              <w:jc w:val="both"/>
              <w:rPr>
                <w:rFonts w:ascii="Arial" w:hAnsi="Arial" w:cs="Arial"/>
                <w:b/>
                <w:bCs/>
                <w:szCs w:val="24"/>
              </w:rPr>
            </w:pPr>
            <w:r w:rsidRPr="001F5870">
              <w:rPr>
                <w:rFonts w:ascii="Arial" w:hAnsi="Arial" w:cs="Arial"/>
                <w:b/>
                <w:bCs/>
                <w:szCs w:val="24"/>
              </w:rPr>
              <w:t>Population</w:t>
            </w:r>
          </w:p>
        </w:tc>
        <w:tc>
          <w:tcPr>
            <w:tcW w:w="381" w:type="pct"/>
            <w:tcBorders>
              <w:bottom w:val="single" w:sz="4" w:space="0" w:color="auto"/>
            </w:tcBorders>
          </w:tcPr>
          <w:p w14:paraId="7F5666BB" w14:textId="77777777" w:rsidR="000069D7" w:rsidRPr="001F5870" w:rsidRDefault="000069D7" w:rsidP="007B341F">
            <w:pPr>
              <w:autoSpaceDE w:val="0"/>
              <w:autoSpaceDN w:val="0"/>
              <w:adjustRightInd w:val="0"/>
              <w:spacing w:line="480" w:lineRule="auto"/>
              <w:jc w:val="center"/>
              <w:rPr>
                <w:rFonts w:ascii="Arial" w:hAnsi="Arial" w:cs="Arial"/>
                <w:b/>
                <w:bCs/>
                <w:szCs w:val="24"/>
              </w:rPr>
            </w:pPr>
            <w:r w:rsidRPr="001F5870">
              <w:rPr>
                <w:rFonts w:ascii="Arial" w:hAnsi="Arial" w:cs="Arial"/>
                <w:b/>
                <w:bCs/>
                <w:szCs w:val="24"/>
              </w:rPr>
              <w:t>N</w:t>
            </w:r>
          </w:p>
        </w:tc>
        <w:tc>
          <w:tcPr>
            <w:tcW w:w="630" w:type="pct"/>
            <w:tcBorders>
              <w:bottom w:val="single" w:sz="4" w:space="0" w:color="auto"/>
            </w:tcBorders>
          </w:tcPr>
          <w:p w14:paraId="30B00A2C" w14:textId="77777777" w:rsidR="000069D7" w:rsidRPr="001F5870" w:rsidRDefault="000069D7" w:rsidP="007B341F">
            <w:pPr>
              <w:autoSpaceDE w:val="0"/>
              <w:autoSpaceDN w:val="0"/>
              <w:adjustRightInd w:val="0"/>
              <w:spacing w:line="480" w:lineRule="auto"/>
              <w:jc w:val="center"/>
              <w:rPr>
                <w:rFonts w:ascii="Arial" w:hAnsi="Arial" w:cs="Arial"/>
                <w:b/>
                <w:bCs/>
                <w:szCs w:val="24"/>
              </w:rPr>
            </w:pPr>
            <w:r w:rsidRPr="001F5870">
              <w:rPr>
                <w:rFonts w:ascii="Arial" w:hAnsi="Arial" w:cs="Arial"/>
                <w:b/>
                <w:bCs/>
                <w:szCs w:val="24"/>
              </w:rPr>
              <w:t>ORR, %</w:t>
            </w:r>
          </w:p>
        </w:tc>
        <w:tc>
          <w:tcPr>
            <w:tcW w:w="656" w:type="pct"/>
            <w:tcBorders>
              <w:bottom w:val="single" w:sz="4" w:space="0" w:color="auto"/>
            </w:tcBorders>
          </w:tcPr>
          <w:p w14:paraId="6C8305BC" w14:textId="77777777" w:rsidR="000069D7" w:rsidRPr="001F5870" w:rsidRDefault="000069D7" w:rsidP="007B341F">
            <w:pPr>
              <w:autoSpaceDE w:val="0"/>
              <w:autoSpaceDN w:val="0"/>
              <w:adjustRightInd w:val="0"/>
              <w:spacing w:line="480" w:lineRule="auto"/>
              <w:jc w:val="center"/>
              <w:rPr>
                <w:rFonts w:ascii="Arial" w:hAnsi="Arial" w:cs="Arial"/>
                <w:b/>
                <w:bCs/>
                <w:szCs w:val="24"/>
              </w:rPr>
            </w:pPr>
            <w:r w:rsidRPr="001F5870">
              <w:rPr>
                <w:rFonts w:ascii="Arial" w:hAnsi="Arial" w:cs="Arial"/>
                <w:b/>
                <w:bCs/>
                <w:szCs w:val="24"/>
              </w:rPr>
              <w:t>Median PFS, months</w:t>
            </w:r>
          </w:p>
        </w:tc>
        <w:tc>
          <w:tcPr>
            <w:tcW w:w="967" w:type="pct"/>
            <w:tcBorders>
              <w:bottom w:val="single" w:sz="4" w:space="0" w:color="auto"/>
            </w:tcBorders>
          </w:tcPr>
          <w:p w14:paraId="797FEFA2" w14:textId="77777777" w:rsidR="000069D7" w:rsidRPr="001F5870" w:rsidRDefault="000069D7" w:rsidP="007B341F">
            <w:pPr>
              <w:autoSpaceDE w:val="0"/>
              <w:autoSpaceDN w:val="0"/>
              <w:adjustRightInd w:val="0"/>
              <w:spacing w:line="480" w:lineRule="auto"/>
              <w:jc w:val="center"/>
              <w:rPr>
                <w:rFonts w:ascii="Arial" w:hAnsi="Arial" w:cs="Arial"/>
                <w:b/>
                <w:bCs/>
                <w:szCs w:val="24"/>
              </w:rPr>
            </w:pPr>
            <w:r w:rsidRPr="001F5870">
              <w:rPr>
                <w:rFonts w:ascii="Arial" w:hAnsi="Arial" w:cs="Arial"/>
                <w:b/>
                <w:bCs/>
                <w:szCs w:val="24"/>
              </w:rPr>
              <w:t>Median OS, months</w:t>
            </w:r>
          </w:p>
        </w:tc>
      </w:tr>
      <w:tr w:rsidR="000069D7" w:rsidRPr="001F5870" w14:paraId="6CFF3B53" w14:textId="77777777" w:rsidTr="007B341F">
        <w:tc>
          <w:tcPr>
            <w:tcW w:w="1359" w:type="pct"/>
          </w:tcPr>
          <w:p w14:paraId="2B1D506B" w14:textId="77777777" w:rsidR="000069D7" w:rsidRPr="001F5870" w:rsidRDefault="000069D7" w:rsidP="007B341F">
            <w:pPr>
              <w:autoSpaceDE w:val="0"/>
              <w:autoSpaceDN w:val="0"/>
              <w:adjustRightInd w:val="0"/>
              <w:spacing w:line="480" w:lineRule="auto"/>
              <w:jc w:val="both"/>
              <w:rPr>
                <w:rFonts w:ascii="Arial" w:hAnsi="Arial" w:cs="Arial"/>
                <w:szCs w:val="24"/>
              </w:rPr>
            </w:pPr>
            <w:r w:rsidRPr="001F5870">
              <w:rPr>
                <w:rFonts w:ascii="Arial" w:hAnsi="Arial" w:cs="Arial"/>
                <w:b/>
                <w:bCs/>
                <w:szCs w:val="24"/>
              </w:rPr>
              <w:t>First-line – FOLFIRI-cetuximab</w:t>
            </w:r>
          </w:p>
        </w:tc>
        <w:tc>
          <w:tcPr>
            <w:tcW w:w="1007" w:type="pct"/>
          </w:tcPr>
          <w:p w14:paraId="1EA2ED3E" w14:textId="77777777" w:rsidR="000069D7" w:rsidRPr="001F5870" w:rsidRDefault="000069D7" w:rsidP="007B341F">
            <w:pPr>
              <w:autoSpaceDE w:val="0"/>
              <w:autoSpaceDN w:val="0"/>
              <w:adjustRightInd w:val="0"/>
              <w:spacing w:line="480" w:lineRule="auto"/>
              <w:jc w:val="both"/>
              <w:rPr>
                <w:rFonts w:ascii="Arial" w:hAnsi="Arial" w:cs="Arial"/>
                <w:szCs w:val="24"/>
              </w:rPr>
            </w:pPr>
          </w:p>
        </w:tc>
        <w:tc>
          <w:tcPr>
            <w:tcW w:w="381" w:type="pct"/>
          </w:tcPr>
          <w:p w14:paraId="6B742B3A" w14:textId="77777777" w:rsidR="000069D7" w:rsidRPr="001F5870" w:rsidRDefault="000069D7" w:rsidP="007B341F">
            <w:pPr>
              <w:autoSpaceDE w:val="0"/>
              <w:autoSpaceDN w:val="0"/>
              <w:adjustRightInd w:val="0"/>
              <w:spacing w:line="480" w:lineRule="auto"/>
              <w:jc w:val="center"/>
              <w:rPr>
                <w:rFonts w:ascii="Arial" w:hAnsi="Arial" w:cs="Arial"/>
                <w:szCs w:val="24"/>
              </w:rPr>
            </w:pPr>
          </w:p>
        </w:tc>
        <w:tc>
          <w:tcPr>
            <w:tcW w:w="630" w:type="pct"/>
          </w:tcPr>
          <w:p w14:paraId="62AB49C1" w14:textId="77777777" w:rsidR="000069D7" w:rsidRPr="001F5870" w:rsidRDefault="000069D7" w:rsidP="007B341F">
            <w:pPr>
              <w:autoSpaceDE w:val="0"/>
              <w:autoSpaceDN w:val="0"/>
              <w:adjustRightInd w:val="0"/>
              <w:spacing w:line="480" w:lineRule="auto"/>
              <w:jc w:val="center"/>
              <w:rPr>
                <w:rFonts w:ascii="Arial" w:hAnsi="Arial" w:cs="Arial"/>
                <w:szCs w:val="24"/>
              </w:rPr>
            </w:pPr>
          </w:p>
        </w:tc>
        <w:tc>
          <w:tcPr>
            <w:tcW w:w="656" w:type="pct"/>
          </w:tcPr>
          <w:p w14:paraId="60394A5A" w14:textId="77777777" w:rsidR="000069D7" w:rsidRPr="001F5870" w:rsidRDefault="000069D7" w:rsidP="007B341F">
            <w:pPr>
              <w:autoSpaceDE w:val="0"/>
              <w:autoSpaceDN w:val="0"/>
              <w:adjustRightInd w:val="0"/>
              <w:spacing w:line="480" w:lineRule="auto"/>
              <w:jc w:val="center"/>
              <w:rPr>
                <w:rFonts w:ascii="Arial" w:hAnsi="Arial" w:cs="Arial"/>
                <w:szCs w:val="24"/>
              </w:rPr>
            </w:pPr>
          </w:p>
        </w:tc>
        <w:tc>
          <w:tcPr>
            <w:tcW w:w="967" w:type="pct"/>
          </w:tcPr>
          <w:p w14:paraId="10E6455A" w14:textId="77777777" w:rsidR="000069D7" w:rsidRPr="001F5870" w:rsidRDefault="000069D7" w:rsidP="007B341F">
            <w:pPr>
              <w:autoSpaceDE w:val="0"/>
              <w:autoSpaceDN w:val="0"/>
              <w:adjustRightInd w:val="0"/>
              <w:spacing w:line="480" w:lineRule="auto"/>
              <w:jc w:val="center"/>
              <w:rPr>
                <w:rFonts w:ascii="Arial" w:hAnsi="Arial" w:cs="Arial"/>
                <w:szCs w:val="24"/>
              </w:rPr>
            </w:pPr>
          </w:p>
        </w:tc>
      </w:tr>
      <w:tr w:rsidR="000069D7" w:rsidRPr="001F5870" w14:paraId="53366A03" w14:textId="77777777" w:rsidTr="007B341F">
        <w:tc>
          <w:tcPr>
            <w:tcW w:w="1359" w:type="pct"/>
          </w:tcPr>
          <w:p w14:paraId="1693D0BF" w14:textId="77777777" w:rsidR="000069D7" w:rsidRPr="001F5870" w:rsidRDefault="000069D7" w:rsidP="007B341F">
            <w:pPr>
              <w:autoSpaceDE w:val="0"/>
              <w:autoSpaceDN w:val="0"/>
              <w:adjustRightInd w:val="0"/>
              <w:spacing w:line="480" w:lineRule="auto"/>
              <w:jc w:val="both"/>
              <w:rPr>
                <w:rFonts w:ascii="Arial" w:hAnsi="Arial" w:cs="Arial"/>
                <w:szCs w:val="24"/>
              </w:rPr>
            </w:pPr>
            <w:r w:rsidRPr="001F5870">
              <w:rPr>
                <w:rFonts w:ascii="Arial" w:hAnsi="Arial" w:cs="Arial"/>
                <w:szCs w:val="24"/>
              </w:rPr>
              <w:t>STRATEGIC-1 (arm A)</w:t>
            </w:r>
          </w:p>
        </w:tc>
        <w:tc>
          <w:tcPr>
            <w:tcW w:w="1007" w:type="pct"/>
          </w:tcPr>
          <w:p w14:paraId="3FBBF0F3" w14:textId="77777777" w:rsidR="000069D7" w:rsidRPr="001F5870" w:rsidRDefault="000069D7" w:rsidP="007B341F">
            <w:pPr>
              <w:autoSpaceDE w:val="0"/>
              <w:autoSpaceDN w:val="0"/>
              <w:adjustRightInd w:val="0"/>
              <w:spacing w:line="480" w:lineRule="auto"/>
              <w:jc w:val="both"/>
              <w:rPr>
                <w:rFonts w:ascii="Arial" w:hAnsi="Arial" w:cs="Arial"/>
                <w:szCs w:val="24"/>
              </w:rPr>
            </w:pPr>
            <w:r w:rsidRPr="001F5870">
              <w:rPr>
                <w:rFonts w:ascii="Arial" w:hAnsi="Arial" w:cs="Arial"/>
                <w:szCs w:val="24"/>
              </w:rPr>
              <w:t>RAS/BRAF wild-type</w:t>
            </w:r>
          </w:p>
        </w:tc>
        <w:tc>
          <w:tcPr>
            <w:tcW w:w="381" w:type="pct"/>
          </w:tcPr>
          <w:p w14:paraId="281771A5"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131</w:t>
            </w:r>
          </w:p>
        </w:tc>
        <w:tc>
          <w:tcPr>
            <w:tcW w:w="630" w:type="pct"/>
          </w:tcPr>
          <w:p w14:paraId="266F98D7" w14:textId="25FC2059" w:rsidR="000069D7" w:rsidRPr="001F5870" w:rsidRDefault="007B341F"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82.4</w:t>
            </w:r>
          </w:p>
        </w:tc>
        <w:tc>
          <w:tcPr>
            <w:tcW w:w="656" w:type="pct"/>
          </w:tcPr>
          <w:p w14:paraId="2247380A"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11.9</w:t>
            </w:r>
          </w:p>
        </w:tc>
        <w:tc>
          <w:tcPr>
            <w:tcW w:w="967" w:type="pct"/>
          </w:tcPr>
          <w:p w14:paraId="213D997F"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40.4</w:t>
            </w:r>
          </w:p>
        </w:tc>
      </w:tr>
      <w:tr w:rsidR="000069D7" w:rsidRPr="001F5870" w14:paraId="07F836A7" w14:textId="77777777" w:rsidTr="007B341F">
        <w:tc>
          <w:tcPr>
            <w:tcW w:w="1359" w:type="pct"/>
          </w:tcPr>
          <w:p w14:paraId="698DDCDD" w14:textId="77777777" w:rsidR="000069D7" w:rsidRPr="001F5870" w:rsidRDefault="000069D7" w:rsidP="007B341F">
            <w:pPr>
              <w:autoSpaceDE w:val="0"/>
              <w:autoSpaceDN w:val="0"/>
              <w:adjustRightInd w:val="0"/>
              <w:spacing w:line="480" w:lineRule="auto"/>
              <w:jc w:val="both"/>
              <w:rPr>
                <w:rFonts w:ascii="Arial" w:hAnsi="Arial" w:cs="Arial"/>
                <w:szCs w:val="24"/>
              </w:rPr>
            </w:pPr>
            <w:r w:rsidRPr="001F5870">
              <w:rPr>
                <w:rFonts w:ascii="Arial" w:hAnsi="Arial" w:cs="Arial"/>
                <w:szCs w:val="24"/>
              </w:rPr>
              <w:t>CRYSTAL</w:t>
            </w:r>
            <w:r w:rsidRPr="001F5870">
              <w:rPr>
                <w:rFonts w:ascii="Arial" w:hAnsi="Arial" w:cs="Arial"/>
                <w:szCs w:val="24"/>
              </w:rPr>
              <w:fldChar w:fldCharType="begin"/>
            </w:r>
            <w:r w:rsidRPr="001F5870">
              <w:rPr>
                <w:rFonts w:ascii="Arial" w:hAnsi="Arial" w:cs="Arial"/>
                <w:szCs w:val="24"/>
              </w:rPr>
              <w:instrText xml:space="preserve"> ADDIN ZOTERO_ITEM CSL_CITATION {"citationID":"mNF8GLcA","properties":{"formattedCitation":"\\super 1\\nosupersub{}","plainCitation":"1","noteIndex":0},"citationItems":[{"id":46,"uris":["http://zotero.org/users/local/NIYFum1Y/items/QZUKMAP5"],"itemData":{"id":46,"type":"article-journal","abstract":"BACKGROUND: We investigated the efficacy of cetuximab plus irinotecan, fluorouracil, and leucovorin (FOLFIRI) as first-line treatment for metastatic colorectal cancer and sought associations between the mutation status of the KRAS gene in tumors and clinical response to cetuximab.\nMETHODS: We randomly assigned patients with epidermal growth factor receptor-positive colorectal cancer with unresectable metastases to receive FOLFIRI either alone or in combination with cetuximab. The primary end point was progression-free survival.\nRESULTS: A total of 599 patients received cetuximab plus FOLFIRI, and 599 received FOLFIRI alone. The hazard ratio for progression-free survival in the cetuximab-FOLFIRI group as compared with the FOLFIRI group was 0.85 (95% confidence interval [CI], 0.72 to 0.99; P=0.048). There was no significant difference in the overall survival between the two treatment groups (hazard ratio, 0.93; 95% CI, 0.81 to 1.07; P=0.31). There was a significant interaction between treatment group and KRAS mutation status for tumor response (P=0.03) but not for progression-free survival (P=0.07) or overall survival (P=0.44). The hazard ratio for progression-free survival among patients with wild-type-KRAS tumors was 0.68 (95% CI, 0.50 to 0.94), in favor of the cetuximab-FOLFIRI group. The following grade 3 or 4 adverse events were more frequent with cetuximab plus FOLFIRI than with FOLFIRI alone: skin reactions (which were grade 3 only) (in 19.7% vs. 0.2% of patients, P&lt;0.001), infusion-related reactions (in 2.5% vs. 0%, P&lt;0.001), and diarrhea (in 15.7% vs. 10.5%, P=0.008).\nCONCLUSIONS: First-line treatment with cetuximab plus FOLFIRI, as compared with FOLFIRI alone, reduced the risk of progression of metastatic colorectal cancer. The benefit of cetuximab was limited to patients with KRAS wild-type tumors. (ClinicalTrials.gov number, NCT00154102.)","container-title":"The New England Journal of Medicine","DOI":"10.1056/NEJMoa0805019","ISSN":"1533-4406","issue":"14","journalAbbreviation":"N Engl J Med","language":"eng","note":"PMID: 19339720","page":"1408-1417","source":"PubMed","title":"Cetuximab and chemotherapy as initial treatment for metastatic colorectal cancer","volume":"360","author":[{"family":"Van Cutsem","given":"Eric"},{"family":"Köhne","given":"Claus-Henning"},{"family":"Hitre","given":"Erika"},{"family":"Zaluski","given":"Jerzy"},{"family":"Chang Chien","given":"Chung-Rong"},{"family":"Makhson","given":"Anatoly"},{"family":"D'Haens","given":"Geert"},{"family":"Pintér","given":"Tamás"},{"family":"Lim","given":"Robert"},{"family":"Bodoky","given":"György"},{"family":"Roh","given":"Jae Kyung"},{"family":"Folprecht","given":"Gunnar"},{"family":"Ruff","given":"Paul"},{"family":"Stroh","given":"Christopher"},{"family":"Tejpar","given":"Sabine"},{"family":"Schlichting","given":"Michael"},{"family":"Nippgen","given":"Johannes"},{"family":"Rougier","given":"Philippe"}],"issued":{"date-parts":[["2009",4,2]]}}}],"schema":"https://github.com/citation-style-language/schema/raw/master/csl-citation.json"} </w:instrText>
            </w:r>
            <w:r w:rsidRPr="001F5870">
              <w:rPr>
                <w:rFonts w:ascii="Arial" w:hAnsi="Arial" w:cs="Arial"/>
                <w:szCs w:val="24"/>
              </w:rPr>
              <w:fldChar w:fldCharType="separate"/>
            </w:r>
            <w:r w:rsidRPr="001F5870">
              <w:rPr>
                <w:rFonts w:ascii="Arial" w:hAnsi="Arial" w:cs="Arial"/>
                <w:szCs w:val="24"/>
                <w:vertAlign w:val="superscript"/>
              </w:rPr>
              <w:t>1</w:t>
            </w:r>
            <w:r w:rsidRPr="001F5870">
              <w:rPr>
                <w:rFonts w:ascii="Arial" w:hAnsi="Arial" w:cs="Arial"/>
                <w:szCs w:val="24"/>
              </w:rPr>
              <w:fldChar w:fldCharType="end"/>
            </w:r>
          </w:p>
        </w:tc>
        <w:tc>
          <w:tcPr>
            <w:tcW w:w="1007" w:type="pct"/>
          </w:tcPr>
          <w:p w14:paraId="025EFA15" w14:textId="77777777" w:rsidR="000069D7" w:rsidRPr="001F5870" w:rsidRDefault="000069D7" w:rsidP="007B341F">
            <w:pPr>
              <w:autoSpaceDE w:val="0"/>
              <w:autoSpaceDN w:val="0"/>
              <w:adjustRightInd w:val="0"/>
              <w:spacing w:line="480" w:lineRule="auto"/>
              <w:jc w:val="both"/>
              <w:rPr>
                <w:rFonts w:ascii="Arial" w:hAnsi="Arial" w:cs="Arial"/>
                <w:szCs w:val="24"/>
              </w:rPr>
            </w:pPr>
            <w:r w:rsidRPr="001F5870">
              <w:rPr>
                <w:rFonts w:ascii="Arial" w:hAnsi="Arial" w:cs="Arial"/>
                <w:szCs w:val="24"/>
              </w:rPr>
              <w:t>RAS wild-type</w:t>
            </w:r>
          </w:p>
        </w:tc>
        <w:tc>
          <w:tcPr>
            <w:tcW w:w="381" w:type="pct"/>
          </w:tcPr>
          <w:p w14:paraId="10ACAB68"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178</w:t>
            </w:r>
          </w:p>
        </w:tc>
        <w:tc>
          <w:tcPr>
            <w:tcW w:w="630" w:type="pct"/>
          </w:tcPr>
          <w:p w14:paraId="4B387BF7"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66.3</w:t>
            </w:r>
          </w:p>
        </w:tc>
        <w:tc>
          <w:tcPr>
            <w:tcW w:w="656" w:type="pct"/>
          </w:tcPr>
          <w:p w14:paraId="50F892A3"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11.4</w:t>
            </w:r>
          </w:p>
        </w:tc>
        <w:tc>
          <w:tcPr>
            <w:tcW w:w="967" w:type="pct"/>
          </w:tcPr>
          <w:p w14:paraId="6B1E643C"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28.4</w:t>
            </w:r>
          </w:p>
        </w:tc>
      </w:tr>
      <w:tr w:rsidR="000069D7" w:rsidRPr="001F5870" w14:paraId="136CDAC9" w14:textId="77777777" w:rsidTr="007B341F">
        <w:tc>
          <w:tcPr>
            <w:tcW w:w="1359" w:type="pct"/>
            <w:tcBorders>
              <w:bottom w:val="single" w:sz="4" w:space="0" w:color="auto"/>
            </w:tcBorders>
          </w:tcPr>
          <w:p w14:paraId="58556B06" w14:textId="77777777" w:rsidR="000069D7" w:rsidRPr="001F5870" w:rsidRDefault="000069D7" w:rsidP="007B341F">
            <w:pPr>
              <w:autoSpaceDE w:val="0"/>
              <w:autoSpaceDN w:val="0"/>
              <w:adjustRightInd w:val="0"/>
              <w:spacing w:line="480" w:lineRule="auto"/>
              <w:jc w:val="both"/>
              <w:rPr>
                <w:rFonts w:ascii="Arial" w:hAnsi="Arial" w:cs="Arial"/>
                <w:szCs w:val="24"/>
              </w:rPr>
            </w:pPr>
            <w:r w:rsidRPr="001F5870">
              <w:rPr>
                <w:rFonts w:ascii="Arial" w:hAnsi="Arial" w:cs="Arial"/>
                <w:szCs w:val="24"/>
              </w:rPr>
              <w:t>FIRE-3</w:t>
            </w:r>
            <w:r w:rsidRPr="001F5870">
              <w:rPr>
                <w:rFonts w:ascii="Arial" w:hAnsi="Arial" w:cs="Arial"/>
                <w:szCs w:val="24"/>
              </w:rPr>
              <w:fldChar w:fldCharType="begin"/>
            </w:r>
            <w:r w:rsidRPr="001F5870">
              <w:rPr>
                <w:rFonts w:ascii="Arial" w:hAnsi="Arial" w:cs="Arial"/>
                <w:szCs w:val="24"/>
              </w:rPr>
              <w:instrText xml:space="preserve"> ADDIN ZOTERO_ITEM CSL_CITATION {"citationID":"xDhVRS6D","properties":{"formattedCitation":"\\super 2, 3\\nosupersub{}","plainCitation":"2, 3","noteIndex":0},"citationItems":[{"id":78,"uris":["http://zotero.org/users/local/NIYFum1Y/items/9CSB8JWW"],"itemData":{"id":78,"type":"article-journal","abstract":"BACKGROUND: Cetuximab plus FOLFIRI improved overall survival compared with bevacizumab plus FOLFIRI in KRAS wild-type metastatic colorectal cancer (mCRC) in FIRE-3, but no corresponding benefit was found for progression-free survival. This analysis aimed to determine whether cetuximab improves response and survival versus bevacizumab among response-evaluable patients receiving first-line FOLFIRI for RAS wild-type mCRC and the effect of primary tumour side on outcomes.\nMETHODS: The intent-to-treat population included 593 patients with KRAS exon 2 wild-type mCRC. Further testing identified 400 patients with extended RAS wild-type disease; of these, 352 (88%) who received ≥3 cycles of therapy and had ≥1 post-baseline scan were evaluable for response and constituted the per-protocol population (169 cetuximab and 183 bevacizumab). Patients received 5-fluorouracil, folinic acid and irinotecan (FOLFIRI) with either weekly cetuximab or biweekly bevacizumab given on day 1 of each 14-day cycle until response, progression or toxicity occurred. The primary endpoint was the objective response rate (ORR) in the per-protocol population. Secondary endpoints included overall survival (OS) and progression-free survival (PFS). The effect of primary tumour location was evaluated.\nRESULTS: Median OS in the RAS wild-type population was 31 vs 26 months in the cetuximab and bevacizumab groups, respectively (HR 0.76, P = 0.012). In the per-protocol population, outcomes favoured cetuximab for ORR (77% vs 65%, P = 0.014) and median OS (33 vs 26 months, HR 0.75, P = 0.011), while PFS was comparable between groups. The advantage of cetuximab over bevacizumab occurred only in patients with left-sided primary tumours.\nCONCLUSIONS: FOLFIRI plus cetuximab resulted in a significantly higher ORR and longer OS compared to FOLFIRI plus bevacizumab among patients with left-sided tumours. The superior response associated with cetuximab may particularly benefit patients with symptomatic tumours or borderline-resectable metastases. CLINICALTRIALS.\nGOV IDENTIFIER: NCT00433927.","container-title":"British Journal of Cancer","DOI":"10.1038/s41416-020-01140-9","ISSN":"1532-1827","issue":"3","journalAbbreviation":"Br J Cancer","language":"eng","note":"PMID: 33154570\nPMCID: PMC7851157","page":"587-594","source":"PubMed","title":"FOLFIRI plus cetuximab or bevacizumab for advanced colorectal cancer: final survival and per-protocol analysis of FIRE-3, a randomised clinical trial","title-short":"FOLFIRI plus cetuximab or bevacizumab for advanced colorectal cancer","volume":"124","author":[{"family":"Heinemann","given":"Volker"},{"family":"Weikersthal","given":"Ludwig Fischer","non-dropping-particle":"von"},{"family":"Decker","given":"Thomas"},{"family":"Kiani","given":"Alexander"},{"family":"Kaiser","given":"Florian"},{"family":"Al-Batran","given":"Salah-Edin"},{"family":"Heintges","given":"Tobias"},{"family":"Lerchenmüller","given":"Christoph"},{"family":"Kahl","given":"Christoph"},{"family":"Seipelt","given":"Gernot"},{"family":"Kullmann","given":"Frank"},{"family":"Moehler","given":"Markus"},{"family":"Scheithauer","given":"Werner"},{"family":"Held","given":"Swantje"},{"family":"Miller-Phillips","given":"Lisa"},{"family":"Modest","given":"Dominik Paul"},{"family":"Jung","given":"Andreas"},{"family":"Kirchner","given":"Thomas"},{"family":"Stintzing","given":"Sebastian"}],"issued":{"date-parts":[["2021",2]]}},"label":"page"},{"id":124,"uris":["http://zotero.org/users/local/NIYFum1Y/items/ZJX6L99V"],"itemData":{"id":124,"type":"article-journal","abstract":"BACKGROUND: Cetuximab and bevacizumab have both been shown to improve outcomes in patients with metastatic colorectal cancer when added to chemotherapy regimens; however, their comparative effectiveness when partnered with first-line fluorouracil, folinic acid, and irinotecan (FOLFIRI) is unknown. We aimed to compare these agents in patients with KRAS (exon 2) codon 12/13 wild-type metastatic colorectal cancer.\nMETHODS: In this open-label, randomised, phase 3 trial, we recruited patients aged 18-75 years with stage IV, histologically confirmed colorectal cancer, an Eastern Cooperative Oncology Group (ECOG) performance status of 0-2, an estimated life expectancy of greater than 3 months, and adequate organ function, from centres in Germany and Austria. Patients were centrally randomised by fax (1:1) to FOLFIRI plus cetuximab or FOLFIRI plus bevacizumab (using permuted blocks of randomly varying size), stratified according to ECOG performance status, number of metastatic sites, white blood cell count, and alkaline phosphatase concentration. The primary endpoint was objective response analysed by intention to treat. The study has completed recruitment, but follow-up of participants is ongoing. The trial is registered with ClinicalTrials.gov, number NCT00433927.\nFINDINGS: Between Jan 23, 2007, and Sept 19, 2012, 592 patients with KRAS exon 2 wild-type tumours were randomly assigned and received treatment (297 in the FOLFIRI plus cetuximab group and 295 in the FOLFIRI plus bevacizumab group). 184 (62·0%, 95% CI 56·2-67·5) patients in the cetuximab group achieved an objective response compared with 171 (58·0%, 52·1-63·7) in the bevacizumab group (odds ratio 1·18, 95% CI 0·85-1·64; p=0·18). Median progression-free survival was 10·0 months (95% CI 8·8-10·8) in the cetuximab group and 10·3 months (9·8-11·3) in the bevacizumab group (hazard ratio [HR] 1·06, 95% CI 0·88-1·26; p=0·55); however, median overall survival was 28·7 months (95% CI 24·0-36·6) in the cetuximab group compared with 25·0 months (22·7-27·6) in the bevacizumab group (HR 0·77, 95% CI 0·62-0·96; p=0·017). Safety profiles were consistent with the known side-effects of the study drugs. The most common grade 3 or worse adverse events in both treatment groups were haematotoxicity (73 [25%] of 297 patients in the cetuximab group vs 62 [21%] of 295 patients in the bevacizumab group), skin reactions (77 [26%] vs six [2%]), and diarrhoea (34 [11%] vs 40 [14%]).\nINTERPRETATION: Although the proportion of patients who achieved an objective response did not significantly differ between the FOLFIRI plus cetuximab and FOLFIRI plus bevacizumab groups, the association with longer overall survival suggests that FOLFIRI plus cetuximab could be the preferred first-line regimen for patients with KRAS exon 2 wild-type metastatic colorectal cancer.\nFUNDING: Merck KGaA.","container-title":"The Lancet. Oncology","DOI":"10.1016/S1470-2045(14)70330-4","ISSN":"1474-5488","issue":"10","journalAbbreviation":"Lancet Oncol","language":"eng","note":"PMID: 25088940","page":"1065-1075","source":"PubMed","title":"FOLFIRI plus cetuximab versus FOLFIRI plus bevacizumab as first-line treatment for patients with metastatic colorectal cancer (FIRE-3): a randomised, open-label, phase 3 trial","title-short":"FOLFIRI plus cetuximab versus FOLFIRI plus bevacizumab as first-line treatment for patients with metastatic colorectal cancer (FIRE-3)","volume":"15","author":[{"family":"Heinemann","given":"Volker"},{"family":"Weikersthal","given":"Ludwig Fischer","non-dropping-particle":"von"},{"family":"Decker","given":"Thomas"},{"family":"Kiani","given":"Alexander"},{"family":"Vehling-Kaiser","given":"Ursula"},{"family":"Al-Batran","given":"Salah-Eddin"},{"family":"Heintges","given":"Tobias"},{"family":"Lerchenmüller","given":"Christian"},{"family":"Kahl","given":"Christoph"},{"family":"Seipelt","given":"Gernot"},{"family":"Kullmann","given":"Frank"},{"family":"Stauch","given":"Martina"},{"family":"Scheithauer","given":"Werner"},{"family":"Hielscher","given":"Jörg"},{"family":"Scholz","given":"Michael"},{"family":"Müller","given":"Sebastian"},{"family":"Link","given":"Hartmut"},{"family":"Niederle","given":"Norbert"},{"family":"Rost","given":"Andreas"},{"family":"Höffkes","given":"Heinz-Gert"},{"family":"Moehler","given":"Markus"},{"family":"Lindig","given":"Reinhard U."},{"family":"Modest","given":"Dominik P."},{"family":"Rossius","given":"Lisa"},{"family":"Kirchner","given":"Thomas"},{"family":"Jung","given":"Andreas"},{"family":"Stintzing","given":"Sebastian"}],"issued":{"date-parts":[["2014",9]]}},"label":"page"}],"schema":"https://github.com/citation-style-language/schema/raw/master/csl-citation.json"} </w:instrText>
            </w:r>
            <w:r w:rsidRPr="001F5870">
              <w:rPr>
                <w:rFonts w:ascii="Arial" w:hAnsi="Arial" w:cs="Arial"/>
                <w:szCs w:val="24"/>
              </w:rPr>
              <w:fldChar w:fldCharType="separate"/>
            </w:r>
            <w:r w:rsidRPr="001F5870">
              <w:rPr>
                <w:rFonts w:ascii="Arial" w:hAnsi="Arial" w:cs="Arial"/>
                <w:szCs w:val="24"/>
                <w:vertAlign w:val="superscript"/>
              </w:rPr>
              <w:t>2, 3</w:t>
            </w:r>
            <w:r w:rsidRPr="001F5870">
              <w:rPr>
                <w:rFonts w:ascii="Arial" w:hAnsi="Arial" w:cs="Arial"/>
                <w:szCs w:val="24"/>
              </w:rPr>
              <w:fldChar w:fldCharType="end"/>
            </w:r>
          </w:p>
        </w:tc>
        <w:tc>
          <w:tcPr>
            <w:tcW w:w="1007" w:type="pct"/>
            <w:tcBorders>
              <w:bottom w:val="single" w:sz="4" w:space="0" w:color="auto"/>
            </w:tcBorders>
          </w:tcPr>
          <w:p w14:paraId="5FF7B486" w14:textId="77777777" w:rsidR="000069D7" w:rsidRPr="001F5870" w:rsidRDefault="000069D7" w:rsidP="007B341F">
            <w:pPr>
              <w:autoSpaceDE w:val="0"/>
              <w:autoSpaceDN w:val="0"/>
              <w:adjustRightInd w:val="0"/>
              <w:spacing w:line="480" w:lineRule="auto"/>
              <w:jc w:val="both"/>
              <w:rPr>
                <w:rFonts w:ascii="Arial" w:hAnsi="Arial" w:cs="Arial"/>
                <w:szCs w:val="24"/>
              </w:rPr>
            </w:pPr>
            <w:r w:rsidRPr="001F5870">
              <w:rPr>
                <w:rFonts w:ascii="Arial" w:hAnsi="Arial" w:cs="Arial"/>
                <w:szCs w:val="24"/>
              </w:rPr>
              <w:t>RAS wild-type</w:t>
            </w:r>
          </w:p>
        </w:tc>
        <w:tc>
          <w:tcPr>
            <w:tcW w:w="381" w:type="pct"/>
            <w:tcBorders>
              <w:bottom w:val="single" w:sz="4" w:space="0" w:color="auto"/>
            </w:tcBorders>
          </w:tcPr>
          <w:p w14:paraId="3CD54F5F"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199</w:t>
            </w:r>
          </w:p>
        </w:tc>
        <w:tc>
          <w:tcPr>
            <w:tcW w:w="630" w:type="pct"/>
            <w:tcBorders>
              <w:bottom w:val="single" w:sz="4" w:space="0" w:color="auto"/>
            </w:tcBorders>
          </w:tcPr>
          <w:p w14:paraId="5E52CF6B"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66.0</w:t>
            </w:r>
          </w:p>
        </w:tc>
        <w:tc>
          <w:tcPr>
            <w:tcW w:w="656" w:type="pct"/>
            <w:tcBorders>
              <w:bottom w:val="single" w:sz="4" w:space="0" w:color="auto"/>
            </w:tcBorders>
          </w:tcPr>
          <w:p w14:paraId="29EC28E5"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10.3</w:t>
            </w:r>
          </w:p>
        </w:tc>
        <w:tc>
          <w:tcPr>
            <w:tcW w:w="967" w:type="pct"/>
            <w:tcBorders>
              <w:bottom w:val="single" w:sz="4" w:space="0" w:color="auto"/>
            </w:tcBorders>
          </w:tcPr>
          <w:p w14:paraId="63E997AE"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31.1</w:t>
            </w:r>
          </w:p>
        </w:tc>
      </w:tr>
      <w:tr w:rsidR="000069D7" w:rsidRPr="001F5870" w14:paraId="5AB0C202" w14:textId="77777777" w:rsidTr="007B341F">
        <w:tc>
          <w:tcPr>
            <w:tcW w:w="1359" w:type="pct"/>
          </w:tcPr>
          <w:p w14:paraId="52120C10" w14:textId="77777777" w:rsidR="000069D7" w:rsidRPr="001F5870" w:rsidRDefault="000069D7" w:rsidP="007B341F">
            <w:pPr>
              <w:autoSpaceDE w:val="0"/>
              <w:autoSpaceDN w:val="0"/>
              <w:adjustRightInd w:val="0"/>
              <w:spacing w:line="480" w:lineRule="auto"/>
              <w:jc w:val="both"/>
              <w:rPr>
                <w:rFonts w:ascii="Arial" w:hAnsi="Arial" w:cs="Arial"/>
                <w:szCs w:val="24"/>
              </w:rPr>
            </w:pPr>
            <w:r w:rsidRPr="001F5870">
              <w:rPr>
                <w:rFonts w:ascii="Arial" w:hAnsi="Arial" w:cs="Arial"/>
                <w:b/>
                <w:bCs/>
                <w:szCs w:val="24"/>
              </w:rPr>
              <w:t>First-line – FOLFOX-bevacizumab</w:t>
            </w:r>
          </w:p>
        </w:tc>
        <w:tc>
          <w:tcPr>
            <w:tcW w:w="1007" w:type="pct"/>
          </w:tcPr>
          <w:p w14:paraId="1965A0C0" w14:textId="77777777" w:rsidR="000069D7" w:rsidRPr="001F5870" w:rsidRDefault="000069D7" w:rsidP="007B341F">
            <w:pPr>
              <w:autoSpaceDE w:val="0"/>
              <w:autoSpaceDN w:val="0"/>
              <w:adjustRightInd w:val="0"/>
              <w:spacing w:line="480" w:lineRule="auto"/>
              <w:jc w:val="both"/>
              <w:rPr>
                <w:rFonts w:ascii="Arial" w:hAnsi="Arial" w:cs="Arial"/>
                <w:szCs w:val="24"/>
              </w:rPr>
            </w:pPr>
          </w:p>
        </w:tc>
        <w:tc>
          <w:tcPr>
            <w:tcW w:w="381" w:type="pct"/>
          </w:tcPr>
          <w:p w14:paraId="6AD49E8B" w14:textId="77777777" w:rsidR="000069D7" w:rsidRPr="001F5870" w:rsidRDefault="000069D7" w:rsidP="007B341F">
            <w:pPr>
              <w:autoSpaceDE w:val="0"/>
              <w:autoSpaceDN w:val="0"/>
              <w:adjustRightInd w:val="0"/>
              <w:spacing w:line="480" w:lineRule="auto"/>
              <w:jc w:val="center"/>
              <w:rPr>
                <w:rFonts w:ascii="Arial" w:hAnsi="Arial" w:cs="Arial"/>
                <w:szCs w:val="24"/>
              </w:rPr>
            </w:pPr>
          </w:p>
        </w:tc>
        <w:tc>
          <w:tcPr>
            <w:tcW w:w="630" w:type="pct"/>
          </w:tcPr>
          <w:p w14:paraId="79D32E8F" w14:textId="77777777" w:rsidR="000069D7" w:rsidRPr="001F5870" w:rsidRDefault="000069D7" w:rsidP="007B341F">
            <w:pPr>
              <w:autoSpaceDE w:val="0"/>
              <w:autoSpaceDN w:val="0"/>
              <w:adjustRightInd w:val="0"/>
              <w:spacing w:line="480" w:lineRule="auto"/>
              <w:jc w:val="center"/>
              <w:rPr>
                <w:rFonts w:ascii="Arial" w:hAnsi="Arial" w:cs="Arial"/>
                <w:szCs w:val="24"/>
              </w:rPr>
            </w:pPr>
          </w:p>
        </w:tc>
        <w:tc>
          <w:tcPr>
            <w:tcW w:w="656" w:type="pct"/>
          </w:tcPr>
          <w:p w14:paraId="35AE0BBA" w14:textId="77777777" w:rsidR="000069D7" w:rsidRPr="001F5870" w:rsidRDefault="000069D7" w:rsidP="007B341F">
            <w:pPr>
              <w:autoSpaceDE w:val="0"/>
              <w:autoSpaceDN w:val="0"/>
              <w:adjustRightInd w:val="0"/>
              <w:spacing w:line="480" w:lineRule="auto"/>
              <w:jc w:val="center"/>
              <w:rPr>
                <w:rFonts w:ascii="Arial" w:hAnsi="Arial" w:cs="Arial"/>
                <w:szCs w:val="24"/>
              </w:rPr>
            </w:pPr>
          </w:p>
        </w:tc>
        <w:tc>
          <w:tcPr>
            <w:tcW w:w="967" w:type="pct"/>
          </w:tcPr>
          <w:p w14:paraId="7104A813" w14:textId="77777777" w:rsidR="000069D7" w:rsidRPr="001F5870" w:rsidRDefault="000069D7" w:rsidP="007B341F">
            <w:pPr>
              <w:autoSpaceDE w:val="0"/>
              <w:autoSpaceDN w:val="0"/>
              <w:adjustRightInd w:val="0"/>
              <w:spacing w:line="480" w:lineRule="auto"/>
              <w:jc w:val="center"/>
              <w:rPr>
                <w:rFonts w:ascii="Arial" w:hAnsi="Arial" w:cs="Arial"/>
                <w:szCs w:val="24"/>
              </w:rPr>
            </w:pPr>
          </w:p>
        </w:tc>
      </w:tr>
      <w:tr w:rsidR="000069D7" w:rsidRPr="001F5870" w14:paraId="1200A689" w14:textId="77777777" w:rsidTr="007B341F">
        <w:tc>
          <w:tcPr>
            <w:tcW w:w="1359" w:type="pct"/>
          </w:tcPr>
          <w:p w14:paraId="4A0FB026" w14:textId="77777777" w:rsidR="000069D7" w:rsidRPr="001F5870" w:rsidRDefault="000069D7" w:rsidP="007B341F">
            <w:pPr>
              <w:autoSpaceDE w:val="0"/>
              <w:autoSpaceDN w:val="0"/>
              <w:adjustRightInd w:val="0"/>
              <w:spacing w:line="480" w:lineRule="auto"/>
              <w:jc w:val="both"/>
              <w:rPr>
                <w:rFonts w:ascii="Arial" w:hAnsi="Arial" w:cs="Arial"/>
                <w:szCs w:val="24"/>
              </w:rPr>
            </w:pPr>
            <w:r w:rsidRPr="001F5870">
              <w:rPr>
                <w:rFonts w:ascii="Arial" w:hAnsi="Arial" w:cs="Arial"/>
                <w:szCs w:val="24"/>
              </w:rPr>
              <w:t>STRATEGIC (arm B)</w:t>
            </w:r>
          </w:p>
        </w:tc>
        <w:tc>
          <w:tcPr>
            <w:tcW w:w="1007" w:type="pct"/>
          </w:tcPr>
          <w:p w14:paraId="56E59172" w14:textId="77777777" w:rsidR="000069D7" w:rsidRPr="001F5870" w:rsidRDefault="000069D7" w:rsidP="007B341F">
            <w:pPr>
              <w:autoSpaceDE w:val="0"/>
              <w:autoSpaceDN w:val="0"/>
              <w:adjustRightInd w:val="0"/>
              <w:spacing w:line="480" w:lineRule="auto"/>
              <w:jc w:val="both"/>
              <w:rPr>
                <w:rFonts w:ascii="Arial" w:hAnsi="Arial" w:cs="Arial"/>
                <w:szCs w:val="24"/>
              </w:rPr>
            </w:pPr>
            <w:r w:rsidRPr="001F5870">
              <w:rPr>
                <w:rFonts w:ascii="Arial" w:hAnsi="Arial" w:cs="Arial"/>
                <w:szCs w:val="24"/>
              </w:rPr>
              <w:t>RAS/BRAF wild-type</w:t>
            </w:r>
          </w:p>
        </w:tc>
        <w:tc>
          <w:tcPr>
            <w:tcW w:w="381" w:type="pct"/>
          </w:tcPr>
          <w:p w14:paraId="4009B4FB"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132</w:t>
            </w:r>
          </w:p>
        </w:tc>
        <w:tc>
          <w:tcPr>
            <w:tcW w:w="630" w:type="pct"/>
          </w:tcPr>
          <w:p w14:paraId="4F70D09B" w14:textId="5471AA1B"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6</w:t>
            </w:r>
            <w:r w:rsidR="007B341F" w:rsidRPr="001F5870">
              <w:rPr>
                <w:rFonts w:ascii="Arial" w:hAnsi="Arial" w:cs="Arial"/>
                <w:szCs w:val="24"/>
              </w:rPr>
              <w:t>5</w:t>
            </w:r>
            <w:r w:rsidRPr="001F5870">
              <w:rPr>
                <w:rFonts w:ascii="Arial" w:hAnsi="Arial" w:cs="Arial"/>
                <w:szCs w:val="24"/>
              </w:rPr>
              <w:t>.4</w:t>
            </w:r>
          </w:p>
        </w:tc>
        <w:tc>
          <w:tcPr>
            <w:tcW w:w="656" w:type="pct"/>
          </w:tcPr>
          <w:p w14:paraId="35FFB8D4"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11.9</w:t>
            </w:r>
          </w:p>
        </w:tc>
        <w:tc>
          <w:tcPr>
            <w:tcW w:w="967" w:type="pct"/>
          </w:tcPr>
          <w:p w14:paraId="2E6273C9"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34.4</w:t>
            </w:r>
          </w:p>
        </w:tc>
      </w:tr>
      <w:tr w:rsidR="000069D7" w:rsidRPr="001F5870" w14:paraId="1E827E72" w14:textId="77777777" w:rsidTr="007B341F">
        <w:tc>
          <w:tcPr>
            <w:tcW w:w="1359" w:type="pct"/>
          </w:tcPr>
          <w:p w14:paraId="3E01984E" w14:textId="77777777" w:rsidR="000069D7" w:rsidRPr="001F5870" w:rsidRDefault="000069D7" w:rsidP="007B341F">
            <w:pPr>
              <w:autoSpaceDE w:val="0"/>
              <w:autoSpaceDN w:val="0"/>
              <w:adjustRightInd w:val="0"/>
              <w:spacing w:line="480" w:lineRule="auto"/>
              <w:jc w:val="both"/>
              <w:rPr>
                <w:rFonts w:ascii="Arial" w:hAnsi="Arial" w:cs="Arial"/>
                <w:szCs w:val="24"/>
              </w:rPr>
            </w:pPr>
            <w:r w:rsidRPr="001F5870">
              <w:rPr>
                <w:rFonts w:ascii="Arial" w:hAnsi="Arial" w:cs="Arial"/>
                <w:szCs w:val="24"/>
              </w:rPr>
              <w:t>PEAK</w:t>
            </w:r>
            <w:r w:rsidRPr="001F5870">
              <w:rPr>
                <w:rFonts w:ascii="Arial" w:hAnsi="Arial" w:cs="Arial"/>
                <w:szCs w:val="24"/>
              </w:rPr>
              <w:fldChar w:fldCharType="begin"/>
            </w:r>
            <w:r w:rsidRPr="001F5870">
              <w:rPr>
                <w:rFonts w:ascii="Arial" w:hAnsi="Arial" w:cs="Arial"/>
                <w:szCs w:val="24"/>
              </w:rPr>
              <w:instrText xml:space="preserve"> ADDIN ZOTERO_ITEM CSL_CITATION {"citationID":"2NBtrfeM","properties":{"formattedCitation":"\\super 4\\nosupersub{}","plainCitation":"4","noteIndex":0},"citationItems":[{"id":198,"uris":["http://zotero.org/users/local/NIYFum1Y/items/47UT2Y7I"],"itemData":{"id":198,"type":"article-journal","abstract":"PURPOSE: To report planned final overall (OS) and progression-free survival (PFS) analyses from the phase II PEAK trial (NCT00819780).\nMETHODS: Patients with previously untreated, KRAS exon 2 wild-type (WT) metastatic colorectal cancer (mCRC) were randomised to mFOLFOX6 plus panitumumab or bevacizumab. The primary endpoint was PFS; secondary endpoints included OS, objective response rate, duration of response (DoR), time to response, resection and safety. Treatment effect by tumour RAS status was a prespecified objective. Exploratory analyses included early tumour shrinkage (ETS) and depth of response (DpR).\nRESULTS: One hundred seventy patients had RAS WT and 156 had RAS WT/BRAF WT mCRC. Median PFS was longer for panitumumab versus bevacizumab in the RAS WT (12.8 vs 10.1 months; hazard ratio (HR) = 0.68 [95% confidence intervals (CI) = 0.48-0.96]; p = 0.029) and RAS WT/BRAF WT (13.1 vs 10.1 months; HR = 0.61 [95% CI = 0.42-0.88]; p = 0.0075) populations. Median OS (68% OS events) for panitumumab versus bevacizumab was 36.9 versus 28.9 months (HR = 0.76 [95% CI = 0.53-1.11]; p = 0.15) and 41.3 versus 28.9 months (HR = 0.70 [95% CI = 0.48-1.04]; p = 0.08), in the RAS WT and RAS WT/BRAF WT populations, respectively. Median DoR (11.4 vs 9.0 months; HR = 0.59 [95% CI = 0.39-0.88]; p = 0.011) and DpR (65.0 vs 46.3%; p = 0.0018) were improved in the panitumumab group. More panitumumab patients experienced ≥30% ETS at week 8 (64 vs 45%; p = 0.052); ETS was associated with improved PFS/OS. No new safety signals occurred.\nCONCLUSIONS: First-line panitumumab + mFOLFOX6 increases PFS versus bevacizumab + mFOLFOX6 in patients with RAS WT mCRC.","container-title":"International Journal of Colorectal Disease","DOI":"10.1007/s00384-017-2800-1","ISSN":"1432-1262","issue":"8","journalAbbreviation":"Int J Colorectal Dis","language":"eng","note":"PMID: 28424871\nPMCID: PMC5522523","page":"1179-1190","source":"PubMed","title":"Final analysis of the randomised PEAK trial: overall survival and tumour responses during first-line treatment with mFOLFOX6 plus either panitumumab or bevacizumab in patients with metastatic colorectal carcinoma","title-short":"Final analysis of the randomised PEAK trial","volume":"32","author":[{"family":"Rivera","given":"Fernando"},{"family":"Karthaus","given":"Meinolf"},{"family":"Hecht","given":"J. Randolph"},{"family":"Sevilla","given":"Isabel"},{"family":"Forget","given":"Frédéric"},{"family":"Fasola","given":"Gianpiero"},{"family":"Canon","given":"Jean-Luc"},{"family":"Guan","given":"Xuesong"},{"family":"Demonty","given":"Gaston"},{"family":"Schwartzberg","given":"Lee S."}],"issued":{"date-parts":[["2017",8]]}}}],"schema":"https://github.com/citation-style-language/schema/raw/master/csl-citation.json"} </w:instrText>
            </w:r>
            <w:r w:rsidRPr="001F5870">
              <w:rPr>
                <w:rFonts w:ascii="Arial" w:hAnsi="Arial" w:cs="Arial"/>
                <w:szCs w:val="24"/>
              </w:rPr>
              <w:fldChar w:fldCharType="separate"/>
            </w:r>
            <w:r w:rsidRPr="001F5870">
              <w:rPr>
                <w:rFonts w:ascii="Arial" w:hAnsi="Arial" w:cs="Arial"/>
                <w:szCs w:val="24"/>
                <w:vertAlign w:val="superscript"/>
              </w:rPr>
              <w:t>4</w:t>
            </w:r>
            <w:r w:rsidRPr="001F5870">
              <w:rPr>
                <w:rFonts w:ascii="Arial" w:hAnsi="Arial" w:cs="Arial"/>
                <w:szCs w:val="24"/>
              </w:rPr>
              <w:fldChar w:fldCharType="end"/>
            </w:r>
          </w:p>
        </w:tc>
        <w:tc>
          <w:tcPr>
            <w:tcW w:w="1007" w:type="pct"/>
          </w:tcPr>
          <w:p w14:paraId="5E3CCD90" w14:textId="77777777" w:rsidR="000069D7" w:rsidRPr="001F5870" w:rsidRDefault="000069D7" w:rsidP="007B341F">
            <w:pPr>
              <w:autoSpaceDE w:val="0"/>
              <w:autoSpaceDN w:val="0"/>
              <w:adjustRightInd w:val="0"/>
              <w:spacing w:line="480" w:lineRule="auto"/>
              <w:jc w:val="both"/>
              <w:rPr>
                <w:rFonts w:ascii="Arial" w:hAnsi="Arial" w:cs="Arial"/>
                <w:szCs w:val="24"/>
              </w:rPr>
            </w:pPr>
            <w:r w:rsidRPr="001F5870">
              <w:rPr>
                <w:rFonts w:ascii="Arial" w:hAnsi="Arial" w:cs="Arial"/>
                <w:szCs w:val="24"/>
              </w:rPr>
              <w:t>RAS/BRAF wild-type</w:t>
            </w:r>
          </w:p>
        </w:tc>
        <w:tc>
          <w:tcPr>
            <w:tcW w:w="381" w:type="pct"/>
          </w:tcPr>
          <w:p w14:paraId="5DA6F65C"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79</w:t>
            </w:r>
          </w:p>
        </w:tc>
        <w:tc>
          <w:tcPr>
            <w:tcW w:w="630" w:type="pct"/>
          </w:tcPr>
          <w:p w14:paraId="69461A96"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62.0</w:t>
            </w:r>
          </w:p>
        </w:tc>
        <w:tc>
          <w:tcPr>
            <w:tcW w:w="656" w:type="pct"/>
          </w:tcPr>
          <w:p w14:paraId="4176CD4D"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10.1</w:t>
            </w:r>
          </w:p>
        </w:tc>
        <w:tc>
          <w:tcPr>
            <w:tcW w:w="967" w:type="pct"/>
          </w:tcPr>
          <w:p w14:paraId="05AED087"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28.9</w:t>
            </w:r>
          </w:p>
        </w:tc>
      </w:tr>
      <w:tr w:rsidR="000069D7" w:rsidRPr="001F5870" w14:paraId="641FEC64" w14:textId="77777777" w:rsidTr="007B341F">
        <w:tc>
          <w:tcPr>
            <w:tcW w:w="1359" w:type="pct"/>
          </w:tcPr>
          <w:p w14:paraId="0F39A61F" w14:textId="77777777" w:rsidR="000069D7" w:rsidRPr="001F5870" w:rsidRDefault="000069D7" w:rsidP="007B341F">
            <w:pPr>
              <w:autoSpaceDE w:val="0"/>
              <w:autoSpaceDN w:val="0"/>
              <w:adjustRightInd w:val="0"/>
              <w:spacing w:line="480" w:lineRule="auto"/>
              <w:jc w:val="both"/>
              <w:rPr>
                <w:rFonts w:ascii="Arial" w:hAnsi="Arial" w:cs="Arial"/>
                <w:szCs w:val="24"/>
              </w:rPr>
            </w:pPr>
            <w:r w:rsidRPr="001F5870">
              <w:rPr>
                <w:rFonts w:ascii="Arial" w:hAnsi="Arial" w:cs="Arial"/>
                <w:szCs w:val="24"/>
              </w:rPr>
              <w:t>PARADIGM</w:t>
            </w:r>
            <w:r w:rsidRPr="001F5870">
              <w:rPr>
                <w:rFonts w:ascii="Arial" w:hAnsi="Arial" w:cs="Arial"/>
                <w:szCs w:val="24"/>
              </w:rPr>
              <w:fldChar w:fldCharType="begin"/>
            </w:r>
            <w:r w:rsidRPr="001F5870">
              <w:rPr>
                <w:rFonts w:ascii="Arial" w:hAnsi="Arial" w:cs="Arial"/>
                <w:szCs w:val="24"/>
              </w:rPr>
              <w:instrText xml:space="preserve"> ADDIN ZOTERO_ITEM CSL_CITATION {"citationID":"VJQSZMYv","properties":{"formattedCitation":"\\super 5\\nosupersub{}","plainCitation":"5","noteIndex":0},"citationItems":[{"id":147,"uris":["http://zotero.org/users/local/NIYFum1Y/items/MBWUQ7L9"],"itemData":{"id":147,"type":"article-journal","title":"Panitumumab (PAN) plus mFOLFOX6 versus bevacizumab (BEV) plus mFOLFOX6 as first-line treatment in patients with RAS wild-type (WT) metastatic colorectal cancer (mCRC): Results from the phase 3 PARADIGM trial","volume":"J Clin Oncol 40, 2022 (suppl 17; abstr LBA1)","author":[{"family":"Yoshino, Takayuki","given":""},{"family":"Watanabe, Jun","given":""},{"family":"Shitara, Kohei","given":""},{"family":"Yasui, Hirofumi","given":""},{"family":"Ohori, Hisatsugu","given":""},{"family":"Shiozawa, Manabu","given":""},{"family":"Yamazaki, Kentaro","given":""},{"literal":"Oki, Eiji"},{"literal":"Sato, Takeo"},{"literal":"Naitoh, Takeshi"},{"literal":"Komatsu, Yoshito"},{"literal":"Kato, Takeshi"},{"literal":"Hihara, Masamitsu"},{"literal":"Soeda, Junpei"},{"literal":"Yamamoto, Kouji"},{"literal":"Akagi, Kiwamu"},{"literal":"Ochiai, Atsushi"},{"literal":"Uetake, Hiroyuki"},{"literal":"Tsuchihara, Katsuya"},{"literal":"Muro, Kei"}]}}],"schema":"https://github.com/citation-style-language/schema/raw/master/csl-citation.json"} </w:instrText>
            </w:r>
            <w:r w:rsidRPr="001F5870">
              <w:rPr>
                <w:rFonts w:ascii="Arial" w:hAnsi="Arial" w:cs="Arial"/>
                <w:szCs w:val="24"/>
              </w:rPr>
              <w:fldChar w:fldCharType="separate"/>
            </w:r>
            <w:r w:rsidRPr="001F5870">
              <w:rPr>
                <w:rFonts w:ascii="Arial" w:hAnsi="Arial" w:cs="Arial"/>
                <w:szCs w:val="24"/>
                <w:vertAlign w:val="superscript"/>
              </w:rPr>
              <w:t>5</w:t>
            </w:r>
            <w:r w:rsidRPr="001F5870">
              <w:rPr>
                <w:rFonts w:ascii="Arial" w:hAnsi="Arial" w:cs="Arial"/>
                <w:szCs w:val="24"/>
              </w:rPr>
              <w:fldChar w:fldCharType="end"/>
            </w:r>
          </w:p>
        </w:tc>
        <w:tc>
          <w:tcPr>
            <w:tcW w:w="1007" w:type="pct"/>
          </w:tcPr>
          <w:p w14:paraId="31A6AA69" w14:textId="77777777" w:rsidR="000069D7" w:rsidRPr="001F5870" w:rsidRDefault="000069D7" w:rsidP="007B341F">
            <w:pPr>
              <w:autoSpaceDE w:val="0"/>
              <w:autoSpaceDN w:val="0"/>
              <w:adjustRightInd w:val="0"/>
              <w:spacing w:line="480" w:lineRule="auto"/>
              <w:jc w:val="both"/>
              <w:rPr>
                <w:rFonts w:ascii="Arial" w:hAnsi="Arial" w:cs="Arial"/>
                <w:szCs w:val="24"/>
              </w:rPr>
            </w:pPr>
            <w:r w:rsidRPr="001F5870">
              <w:rPr>
                <w:rFonts w:ascii="Arial" w:hAnsi="Arial" w:cs="Arial"/>
                <w:szCs w:val="24"/>
              </w:rPr>
              <w:t>RAS wild-type</w:t>
            </w:r>
          </w:p>
        </w:tc>
        <w:tc>
          <w:tcPr>
            <w:tcW w:w="381" w:type="pct"/>
          </w:tcPr>
          <w:p w14:paraId="61E44BFE" w14:textId="77777777" w:rsidR="000069D7" w:rsidRPr="001F5870" w:rsidRDefault="000069D7" w:rsidP="007B341F">
            <w:pPr>
              <w:autoSpaceDE w:val="0"/>
              <w:autoSpaceDN w:val="0"/>
              <w:adjustRightInd w:val="0"/>
              <w:spacing w:line="480" w:lineRule="auto"/>
              <w:jc w:val="center"/>
              <w:rPr>
                <w:rFonts w:ascii="Arial" w:hAnsi="Arial" w:cs="Arial"/>
                <w:szCs w:val="24"/>
              </w:rPr>
            </w:pPr>
          </w:p>
        </w:tc>
        <w:tc>
          <w:tcPr>
            <w:tcW w:w="630" w:type="pct"/>
          </w:tcPr>
          <w:p w14:paraId="0E4444EA"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67.3</w:t>
            </w:r>
          </w:p>
        </w:tc>
        <w:tc>
          <w:tcPr>
            <w:tcW w:w="656" w:type="pct"/>
          </w:tcPr>
          <w:p w14:paraId="6C147F3A"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12.0</w:t>
            </w:r>
          </w:p>
        </w:tc>
        <w:tc>
          <w:tcPr>
            <w:tcW w:w="967" w:type="pct"/>
          </w:tcPr>
          <w:p w14:paraId="6961B314"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31.3</w:t>
            </w:r>
          </w:p>
        </w:tc>
      </w:tr>
      <w:tr w:rsidR="000069D7" w:rsidRPr="001F5870" w14:paraId="5D40AC02" w14:textId="77777777" w:rsidTr="007B341F">
        <w:tc>
          <w:tcPr>
            <w:tcW w:w="1359" w:type="pct"/>
          </w:tcPr>
          <w:p w14:paraId="37BCA846" w14:textId="77777777" w:rsidR="000069D7" w:rsidRPr="001F5870" w:rsidRDefault="000069D7" w:rsidP="007B341F">
            <w:pPr>
              <w:autoSpaceDE w:val="0"/>
              <w:autoSpaceDN w:val="0"/>
              <w:adjustRightInd w:val="0"/>
              <w:spacing w:line="480" w:lineRule="auto"/>
              <w:jc w:val="both"/>
              <w:rPr>
                <w:rFonts w:ascii="Arial" w:hAnsi="Arial" w:cs="Arial"/>
                <w:szCs w:val="24"/>
              </w:rPr>
            </w:pPr>
            <w:r w:rsidRPr="001F5870">
              <w:rPr>
                <w:rFonts w:ascii="Arial" w:hAnsi="Arial" w:cs="Arial"/>
                <w:szCs w:val="24"/>
              </w:rPr>
              <w:t>TRICOLORE</w:t>
            </w:r>
            <w:r w:rsidRPr="001F5870">
              <w:rPr>
                <w:rFonts w:ascii="Arial" w:hAnsi="Arial" w:cs="Arial"/>
                <w:szCs w:val="24"/>
              </w:rPr>
              <w:fldChar w:fldCharType="begin"/>
            </w:r>
            <w:r w:rsidRPr="001F5870">
              <w:rPr>
                <w:rFonts w:ascii="Arial" w:hAnsi="Arial" w:cs="Arial"/>
                <w:szCs w:val="24"/>
              </w:rPr>
              <w:instrText xml:space="preserve"> ADDIN ZOTERO_ITEM CSL_CITATION {"citationID":"ZFdfvu4m","properties":{"formattedCitation":"\\super 6\\nosupersub{}","plainCitation":"6","noteIndex":0},"citationItems":[{"id":201,"uris":["http://zotero.org/users/local/NIYFum1Y/items/JQBL8VLQ"],"itemData":{"id":201,"type":"article-journal","abstract":"AIM: The TRICOLORE trial previously demonstrated that S-1 and irinotecan plus bevacizumab was non-inferior, based on progression-free survival (PFS), to 5-fluorouracil, leucovorin and oxaliplatin (mFOLFOX6)/capecitabine and oxaliplatin (CapeOX) plus bevacizumab as first-line chemotherapy for metastatic colorectal cancer (mCRC). Overall survival (OS) data were immature at the time of the primary analysis.\nMETHODS: In total, 487 patients from 53 institutions with previously untreated mCRC were randomly assigned (1:1) to receive either mFOLFOX6/CapeOX plus bevacizumab (control group) or S-1 and irinotecan plus bevacizumab (experimental group; 3- or 4-week regimen). The final OS data were analysed from follow-up data collected until 30th September 2017.\nRESULTS: With a median follow-up period of 48.7 months, median survival times were 32.6 and 34.3 months (hazard ratio [HR]: 0.89, 95% confidence interval [CI]: 0.72-1.10, P = 0.293) and median PFS durations were 10.8 and 14.0 months in the control and experimental groups, respectively (HR: 0.86, 95% CI: 0.71-1.04, P &lt; 0.0001 for non-inferiority). In patients with left-sided RAS wild-type tumours, median PFS durations were 11.4 and 16.9 months in the control and experimental groups, respectively (HR: 0.68, 95% CI: 0.48-0.96, P = 0.028).\nCONCLUSION: S-1 and irinotecan plus bevacizumab resulted in comparable OS and non-inferior PFS with that of mFOLFOX6/CapeOX plus bevacizumab treatment as first-line chemotherapy for patients with mCRC. We recommend the use of S-1 and irinotecan plus bevacizumab as a standard first-line regimen independent of tumour sidedness or RAS status in mCRC.\nTRIAL REGISTRATION: UMIN-CTR: 000007834.","container-title":"European Journal of Cancer (Oxford, England: 1990)","DOI":"10.1016/j.ejca.2021.06.013","ISSN":"1879-0852","journalAbbreviation":"Eur J Cancer","language":"eng","note":"PMID: 34304054","page":"296-306","source":"PubMed","title":"Combination therapy of bevacizumab with either S-1 and irinotecan or mFOLFOX6/CapeOX as first-line treatment of metastatic colorectal cancer (TRICOLORE): Exploratory analysis of RAS status and primary tumour location in a randomised, open-label, phase III, non-inferiority trial","title-short":"Combination therapy of bevacizumab with either S-1 and irinotecan or mFOLFOX6/CapeOX as first-line treatment of metastatic colorectal cancer (TRICOLORE)","volume":"154","author":[{"family":"Denda","given":"Tadamichi"},{"family":"Takashima","given":"Atsuo"},{"family":"Gamoh","given":"Makio"},{"family":"Iwanaga","given":"Ichiro"},{"family":"Komatsu","given":"Yoshito"},{"family":"Takahashi","given":"Masanobu"},{"family":"Nakamura","given":"Masato"},{"family":"Ohori","given":"Hisatsugu"},{"family":"Sakashita","given":"Akiko"},{"family":"Tsuda","given":"Masahiro"},{"family":"Kobayashi","given":"Yoshimitsu"},{"family":"Baba","given":"Hideo"},{"family":"Kotake","given":"Masanori"},{"family":"Ishioka","given":"Chikashi"},{"family":"Yamada","given":"Yasuhide"},{"family":"Sato","given":"Atsushi"},{"family":"Yuki","given":"Satoshi"},{"family":"Morita","given":"Satoshi"},{"family":"Takahashi","given":"Shin"},{"family":"Yamaguchi","given":"Tatsuro"},{"family":"Shimada","given":"Ken"}],"issued":{"date-parts":[["2021",9]]}}}],"schema":"https://github.com/citation-style-language/schema/raw/master/csl-citation.json"} </w:instrText>
            </w:r>
            <w:r w:rsidRPr="001F5870">
              <w:rPr>
                <w:rFonts w:ascii="Arial" w:hAnsi="Arial" w:cs="Arial"/>
                <w:szCs w:val="24"/>
              </w:rPr>
              <w:fldChar w:fldCharType="separate"/>
            </w:r>
            <w:r w:rsidRPr="001F5870">
              <w:rPr>
                <w:rFonts w:ascii="Arial" w:hAnsi="Arial" w:cs="Arial"/>
                <w:szCs w:val="24"/>
                <w:vertAlign w:val="superscript"/>
              </w:rPr>
              <w:t>6</w:t>
            </w:r>
            <w:r w:rsidRPr="001F5870">
              <w:rPr>
                <w:rFonts w:ascii="Arial" w:hAnsi="Arial" w:cs="Arial"/>
                <w:szCs w:val="24"/>
              </w:rPr>
              <w:fldChar w:fldCharType="end"/>
            </w:r>
          </w:p>
        </w:tc>
        <w:tc>
          <w:tcPr>
            <w:tcW w:w="1007" w:type="pct"/>
          </w:tcPr>
          <w:p w14:paraId="5B904724" w14:textId="77777777" w:rsidR="000069D7" w:rsidRPr="001F5870" w:rsidRDefault="000069D7" w:rsidP="007B341F">
            <w:pPr>
              <w:autoSpaceDE w:val="0"/>
              <w:autoSpaceDN w:val="0"/>
              <w:adjustRightInd w:val="0"/>
              <w:spacing w:line="480" w:lineRule="auto"/>
              <w:jc w:val="both"/>
              <w:rPr>
                <w:rFonts w:ascii="Arial" w:hAnsi="Arial" w:cs="Arial"/>
                <w:szCs w:val="24"/>
              </w:rPr>
            </w:pPr>
            <w:r w:rsidRPr="001F5870">
              <w:rPr>
                <w:rFonts w:ascii="Arial" w:hAnsi="Arial" w:cs="Arial"/>
                <w:szCs w:val="24"/>
              </w:rPr>
              <w:t>RAS wild-type</w:t>
            </w:r>
          </w:p>
        </w:tc>
        <w:tc>
          <w:tcPr>
            <w:tcW w:w="381" w:type="pct"/>
          </w:tcPr>
          <w:p w14:paraId="49061562"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99</w:t>
            </w:r>
          </w:p>
        </w:tc>
        <w:tc>
          <w:tcPr>
            <w:tcW w:w="630" w:type="pct"/>
          </w:tcPr>
          <w:p w14:paraId="096F1A42"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NR</w:t>
            </w:r>
          </w:p>
        </w:tc>
        <w:tc>
          <w:tcPr>
            <w:tcW w:w="656" w:type="pct"/>
          </w:tcPr>
          <w:p w14:paraId="064F1EA9"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11.5</w:t>
            </w:r>
          </w:p>
        </w:tc>
        <w:tc>
          <w:tcPr>
            <w:tcW w:w="967" w:type="pct"/>
          </w:tcPr>
          <w:p w14:paraId="2457F437"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35.1</w:t>
            </w:r>
          </w:p>
        </w:tc>
      </w:tr>
      <w:tr w:rsidR="000069D7" w:rsidRPr="001F5870" w14:paraId="2749DCDC" w14:textId="77777777" w:rsidTr="007B341F">
        <w:tc>
          <w:tcPr>
            <w:tcW w:w="1359" w:type="pct"/>
            <w:tcBorders>
              <w:bottom w:val="single" w:sz="4" w:space="0" w:color="auto"/>
            </w:tcBorders>
          </w:tcPr>
          <w:p w14:paraId="1513B440" w14:textId="77777777" w:rsidR="000069D7" w:rsidRPr="001F5870" w:rsidRDefault="000069D7" w:rsidP="007B341F">
            <w:pPr>
              <w:autoSpaceDE w:val="0"/>
              <w:autoSpaceDN w:val="0"/>
              <w:adjustRightInd w:val="0"/>
              <w:spacing w:line="480" w:lineRule="auto"/>
              <w:jc w:val="both"/>
              <w:rPr>
                <w:rFonts w:ascii="Arial" w:hAnsi="Arial" w:cs="Arial"/>
                <w:szCs w:val="24"/>
              </w:rPr>
            </w:pPr>
            <w:r w:rsidRPr="001F5870">
              <w:rPr>
                <w:rFonts w:ascii="Arial" w:hAnsi="Arial" w:cs="Arial"/>
                <w:szCs w:val="24"/>
              </w:rPr>
              <w:t>ATOM</w:t>
            </w:r>
            <w:r w:rsidRPr="001F5870">
              <w:rPr>
                <w:rFonts w:ascii="Arial" w:hAnsi="Arial" w:cs="Arial"/>
                <w:szCs w:val="24"/>
              </w:rPr>
              <w:fldChar w:fldCharType="begin"/>
            </w:r>
            <w:r w:rsidRPr="001F5870">
              <w:rPr>
                <w:rFonts w:ascii="Arial" w:hAnsi="Arial" w:cs="Arial"/>
                <w:szCs w:val="24"/>
              </w:rPr>
              <w:instrText xml:space="preserve"> ADDIN ZOTERO_ITEM CSL_CITATION {"citationID":"xPZ3xye6","properties":{"formattedCitation":"\\super 7\\nosupersub{}","plainCitation":"7","noteIndex":0},"citationItems":[{"id":204,"uris":["http://zotero.org/users/local/NIYFum1Y/items/83EWU93N"],"itemData":{"id":204,"type":"article-journal","abstract":"BACKGROUND: Chemotherapy with biologics followed by liver surgery improves the resection rate and survival of patients with colorectal liver metastasis (CRLM). However, no prospective study has compared the outcomes of chemotherapy with bevacizumab (BEV) versus cetuximab (CET).\nMETHODS: The ATOM study is the first randomised trial comparing BEV and CET for initially unresectable CRLM. Patients were randomly assigned in a 1:1 ratio to receive mFOLFOX6 plus either BEV or CET. The primary endpoint was progression-free survival (PFS).\nRESULTS: Between May 2013 and April 2016, 122 patients were enrolled. Median PFS was 11.5 months (95% CI 9.2-13.3 months) in the BEV group and 14.8 months (95% CI 9.7-17.3 months) in the CET group (hazard ratio 0.803; P = 0.33). Patients with a smaller-number but larger-sized metastases did better in the CET group. In the BEV and CET groups, the response rates were 68.4% and 84.7% and the resection rates were 56.1% and 49.2%, respectively.\nCONCLUSION: Although CET achieved a better response rate than BEV for patients with a small number of large liver metastases, both biologics had similar efficacy regarding liver resection and acceptable safety profiles. To achieve optimal PFS, biologics should be selected in accordance with patient conditions.\nTRIAL REGISTRATION: This trial is registered at ClinicalTrials.gov (number NCT01836653), and UMIN Clinical Trials Registry (UMIN-CTR number UMIN000010209).","container-title":"British Journal of Cancer","DOI":"10.1038/s41416-019-0518-2","ISSN":"1532-1827","issue":"3","journalAbbreviation":"Br J Cancer","language":"eng","note":"PMID: 31285591\nPMCID: PMC6738101","page":"222-229","source":"PubMed","title":"Randomised phase II trial of mFOLFOX6 plus bevacizumab versus mFOLFOX6 plus cetuximab as first-line treatment for colorectal liver metastasis (ATOM trial)","volume":"121","author":[{"family":"Oki","given":"Eiji"},{"family":"Emi","given":"Yasunori"},{"family":"Yamanaka","given":"Takeharu"},{"family":"Uetake","given":"Hiroyuki"},{"family":"Muro","given":"Kei"},{"family":"Takahashi","given":"Takao"},{"family":"Nagasaka","given":"Takeshi"},{"family":"Hatano","given":"Etsuro"},{"family":"Ojima","given":"Hitoshi"},{"family":"Manaka","given":"Dai"},{"family":"Kusumoto","given":"Tetsuya"},{"family":"Katayose","given":"Yu"},{"family":"Fujiwara","given":"Toshiyoshi"},{"family":"Yoshida","given":"Kazuhiro"},{"family":"Unno","given":"Michiaki"},{"family":"Hyodo","given":"Ichinosuke"},{"family":"Tomita","given":"Naohiro"},{"family":"Sugihara","given":"Kenichi"},{"family":"Maehara","given":"Yoshihiko"}],"issued":{"date-parts":[["2019",7]]}}}],"schema":"https://github.com/citation-style-language/schema/raw/master/csl-citation.json"} </w:instrText>
            </w:r>
            <w:r w:rsidRPr="001F5870">
              <w:rPr>
                <w:rFonts w:ascii="Arial" w:hAnsi="Arial" w:cs="Arial"/>
                <w:szCs w:val="24"/>
              </w:rPr>
              <w:fldChar w:fldCharType="separate"/>
            </w:r>
            <w:r w:rsidRPr="001F5870">
              <w:rPr>
                <w:rFonts w:ascii="Arial" w:hAnsi="Arial" w:cs="Arial"/>
                <w:szCs w:val="24"/>
                <w:vertAlign w:val="superscript"/>
              </w:rPr>
              <w:t>7</w:t>
            </w:r>
            <w:r w:rsidRPr="001F5870">
              <w:rPr>
                <w:rFonts w:ascii="Arial" w:hAnsi="Arial" w:cs="Arial"/>
                <w:szCs w:val="24"/>
              </w:rPr>
              <w:fldChar w:fldCharType="end"/>
            </w:r>
          </w:p>
        </w:tc>
        <w:tc>
          <w:tcPr>
            <w:tcW w:w="1007" w:type="pct"/>
            <w:tcBorders>
              <w:bottom w:val="single" w:sz="4" w:space="0" w:color="auto"/>
            </w:tcBorders>
          </w:tcPr>
          <w:p w14:paraId="2FF6C7D4" w14:textId="77777777" w:rsidR="000069D7" w:rsidRPr="001F5870" w:rsidRDefault="000069D7" w:rsidP="007B341F">
            <w:pPr>
              <w:autoSpaceDE w:val="0"/>
              <w:autoSpaceDN w:val="0"/>
              <w:adjustRightInd w:val="0"/>
              <w:spacing w:line="480" w:lineRule="auto"/>
              <w:jc w:val="both"/>
              <w:rPr>
                <w:rFonts w:ascii="Arial" w:hAnsi="Arial" w:cs="Arial"/>
                <w:szCs w:val="24"/>
              </w:rPr>
            </w:pPr>
            <w:r w:rsidRPr="001F5870">
              <w:rPr>
                <w:rFonts w:ascii="Arial" w:hAnsi="Arial" w:cs="Arial"/>
                <w:szCs w:val="24"/>
              </w:rPr>
              <w:t>RAS wild-type</w:t>
            </w:r>
          </w:p>
        </w:tc>
        <w:tc>
          <w:tcPr>
            <w:tcW w:w="381" w:type="pct"/>
            <w:tcBorders>
              <w:bottom w:val="single" w:sz="4" w:space="0" w:color="auto"/>
            </w:tcBorders>
          </w:tcPr>
          <w:p w14:paraId="295CDBEB"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61</w:t>
            </w:r>
          </w:p>
        </w:tc>
        <w:tc>
          <w:tcPr>
            <w:tcW w:w="630" w:type="pct"/>
            <w:tcBorders>
              <w:bottom w:val="single" w:sz="4" w:space="0" w:color="auto"/>
            </w:tcBorders>
          </w:tcPr>
          <w:p w14:paraId="6A6DA048"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68.4</w:t>
            </w:r>
          </w:p>
        </w:tc>
        <w:tc>
          <w:tcPr>
            <w:tcW w:w="656" w:type="pct"/>
            <w:tcBorders>
              <w:bottom w:val="single" w:sz="4" w:space="0" w:color="auto"/>
            </w:tcBorders>
          </w:tcPr>
          <w:p w14:paraId="0AAAE92A"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11.5</w:t>
            </w:r>
          </w:p>
        </w:tc>
        <w:tc>
          <w:tcPr>
            <w:tcW w:w="967" w:type="pct"/>
            <w:tcBorders>
              <w:bottom w:val="single" w:sz="4" w:space="0" w:color="auto"/>
            </w:tcBorders>
          </w:tcPr>
          <w:p w14:paraId="59BF9F29"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30.4</w:t>
            </w:r>
          </w:p>
        </w:tc>
      </w:tr>
      <w:tr w:rsidR="000069D7" w:rsidRPr="001F5870" w14:paraId="73F09BFD" w14:textId="77777777" w:rsidTr="007B341F">
        <w:tc>
          <w:tcPr>
            <w:tcW w:w="1359" w:type="pct"/>
          </w:tcPr>
          <w:p w14:paraId="57AAAC27" w14:textId="77777777" w:rsidR="000069D7" w:rsidRPr="001F5870" w:rsidRDefault="000069D7" w:rsidP="007B341F">
            <w:pPr>
              <w:autoSpaceDE w:val="0"/>
              <w:autoSpaceDN w:val="0"/>
              <w:adjustRightInd w:val="0"/>
              <w:spacing w:line="480" w:lineRule="auto"/>
              <w:jc w:val="both"/>
              <w:rPr>
                <w:rFonts w:ascii="Arial" w:hAnsi="Arial" w:cs="Arial"/>
                <w:szCs w:val="24"/>
              </w:rPr>
            </w:pPr>
            <w:r w:rsidRPr="001F5870">
              <w:rPr>
                <w:rFonts w:ascii="Arial" w:hAnsi="Arial" w:cs="Arial"/>
                <w:b/>
                <w:bCs/>
                <w:szCs w:val="24"/>
              </w:rPr>
              <w:t>Second-line – FOLFOX-bevacizumab</w:t>
            </w:r>
          </w:p>
        </w:tc>
        <w:tc>
          <w:tcPr>
            <w:tcW w:w="1007" w:type="pct"/>
          </w:tcPr>
          <w:p w14:paraId="499B31E7" w14:textId="77777777" w:rsidR="000069D7" w:rsidRPr="001F5870" w:rsidRDefault="000069D7" w:rsidP="007B341F">
            <w:pPr>
              <w:autoSpaceDE w:val="0"/>
              <w:autoSpaceDN w:val="0"/>
              <w:adjustRightInd w:val="0"/>
              <w:spacing w:line="480" w:lineRule="auto"/>
              <w:jc w:val="both"/>
              <w:rPr>
                <w:rFonts w:ascii="Arial" w:hAnsi="Arial" w:cs="Arial"/>
                <w:szCs w:val="24"/>
              </w:rPr>
            </w:pPr>
          </w:p>
        </w:tc>
        <w:tc>
          <w:tcPr>
            <w:tcW w:w="381" w:type="pct"/>
          </w:tcPr>
          <w:p w14:paraId="61D64DAC" w14:textId="77777777" w:rsidR="000069D7" w:rsidRPr="001F5870" w:rsidRDefault="000069D7" w:rsidP="007B341F">
            <w:pPr>
              <w:autoSpaceDE w:val="0"/>
              <w:autoSpaceDN w:val="0"/>
              <w:adjustRightInd w:val="0"/>
              <w:spacing w:line="480" w:lineRule="auto"/>
              <w:jc w:val="center"/>
              <w:rPr>
                <w:rFonts w:ascii="Arial" w:hAnsi="Arial" w:cs="Arial"/>
                <w:szCs w:val="24"/>
              </w:rPr>
            </w:pPr>
          </w:p>
        </w:tc>
        <w:tc>
          <w:tcPr>
            <w:tcW w:w="630" w:type="pct"/>
          </w:tcPr>
          <w:p w14:paraId="756EA8C1" w14:textId="77777777" w:rsidR="000069D7" w:rsidRPr="001F5870" w:rsidRDefault="000069D7" w:rsidP="007B341F">
            <w:pPr>
              <w:autoSpaceDE w:val="0"/>
              <w:autoSpaceDN w:val="0"/>
              <w:adjustRightInd w:val="0"/>
              <w:spacing w:line="480" w:lineRule="auto"/>
              <w:jc w:val="center"/>
              <w:rPr>
                <w:rFonts w:ascii="Arial" w:hAnsi="Arial" w:cs="Arial"/>
                <w:szCs w:val="24"/>
              </w:rPr>
            </w:pPr>
          </w:p>
        </w:tc>
        <w:tc>
          <w:tcPr>
            <w:tcW w:w="656" w:type="pct"/>
          </w:tcPr>
          <w:p w14:paraId="314CFC2F" w14:textId="77777777" w:rsidR="000069D7" w:rsidRPr="001F5870" w:rsidRDefault="000069D7" w:rsidP="007B341F">
            <w:pPr>
              <w:autoSpaceDE w:val="0"/>
              <w:autoSpaceDN w:val="0"/>
              <w:adjustRightInd w:val="0"/>
              <w:spacing w:line="480" w:lineRule="auto"/>
              <w:jc w:val="center"/>
              <w:rPr>
                <w:rFonts w:ascii="Arial" w:hAnsi="Arial" w:cs="Arial"/>
                <w:szCs w:val="24"/>
              </w:rPr>
            </w:pPr>
          </w:p>
        </w:tc>
        <w:tc>
          <w:tcPr>
            <w:tcW w:w="967" w:type="pct"/>
          </w:tcPr>
          <w:p w14:paraId="71736B84" w14:textId="77777777" w:rsidR="000069D7" w:rsidRPr="001F5870" w:rsidRDefault="000069D7" w:rsidP="007B341F">
            <w:pPr>
              <w:autoSpaceDE w:val="0"/>
              <w:autoSpaceDN w:val="0"/>
              <w:adjustRightInd w:val="0"/>
              <w:spacing w:line="480" w:lineRule="auto"/>
              <w:jc w:val="center"/>
              <w:rPr>
                <w:rFonts w:ascii="Arial" w:hAnsi="Arial" w:cs="Arial"/>
                <w:szCs w:val="24"/>
              </w:rPr>
            </w:pPr>
          </w:p>
        </w:tc>
      </w:tr>
      <w:tr w:rsidR="000069D7" w:rsidRPr="001F5870" w14:paraId="3157109A" w14:textId="77777777" w:rsidTr="007B341F">
        <w:tc>
          <w:tcPr>
            <w:tcW w:w="1359" w:type="pct"/>
          </w:tcPr>
          <w:p w14:paraId="709D2E9F" w14:textId="77777777" w:rsidR="000069D7" w:rsidRPr="001F5870" w:rsidRDefault="000069D7" w:rsidP="007B341F">
            <w:pPr>
              <w:autoSpaceDE w:val="0"/>
              <w:autoSpaceDN w:val="0"/>
              <w:adjustRightInd w:val="0"/>
              <w:spacing w:line="480" w:lineRule="auto"/>
              <w:jc w:val="both"/>
              <w:rPr>
                <w:rFonts w:ascii="Arial" w:hAnsi="Arial" w:cs="Arial"/>
                <w:szCs w:val="24"/>
              </w:rPr>
            </w:pPr>
            <w:r w:rsidRPr="001F5870">
              <w:rPr>
                <w:rFonts w:ascii="Arial" w:hAnsi="Arial" w:cs="Arial"/>
                <w:szCs w:val="24"/>
              </w:rPr>
              <w:lastRenderedPageBreak/>
              <w:t>STRATEGIC (arm A)</w:t>
            </w:r>
          </w:p>
        </w:tc>
        <w:tc>
          <w:tcPr>
            <w:tcW w:w="1007" w:type="pct"/>
          </w:tcPr>
          <w:p w14:paraId="59127163" w14:textId="77777777" w:rsidR="000069D7" w:rsidRPr="001F5870" w:rsidRDefault="000069D7" w:rsidP="007B341F">
            <w:pPr>
              <w:autoSpaceDE w:val="0"/>
              <w:autoSpaceDN w:val="0"/>
              <w:adjustRightInd w:val="0"/>
              <w:spacing w:line="480" w:lineRule="auto"/>
              <w:jc w:val="both"/>
              <w:rPr>
                <w:rFonts w:ascii="Arial" w:hAnsi="Arial" w:cs="Arial"/>
                <w:szCs w:val="24"/>
              </w:rPr>
            </w:pPr>
            <w:r w:rsidRPr="001F5870">
              <w:rPr>
                <w:rFonts w:ascii="Arial" w:hAnsi="Arial" w:cs="Arial"/>
                <w:szCs w:val="24"/>
              </w:rPr>
              <w:t>RAS/BRAF wild-type</w:t>
            </w:r>
          </w:p>
        </w:tc>
        <w:tc>
          <w:tcPr>
            <w:tcW w:w="381" w:type="pct"/>
          </w:tcPr>
          <w:p w14:paraId="3394C4E6"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83</w:t>
            </w:r>
          </w:p>
        </w:tc>
        <w:tc>
          <w:tcPr>
            <w:tcW w:w="630" w:type="pct"/>
          </w:tcPr>
          <w:p w14:paraId="6D526E8A" w14:textId="2797BB5B"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20.</w:t>
            </w:r>
            <w:r w:rsidR="007B341F" w:rsidRPr="001F5870">
              <w:rPr>
                <w:rFonts w:ascii="Arial" w:hAnsi="Arial" w:cs="Arial"/>
                <w:szCs w:val="24"/>
              </w:rPr>
              <w:t>7</w:t>
            </w:r>
          </w:p>
        </w:tc>
        <w:tc>
          <w:tcPr>
            <w:tcW w:w="656" w:type="pct"/>
          </w:tcPr>
          <w:p w14:paraId="0E678CD0"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7.4</w:t>
            </w:r>
          </w:p>
        </w:tc>
        <w:tc>
          <w:tcPr>
            <w:tcW w:w="967" w:type="pct"/>
          </w:tcPr>
          <w:p w14:paraId="3591B199"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17.0</w:t>
            </w:r>
          </w:p>
        </w:tc>
      </w:tr>
      <w:tr w:rsidR="000069D7" w:rsidRPr="001F5870" w14:paraId="608480ED" w14:textId="77777777" w:rsidTr="007B341F">
        <w:tc>
          <w:tcPr>
            <w:tcW w:w="1359" w:type="pct"/>
          </w:tcPr>
          <w:p w14:paraId="7424AB80" w14:textId="77777777" w:rsidR="000069D7" w:rsidRPr="001F5870" w:rsidRDefault="000069D7" w:rsidP="007B341F">
            <w:pPr>
              <w:autoSpaceDE w:val="0"/>
              <w:autoSpaceDN w:val="0"/>
              <w:adjustRightInd w:val="0"/>
              <w:spacing w:line="480" w:lineRule="auto"/>
              <w:jc w:val="both"/>
              <w:rPr>
                <w:rFonts w:ascii="Arial" w:hAnsi="Arial" w:cs="Arial"/>
                <w:szCs w:val="24"/>
              </w:rPr>
            </w:pPr>
            <w:r w:rsidRPr="001F5870">
              <w:rPr>
                <w:rFonts w:ascii="Arial" w:hAnsi="Arial" w:cs="Arial"/>
                <w:szCs w:val="24"/>
              </w:rPr>
              <w:t>BAC</w:t>
            </w:r>
            <w:r w:rsidRPr="001F5870">
              <w:rPr>
                <w:rFonts w:ascii="Arial" w:hAnsi="Arial" w:cs="Arial"/>
                <w:szCs w:val="24"/>
              </w:rPr>
              <w:fldChar w:fldCharType="begin"/>
            </w:r>
            <w:r w:rsidRPr="001F5870">
              <w:rPr>
                <w:rFonts w:ascii="Arial" w:hAnsi="Arial" w:cs="Arial"/>
                <w:szCs w:val="24"/>
              </w:rPr>
              <w:instrText xml:space="preserve"> ADDIN ZOTERO_ITEM CSL_CITATION {"citationID":"8bRnOcRC","properties":{"formattedCitation":"\\super 8\\nosupersub{}","plainCitation":"8","noteIndex":0},"citationItems":[{"id":140,"uris":["http://zotero.org/users/local/NIYFum1Y/items/QH3K8GRT"],"itemData":{"id":140,"type":"article-journal","abstract":"OBJECTIVE: Axitinib, a potent and selective second-generation inhibitor of vascular endothelial growth factor receptors 1, 2, and 3, shows activity in multiple tumor types, including those refractory to previous antiangiogenic therapy. This randomized, multicenter, parallel-group, open-label phase II trial compared axitinib with bevacizumab each in combination with 5-fluorouracil/leucovorin/oxaliplatin (FOLFOX) or 5-fluorouracil/leucovorin/irinotecan (FOLFIRI) for second-line treatment of metastatic colorectal cancer.\nMETHODS: Patients were randomized 1:1 to axitinib 5 mg twice daily or bevacizumab 5 mg/kg every 2 weeks plus modified FOLFOX-6 (if previously treated with irinotecan) or FOLFIRI (if previously treated with oxaliplatin) and were stratified by performance status and prior bevacizumab therapy. Primary endpoint was progression-free survival.\nRESULTS: In 171 patients, progression-free survival was 7.6 months with axitinib/FOLFOX vs. 6.4 months with bevacizumab/FOLFOX (hazard ratio [HR], 1.04; 95% confidence interval [CI], 0.55-1.96; 1-sided P = .55) and 5.7 months with axitinib/FOLFIRI vs. 6.9 months with bevacizumab/FOLFIRI (HR, 1.27; 95% CI, 0.77-2.11; 1-sided P = .83). Overall survival was 17.1 vs. 14.1 months with axitinib/FOLFOX and bevacizumab/FOLFOX (HR, 0.69; 95% CI, 0.37-1.27; 1-sided P = .12) and 12.9 vs. 15.7 months with axitinib/FOLFIRI and bevacizumab/FOLFIRI (HR, 1.36; 95% CI, 0.82-2.24; 1-sided P = .88). More grade ≥ 3 adverse events (eg, diarrhea, fatigue, decreased appetite) and treatment discontinuations due to adverse events occurred with axitinib.\nCONCLUSIONS: Compared with bevacizumab, axitinib did not improve outcomes when added to second-line chemotherapy for metastatic colorectal cancer. With current dosing regimens, axitinib plus FOLFOX or FOLFIRI seems to be less well tolerated than bevacizumab-based regimens.","container-title":"Clinical Colorectal Cancer","DOI":"10.1016/j.clcc.2013.09.001","ISSN":"1938-0674","issue":"4","journalAbbreviation":"Clin Colorectal Cancer","language":"eng","note":"PMID: 24188685","page":"239-247","source":"PubMed","title":"Axitinib or bevacizumab plus FOLFIRI or modified FOLFOX-6 after failure of first-line therapy for metastatic colorectal cancer: a randomized phase II study","title-short":"Axitinib or bevacizumab plus FOLFIRI or modified FOLFOX-6 after failure of first-line therapy for metastatic colorectal cancer","volume":"12","author":[{"family":"Bendell","given":"Johanna C."},{"family":"Tournigand","given":"Christophe"},{"family":"Swieboda-Sadlej","given":"Anna"},{"family":"Barone","given":"Carlo"},{"family":"Wainberg","given":"Zev A."},{"family":"Kim","given":"Jong Gwang"},{"family":"Pericay","given":"Carles"},{"family":"Pastorelli","given":"Davide"},{"family":"Tarazi","given":"Jamal"},{"family":"Rosbrook","given":"Brad"},{"family":"Bloom","given":"Joanna"},{"family":"Ricart","given":"Alejandro D."},{"family":"Kim","given":"Sinil"},{"family":"Sobrero","given":"Alberto F."}],"issued":{"date-parts":[["2013",12]]}}}],"schema":"https://github.com/citation-style-language/schema/raw/master/csl-citation.json"} </w:instrText>
            </w:r>
            <w:r w:rsidRPr="001F5870">
              <w:rPr>
                <w:rFonts w:ascii="Arial" w:hAnsi="Arial" w:cs="Arial"/>
                <w:szCs w:val="24"/>
              </w:rPr>
              <w:fldChar w:fldCharType="separate"/>
            </w:r>
            <w:r w:rsidRPr="001F5870">
              <w:rPr>
                <w:rFonts w:ascii="Arial" w:hAnsi="Arial" w:cs="Arial"/>
                <w:szCs w:val="24"/>
                <w:vertAlign w:val="superscript"/>
              </w:rPr>
              <w:t>8</w:t>
            </w:r>
            <w:r w:rsidRPr="001F5870">
              <w:rPr>
                <w:rFonts w:ascii="Arial" w:hAnsi="Arial" w:cs="Arial"/>
                <w:szCs w:val="24"/>
              </w:rPr>
              <w:fldChar w:fldCharType="end"/>
            </w:r>
          </w:p>
        </w:tc>
        <w:tc>
          <w:tcPr>
            <w:tcW w:w="1007" w:type="pct"/>
          </w:tcPr>
          <w:p w14:paraId="3DD4393F" w14:textId="77777777" w:rsidR="000069D7" w:rsidRPr="001F5870" w:rsidRDefault="000069D7" w:rsidP="007B341F">
            <w:pPr>
              <w:autoSpaceDE w:val="0"/>
              <w:autoSpaceDN w:val="0"/>
              <w:adjustRightInd w:val="0"/>
              <w:spacing w:line="480" w:lineRule="auto"/>
              <w:jc w:val="both"/>
              <w:rPr>
                <w:rFonts w:ascii="Arial" w:hAnsi="Arial" w:cs="Arial"/>
                <w:szCs w:val="24"/>
              </w:rPr>
            </w:pPr>
            <w:r w:rsidRPr="001F5870">
              <w:rPr>
                <w:rFonts w:ascii="Arial" w:hAnsi="Arial" w:cs="Arial"/>
                <w:szCs w:val="24"/>
              </w:rPr>
              <w:t>All</w:t>
            </w:r>
          </w:p>
        </w:tc>
        <w:tc>
          <w:tcPr>
            <w:tcW w:w="381" w:type="pct"/>
          </w:tcPr>
          <w:p w14:paraId="11A50785"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35</w:t>
            </w:r>
          </w:p>
        </w:tc>
        <w:tc>
          <w:tcPr>
            <w:tcW w:w="630" w:type="pct"/>
          </w:tcPr>
          <w:p w14:paraId="031E46CC"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20.0</w:t>
            </w:r>
          </w:p>
        </w:tc>
        <w:tc>
          <w:tcPr>
            <w:tcW w:w="656" w:type="pct"/>
          </w:tcPr>
          <w:p w14:paraId="3B8EAC8B"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6.4</w:t>
            </w:r>
          </w:p>
        </w:tc>
        <w:tc>
          <w:tcPr>
            <w:tcW w:w="967" w:type="pct"/>
          </w:tcPr>
          <w:p w14:paraId="6B7E1F52"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14.1</w:t>
            </w:r>
          </w:p>
        </w:tc>
      </w:tr>
      <w:tr w:rsidR="000069D7" w:rsidRPr="001F5870" w14:paraId="1A9FDFEF" w14:textId="77777777" w:rsidTr="007B341F">
        <w:tc>
          <w:tcPr>
            <w:tcW w:w="1359" w:type="pct"/>
          </w:tcPr>
          <w:p w14:paraId="5652F2EA" w14:textId="77777777" w:rsidR="000069D7" w:rsidRPr="001F5870" w:rsidRDefault="000069D7" w:rsidP="007B341F">
            <w:pPr>
              <w:autoSpaceDE w:val="0"/>
              <w:autoSpaceDN w:val="0"/>
              <w:adjustRightInd w:val="0"/>
              <w:spacing w:line="480" w:lineRule="auto"/>
              <w:jc w:val="both"/>
              <w:rPr>
                <w:rFonts w:ascii="Arial" w:hAnsi="Arial" w:cs="Arial"/>
                <w:szCs w:val="24"/>
              </w:rPr>
            </w:pPr>
            <w:r w:rsidRPr="001F5870">
              <w:rPr>
                <w:rFonts w:ascii="Arial" w:hAnsi="Arial" w:cs="Arial"/>
                <w:szCs w:val="24"/>
              </w:rPr>
              <w:t>HORIZON1</w:t>
            </w:r>
            <w:r w:rsidRPr="001F5870">
              <w:rPr>
                <w:rFonts w:ascii="Arial" w:hAnsi="Arial" w:cs="Arial"/>
                <w:szCs w:val="24"/>
              </w:rPr>
              <w:fldChar w:fldCharType="begin"/>
            </w:r>
            <w:r w:rsidRPr="001F5870">
              <w:rPr>
                <w:rFonts w:ascii="Arial" w:hAnsi="Arial" w:cs="Arial"/>
                <w:szCs w:val="24"/>
              </w:rPr>
              <w:instrText xml:space="preserve"> ADDIN ZOTERO_ITEM CSL_CITATION {"citationID":"RKFP9IIX","properties":{"formattedCitation":"\\super 9\\nosupersub{}","plainCitation":"9","noteIndex":0},"citationItems":[{"id":137,"uris":["http://zotero.org/users/local/NIYFum1Y/items/PADJT377"],"itemData":{"id":137,"type":"article-journal","abstract":"BACKGROUND: Cediranib is a highly potent inhibitor of vascular endothelial growth factor (VEGF) signalling with activity against all three VEGF receptors. Bevacizumab is an anti-VEGF-A monoclonal antibody with clinical benefit in previously treated metastatic colorectal cancer (mCRC).\nMETHODS: Patients with mCRC who had progressed following first-line therapy were randomised 1:1:1 to modified (m)FOLFOX6 plus cediranib (20 or 30 mg day(-1)) or bevacizumab (10 mg kg(-1) every 2 weeks). The primary objective was to compare progression-free survival (PFS) between treatment arms.\nRESULTS: A total of 210 patients were included in the intent-to-treat (ITT) analysis (cediranib 20 mg, n=71; cediranib 30 mg, n=73; bevacizumab, n=66). Median PFS in the cediranib 20 mg, cediranib 30 mg and bevacizumab groups was 5.8, 7.2 and 7.8 months, respectively. There were no statistically significant differences between treatment arms for PFS (cediranib 20 mg vs bevacizumab: HR=1.28 (95% CI, 0.85-1.95; P=0.29); cediranib 30 mg vs bevacizumab: HR=1.17 (95% CI, 0.77-1.76; P=0.79)) or overall survival (OS). Grade ≥ 3 adverse events were more common with cediranib 30 mg (91.8%) vs cediranib 20 mg (81.4%) or bevacizumab (84.8%).\nCONCLUSION: There were no statistically significant differences between treatment arms for PFS or OS. When combined with mFOLFOX6, the 20 mg day(-1) dose of cediranib was better tolerated than the 30 mg day(-1) dose.","container-title":"British Journal of Cancer","DOI":"10.1038/bjc.2012.545","ISSN":"1532-1827","issue":"3","journalAbbreviation":"Br J Cancer","language":"eng","note":"PMID: 23299530\nPMCID: PMC3593537","page":"493-502","source":"PubMed","title":"Cediranib with mFOLFOX6 vs bevacizumab with mFOLFOX6 in previously treated metastatic colorectal cancer","volume":"108","author":[{"family":"Cunningham","given":"D."},{"family":"Wong","given":"R. P. W."},{"family":"D'Haens","given":"G."},{"family":"Douillard","given":"J.-Y."},{"family":"Robertson","given":"J."},{"family":"Stone","given":"A. M."},{"family":"Van Cutsem","given":"E."},{"literal":"HORIZON I study group"}],"issued":{"date-parts":[["2013",2,19]]}}}],"schema":"https://github.com/citation-style-language/schema/raw/master/csl-citation.json"} </w:instrText>
            </w:r>
            <w:r w:rsidRPr="001F5870">
              <w:rPr>
                <w:rFonts w:ascii="Arial" w:hAnsi="Arial" w:cs="Arial"/>
                <w:szCs w:val="24"/>
              </w:rPr>
              <w:fldChar w:fldCharType="separate"/>
            </w:r>
            <w:r w:rsidRPr="001F5870">
              <w:rPr>
                <w:rFonts w:ascii="Arial" w:hAnsi="Arial" w:cs="Arial"/>
                <w:szCs w:val="24"/>
                <w:vertAlign w:val="superscript"/>
              </w:rPr>
              <w:t>9</w:t>
            </w:r>
            <w:r w:rsidRPr="001F5870">
              <w:rPr>
                <w:rFonts w:ascii="Arial" w:hAnsi="Arial" w:cs="Arial"/>
                <w:szCs w:val="24"/>
              </w:rPr>
              <w:fldChar w:fldCharType="end"/>
            </w:r>
          </w:p>
        </w:tc>
        <w:tc>
          <w:tcPr>
            <w:tcW w:w="1007" w:type="pct"/>
          </w:tcPr>
          <w:p w14:paraId="473DEDA6" w14:textId="77777777" w:rsidR="000069D7" w:rsidRPr="001F5870" w:rsidRDefault="000069D7" w:rsidP="007B341F">
            <w:pPr>
              <w:autoSpaceDE w:val="0"/>
              <w:autoSpaceDN w:val="0"/>
              <w:adjustRightInd w:val="0"/>
              <w:spacing w:line="480" w:lineRule="auto"/>
              <w:jc w:val="both"/>
              <w:rPr>
                <w:rFonts w:ascii="Arial" w:hAnsi="Arial" w:cs="Arial"/>
                <w:szCs w:val="24"/>
              </w:rPr>
            </w:pPr>
            <w:r w:rsidRPr="001F5870">
              <w:rPr>
                <w:rFonts w:ascii="Arial" w:hAnsi="Arial" w:cs="Arial"/>
                <w:szCs w:val="24"/>
              </w:rPr>
              <w:t>All</w:t>
            </w:r>
          </w:p>
        </w:tc>
        <w:tc>
          <w:tcPr>
            <w:tcW w:w="381" w:type="pct"/>
          </w:tcPr>
          <w:p w14:paraId="2DD2CFB3"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66</w:t>
            </w:r>
          </w:p>
        </w:tc>
        <w:tc>
          <w:tcPr>
            <w:tcW w:w="630" w:type="pct"/>
          </w:tcPr>
          <w:p w14:paraId="0B76CA11"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27.3</w:t>
            </w:r>
          </w:p>
        </w:tc>
        <w:tc>
          <w:tcPr>
            <w:tcW w:w="656" w:type="pct"/>
          </w:tcPr>
          <w:p w14:paraId="67329EF4"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7.8</w:t>
            </w:r>
          </w:p>
        </w:tc>
        <w:tc>
          <w:tcPr>
            <w:tcW w:w="967" w:type="pct"/>
          </w:tcPr>
          <w:p w14:paraId="1C08DA00"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19.6</w:t>
            </w:r>
          </w:p>
        </w:tc>
      </w:tr>
      <w:tr w:rsidR="000069D7" w:rsidRPr="001F5870" w14:paraId="4DC06162" w14:textId="77777777" w:rsidTr="007B341F">
        <w:tc>
          <w:tcPr>
            <w:tcW w:w="1359" w:type="pct"/>
            <w:tcBorders>
              <w:bottom w:val="single" w:sz="4" w:space="0" w:color="auto"/>
            </w:tcBorders>
          </w:tcPr>
          <w:p w14:paraId="025E9491" w14:textId="77777777" w:rsidR="000069D7" w:rsidRPr="001F5870" w:rsidRDefault="000069D7" w:rsidP="007B341F">
            <w:pPr>
              <w:autoSpaceDE w:val="0"/>
              <w:autoSpaceDN w:val="0"/>
              <w:adjustRightInd w:val="0"/>
              <w:spacing w:line="480" w:lineRule="auto"/>
              <w:jc w:val="both"/>
              <w:rPr>
                <w:rFonts w:ascii="Arial" w:hAnsi="Arial" w:cs="Arial"/>
                <w:szCs w:val="24"/>
              </w:rPr>
            </w:pPr>
            <w:r w:rsidRPr="001F5870">
              <w:rPr>
                <w:rFonts w:ascii="Arial" w:hAnsi="Arial" w:cs="Arial"/>
                <w:szCs w:val="24"/>
              </w:rPr>
              <w:t>ECOG E3200</w:t>
            </w:r>
            <w:r w:rsidRPr="001F5870">
              <w:rPr>
                <w:rFonts w:ascii="Arial" w:hAnsi="Arial" w:cs="Arial"/>
                <w:szCs w:val="24"/>
              </w:rPr>
              <w:fldChar w:fldCharType="begin"/>
            </w:r>
            <w:r w:rsidRPr="001F5870">
              <w:rPr>
                <w:rFonts w:ascii="Arial" w:hAnsi="Arial" w:cs="Arial"/>
                <w:szCs w:val="24"/>
              </w:rPr>
              <w:instrText xml:space="preserve"> ADDIN ZOTERO_ITEM CSL_CITATION {"citationID":"Jl9MicFU","properties":{"formattedCitation":"\\super 10\\nosupersub{}","plainCitation":"10","noteIndex":0},"citationItems":[{"id":105,"uris":["http://zotero.org/users/local/NIYFum1Y/items/9TQ6S9DF"],"itemData":{"id":105,"type":"article-journal","abstract":"PURPOSE: Colorectal cancer is the second leading cause of cancer mortality in the United States. Antiangiogenic therapy with bevacizumab combined with chemotherapy improves survival in previously untreated metastatic colorectal cancer. This study was conducted to determine the effect of bevacizumab (at 10 mg/kg) on survival duration for oxaliplatin-based chemotherapy in patients with previously treated metastatic colorectal cancer.\nPATIENTS AND METHODS: Eight hundred twenty-nine metastatic colorectal cancer patients previously treated with a fluoropyrimidine and irinotecan were randomly assigned to one of three treatment groups: oxaliplatin, fluorouracil, and leucovorin (FOLFOX4) with bevacizumab; FOLFOX4 without bevacizumab; or bevacizumab alone. The primary end point was overall survival, with additional determinations of progression-free survival, response, and toxicity.\nRESULTS: The median duration of survival for the group treated with FOLFOX4 and bevacizumab was 12.9 months compared with 10.8 months for the group treated with FOLFOX4 alone (corresponding hazard ratio for death = 0.75; P = .0011), and 10.2 months for those treated with bevacizumab alone. The median progression-free survival for the group treated with FOLFOX4 in combination with bevacizumab was 7.3 months, compared with 4.7 months for the group treated with FOLFOX4 alone (corresponding hazard ratio for progression = 0.61; P &lt; .0001), and 2.7 months for those treated with bevacizumab alone. The corresponding overall response rates were 22.7%, 8.6%, and 3.3%, respectively (P &lt; .0001 for FOLFOX4 with bevacizumab v FOLFOX4 comparison). Bevacizumab was associated with hypertension, bleeding, and vomiting.\nCONCLUSION: The addition of bevacizumab to oxaliplatin, fluorouracil, and leucovorin improves survival duration for patients with previously treated metastatic colorectal.","container-title":"Journal of Clinical Oncology: Official Journal of the American Society of Clinical Oncology","DOI":"10.1200/JCO.2006.09.6305","ISSN":"1527-7755","issue":"12","journalAbbreviation":"J Clin Oncol","language":"eng","note":"PMID: 17442997","page":"1539-1544","source":"PubMed","title":"Bevacizumab in combination with oxaliplatin, fluorouracil, and leucovorin (FOLFOX4) for previously treated metastatic colorectal cancer: results from the Eastern Cooperative Oncology Group Study E3200","title-short":"Bevacizumab in combination with oxaliplatin, fluorouracil, and leucovorin (FOLFOX4) for previously treated metastatic colorectal cancer","volume":"25","author":[{"family":"Giantonio","given":"Bruce J."},{"family":"Catalano","given":"Paul J."},{"family":"Meropol","given":"Neal J."},{"family":"O'Dwyer","given":"Peter J."},{"family":"Mitchell","given":"Edith P."},{"family":"Alberts","given":"Steven R."},{"family":"Schwartz","given":"Michael A."},{"family":"Benson","given":"Al B."},{"literal":"Eastern Cooperative Oncology Group Study E3200"}],"issued":{"date-parts":[["2007",4,20]]}}}],"schema":"https://github.com/citation-style-language/schema/raw/master/csl-citation.json"} </w:instrText>
            </w:r>
            <w:r w:rsidRPr="001F5870">
              <w:rPr>
                <w:rFonts w:ascii="Arial" w:hAnsi="Arial" w:cs="Arial"/>
                <w:szCs w:val="24"/>
              </w:rPr>
              <w:fldChar w:fldCharType="separate"/>
            </w:r>
            <w:r w:rsidRPr="001F5870">
              <w:rPr>
                <w:rFonts w:ascii="Arial" w:hAnsi="Arial" w:cs="Arial"/>
                <w:szCs w:val="24"/>
                <w:vertAlign w:val="superscript"/>
              </w:rPr>
              <w:t>10</w:t>
            </w:r>
            <w:r w:rsidRPr="001F5870">
              <w:rPr>
                <w:rFonts w:ascii="Arial" w:hAnsi="Arial" w:cs="Arial"/>
                <w:szCs w:val="24"/>
              </w:rPr>
              <w:fldChar w:fldCharType="end"/>
            </w:r>
          </w:p>
        </w:tc>
        <w:tc>
          <w:tcPr>
            <w:tcW w:w="1007" w:type="pct"/>
            <w:tcBorders>
              <w:bottom w:val="single" w:sz="4" w:space="0" w:color="auto"/>
            </w:tcBorders>
          </w:tcPr>
          <w:p w14:paraId="01762FC2" w14:textId="77777777" w:rsidR="000069D7" w:rsidRPr="001F5870" w:rsidRDefault="000069D7" w:rsidP="007B341F">
            <w:pPr>
              <w:autoSpaceDE w:val="0"/>
              <w:autoSpaceDN w:val="0"/>
              <w:adjustRightInd w:val="0"/>
              <w:spacing w:line="480" w:lineRule="auto"/>
              <w:jc w:val="both"/>
              <w:rPr>
                <w:rFonts w:ascii="Arial" w:hAnsi="Arial" w:cs="Arial"/>
                <w:szCs w:val="24"/>
              </w:rPr>
            </w:pPr>
            <w:r w:rsidRPr="001F5870">
              <w:rPr>
                <w:rFonts w:ascii="Arial" w:hAnsi="Arial" w:cs="Arial"/>
                <w:szCs w:val="24"/>
              </w:rPr>
              <w:t>All</w:t>
            </w:r>
          </w:p>
        </w:tc>
        <w:tc>
          <w:tcPr>
            <w:tcW w:w="381" w:type="pct"/>
            <w:tcBorders>
              <w:bottom w:val="single" w:sz="4" w:space="0" w:color="auto"/>
            </w:tcBorders>
          </w:tcPr>
          <w:p w14:paraId="2E12D7FB"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286</w:t>
            </w:r>
          </w:p>
        </w:tc>
        <w:tc>
          <w:tcPr>
            <w:tcW w:w="630" w:type="pct"/>
            <w:tcBorders>
              <w:bottom w:val="single" w:sz="4" w:space="0" w:color="auto"/>
            </w:tcBorders>
          </w:tcPr>
          <w:p w14:paraId="23F492FE"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22.7</w:t>
            </w:r>
          </w:p>
        </w:tc>
        <w:tc>
          <w:tcPr>
            <w:tcW w:w="656" w:type="pct"/>
            <w:tcBorders>
              <w:bottom w:val="single" w:sz="4" w:space="0" w:color="auto"/>
            </w:tcBorders>
          </w:tcPr>
          <w:p w14:paraId="78B7E6A9"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7.3</w:t>
            </w:r>
          </w:p>
        </w:tc>
        <w:tc>
          <w:tcPr>
            <w:tcW w:w="967" w:type="pct"/>
            <w:tcBorders>
              <w:bottom w:val="single" w:sz="4" w:space="0" w:color="auto"/>
            </w:tcBorders>
          </w:tcPr>
          <w:p w14:paraId="4218D56C"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12.9</w:t>
            </w:r>
          </w:p>
        </w:tc>
      </w:tr>
      <w:tr w:rsidR="00546288" w:rsidRPr="001F5870" w14:paraId="1B43AB39" w14:textId="77777777" w:rsidTr="007B341F">
        <w:tc>
          <w:tcPr>
            <w:tcW w:w="1359" w:type="pct"/>
          </w:tcPr>
          <w:p w14:paraId="0AF659F4" w14:textId="476AED1D" w:rsidR="00546288" w:rsidRPr="001F5870" w:rsidRDefault="00546288" w:rsidP="007B341F">
            <w:pPr>
              <w:autoSpaceDE w:val="0"/>
              <w:autoSpaceDN w:val="0"/>
              <w:adjustRightInd w:val="0"/>
              <w:spacing w:line="480" w:lineRule="auto"/>
              <w:jc w:val="both"/>
              <w:rPr>
                <w:rFonts w:ascii="Arial" w:hAnsi="Arial" w:cs="Arial"/>
                <w:szCs w:val="24"/>
              </w:rPr>
            </w:pPr>
            <w:r w:rsidRPr="001F5870">
              <w:rPr>
                <w:rFonts w:ascii="Arial" w:hAnsi="Arial" w:cs="Arial"/>
                <w:b/>
                <w:bCs/>
                <w:szCs w:val="24"/>
              </w:rPr>
              <w:t>Second-line – FOLFIRI-bevacizumab</w:t>
            </w:r>
          </w:p>
        </w:tc>
        <w:tc>
          <w:tcPr>
            <w:tcW w:w="1007" w:type="pct"/>
          </w:tcPr>
          <w:p w14:paraId="27E5ADF3" w14:textId="77777777" w:rsidR="00546288" w:rsidRPr="001F5870" w:rsidRDefault="00546288" w:rsidP="007B341F">
            <w:pPr>
              <w:autoSpaceDE w:val="0"/>
              <w:autoSpaceDN w:val="0"/>
              <w:adjustRightInd w:val="0"/>
              <w:spacing w:line="480" w:lineRule="auto"/>
              <w:jc w:val="both"/>
              <w:rPr>
                <w:rFonts w:ascii="Arial" w:hAnsi="Arial" w:cs="Arial"/>
                <w:szCs w:val="24"/>
              </w:rPr>
            </w:pPr>
          </w:p>
        </w:tc>
        <w:tc>
          <w:tcPr>
            <w:tcW w:w="381" w:type="pct"/>
          </w:tcPr>
          <w:p w14:paraId="314F189D" w14:textId="77777777" w:rsidR="00546288" w:rsidRPr="001F5870" w:rsidRDefault="00546288" w:rsidP="007B341F">
            <w:pPr>
              <w:autoSpaceDE w:val="0"/>
              <w:autoSpaceDN w:val="0"/>
              <w:adjustRightInd w:val="0"/>
              <w:spacing w:line="480" w:lineRule="auto"/>
              <w:jc w:val="center"/>
              <w:rPr>
                <w:rFonts w:ascii="Arial" w:hAnsi="Arial" w:cs="Arial"/>
                <w:szCs w:val="24"/>
              </w:rPr>
            </w:pPr>
          </w:p>
        </w:tc>
        <w:tc>
          <w:tcPr>
            <w:tcW w:w="630" w:type="pct"/>
          </w:tcPr>
          <w:p w14:paraId="4270055B" w14:textId="77777777" w:rsidR="00546288" w:rsidRPr="001F5870" w:rsidRDefault="00546288" w:rsidP="007B341F">
            <w:pPr>
              <w:autoSpaceDE w:val="0"/>
              <w:autoSpaceDN w:val="0"/>
              <w:adjustRightInd w:val="0"/>
              <w:spacing w:line="480" w:lineRule="auto"/>
              <w:jc w:val="center"/>
              <w:rPr>
                <w:rFonts w:ascii="Arial" w:hAnsi="Arial" w:cs="Arial"/>
                <w:szCs w:val="24"/>
              </w:rPr>
            </w:pPr>
          </w:p>
        </w:tc>
        <w:tc>
          <w:tcPr>
            <w:tcW w:w="656" w:type="pct"/>
          </w:tcPr>
          <w:p w14:paraId="5E8A4CBC" w14:textId="77777777" w:rsidR="00546288" w:rsidRPr="001F5870" w:rsidRDefault="00546288" w:rsidP="007B341F">
            <w:pPr>
              <w:autoSpaceDE w:val="0"/>
              <w:autoSpaceDN w:val="0"/>
              <w:adjustRightInd w:val="0"/>
              <w:spacing w:line="480" w:lineRule="auto"/>
              <w:jc w:val="center"/>
              <w:rPr>
                <w:rFonts w:ascii="Arial" w:hAnsi="Arial" w:cs="Arial"/>
                <w:szCs w:val="24"/>
              </w:rPr>
            </w:pPr>
          </w:p>
        </w:tc>
        <w:tc>
          <w:tcPr>
            <w:tcW w:w="967" w:type="pct"/>
          </w:tcPr>
          <w:p w14:paraId="7AAEB431" w14:textId="77777777" w:rsidR="00546288" w:rsidRPr="001F5870" w:rsidRDefault="00546288" w:rsidP="007B341F">
            <w:pPr>
              <w:autoSpaceDE w:val="0"/>
              <w:autoSpaceDN w:val="0"/>
              <w:adjustRightInd w:val="0"/>
              <w:spacing w:line="480" w:lineRule="auto"/>
              <w:jc w:val="center"/>
              <w:rPr>
                <w:rFonts w:ascii="Arial" w:hAnsi="Arial" w:cs="Arial"/>
                <w:szCs w:val="24"/>
              </w:rPr>
            </w:pPr>
          </w:p>
        </w:tc>
      </w:tr>
      <w:tr w:rsidR="000069D7" w:rsidRPr="001F5870" w14:paraId="2E939F12" w14:textId="77777777" w:rsidTr="007B341F">
        <w:tc>
          <w:tcPr>
            <w:tcW w:w="1359" w:type="pct"/>
          </w:tcPr>
          <w:p w14:paraId="6864BB93" w14:textId="02FB5AF8" w:rsidR="000069D7" w:rsidRPr="001F5870" w:rsidRDefault="000069D7" w:rsidP="007B341F">
            <w:pPr>
              <w:autoSpaceDE w:val="0"/>
              <w:autoSpaceDN w:val="0"/>
              <w:adjustRightInd w:val="0"/>
              <w:spacing w:line="480" w:lineRule="auto"/>
              <w:jc w:val="both"/>
              <w:rPr>
                <w:rFonts w:ascii="Arial" w:hAnsi="Arial" w:cs="Arial"/>
                <w:szCs w:val="24"/>
              </w:rPr>
            </w:pPr>
            <w:r w:rsidRPr="001F5870">
              <w:rPr>
                <w:rFonts w:ascii="Arial" w:hAnsi="Arial" w:cs="Arial"/>
                <w:szCs w:val="24"/>
              </w:rPr>
              <w:t xml:space="preserve">STRATEGIC (arm </w:t>
            </w:r>
            <w:r w:rsidR="00546288" w:rsidRPr="001F5870">
              <w:rPr>
                <w:rFonts w:ascii="Arial" w:hAnsi="Arial" w:cs="Arial"/>
                <w:szCs w:val="24"/>
              </w:rPr>
              <w:t>B</w:t>
            </w:r>
            <w:r w:rsidRPr="001F5870">
              <w:rPr>
                <w:rFonts w:ascii="Arial" w:hAnsi="Arial" w:cs="Arial"/>
                <w:szCs w:val="24"/>
              </w:rPr>
              <w:t>)</w:t>
            </w:r>
          </w:p>
        </w:tc>
        <w:tc>
          <w:tcPr>
            <w:tcW w:w="1007" w:type="pct"/>
          </w:tcPr>
          <w:p w14:paraId="7B7CE179" w14:textId="77777777" w:rsidR="000069D7" w:rsidRPr="001F5870" w:rsidRDefault="000069D7" w:rsidP="007B341F">
            <w:pPr>
              <w:autoSpaceDE w:val="0"/>
              <w:autoSpaceDN w:val="0"/>
              <w:adjustRightInd w:val="0"/>
              <w:spacing w:line="480" w:lineRule="auto"/>
              <w:jc w:val="both"/>
              <w:rPr>
                <w:rFonts w:ascii="Arial" w:hAnsi="Arial" w:cs="Arial"/>
                <w:szCs w:val="24"/>
              </w:rPr>
            </w:pPr>
            <w:r w:rsidRPr="001F5870">
              <w:rPr>
                <w:rFonts w:ascii="Arial" w:hAnsi="Arial" w:cs="Arial"/>
                <w:szCs w:val="24"/>
              </w:rPr>
              <w:t>RAS/BRAF wild-type</w:t>
            </w:r>
          </w:p>
        </w:tc>
        <w:tc>
          <w:tcPr>
            <w:tcW w:w="381" w:type="pct"/>
          </w:tcPr>
          <w:p w14:paraId="00E2CE74"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69</w:t>
            </w:r>
          </w:p>
        </w:tc>
        <w:tc>
          <w:tcPr>
            <w:tcW w:w="630" w:type="pct"/>
          </w:tcPr>
          <w:p w14:paraId="1816F669" w14:textId="2E52B760" w:rsidR="000069D7" w:rsidRPr="001F5870" w:rsidRDefault="007B341F"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64.4</w:t>
            </w:r>
          </w:p>
        </w:tc>
        <w:tc>
          <w:tcPr>
            <w:tcW w:w="656" w:type="pct"/>
          </w:tcPr>
          <w:p w14:paraId="43F7CB73"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6.2</w:t>
            </w:r>
          </w:p>
        </w:tc>
        <w:tc>
          <w:tcPr>
            <w:tcW w:w="967" w:type="pct"/>
          </w:tcPr>
          <w:p w14:paraId="1444CDB0"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15.8</w:t>
            </w:r>
          </w:p>
        </w:tc>
      </w:tr>
      <w:tr w:rsidR="000069D7" w:rsidRPr="001F5870" w14:paraId="647302EF" w14:textId="77777777" w:rsidTr="007B341F">
        <w:tc>
          <w:tcPr>
            <w:tcW w:w="1359" w:type="pct"/>
          </w:tcPr>
          <w:p w14:paraId="704A4FFA" w14:textId="77777777" w:rsidR="000069D7" w:rsidRPr="001F5870" w:rsidRDefault="000069D7" w:rsidP="007B341F">
            <w:pPr>
              <w:autoSpaceDE w:val="0"/>
              <w:autoSpaceDN w:val="0"/>
              <w:adjustRightInd w:val="0"/>
              <w:spacing w:line="480" w:lineRule="auto"/>
              <w:jc w:val="both"/>
              <w:rPr>
                <w:rFonts w:ascii="Arial" w:hAnsi="Arial" w:cs="Arial"/>
                <w:szCs w:val="24"/>
              </w:rPr>
            </w:pPr>
            <w:r w:rsidRPr="001F5870">
              <w:rPr>
                <w:rFonts w:ascii="Arial" w:hAnsi="Arial" w:cs="Arial"/>
                <w:szCs w:val="24"/>
              </w:rPr>
              <w:t>BAC</w:t>
            </w:r>
            <w:r w:rsidRPr="001F5870">
              <w:rPr>
                <w:rFonts w:ascii="Arial" w:hAnsi="Arial" w:cs="Arial"/>
                <w:szCs w:val="24"/>
              </w:rPr>
              <w:fldChar w:fldCharType="begin"/>
            </w:r>
            <w:r w:rsidRPr="001F5870">
              <w:rPr>
                <w:rFonts w:ascii="Arial" w:hAnsi="Arial" w:cs="Arial"/>
                <w:szCs w:val="24"/>
              </w:rPr>
              <w:instrText xml:space="preserve"> ADDIN ZOTERO_ITEM CSL_CITATION {"citationID":"c4C8NTSg","properties":{"formattedCitation":"\\super 8\\nosupersub{}","plainCitation":"8","noteIndex":0},"citationItems":[{"id":140,"uris":["http://zotero.org/users/local/NIYFum1Y/items/QH3K8GRT"],"itemData":{"id":140,"type":"article-journal","abstract":"OBJECTIVE: Axitinib, a potent and selective second-generation inhibitor of vascular endothelial growth factor receptors 1, 2, and 3, shows activity in multiple tumor types, including those refractory to previous antiangiogenic therapy. This randomized, multicenter, parallel-group, open-label phase II trial compared axitinib with bevacizumab each in combination with 5-fluorouracil/leucovorin/oxaliplatin (FOLFOX) or 5-fluorouracil/leucovorin/irinotecan (FOLFIRI) for second-line treatment of metastatic colorectal cancer.\nMETHODS: Patients were randomized 1:1 to axitinib 5 mg twice daily or bevacizumab 5 mg/kg every 2 weeks plus modified FOLFOX-6 (if previously treated with irinotecan) or FOLFIRI (if previously treated with oxaliplatin) and were stratified by performance status and prior bevacizumab therapy. Primary endpoint was progression-free survival.\nRESULTS: In 171 patients, progression-free survival was 7.6 months with axitinib/FOLFOX vs. 6.4 months with bevacizumab/FOLFOX (hazard ratio [HR], 1.04; 95% confidence interval [CI], 0.55-1.96; 1-sided P = .55) and 5.7 months with axitinib/FOLFIRI vs. 6.9 months with bevacizumab/FOLFIRI (HR, 1.27; 95% CI, 0.77-2.11; 1-sided P = .83). Overall survival was 17.1 vs. 14.1 months with axitinib/FOLFOX and bevacizumab/FOLFOX (HR, 0.69; 95% CI, 0.37-1.27; 1-sided P = .12) and 12.9 vs. 15.7 months with axitinib/FOLFIRI and bevacizumab/FOLFIRI (HR, 1.36; 95% CI, 0.82-2.24; 1-sided P = .88). More grade ≥ 3 adverse events (eg, diarrhea, fatigue, decreased appetite) and treatment discontinuations due to adverse events occurred with axitinib.\nCONCLUSIONS: Compared with bevacizumab, axitinib did not improve outcomes when added to second-line chemotherapy for metastatic colorectal cancer. With current dosing regimens, axitinib plus FOLFOX or FOLFIRI seems to be less well tolerated than bevacizumab-based regimens.","container-title":"Clinical Colorectal Cancer","DOI":"10.1016/j.clcc.2013.09.001","ISSN":"1938-0674","issue":"4","journalAbbreviation":"Clin Colorectal Cancer","language":"eng","note":"PMID: 24188685","page":"239-247","source":"PubMed","title":"Axitinib or bevacizumab plus FOLFIRI or modified FOLFOX-6 after failure of first-line therapy for metastatic colorectal cancer: a randomized phase II study","title-short":"Axitinib or bevacizumab plus FOLFIRI or modified FOLFOX-6 after failure of first-line therapy for metastatic colorectal cancer","volume":"12","author":[{"family":"Bendell","given":"Johanna C."},{"family":"Tournigand","given":"Christophe"},{"family":"Swieboda-Sadlej","given":"Anna"},{"family":"Barone","given":"Carlo"},{"family":"Wainberg","given":"Zev A."},{"family":"Kim","given":"Jong Gwang"},{"family":"Pericay","given":"Carles"},{"family":"Pastorelli","given":"Davide"},{"family":"Tarazi","given":"Jamal"},{"family":"Rosbrook","given":"Brad"},{"family":"Bloom","given":"Joanna"},{"family":"Ricart","given":"Alejandro D."},{"family":"Kim","given":"Sinil"},{"family":"Sobrero","given":"Alberto F."}],"issued":{"date-parts":[["2013",12]]}}}],"schema":"https://github.com/citation-style-language/schema/raw/master/csl-citation.json"} </w:instrText>
            </w:r>
            <w:r w:rsidRPr="001F5870">
              <w:rPr>
                <w:rFonts w:ascii="Arial" w:hAnsi="Arial" w:cs="Arial"/>
                <w:szCs w:val="24"/>
              </w:rPr>
              <w:fldChar w:fldCharType="separate"/>
            </w:r>
            <w:r w:rsidRPr="001F5870">
              <w:rPr>
                <w:rFonts w:ascii="Arial" w:hAnsi="Arial" w:cs="Arial"/>
                <w:szCs w:val="24"/>
                <w:vertAlign w:val="superscript"/>
              </w:rPr>
              <w:t>8</w:t>
            </w:r>
            <w:r w:rsidRPr="001F5870">
              <w:rPr>
                <w:rFonts w:ascii="Arial" w:hAnsi="Arial" w:cs="Arial"/>
                <w:szCs w:val="24"/>
              </w:rPr>
              <w:fldChar w:fldCharType="end"/>
            </w:r>
          </w:p>
        </w:tc>
        <w:tc>
          <w:tcPr>
            <w:tcW w:w="1007" w:type="pct"/>
          </w:tcPr>
          <w:p w14:paraId="6DEB0CE0" w14:textId="77777777" w:rsidR="000069D7" w:rsidRPr="001F5870" w:rsidRDefault="000069D7" w:rsidP="007B341F">
            <w:pPr>
              <w:autoSpaceDE w:val="0"/>
              <w:autoSpaceDN w:val="0"/>
              <w:adjustRightInd w:val="0"/>
              <w:spacing w:line="480" w:lineRule="auto"/>
              <w:jc w:val="both"/>
              <w:rPr>
                <w:rFonts w:ascii="Arial" w:hAnsi="Arial" w:cs="Arial"/>
                <w:szCs w:val="24"/>
              </w:rPr>
            </w:pPr>
            <w:r w:rsidRPr="001F5870">
              <w:rPr>
                <w:rFonts w:ascii="Arial" w:hAnsi="Arial" w:cs="Arial"/>
                <w:szCs w:val="24"/>
              </w:rPr>
              <w:t>All</w:t>
            </w:r>
          </w:p>
        </w:tc>
        <w:tc>
          <w:tcPr>
            <w:tcW w:w="381" w:type="pct"/>
          </w:tcPr>
          <w:p w14:paraId="6D59CC4F"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51</w:t>
            </w:r>
          </w:p>
        </w:tc>
        <w:tc>
          <w:tcPr>
            <w:tcW w:w="630" w:type="pct"/>
          </w:tcPr>
          <w:p w14:paraId="28FFD1EF"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23.5</w:t>
            </w:r>
          </w:p>
        </w:tc>
        <w:tc>
          <w:tcPr>
            <w:tcW w:w="656" w:type="pct"/>
          </w:tcPr>
          <w:p w14:paraId="79259291"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6.9</w:t>
            </w:r>
          </w:p>
        </w:tc>
        <w:tc>
          <w:tcPr>
            <w:tcW w:w="967" w:type="pct"/>
          </w:tcPr>
          <w:p w14:paraId="3174AF3A"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15.7</w:t>
            </w:r>
          </w:p>
        </w:tc>
      </w:tr>
      <w:tr w:rsidR="000069D7" w:rsidRPr="001F5870" w14:paraId="55115C33" w14:textId="77777777" w:rsidTr="007B341F">
        <w:tc>
          <w:tcPr>
            <w:tcW w:w="1359" w:type="pct"/>
            <w:tcBorders>
              <w:bottom w:val="single" w:sz="4" w:space="0" w:color="auto"/>
            </w:tcBorders>
          </w:tcPr>
          <w:p w14:paraId="2B4473E0" w14:textId="77777777" w:rsidR="000069D7" w:rsidRPr="001F5870" w:rsidRDefault="000069D7" w:rsidP="007B341F">
            <w:pPr>
              <w:autoSpaceDE w:val="0"/>
              <w:autoSpaceDN w:val="0"/>
              <w:adjustRightInd w:val="0"/>
              <w:spacing w:line="480" w:lineRule="auto"/>
              <w:jc w:val="both"/>
              <w:rPr>
                <w:rFonts w:ascii="Arial" w:hAnsi="Arial" w:cs="Arial"/>
                <w:szCs w:val="24"/>
              </w:rPr>
            </w:pPr>
            <w:r w:rsidRPr="001F5870">
              <w:rPr>
                <w:rFonts w:ascii="Arial" w:hAnsi="Arial" w:cs="Arial"/>
                <w:szCs w:val="24"/>
              </w:rPr>
              <w:t>Pooled studies</w:t>
            </w:r>
            <w:r w:rsidRPr="001F5870">
              <w:rPr>
                <w:rFonts w:ascii="Arial" w:hAnsi="Arial" w:cs="Arial"/>
                <w:szCs w:val="24"/>
              </w:rPr>
              <w:fldChar w:fldCharType="begin"/>
            </w:r>
            <w:r w:rsidRPr="001F5870">
              <w:rPr>
                <w:rFonts w:ascii="Arial" w:hAnsi="Arial" w:cs="Arial"/>
                <w:szCs w:val="24"/>
              </w:rPr>
              <w:instrText xml:space="preserve"> ADDIN ZOTERO_ITEM CSL_CITATION {"citationID":"bpPwJsP5","properties":{"formattedCitation":"\\super 11\\nosupersub{}","plainCitation":"11","noteIndex":0},"citationItems":[{"id":207,"uris":["http://zotero.org/users/local/NIYFum1Y/items/WXKG7UXL"],"itemData":{"id":207,"type":"article-journal","abstract":"Irinotecan and infusional 5-fluorouracil-based chemotherapy (FOLFIRI) plus bevacizumab (FOLFIRI-B) is one of the most effective treatments of advanced colorectal cancer (CRC). However, this schedule is regarded more extensively as first-line therapy and its efficacy has not been proven in phase III randomised trials in oxaliplatin-pretreated patients. We have performed a systematic review through PubMed and EMBASE, including all prospective and retrospective publications exploring the efficacy of FOLFIRI-B as second-line chemotherapy in advanced CRC patients pretreated with oxaliplatin and not with B. Pooled estimates of the response rates (RR), weighted medians of progression-free survival (PFS), and overall survival (OS) from all FOLFIRI-B-containing arms were calculated. A total of 11 studies (one randomised phase II trial, two phase II trials, two observational studies, two prospective non-randomised collections, and four retrospective case series) were retrieved giving a total of 435 patients. Overall, the pooled RR (n = 11 publications) was 26 %. Median PFS and OS (n = 11 and 10 publications, respectively) were 8.3 and 17.2 months. FOLFIRI-B is a reasonable and effective option for stage IV CRC pretreated with oxaliplatin and not exposed to B during first-line treatment. Its activity seems better than historical FOLFIRI-based second-line trials.","container-title":"Medical Oncology (Northwood, London, England)","DOI":"10.1007/s12032-013-0486-y","ISSN":"1559-131X","issue":"1","journalAbbreviation":"Med Oncol","language":"eng","note":"PMID: 23400961","page":"486","source":"PubMed","title":"FOLFIRI + bevacizumab as second-line therapy for metastatic colorectal cancer pretreated with oxaliplatin: a pooled analysis of published trials","title-short":"FOLFIRI + bevacizumab as second-line therapy for metastatic colorectal cancer pretreated with oxaliplatin","volume":"30","author":[{"family":"Beretta","given":"Giordano Domenico"},{"family":"Petrelli","given":"Fausto"},{"family":"Stinco","given":"Sergio"},{"family":"Cabiddu","given":"Mary"},{"family":"Ghilardi","given":"Mara"},{"family":"Squadroni","given":"Michela"},{"family":"Borgonovo","given":"Karen"},{"family":"Barni","given":"Sandro"}],"issued":{"date-parts":[["2013",3]]}}}],"schema":"https://github.com/citation-style-language/schema/raw/master/csl-citation.json"} </w:instrText>
            </w:r>
            <w:r w:rsidRPr="001F5870">
              <w:rPr>
                <w:rFonts w:ascii="Arial" w:hAnsi="Arial" w:cs="Arial"/>
                <w:szCs w:val="24"/>
              </w:rPr>
              <w:fldChar w:fldCharType="separate"/>
            </w:r>
            <w:r w:rsidRPr="001F5870">
              <w:rPr>
                <w:rFonts w:ascii="Arial" w:hAnsi="Arial" w:cs="Arial"/>
                <w:szCs w:val="24"/>
                <w:vertAlign w:val="superscript"/>
              </w:rPr>
              <w:t>11</w:t>
            </w:r>
            <w:r w:rsidRPr="001F5870">
              <w:rPr>
                <w:rFonts w:ascii="Arial" w:hAnsi="Arial" w:cs="Arial"/>
                <w:szCs w:val="24"/>
              </w:rPr>
              <w:fldChar w:fldCharType="end"/>
            </w:r>
          </w:p>
        </w:tc>
        <w:tc>
          <w:tcPr>
            <w:tcW w:w="1007" w:type="pct"/>
            <w:tcBorders>
              <w:bottom w:val="single" w:sz="4" w:space="0" w:color="auto"/>
            </w:tcBorders>
          </w:tcPr>
          <w:p w14:paraId="7C1E252C" w14:textId="77777777" w:rsidR="000069D7" w:rsidRPr="001F5870" w:rsidRDefault="000069D7" w:rsidP="007B341F">
            <w:pPr>
              <w:autoSpaceDE w:val="0"/>
              <w:autoSpaceDN w:val="0"/>
              <w:adjustRightInd w:val="0"/>
              <w:spacing w:line="480" w:lineRule="auto"/>
              <w:jc w:val="both"/>
              <w:rPr>
                <w:rFonts w:ascii="Arial" w:hAnsi="Arial" w:cs="Arial"/>
                <w:szCs w:val="24"/>
              </w:rPr>
            </w:pPr>
            <w:r w:rsidRPr="001F5870">
              <w:rPr>
                <w:rFonts w:ascii="Arial" w:hAnsi="Arial" w:cs="Arial"/>
                <w:szCs w:val="24"/>
              </w:rPr>
              <w:t>All</w:t>
            </w:r>
          </w:p>
        </w:tc>
        <w:tc>
          <w:tcPr>
            <w:tcW w:w="381" w:type="pct"/>
            <w:tcBorders>
              <w:bottom w:val="single" w:sz="4" w:space="0" w:color="auto"/>
            </w:tcBorders>
          </w:tcPr>
          <w:p w14:paraId="2B851028"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435</w:t>
            </w:r>
          </w:p>
        </w:tc>
        <w:tc>
          <w:tcPr>
            <w:tcW w:w="630" w:type="pct"/>
            <w:tcBorders>
              <w:bottom w:val="single" w:sz="4" w:space="0" w:color="auto"/>
            </w:tcBorders>
          </w:tcPr>
          <w:p w14:paraId="2AC99C15"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26.0</w:t>
            </w:r>
          </w:p>
        </w:tc>
        <w:tc>
          <w:tcPr>
            <w:tcW w:w="656" w:type="pct"/>
            <w:tcBorders>
              <w:bottom w:val="single" w:sz="4" w:space="0" w:color="auto"/>
            </w:tcBorders>
          </w:tcPr>
          <w:p w14:paraId="1375AB65"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8.3</w:t>
            </w:r>
          </w:p>
        </w:tc>
        <w:tc>
          <w:tcPr>
            <w:tcW w:w="967" w:type="pct"/>
            <w:tcBorders>
              <w:bottom w:val="single" w:sz="4" w:space="0" w:color="auto"/>
            </w:tcBorders>
          </w:tcPr>
          <w:p w14:paraId="243D0C66"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17.2</w:t>
            </w:r>
          </w:p>
        </w:tc>
      </w:tr>
      <w:bookmarkEnd w:id="3"/>
    </w:tbl>
    <w:p w14:paraId="4093D2CA" w14:textId="77777777" w:rsidR="004C711A" w:rsidRPr="001F5870" w:rsidRDefault="004C711A" w:rsidP="00477182">
      <w:pPr>
        <w:pStyle w:val="SMcaption"/>
        <w:rPr>
          <w:rFonts w:ascii="Arial" w:hAnsi="Arial" w:cs="Arial"/>
          <w:szCs w:val="24"/>
        </w:rPr>
      </w:pPr>
    </w:p>
    <w:p w14:paraId="0E957A7F" w14:textId="63559C8E" w:rsidR="007B674C" w:rsidRPr="001F5870" w:rsidRDefault="005648D6" w:rsidP="007B674C">
      <w:pPr>
        <w:pStyle w:val="SMHeading"/>
        <w:rPr>
          <w:rFonts w:ascii="Arial" w:hAnsi="Arial" w:cs="Arial"/>
        </w:rPr>
      </w:pPr>
      <w:r w:rsidRPr="001F5870">
        <w:rPr>
          <w:rFonts w:ascii="Arial" w:hAnsi="Arial" w:cs="Arial"/>
        </w:rPr>
        <w:t xml:space="preserve">Supplementary </w:t>
      </w:r>
      <w:r w:rsidR="007B674C" w:rsidRPr="001F5870">
        <w:rPr>
          <w:rFonts w:ascii="Arial" w:hAnsi="Arial" w:cs="Arial"/>
        </w:rPr>
        <w:t>Table 3.</w:t>
      </w:r>
    </w:p>
    <w:p w14:paraId="4618F897" w14:textId="17890406" w:rsidR="00102CEC" w:rsidRPr="001F5870" w:rsidRDefault="007B674C" w:rsidP="005648D6">
      <w:pPr>
        <w:rPr>
          <w:rFonts w:ascii="Arial" w:hAnsi="Arial" w:cs="Arial"/>
          <w:szCs w:val="24"/>
        </w:rPr>
        <w:sectPr w:rsidR="00102CEC" w:rsidRPr="001F5870" w:rsidSect="0044170B">
          <w:headerReference w:type="default" r:id="rId9"/>
          <w:footerReference w:type="default" r:id="rId10"/>
          <w:pgSz w:w="15840" w:h="12240" w:orient="landscape"/>
          <w:pgMar w:top="1440" w:right="1440" w:bottom="1440" w:left="1440" w:header="720" w:footer="720" w:gutter="0"/>
          <w:pgNumType w:start="1"/>
          <w:cols w:space="720"/>
          <w:docGrid w:linePitch="360"/>
        </w:sectPr>
      </w:pPr>
      <w:r w:rsidRPr="001F5870">
        <w:rPr>
          <w:rFonts w:ascii="Arial" w:hAnsi="Arial" w:cs="Arial"/>
          <w:szCs w:val="24"/>
        </w:rPr>
        <w:t>Efficacy outcomes in the current and previous first-line studies using FOLFIRI-cetuximab or FOLFOX-bevacizumab, and second-line studies using FOLFOX-bevacizumab or FOLFIRI-bevacizumab.</w:t>
      </w:r>
    </w:p>
    <w:p w14:paraId="4FA1CFDA" w14:textId="401C0916" w:rsidR="00E4519A" w:rsidRPr="001F5870" w:rsidRDefault="00E4519A" w:rsidP="00E4519A">
      <w:pPr>
        <w:pStyle w:val="SMcaption"/>
        <w:rPr>
          <w:rFonts w:ascii="Arial" w:hAnsi="Arial" w:cs="Arial"/>
          <w:szCs w:val="24"/>
        </w:rPr>
      </w:pPr>
    </w:p>
    <w:tbl>
      <w:tblPr>
        <w:tblW w:w="5000" w:type="pct"/>
        <w:tblBorders>
          <w:insideH w:val="single" w:sz="4" w:space="0" w:color="auto"/>
        </w:tblBorders>
        <w:tblLook w:val="04A0" w:firstRow="1" w:lastRow="0" w:firstColumn="1" w:lastColumn="0" w:noHBand="0" w:noVBand="1"/>
      </w:tblPr>
      <w:tblGrid>
        <w:gridCol w:w="1857"/>
        <w:gridCol w:w="1456"/>
        <w:gridCol w:w="755"/>
        <w:gridCol w:w="684"/>
        <w:gridCol w:w="883"/>
        <w:gridCol w:w="1035"/>
        <w:gridCol w:w="779"/>
        <w:gridCol w:w="883"/>
        <w:gridCol w:w="1494"/>
        <w:gridCol w:w="758"/>
        <w:gridCol w:w="883"/>
        <w:gridCol w:w="1493"/>
      </w:tblGrid>
      <w:tr w:rsidR="000069D7" w:rsidRPr="001F5870" w14:paraId="5065BF72" w14:textId="77777777" w:rsidTr="00B61CC7">
        <w:trPr>
          <w:trHeight w:val="905"/>
        </w:trPr>
        <w:tc>
          <w:tcPr>
            <w:tcW w:w="680" w:type="pct"/>
          </w:tcPr>
          <w:p w14:paraId="5DE767EE" w14:textId="03362ED1" w:rsidR="000069D7" w:rsidRPr="001F5870" w:rsidRDefault="000069D7" w:rsidP="007B341F">
            <w:pPr>
              <w:autoSpaceDE w:val="0"/>
              <w:autoSpaceDN w:val="0"/>
              <w:adjustRightInd w:val="0"/>
              <w:spacing w:line="480" w:lineRule="auto"/>
              <w:jc w:val="both"/>
              <w:rPr>
                <w:rFonts w:ascii="Arial" w:hAnsi="Arial" w:cs="Arial"/>
                <w:b/>
                <w:bCs/>
                <w:szCs w:val="24"/>
              </w:rPr>
            </w:pPr>
            <w:r w:rsidRPr="001F5870">
              <w:rPr>
                <w:rFonts w:ascii="Arial" w:hAnsi="Arial" w:cs="Arial"/>
                <w:szCs w:val="24"/>
              </w:rPr>
              <w:br w:type="page"/>
            </w:r>
          </w:p>
        </w:tc>
        <w:tc>
          <w:tcPr>
            <w:tcW w:w="569" w:type="pct"/>
          </w:tcPr>
          <w:p w14:paraId="118AF73F" w14:textId="77777777" w:rsidR="000069D7" w:rsidRPr="001F5870" w:rsidRDefault="000069D7" w:rsidP="007B341F">
            <w:pPr>
              <w:autoSpaceDE w:val="0"/>
              <w:autoSpaceDN w:val="0"/>
              <w:adjustRightInd w:val="0"/>
              <w:spacing w:line="480" w:lineRule="auto"/>
              <w:rPr>
                <w:rFonts w:ascii="Arial" w:hAnsi="Arial" w:cs="Arial"/>
                <w:b/>
                <w:bCs/>
                <w:szCs w:val="24"/>
              </w:rPr>
            </w:pPr>
          </w:p>
        </w:tc>
        <w:tc>
          <w:tcPr>
            <w:tcW w:w="311" w:type="pct"/>
          </w:tcPr>
          <w:p w14:paraId="1B3BE0F0" w14:textId="77777777" w:rsidR="000069D7" w:rsidRPr="001F5870" w:rsidRDefault="000069D7" w:rsidP="007B341F">
            <w:pPr>
              <w:autoSpaceDE w:val="0"/>
              <w:autoSpaceDN w:val="0"/>
              <w:adjustRightInd w:val="0"/>
              <w:spacing w:line="480" w:lineRule="auto"/>
              <w:jc w:val="center"/>
              <w:rPr>
                <w:rFonts w:ascii="Arial" w:hAnsi="Arial" w:cs="Arial"/>
                <w:b/>
                <w:bCs/>
                <w:szCs w:val="24"/>
              </w:rPr>
            </w:pPr>
          </w:p>
        </w:tc>
        <w:tc>
          <w:tcPr>
            <w:tcW w:w="1001" w:type="pct"/>
            <w:gridSpan w:val="3"/>
          </w:tcPr>
          <w:p w14:paraId="633121BD" w14:textId="77777777" w:rsidR="000069D7" w:rsidRPr="001F5870" w:rsidRDefault="000069D7" w:rsidP="007B341F">
            <w:pPr>
              <w:autoSpaceDE w:val="0"/>
              <w:autoSpaceDN w:val="0"/>
              <w:adjustRightInd w:val="0"/>
              <w:spacing w:line="480" w:lineRule="auto"/>
              <w:rPr>
                <w:rFonts w:ascii="Arial" w:hAnsi="Arial" w:cs="Arial"/>
                <w:b/>
                <w:bCs/>
                <w:szCs w:val="24"/>
              </w:rPr>
            </w:pPr>
            <w:r w:rsidRPr="001F5870">
              <w:rPr>
                <w:rFonts w:ascii="Arial" w:hAnsi="Arial" w:cs="Arial"/>
                <w:b/>
                <w:bCs/>
                <w:szCs w:val="24"/>
              </w:rPr>
              <w:t>ORR, %</w:t>
            </w:r>
          </w:p>
        </w:tc>
        <w:tc>
          <w:tcPr>
            <w:tcW w:w="1230" w:type="pct"/>
            <w:gridSpan w:val="3"/>
          </w:tcPr>
          <w:p w14:paraId="6EE84598" w14:textId="77777777" w:rsidR="000069D7" w:rsidRPr="001F5870" w:rsidRDefault="000069D7" w:rsidP="007B341F">
            <w:pPr>
              <w:autoSpaceDE w:val="0"/>
              <w:autoSpaceDN w:val="0"/>
              <w:adjustRightInd w:val="0"/>
              <w:spacing w:line="480" w:lineRule="auto"/>
              <w:rPr>
                <w:rFonts w:ascii="Arial" w:hAnsi="Arial" w:cs="Arial"/>
                <w:b/>
                <w:bCs/>
                <w:szCs w:val="24"/>
              </w:rPr>
            </w:pPr>
            <w:r w:rsidRPr="001F5870">
              <w:rPr>
                <w:rFonts w:ascii="Arial" w:hAnsi="Arial" w:cs="Arial"/>
                <w:b/>
                <w:bCs/>
                <w:szCs w:val="24"/>
              </w:rPr>
              <w:t>PFS, months</w:t>
            </w:r>
          </w:p>
        </w:tc>
        <w:tc>
          <w:tcPr>
            <w:tcW w:w="1209" w:type="pct"/>
            <w:gridSpan w:val="3"/>
          </w:tcPr>
          <w:p w14:paraId="5FC2D4AC" w14:textId="77777777" w:rsidR="000069D7" w:rsidRPr="001F5870" w:rsidRDefault="000069D7" w:rsidP="007B341F">
            <w:pPr>
              <w:autoSpaceDE w:val="0"/>
              <w:autoSpaceDN w:val="0"/>
              <w:adjustRightInd w:val="0"/>
              <w:spacing w:line="480" w:lineRule="auto"/>
              <w:rPr>
                <w:rFonts w:ascii="Arial" w:hAnsi="Arial" w:cs="Arial"/>
                <w:b/>
                <w:bCs/>
                <w:szCs w:val="24"/>
              </w:rPr>
            </w:pPr>
            <w:r w:rsidRPr="001F5870">
              <w:rPr>
                <w:rFonts w:ascii="Arial" w:hAnsi="Arial" w:cs="Arial"/>
                <w:b/>
                <w:bCs/>
                <w:szCs w:val="24"/>
              </w:rPr>
              <w:t>OS, months</w:t>
            </w:r>
          </w:p>
        </w:tc>
      </w:tr>
      <w:tr w:rsidR="000069D7" w:rsidRPr="001F5870" w14:paraId="099214E2" w14:textId="77777777" w:rsidTr="00B61CC7">
        <w:trPr>
          <w:trHeight w:val="905"/>
        </w:trPr>
        <w:tc>
          <w:tcPr>
            <w:tcW w:w="680" w:type="pct"/>
          </w:tcPr>
          <w:p w14:paraId="6A6E6702" w14:textId="77777777" w:rsidR="000069D7" w:rsidRPr="001F5870" w:rsidRDefault="000069D7" w:rsidP="007B341F">
            <w:pPr>
              <w:autoSpaceDE w:val="0"/>
              <w:autoSpaceDN w:val="0"/>
              <w:adjustRightInd w:val="0"/>
              <w:spacing w:line="480" w:lineRule="auto"/>
              <w:jc w:val="both"/>
              <w:rPr>
                <w:rFonts w:ascii="Arial" w:hAnsi="Arial" w:cs="Arial"/>
                <w:b/>
                <w:bCs/>
                <w:szCs w:val="24"/>
              </w:rPr>
            </w:pPr>
            <w:r w:rsidRPr="001F5870">
              <w:rPr>
                <w:rFonts w:ascii="Arial" w:hAnsi="Arial" w:cs="Arial"/>
                <w:b/>
                <w:bCs/>
                <w:szCs w:val="24"/>
              </w:rPr>
              <w:t>Studies</w:t>
            </w:r>
          </w:p>
        </w:tc>
        <w:tc>
          <w:tcPr>
            <w:tcW w:w="569" w:type="pct"/>
          </w:tcPr>
          <w:p w14:paraId="28729577" w14:textId="77777777" w:rsidR="000069D7" w:rsidRPr="001F5870" w:rsidRDefault="000069D7" w:rsidP="007B341F">
            <w:pPr>
              <w:autoSpaceDE w:val="0"/>
              <w:autoSpaceDN w:val="0"/>
              <w:adjustRightInd w:val="0"/>
              <w:spacing w:line="480" w:lineRule="auto"/>
              <w:rPr>
                <w:rFonts w:ascii="Arial" w:hAnsi="Arial" w:cs="Arial"/>
                <w:b/>
                <w:bCs/>
                <w:szCs w:val="24"/>
              </w:rPr>
            </w:pPr>
            <w:r w:rsidRPr="001F5870">
              <w:rPr>
                <w:rFonts w:ascii="Arial" w:hAnsi="Arial" w:cs="Arial"/>
                <w:b/>
                <w:bCs/>
                <w:szCs w:val="24"/>
              </w:rPr>
              <w:t>Population</w:t>
            </w:r>
          </w:p>
        </w:tc>
        <w:tc>
          <w:tcPr>
            <w:tcW w:w="311" w:type="pct"/>
          </w:tcPr>
          <w:p w14:paraId="4EDCB29F" w14:textId="77777777" w:rsidR="000069D7" w:rsidRPr="001F5870" w:rsidRDefault="000069D7" w:rsidP="007B341F">
            <w:pPr>
              <w:autoSpaceDE w:val="0"/>
              <w:autoSpaceDN w:val="0"/>
              <w:adjustRightInd w:val="0"/>
              <w:spacing w:line="480" w:lineRule="auto"/>
              <w:jc w:val="center"/>
              <w:rPr>
                <w:rFonts w:ascii="Arial" w:hAnsi="Arial" w:cs="Arial"/>
                <w:b/>
                <w:bCs/>
                <w:szCs w:val="24"/>
              </w:rPr>
            </w:pPr>
            <w:r w:rsidRPr="001F5870">
              <w:rPr>
                <w:rFonts w:ascii="Arial" w:hAnsi="Arial" w:cs="Arial"/>
                <w:b/>
                <w:bCs/>
                <w:szCs w:val="24"/>
              </w:rPr>
              <w:t>N</w:t>
            </w:r>
          </w:p>
        </w:tc>
        <w:tc>
          <w:tcPr>
            <w:tcW w:w="268" w:type="pct"/>
          </w:tcPr>
          <w:p w14:paraId="03BD670A" w14:textId="77777777" w:rsidR="000069D7" w:rsidRPr="001F5870" w:rsidRDefault="000069D7" w:rsidP="007B341F">
            <w:pPr>
              <w:autoSpaceDE w:val="0"/>
              <w:autoSpaceDN w:val="0"/>
              <w:adjustRightInd w:val="0"/>
              <w:spacing w:line="480" w:lineRule="auto"/>
              <w:jc w:val="center"/>
              <w:rPr>
                <w:rFonts w:ascii="Arial" w:hAnsi="Arial" w:cs="Arial"/>
                <w:b/>
                <w:bCs/>
                <w:szCs w:val="24"/>
              </w:rPr>
            </w:pPr>
            <w:r w:rsidRPr="001F5870">
              <w:rPr>
                <w:rFonts w:ascii="Arial" w:hAnsi="Arial" w:cs="Arial"/>
                <w:b/>
                <w:bCs/>
                <w:szCs w:val="24"/>
              </w:rPr>
              <w:t>Bev</w:t>
            </w:r>
          </w:p>
        </w:tc>
        <w:tc>
          <w:tcPr>
            <w:tcW w:w="311" w:type="pct"/>
          </w:tcPr>
          <w:p w14:paraId="1426A5FB" w14:textId="77777777" w:rsidR="000069D7" w:rsidRPr="001F5870" w:rsidRDefault="000069D7" w:rsidP="007B341F">
            <w:pPr>
              <w:autoSpaceDE w:val="0"/>
              <w:autoSpaceDN w:val="0"/>
              <w:adjustRightInd w:val="0"/>
              <w:spacing w:line="480" w:lineRule="auto"/>
              <w:jc w:val="center"/>
              <w:rPr>
                <w:rFonts w:ascii="Arial" w:hAnsi="Arial" w:cs="Arial"/>
                <w:b/>
                <w:bCs/>
                <w:szCs w:val="24"/>
              </w:rPr>
            </w:pPr>
            <w:r w:rsidRPr="001F5870">
              <w:rPr>
                <w:rFonts w:ascii="Arial" w:hAnsi="Arial" w:cs="Arial"/>
                <w:b/>
                <w:bCs/>
                <w:szCs w:val="24"/>
              </w:rPr>
              <w:t>EGFR</w:t>
            </w:r>
          </w:p>
        </w:tc>
        <w:tc>
          <w:tcPr>
            <w:tcW w:w="422" w:type="pct"/>
          </w:tcPr>
          <w:p w14:paraId="29BA3C44" w14:textId="77777777" w:rsidR="000069D7" w:rsidRPr="001F5870" w:rsidRDefault="000069D7" w:rsidP="007B341F">
            <w:pPr>
              <w:autoSpaceDE w:val="0"/>
              <w:autoSpaceDN w:val="0"/>
              <w:adjustRightInd w:val="0"/>
              <w:spacing w:line="480" w:lineRule="auto"/>
              <w:jc w:val="center"/>
              <w:rPr>
                <w:rFonts w:ascii="Arial" w:hAnsi="Arial" w:cs="Arial"/>
                <w:b/>
                <w:bCs/>
                <w:szCs w:val="24"/>
              </w:rPr>
            </w:pPr>
            <w:r w:rsidRPr="001F5870">
              <w:rPr>
                <w:rFonts w:ascii="Arial" w:hAnsi="Arial" w:cs="Arial"/>
                <w:b/>
                <w:bCs/>
                <w:szCs w:val="24"/>
              </w:rPr>
              <w:t>Delta</w:t>
            </w:r>
          </w:p>
        </w:tc>
        <w:tc>
          <w:tcPr>
            <w:tcW w:w="314" w:type="pct"/>
          </w:tcPr>
          <w:p w14:paraId="68A6CB60" w14:textId="77777777" w:rsidR="000069D7" w:rsidRPr="001F5870" w:rsidRDefault="000069D7" w:rsidP="007B341F">
            <w:pPr>
              <w:autoSpaceDE w:val="0"/>
              <w:autoSpaceDN w:val="0"/>
              <w:adjustRightInd w:val="0"/>
              <w:spacing w:line="480" w:lineRule="auto"/>
              <w:jc w:val="center"/>
              <w:rPr>
                <w:rFonts w:ascii="Arial" w:hAnsi="Arial" w:cs="Arial"/>
                <w:b/>
                <w:bCs/>
                <w:szCs w:val="24"/>
              </w:rPr>
            </w:pPr>
            <w:r w:rsidRPr="001F5870">
              <w:rPr>
                <w:rFonts w:ascii="Arial" w:hAnsi="Arial" w:cs="Arial"/>
                <w:b/>
                <w:bCs/>
                <w:szCs w:val="24"/>
              </w:rPr>
              <w:t>Bev</w:t>
            </w:r>
          </w:p>
        </w:tc>
        <w:tc>
          <w:tcPr>
            <w:tcW w:w="326" w:type="pct"/>
          </w:tcPr>
          <w:p w14:paraId="61D51770" w14:textId="77777777" w:rsidR="000069D7" w:rsidRPr="001F5870" w:rsidRDefault="000069D7" w:rsidP="007B341F">
            <w:pPr>
              <w:autoSpaceDE w:val="0"/>
              <w:autoSpaceDN w:val="0"/>
              <w:adjustRightInd w:val="0"/>
              <w:spacing w:line="480" w:lineRule="auto"/>
              <w:jc w:val="center"/>
              <w:rPr>
                <w:rFonts w:ascii="Arial" w:hAnsi="Arial" w:cs="Arial"/>
                <w:b/>
                <w:bCs/>
                <w:szCs w:val="24"/>
              </w:rPr>
            </w:pPr>
            <w:r w:rsidRPr="001F5870">
              <w:rPr>
                <w:rFonts w:ascii="Arial" w:hAnsi="Arial" w:cs="Arial"/>
                <w:b/>
                <w:bCs/>
                <w:szCs w:val="24"/>
              </w:rPr>
              <w:t>EGFR</w:t>
            </w:r>
          </w:p>
        </w:tc>
        <w:tc>
          <w:tcPr>
            <w:tcW w:w="590" w:type="pct"/>
          </w:tcPr>
          <w:p w14:paraId="46F0FD4D" w14:textId="77777777" w:rsidR="000069D7" w:rsidRPr="001F5870" w:rsidRDefault="000069D7" w:rsidP="007B341F">
            <w:pPr>
              <w:autoSpaceDE w:val="0"/>
              <w:autoSpaceDN w:val="0"/>
              <w:adjustRightInd w:val="0"/>
              <w:spacing w:line="480" w:lineRule="auto"/>
              <w:jc w:val="center"/>
              <w:rPr>
                <w:rFonts w:ascii="Arial" w:hAnsi="Arial" w:cs="Arial"/>
                <w:b/>
                <w:bCs/>
                <w:szCs w:val="24"/>
              </w:rPr>
            </w:pPr>
            <w:r w:rsidRPr="001F5870">
              <w:rPr>
                <w:rFonts w:ascii="Arial" w:hAnsi="Arial" w:cs="Arial"/>
                <w:b/>
                <w:bCs/>
                <w:szCs w:val="24"/>
              </w:rPr>
              <w:t>HR (95% Cl)</w:t>
            </w:r>
          </w:p>
        </w:tc>
        <w:tc>
          <w:tcPr>
            <w:tcW w:w="306" w:type="pct"/>
          </w:tcPr>
          <w:p w14:paraId="2632561B" w14:textId="77777777" w:rsidR="000069D7" w:rsidRPr="001F5870" w:rsidRDefault="000069D7" w:rsidP="007B341F">
            <w:pPr>
              <w:autoSpaceDE w:val="0"/>
              <w:autoSpaceDN w:val="0"/>
              <w:adjustRightInd w:val="0"/>
              <w:spacing w:line="480" w:lineRule="auto"/>
              <w:jc w:val="center"/>
              <w:rPr>
                <w:rFonts w:ascii="Arial" w:hAnsi="Arial" w:cs="Arial"/>
                <w:b/>
                <w:bCs/>
                <w:szCs w:val="24"/>
              </w:rPr>
            </w:pPr>
            <w:r w:rsidRPr="001F5870">
              <w:rPr>
                <w:rFonts w:ascii="Arial" w:hAnsi="Arial" w:cs="Arial"/>
                <w:b/>
                <w:bCs/>
                <w:szCs w:val="24"/>
              </w:rPr>
              <w:t>Bev</w:t>
            </w:r>
          </w:p>
        </w:tc>
        <w:tc>
          <w:tcPr>
            <w:tcW w:w="314" w:type="pct"/>
          </w:tcPr>
          <w:p w14:paraId="741E0932" w14:textId="77777777" w:rsidR="000069D7" w:rsidRPr="001F5870" w:rsidRDefault="000069D7" w:rsidP="007B341F">
            <w:pPr>
              <w:autoSpaceDE w:val="0"/>
              <w:autoSpaceDN w:val="0"/>
              <w:adjustRightInd w:val="0"/>
              <w:spacing w:line="480" w:lineRule="auto"/>
              <w:jc w:val="center"/>
              <w:rPr>
                <w:rFonts w:ascii="Arial" w:hAnsi="Arial" w:cs="Arial"/>
                <w:b/>
                <w:bCs/>
                <w:szCs w:val="24"/>
              </w:rPr>
            </w:pPr>
            <w:r w:rsidRPr="001F5870">
              <w:rPr>
                <w:rFonts w:ascii="Arial" w:hAnsi="Arial" w:cs="Arial"/>
                <w:b/>
                <w:bCs/>
                <w:szCs w:val="24"/>
              </w:rPr>
              <w:t>EGFR</w:t>
            </w:r>
          </w:p>
        </w:tc>
        <w:tc>
          <w:tcPr>
            <w:tcW w:w="589" w:type="pct"/>
          </w:tcPr>
          <w:p w14:paraId="3F53B6A1" w14:textId="77777777" w:rsidR="000069D7" w:rsidRPr="001F5870" w:rsidRDefault="000069D7" w:rsidP="007B341F">
            <w:pPr>
              <w:autoSpaceDE w:val="0"/>
              <w:autoSpaceDN w:val="0"/>
              <w:adjustRightInd w:val="0"/>
              <w:spacing w:line="480" w:lineRule="auto"/>
              <w:jc w:val="center"/>
              <w:rPr>
                <w:rFonts w:ascii="Arial" w:hAnsi="Arial" w:cs="Arial"/>
                <w:b/>
                <w:bCs/>
                <w:szCs w:val="24"/>
              </w:rPr>
            </w:pPr>
            <w:r w:rsidRPr="001F5870">
              <w:rPr>
                <w:rFonts w:ascii="Arial" w:hAnsi="Arial" w:cs="Arial"/>
                <w:b/>
                <w:bCs/>
                <w:szCs w:val="24"/>
              </w:rPr>
              <w:t>HR (95% Cl)</w:t>
            </w:r>
          </w:p>
        </w:tc>
      </w:tr>
      <w:tr w:rsidR="000069D7" w:rsidRPr="001F5870" w14:paraId="3F2E2074" w14:textId="77777777" w:rsidTr="00B61CC7">
        <w:trPr>
          <w:trHeight w:val="894"/>
        </w:trPr>
        <w:tc>
          <w:tcPr>
            <w:tcW w:w="680" w:type="pct"/>
          </w:tcPr>
          <w:p w14:paraId="4437E623" w14:textId="77777777" w:rsidR="000069D7" w:rsidRPr="001F5870" w:rsidRDefault="000069D7" w:rsidP="007B341F">
            <w:pPr>
              <w:autoSpaceDE w:val="0"/>
              <w:autoSpaceDN w:val="0"/>
              <w:adjustRightInd w:val="0"/>
              <w:spacing w:line="480" w:lineRule="auto"/>
              <w:jc w:val="both"/>
              <w:rPr>
                <w:rFonts w:ascii="Arial" w:hAnsi="Arial" w:cs="Arial"/>
                <w:szCs w:val="24"/>
              </w:rPr>
            </w:pPr>
            <w:r w:rsidRPr="001F5870">
              <w:rPr>
                <w:rFonts w:ascii="Arial" w:hAnsi="Arial" w:cs="Arial"/>
                <w:szCs w:val="24"/>
              </w:rPr>
              <w:t>STRATEGIC</w:t>
            </w:r>
          </w:p>
        </w:tc>
        <w:tc>
          <w:tcPr>
            <w:tcW w:w="569" w:type="pct"/>
          </w:tcPr>
          <w:p w14:paraId="2F84A3DC" w14:textId="77777777" w:rsidR="000069D7" w:rsidRPr="001F5870" w:rsidRDefault="000069D7" w:rsidP="007B341F">
            <w:pPr>
              <w:autoSpaceDE w:val="0"/>
              <w:autoSpaceDN w:val="0"/>
              <w:adjustRightInd w:val="0"/>
              <w:spacing w:line="480" w:lineRule="auto"/>
              <w:rPr>
                <w:rFonts w:ascii="Arial" w:hAnsi="Arial" w:cs="Arial"/>
                <w:szCs w:val="24"/>
              </w:rPr>
            </w:pPr>
            <w:r w:rsidRPr="001F5870">
              <w:rPr>
                <w:rFonts w:ascii="Arial" w:hAnsi="Arial" w:cs="Arial"/>
                <w:szCs w:val="24"/>
              </w:rPr>
              <w:t>RAS/BRAF wild-type</w:t>
            </w:r>
          </w:p>
        </w:tc>
        <w:tc>
          <w:tcPr>
            <w:tcW w:w="311" w:type="pct"/>
          </w:tcPr>
          <w:p w14:paraId="0E8EEBEB"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208</w:t>
            </w:r>
          </w:p>
        </w:tc>
        <w:tc>
          <w:tcPr>
            <w:tcW w:w="268" w:type="pct"/>
          </w:tcPr>
          <w:p w14:paraId="1BFD444E" w14:textId="6A92C2DC"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6</w:t>
            </w:r>
            <w:r w:rsidR="0024336E" w:rsidRPr="001F5870">
              <w:rPr>
                <w:rFonts w:ascii="Arial" w:hAnsi="Arial" w:cs="Arial"/>
                <w:szCs w:val="24"/>
              </w:rPr>
              <w:t>6.4</w:t>
            </w:r>
          </w:p>
        </w:tc>
        <w:tc>
          <w:tcPr>
            <w:tcW w:w="311" w:type="pct"/>
          </w:tcPr>
          <w:p w14:paraId="5E322513"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89.1</w:t>
            </w:r>
          </w:p>
        </w:tc>
        <w:tc>
          <w:tcPr>
            <w:tcW w:w="422" w:type="pct"/>
          </w:tcPr>
          <w:p w14:paraId="44C52158" w14:textId="1B4A6A56"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22.</w:t>
            </w:r>
            <w:r w:rsidR="0024336E" w:rsidRPr="001F5870">
              <w:rPr>
                <w:rFonts w:ascii="Arial" w:hAnsi="Arial" w:cs="Arial"/>
                <w:szCs w:val="24"/>
              </w:rPr>
              <w:t>7</w:t>
            </w:r>
          </w:p>
        </w:tc>
        <w:tc>
          <w:tcPr>
            <w:tcW w:w="314" w:type="pct"/>
          </w:tcPr>
          <w:p w14:paraId="599D05D5"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12.0</w:t>
            </w:r>
          </w:p>
        </w:tc>
        <w:tc>
          <w:tcPr>
            <w:tcW w:w="326" w:type="pct"/>
          </w:tcPr>
          <w:p w14:paraId="77F5A68D"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13.8</w:t>
            </w:r>
          </w:p>
        </w:tc>
        <w:tc>
          <w:tcPr>
            <w:tcW w:w="590" w:type="pct"/>
          </w:tcPr>
          <w:p w14:paraId="260357D3"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0.86 (0.64 to 1.17)</w:t>
            </w:r>
          </w:p>
        </w:tc>
        <w:tc>
          <w:tcPr>
            <w:tcW w:w="306" w:type="pct"/>
          </w:tcPr>
          <w:p w14:paraId="694D0301"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35.8</w:t>
            </w:r>
          </w:p>
        </w:tc>
        <w:tc>
          <w:tcPr>
            <w:tcW w:w="314" w:type="pct"/>
          </w:tcPr>
          <w:p w14:paraId="4A7936E6"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44.2</w:t>
            </w:r>
          </w:p>
        </w:tc>
        <w:tc>
          <w:tcPr>
            <w:tcW w:w="589" w:type="pct"/>
          </w:tcPr>
          <w:p w14:paraId="273BE0DC"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0.76 (0.54 to1.06)</w:t>
            </w:r>
          </w:p>
        </w:tc>
      </w:tr>
      <w:tr w:rsidR="000069D7" w:rsidRPr="001F5870" w14:paraId="4C5BA871" w14:textId="77777777" w:rsidTr="00B61CC7">
        <w:trPr>
          <w:trHeight w:val="905"/>
        </w:trPr>
        <w:tc>
          <w:tcPr>
            <w:tcW w:w="680" w:type="pct"/>
          </w:tcPr>
          <w:p w14:paraId="679FD562" w14:textId="77777777" w:rsidR="000069D7" w:rsidRPr="001F5870" w:rsidRDefault="000069D7" w:rsidP="007B341F">
            <w:pPr>
              <w:autoSpaceDE w:val="0"/>
              <w:autoSpaceDN w:val="0"/>
              <w:adjustRightInd w:val="0"/>
              <w:spacing w:line="480" w:lineRule="auto"/>
              <w:jc w:val="both"/>
              <w:rPr>
                <w:rFonts w:ascii="Arial" w:hAnsi="Arial" w:cs="Arial"/>
                <w:szCs w:val="24"/>
              </w:rPr>
            </w:pPr>
            <w:r w:rsidRPr="001F5870">
              <w:rPr>
                <w:rFonts w:ascii="Arial" w:hAnsi="Arial" w:cs="Arial"/>
                <w:szCs w:val="24"/>
              </w:rPr>
              <w:t>CAIRO5</w:t>
            </w:r>
            <w:r w:rsidRPr="001F5870">
              <w:rPr>
                <w:rFonts w:ascii="Arial" w:hAnsi="Arial" w:cs="Arial"/>
                <w:szCs w:val="24"/>
              </w:rPr>
              <w:fldChar w:fldCharType="begin"/>
            </w:r>
            <w:r w:rsidRPr="001F5870">
              <w:rPr>
                <w:rFonts w:ascii="Arial" w:hAnsi="Arial" w:cs="Arial"/>
                <w:szCs w:val="24"/>
              </w:rPr>
              <w:instrText xml:space="preserve"> ADDIN ZOTERO_ITEM CSL_CITATION {"citationID":"A46O9mo1","properties":{"formattedCitation":"\\super 12\\uc0\\u8211{}14\\nosupersub{}","plainCitation":"12–14","noteIndex":0},"citationItems":[{"id":151,"uris":["http://zotero.org/users/local/NIYFum1Y/items/ALZMEYUN"],"itemData":{"id":151,"type":"article-journal","title":"LBA21 FOLFOX/FOLFIRI plus either bevacizumab or panitumumab in patients with initially unresectable colorectal liver metastases (CRLM) and left-sided and RAS/BRAFV600E wild-type tumour: phase III CAIRO5 study of the Dutch Colorectal Cancer Group","volume":"Ann Oncol. 2022;33:S1389.","author":[{"literal":"Bond, MJG"},{"literal":"Bolhuis, K"},{"literal":"Loosveld, OJL, et al."}]}},{"id":148,"uris":["http://zotero.org/users/local/NIYFum1Y/items/MTXR9LKT"],"itemData":{"id":148,"type":"article-journal","abstract":"BACKGROUND: Patients with initially unresectable colorectal cancer liver metastases might qualify for local treatment with curative intent after reducing the tumour size by induction systemic treatment. We aimed to compare the currently most active induction regimens.\nMETHODS: In this open-label, multicentre, randomised, phase 3 study (CAIRO5), patients aged 18 years or older with histologically confirmed colorectal cancer, known RAS/BRAFV600E mutation status, WHO performance status of 0-1, and initially unresectable colorectal cancer liver metastases were enrolled at 46 Dutch and one Belgian secondary and tertiary centres. Resectability or unresectability of colorectal cancer liver metastases was assessed centrally by an expert panel of liver surgeons and radiologists, at baseline and every 2 months thereafter by predefined criteria. Randomisation was done centrally with the minimisation technique via a masked web-based allocation procedure. Patients with right-sided primary tumour site or RAS or BRAFV600E mutated tumours were randomly assigned (1:1) to receive FOLFOX or FOLFIRI plus bevacizumab (group A) or FOLFOXIRI plus bevacizumab (group B). Patients with left-sided and RAS and BRAFV600E wild-type tumours were randomly assigned (1:1) to receive FOLFOX or FOLFIRI plus bevacizumab (group C) or FOLFOX or FOLFIRI plus panitumumab (group D), every 14 days for up to 12 cycles. Patients were stratified by resectability of colorectal cancer liver metastases, serum lactate dehydrogenase concentration, choice of irinotecan versus oxaliplatin, and BRAFV600E mutation status (for groups A and B). Bevacizumab was administered intravenously at 5 mg/kg. Panitumumab was administered intravenously at 6 mg/kg. FOLFIRI consisted of intravenous infusion of irinotecan at 180 mg/m2 with folinic acid at 400 mg/m2, followed by bolus fluorouracil at 400 mg/m2 intravenously, followed by continuous infusion of fluorouracil at 2400 mg/m2. FOLFOX consisted of oxaliplatin at 85 mg/m2 intravenously together with the same schedule of folinic acid and fluorouracil as in FOLFIRI. FOLFOXIRI consisted of irinotecan at 165 mg/m2 intravenously, followed by intravenous infusion of oxaliplatin at 85 mg/m2 with folinic acid at 400 mg/m2, followed by continuous infusion of fluorouracil at 3200 mg/m2. Patients and investigators were not masked to treatment allocation. The primary outcome was progression-free survival, analysed on a modified intention-to-treat basis, excluding patients who withdrew consent before starting study treatment or violated major entry criteria (no metastatic colorectal cancer, or previous liver surgery for colorectal cancer liver metastases). The study is registered with ClinicalTrials.gov, NCT02162563, and accrual is complete.\nFINDINGS: Between Nov 13, 2014, and Jan 31, 2022, 530 patients (327 [62%] male and 203 [38%] female; median age 62 years [IQR 54-69]) were randomly assigned: 148 (28%) patients to group A, 146 (28%) patients to group B, 118 (22%) patients to group C, and 118 (22%) patients to group D. Groups C and D were prematurely closed for futility. 521 patients were included in the modified intention-to-treat population (147 in group A, 144 in group B, 114 in group C, and 116 in group D). The median follow-up at the time of this analysis was 51·1 months (95% CI 47·7-53·1) in groups A and B and 49·9 months (44·5-52·5) in in groups C and D. Median progression-free survival was 9·0 months (95% CI 7·7-10·5) in group A versus 10·6 months (9·9-12·1) in group B (stratified hazard ratio [HR] 0·76 [95% CI 0·60-0·98]; p=0·032), and 10·8 months (95% CI 9·9-12·6) in group C versus 10·4 months (9·8-13·0) in group D (stratified HR 1·11 [95% CI 0·84-1·48]; p=0·46). The most frequent grade 3-4 events in groups A and B were neutropenia (19 [13%] patients in group A vs 57 [40%] in group B; p&lt;0·0001), hypertension (21 [14%] vs 20 [14%]; p=1·00), and diarrhoea (five [3%] vs 28 [19%]; p&lt;0·0001), and in groups C and D were neutropenia (29 [25%] vs 24 [21%]; p=0·44), skin toxicity (one [1%] vs 29 [25%]; p&lt;0·0001), hypertension (20 [18%] vs eight [7%]; p=0·016), and diarrhoea (five [4%] vs 18 [16%]; p=0·0072). Serious adverse events occurred in 46 (31%) patients in group A, 75 (52%) patients in group B, 41 (36%) patients in group C, and 49 (42%) patients in group D. Seven treatment-related deaths were reported in group B (two due to multiorgan failure, and one each due to sepsis, pneumonia, portal vein thrombosis, septic shock and liver failure, and sudden death), one in group C (multiorgan failure), and three in group D (cardiac arrest, pulmonary embolism, and abdominal sepsis).\nINTERPRETATION: In patients with initially unresectable colorectal cancer liver metastases, FOLFOXIRI-bevacizumab was the preferred treatment in patients with a right-sided or RAS or BRAFV600E mutated primary tumour. In patients with a left-sided and RAS and BRAFV600E wild-type tumour, the addition of panitumumab to FOLFOX or FOLFIRI showed no clinical benefit over bevacizumab, but was associated with more toxicity.\nFUNDING: Roche and Amgen.","container-title":"The Lancet. Oncology","DOI":"10.1016/S1470-2045(23)00219-X","ISSN":"1474-5488","issue":"7","journalAbbreviation":"Lancet Oncol","language":"eng","note":"PMID: 37329889","page":"757-771","source":"PubMed","title":"First-line systemic treatment strategies in patients with initially unresectable colorectal cancer liver metastases (CAIRO5): an open-label, multicentre, randomised, controlled, phase 3 study from the Dutch Colorectal Cancer Group","title-short":"First-line systemic treatment strategies in patients with initially unresectable colorectal cancer liver metastases (CAIRO5)","volume":"24","author":[{"family":"Bond","given":"Marinde J. G."},{"family":"Bolhuis","given":"Karen"},{"family":"Loosveld","given":"Olaf J. L."},{"family":"Groot","given":"Jan Willem B.","non-dropping-particle":"de"},{"family":"Droogendijk","given":"Helga"},{"family":"Helgason","given":"Helgi H."},{"family":"Hendriks","given":"Mathijs P."},{"family":"Klaase","given":"Joost M."},{"family":"Kazemier","given":"Geert"},{"family":"Liem","given":"Mike S. L."},{"family":"Rijken","given":"Arjen M."},{"family":"Verhoef","given":"Cornelis"},{"family":"Wilt","given":"Johannes H. W.","non-dropping-particle":"de"},{"family":"Jong","given":"Koert P.","non-dropping-particle":"de"},{"family":"Gerhards","given":"Michael F."},{"family":"Amerongen","given":"Martinus J.","non-dropping-particle":"van"},{"family":"Engelbrecht","given":"Marc R. W."},{"family":"Lienden","given":"Krijn P.","non-dropping-particle":"van"},{"family":"Molenaar","given":"I. Quintus"},{"family":"Valk","given":"Bart","non-dropping-particle":"de"},{"family":"Haberkorn","given":"Brigitte C. M."},{"family":"Kerver","given":"Emile D."},{"family":"Erdkamp","given":"Frans"},{"family":"Alphen","given":"Robbert J.","non-dropping-particle":"van"},{"family":"Mathijssen-van Stein","given":"Daniëlle"},{"family":"Komurcu","given":"Aysun"},{"family":"Lopez-Yurda","given":"Marta"},{"family":"Swijnenburg","given":"Rutger-Jan"},{"family":"Punt","given":"Cornelis J. A."},{"literal":"Dutch Colorectal Cancer Study Group"}],"issued":{"date-parts":[["2023",7]]}},"label":"page"},{"id":152,"uris":["http://zotero.org/users/local/NIYFum1Y/items/3VNI7SGG"],"itemData":{"id":152,"type":"article-journal","title":"FOLFOXIRI + bevacizumab versus FOLFOX/FOLFIRI + bevacizumab in patients with initially unresectable colorectal liver metastases (CRLM) and right-sided and/or RAS/BRAFV600E-mutated primary tumor: Phase III CAIRO5 study of the Dutch Colorectal Cancer Group","volume":"J Clin Oncol 40, 2022 (suppl 17; abstr LBA3506)","author":[{"literal":"Punt, CJA"},{"literal":"Bond, MJG"},{"literal":"Bolhuis, K, et al."}]},"label":"page"}],"schema":"https://github.com/citation-style-language/schema/raw/master/csl-citation.json"} </w:instrText>
            </w:r>
            <w:r w:rsidRPr="001F5870">
              <w:rPr>
                <w:rFonts w:ascii="Arial" w:hAnsi="Arial" w:cs="Arial"/>
                <w:szCs w:val="24"/>
              </w:rPr>
              <w:fldChar w:fldCharType="separate"/>
            </w:r>
            <w:r w:rsidRPr="001F5870">
              <w:rPr>
                <w:rFonts w:ascii="Arial" w:hAnsi="Arial" w:cs="Arial"/>
                <w:szCs w:val="24"/>
                <w:vertAlign w:val="superscript"/>
              </w:rPr>
              <w:t>12–14</w:t>
            </w:r>
            <w:r w:rsidRPr="001F5870">
              <w:rPr>
                <w:rFonts w:ascii="Arial" w:hAnsi="Arial" w:cs="Arial"/>
                <w:szCs w:val="24"/>
              </w:rPr>
              <w:fldChar w:fldCharType="end"/>
            </w:r>
          </w:p>
        </w:tc>
        <w:tc>
          <w:tcPr>
            <w:tcW w:w="569" w:type="pct"/>
          </w:tcPr>
          <w:p w14:paraId="79CA093C" w14:textId="77777777" w:rsidR="000069D7" w:rsidRPr="001F5870" w:rsidRDefault="000069D7" w:rsidP="007B341F">
            <w:pPr>
              <w:autoSpaceDE w:val="0"/>
              <w:autoSpaceDN w:val="0"/>
              <w:adjustRightInd w:val="0"/>
              <w:spacing w:line="480" w:lineRule="auto"/>
              <w:rPr>
                <w:rFonts w:ascii="Arial" w:hAnsi="Arial" w:cs="Arial"/>
                <w:szCs w:val="24"/>
              </w:rPr>
            </w:pPr>
            <w:r w:rsidRPr="001F5870">
              <w:rPr>
                <w:rFonts w:ascii="Arial" w:hAnsi="Arial" w:cs="Arial"/>
                <w:szCs w:val="24"/>
              </w:rPr>
              <w:t>RAS/BRAF wild-type</w:t>
            </w:r>
          </w:p>
        </w:tc>
        <w:tc>
          <w:tcPr>
            <w:tcW w:w="311" w:type="pct"/>
          </w:tcPr>
          <w:p w14:paraId="56D12D92"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230</w:t>
            </w:r>
          </w:p>
        </w:tc>
        <w:tc>
          <w:tcPr>
            <w:tcW w:w="268" w:type="pct"/>
          </w:tcPr>
          <w:p w14:paraId="31CE0DBC"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51.8</w:t>
            </w:r>
          </w:p>
        </w:tc>
        <w:tc>
          <w:tcPr>
            <w:tcW w:w="311" w:type="pct"/>
          </w:tcPr>
          <w:p w14:paraId="48F1BB04"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75.8</w:t>
            </w:r>
          </w:p>
        </w:tc>
        <w:tc>
          <w:tcPr>
            <w:tcW w:w="422" w:type="pct"/>
          </w:tcPr>
          <w:p w14:paraId="7CA05A7F"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24.0</w:t>
            </w:r>
          </w:p>
        </w:tc>
        <w:tc>
          <w:tcPr>
            <w:tcW w:w="314" w:type="pct"/>
          </w:tcPr>
          <w:p w14:paraId="2EBCB65F"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10.6</w:t>
            </w:r>
          </w:p>
        </w:tc>
        <w:tc>
          <w:tcPr>
            <w:tcW w:w="326" w:type="pct"/>
          </w:tcPr>
          <w:p w14:paraId="18AD1449"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10.3</w:t>
            </w:r>
          </w:p>
        </w:tc>
        <w:tc>
          <w:tcPr>
            <w:tcW w:w="590" w:type="pct"/>
          </w:tcPr>
          <w:p w14:paraId="42EFE9B8"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1.12 (0.83 to 1.50)</w:t>
            </w:r>
          </w:p>
        </w:tc>
        <w:tc>
          <w:tcPr>
            <w:tcW w:w="306" w:type="pct"/>
          </w:tcPr>
          <w:p w14:paraId="08E61056"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NR</w:t>
            </w:r>
          </w:p>
        </w:tc>
        <w:tc>
          <w:tcPr>
            <w:tcW w:w="314" w:type="pct"/>
          </w:tcPr>
          <w:p w14:paraId="7D0D7A92"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NR</w:t>
            </w:r>
          </w:p>
        </w:tc>
        <w:tc>
          <w:tcPr>
            <w:tcW w:w="589" w:type="pct"/>
          </w:tcPr>
          <w:p w14:paraId="0924303F"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NR</w:t>
            </w:r>
          </w:p>
        </w:tc>
      </w:tr>
      <w:tr w:rsidR="000069D7" w:rsidRPr="001F5870" w14:paraId="3D50C826" w14:textId="77777777" w:rsidTr="00B61CC7">
        <w:trPr>
          <w:trHeight w:val="905"/>
        </w:trPr>
        <w:tc>
          <w:tcPr>
            <w:tcW w:w="680" w:type="pct"/>
          </w:tcPr>
          <w:p w14:paraId="7359E2CB" w14:textId="77777777" w:rsidR="000069D7" w:rsidRPr="001F5870" w:rsidRDefault="000069D7" w:rsidP="007B341F">
            <w:pPr>
              <w:autoSpaceDE w:val="0"/>
              <w:autoSpaceDN w:val="0"/>
              <w:adjustRightInd w:val="0"/>
              <w:spacing w:line="480" w:lineRule="auto"/>
              <w:jc w:val="both"/>
              <w:rPr>
                <w:rFonts w:ascii="Arial" w:hAnsi="Arial" w:cs="Arial"/>
                <w:szCs w:val="24"/>
              </w:rPr>
            </w:pPr>
            <w:r w:rsidRPr="001F5870">
              <w:rPr>
                <w:rFonts w:ascii="Arial" w:hAnsi="Arial" w:cs="Arial"/>
                <w:szCs w:val="24"/>
              </w:rPr>
              <w:t>PARADIGM</w:t>
            </w:r>
            <w:r w:rsidRPr="001F5870">
              <w:rPr>
                <w:rFonts w:ascii="Arial" w:hAnsi="Arial" w:cs="Arial"/>
                <w:szCs w:val="24"/>
              </w:rPr>
              <w:fldChar w:fldCharType="begin"/>
            </w:r>
            <w:r w:rsidRPr="001F5870">
              <w:rPr>
                <w:rFonts w:ascii="Arial" w:hAnsi="Arial" w:cs="Arial"/>
                <w:szCs w:val="24"/>
              </w:rPr>
              <w:instrText xml:space="preserve"> ADDIN ZOTERO_ITEM CSL_CITATION {"citationID":"LKK3B8xR","properties":{"formattedCitation":"\\super 5\\nosupersub{}","plainCitation":"5","noteIndex":0},"citationItems":[{"id":147,"uris":["http://zotero.org/users/local/NIYFum1Y/items/MBWUQ7L9"],"itemData":{"id":147,"type":"article-journal","title":"Panitumumab (PAN) plus mFOLFOX6 versus bevacizumab (BEV) plus mFOLFOX6 as first-line treatment in patients with RAS wild-type (WT) metastatic colorectal cancer (mCRC): Results from the phase 3 PARADIGM trial","volume":"J Clin Oncol 40, 2022 (suppl 17; abstr LBA1)","author":[{"family":"Yoshino, Takayuki","given":""},{"family":"Watanabe, Jun","given":""},{"family":"Shitara, Kohei","given":""},{"family":"Yasui, Hirofumi","given":""},{"family":"Ohori, Hisatsugu","given":""},{"family":"Shiozawa, Manabu","given":""},{"family":"Yamazaki, Kentaro","given":""},{"literal":"Oki, Eiji"},{"literal":"Sato, Takeo"},{"literal":"Naitoh, Takeshi"},{"literal":"Komatsu, Yoshito"},{"literal":"Kato, Takeshi"},{"literal":"Hihara, Masamitsu"},{"literal":"Soeda, Junpei"},{"literal":"Yamamoto, Kouji"},{"literal":"Akagi, Kiwamu"},{"literal":"Ochiai, Atsushi"},{"literal":"Uetake, Hiroyuki"},{"literal":"Tsuchihara, Katsuya"},{"literal":"Muro, Kei"}]}}],"schema":"https://github.com/citation-style-language/schema/raw/master/csl-citation.json"} </w:instrText>
            </w:r>
            <w:r w:rsidRPr="001F5870">
              <w:rPr>
                <w:rFonts w:ascii="Arial" w:hAnsi="Arial" w:cs="Arial"/>
                <w:szCs w:val="24"/>
              </w:rPr>
              <w:fldChar w:fldCharType="separate"/>
            </w:r>
            <w:r w:rsidRPr="001F5870">
              <w:rPr>
                <w:rFonts w:ascii="Arial" w:hAnsi="Arial" w:cs="Arial"/>
                <w:szCs w:val="24"/>
                <w:vertAlign w:val="superscript"/>
              </w:rPr>
              <w:t>5</w:t>
            </w:r>
            <w:r w:rsidRPr="001F5870">
              <w:rPr>
                <w:rFonts w:ascii="Arial" w:hAnsi="Arial" w:cs="Arial"/>
                <w:szCs w:val="24"/>
              </w:rPr>
              <w:fldChar w:fldCharType="end"/>
            </w:r>
          </w:p>
        </w:tc>
        <w:tc>
          <w:tcPr>
            <w:tcW w:w="569" w:type="pct"/>
          </w:tcPr>
          <w:p w14:paraId="5A5E8D97" w14:textId="77777777" w:rsidR="000069D7" w:rsidRPr="001F5870" w:rsidRDefault="000069D7" w:rsidP="007B341F">
            <w:pPr>
              <w:autoSpaceDE w:val="0"/>
              <w:autoSpaceDN w:val="0"/>
              <w:adjustRightInd w:val="0"/>
              <w:spacing w:line="480" w:lineRule="auto"/>
              <w:rPr>
                <w:rFonts w:ascii="Arial" w:hAnsi="Arial" w:cs="Arial"/>
                <w:szCs w:val="24"/>
              </w:rPr>
            </w:pPr>
            <w:r w:rsidRPr="001F5870">
              <w:rPr>
                <w:rFonts w:ascii="Arial" w:hAnsi="Arial" w:cs="Arial"/>
                <w:szCs w:val="24"/>
              </w:rPr>
              <w:t>RAS wild-type</w:t>
            </w:r>
          </w:p>
        </w:tc>
        <w:tc>
          <w:tcPr>
            <w:tcW w:w="311" w:type="pct"/>
          </w:tcPr>
          <w:p w14:paraId="786ABFD4"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604</w:t>
            </w:r>
          </w:p>
        </w:tc>
        <w:tc>
          <w:tcPr>
            <w:tcW w:w="268" w:type="pct"/>
          </w:tcPr>
          <w:p w14:paraId="324E3063"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68.6</w:t>
            </w:r>
          </w:p>
        </w:tc>
        <w:tc>
          <w:tcPr>
            <w:tcW w:w="311" w:type="pct"/>
          </w:tcPr>
          <w:p w14:paraId="7CA30FEA"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80.2</w:t>
            </w:r>
          </w:p>
        </w:tc>
        <w:tc>
          <w:tcPr>
            <w:tcW w:w="422" w:type="pct"/>
          </w:tcPr>
          <w:p w14:paraId="16A68EED"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11.2</w:t>
            </w:r>
          </w:p>
        </w:tc>
        <w:tc>
          <w:tcPr>
            <w:tcW w:w="314" w:type="pct"/>
          </w:tcPr>
          <w:p w14:paraId="0EC5EAF3"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13.2</w:t>
            </w:r>
          </w:p>
        </w:tc>
        <w:tc>
          <w:tcPr>
            <w:tcW w:w="326" w:type="pct"/>
          </w:tcPr>
          <w:p w14:paraId="59D31F61"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13.7</w:t>
            </w:r>
          </w:p>
        </w:tc>
        <w:tc>
          <w:tcPr>
            <w:tcW w:w="590" w:type="pct"/>
          </w:tcPr>
          <w:p w14:paraId="1367A16F"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0.98 (0.82 to 1.17)</w:t>
            </w:r>
          </w:p>
        </w:tc>
        <w:tc>
          <w:tcPr>
            <w:tcW w:w="306" w:type="pct"/>
          </w:tcPr>
          <w:p w14:paraId="09A8E6F6"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34.3</w:t>
            </w:r>
          </w:p>
        </w:tc>
        <w:tc>
          <w:tcPr>
            <w:tcW w:w="314" w:type="pct"/>
          </w:tcPr>
          <w:p w14:paraId="2FB1115B"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37.9</w:t>
            </w:r>
          </w:p>
        </w:tc>
        <w:tc>
          <w:tcPr>
            <w:tcW w:w="589" w:type="pct"/>
          </w:tcPr>
          <w:p w14:paraId="36F3AD6C"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0.82 (0.68 to 0.99)</w:t>
            </w:r>
          </w:p>
        </w:tc>
      </w:tr>
      <w:tr w:rsidR="000069D7" w:rsidRPr="001F5870" w14:paraId="7116CCCC" w14:textId="77777777" w:rsidTr="00B61CC7">
        <w:trPr>
          <w:trHeight w:val="894"/>
        </w:trPr>
        <w:tc>
          <w:tcPr>
            <w:tcW w:w="680" w:type="pct"/>
          </w:tcPr>
          <w:p w14:paraId="5F1B3152" w14:textId="77777777" w:rsidR="000069D7" w:rsidRPr="001F5870" w:rsidRDefault="000069D7" w:rsidP="007B341F">
            <w:pPr>
              <w:autoSpaceDE w:val="0"/>
              <w:autoSpaceDN w:val="0"/>
              <w:adjustRightInd w:val="0"/>
              <w:spacing w:line="480" w:lineRule="auto"/>
              <w:jc w:val="both"/>
              <w:rPr>
                <w:rFonts w:ascii="Arial" w:hAnsi="Arial" w:cs="Arial"/>
                <w:szCs w:val="24"/>
              </w:rPr>
            </w:pPr>
            <w:r w:rsidRPr="001F5870">
              <w:rPr>
                <w:rFonts w:ascii="Arial" w:hAnsi="Arial" w:cs="Arial"/>
                <w:szCs w:val="24"/>
              </w:rPr>
              <w:t>CALGB</w:t>
            </w:r>
            <w:r w:rsidRPr="001F5870">
              <w:rPr>
                <w:rFonts w:ascii="Arial" w:hAnsi="Arial" w:cs="Arial"/>
                <w:color w:val="222222"/>
                <w:szCs w:val="24"/>
                <w:shd w:val="clear" w:color="auto" w:fill="FFFFFF"/>
              </w:rPr>
              <w:t xml:space="preserve">/SWOG </w:t>
            </w:r>
            <w:r w:rsidRPr="001F5870">
              <w:rPr>
                <w:rFonts w:ascii="Arial" w:hAnsi="Arial" w:cs="Arial"/>
                <w:szCs w:val="24"/>
              </w:rPr>
              <w:t>80405</w:t>
            </w:r>
            <w:r w:rsidRPr="001F5870">
              <w:rPr>
                <w:rFonts w:ascii="Arial" w:hAnsi="Arial" w:cs="Arial"/>
                <w:szCs w:val="24"/>
              </w:rPr>
              <w:fldChar w:fldCharType="begin"/>
            </w:r>
            <w:r w:rsidRPr="001F5870">
              <w:rPr>
                <w:rFonts w:ascii="Arial" w:hAnsi="Arial" w:cs="Arial"/>
                <w:szCs w:val="24"/>
              </w:rPr>
              <w:instrText xml:space="preserve"> ADDIN ZOTERO_ITEM CSL_CITATION {"citationID":"33ng8IhE","properties":{"formattedCitation":"\\super 15\\nosupersub{}","plainCitation":"15","noteIndex":0},"citationItems":[{"id":153,"uris":["http://zotero.org/users/local/NIYFum1Y/items/46AJV2FR"],"itemData":{"id":153,"type":"article-journal","abstract":"IMPORTANCE: Combining biologic monoclonal antibodies with chemotherapeutic cytotoxic drugs provides clinical benefit to patients with advanced or metastatic colorectal cancer, but the optimal choice of the initial biologic therapy in previously untreated patients is unknown.\nOBJECTIVE: To determine if the addition of cetuximab vs bevacizumab to the combination of leucovorin, fluorouracil, and oxaliplatin (mFOLFOX6) regimen or the combination of leucovorin, fluorouracil, and irinotecan (FOLFIRI) regimen is superior as first-line therapy in advanced or metastatic KRAS wild-type (wt) colorectal cancer.\nDESIGN, SETTING, AND PARTICIPANTS: Patients (≥18 years) enrolled at community and academic centers throughout the National Clinical Trials Network in the United States and Canada (November 2005-March 2012) with previously untreated advanced or metastatic colorectal cancer whose tumors were KRAS wt chose to take either the mFOLFOX6 regimen or the FOLFIRI regimen as chemotherapy and were randomized to receive either cetuximab (n = 578) or bevacizumab (n = 559). The last date of follow-up was December 15, 2015.\nINTERVENTIONS: Cetuximab vs bevacizumab combined with either mFOLFOX6 or FOLFIRI chemotherapy regimen chosen by the treating physician and patient.\nMAIN OUTCOMES AND MEASURES: The primary end point was overall survival. Secondary objectives included progression-free survival and overall response rate, site-reported confirmed or unconfirmed complete or partial response.\nRESULTS: Among 1137 patients (median age, 59 years; 440 [39%] women), 1074 (94%) of patients met eligibility criteria. As of December 15, 2015, median follow-up for 263 surviving patients was 47.4 months (range, 0-110.7 months), and 82% of patients (938 of 1137) experienced disease progression. The median overall survival was 30.0 months in the cetuximab-chemotherapy group and 29.0 months in the bevacizumab-chemotherapy group with a stratified hazard ratio (HR) of 0.88 (95% CI, 0.77-1.01; P = .08). The median progression-free survival was 10.5 months in the cetuximab-chemotherapy group and 10.6 months in the bevacizumab-chemotherapy group with a stratified HR of 0.95 (95% CI, 0.84-1.08; P = .45). Response rates were not significantly different, 59.6% vs 55.2% for cetuximab and bevacizumab, respectively (difference, 4.4%, 95% CI, 1.0%-9.0%, P = .13).\nCONCLUSIONS AND RELEVANCE: Among patients with KRAS wt untreated advanced or metastatic colorectal cancer, there was no significant difference in overall survival between the addition of cetuximab vs bevacizumab to chemotherapy as initial biologic treatment.\nTRIAL REGISTRATION: clinicaltrials.gov identifier: NCT00265850.","container-title":"JAMA","DOI":"10.1001/jama.2017.7105","ISSN":"1538-3598","issue":"23","journalAbbreviation":"JAMA","language":"eng","note":"PMID: 28632865\nPMCID: PMC5545896","page":"2392-2401","source":"PubMed","title":"Effect of First-Line Chemotherapy Combined With Cetuximab or Bevacizumab on Overall Survival in Patients With KRAS Wild-Type Advanced or Metastatic Colorectal Cancer: A Randomized Clinical Trial","title-short":"Effect of First-Line Chemotherapy Combined With Cetuximab or Bevacizumab on Overall Survival in Patients With KRAS Wild-Type Advanced or Metastatic Colorectal Cancer","volume":"317","author":[{"family":"Venook","given":"Alan P."},{"family":"Niedzwiecki","given":"Donna"},{"family":"Lenz","given":"Heinz-Josef"},{"family":"Innocenti","given":"Federico"},{"family":"Fruth","given":"Briant"},{"family":"Meyerhardt","given":"Jeffrey A."},{"family":"Schrag","given":"Deborah"},{"family":"Greene","given":"Claire"},{"family":"O'Neil","given":"Bert H."},{"family":"Atkins","given":"James Norman"},{"family":"Berry","given":"Scott"},{"family":"Polite","given":"Blase N."},{"family":"O'Reilly","given":"Eileen M."},{"family":"Goldberg","given":"Richard M."},{"family":"Hochster","given":"Howard S."},{"family":"Schilsky","given":"Richard L."},{"family":"Bertagnolli","given":"Monica M."},{"family":"El-Khoueiry","given":"Anthony B."},{"family":"Watson","given":"Peter"},{"family":"Benson","given":"Al B."},{"family":"Mulkerin","given":"Daniel L."},{"family":"Mayer","given":"Robert J."},{"family":"Blanke","given":"Charles"}],"issued":{"date-parts":[["2017",6,20]]}}}],"schema":"https://github.com/citation-style-language/schema/raw/master/csl-citation.json"} </w:instrText>
            </w:r>
            <w:r w:rsidRPr="001F5870">
              <w:rPr>
                <w:rFonts w:ascii="Arial" w:hAnsi="Arial" w:cs="Arial"/>
                <w:szCs w:val="24"/>
              </w:rPr>
              <w:fldChar w:fldCharType="separate"/>
            </w:r>
            <w:r w:rsidRPr="001F5870">
              <w:rPr>
                <w:rFonts w:ascii="Arial" w:hAnsi="Arial" w:cs="Arial"/>
                <w:szCs w:val="24"/>
                <w:vertAlign w:val="superscript"/>
              </w:rPr>
              <w:t>15</w:t>
            </w:r>
            <w:r w:rsidRPr="001F5870">
              <w:rPr>
                <w:rFonts w:ascii="Arial" w:hAnsi="Arial" w:cs="Arial"/>
                <w:szCs w:val="24"/>
              </w:rPr>
              <w:fldChar w:fldCharType="end"/>
            </w:r>
          </w:p>
        </w:tc>
        <w:tc>
          <w:tcPr>
            <w:tcW w:w="569" w:type="pct"/>
          </w:tcPr>
          <w:p w14:paraId="313FF6A0" w14:textId="77777777" w:rsidR="000069D7" w:rsidRPr="001F5870" w:rsidRDefault="000069D7" w:rsidP="007B341F">
            <w:pPr>
              <w:autoSpaceDE w:val="0"/>
              <w:autoSpaceDN w:val="0"/>
              <w:adjustRightInd w:val="0"/>
              <w:spacing w:line="480" w:lineRule="auto"/>
              <w:rPr>
                <w:rFonts w:ascii="Arial" w:hAnsi="Arial" w:cs="Arial"/>
                <w:szCs w:val="24"/>
              </w:rPr>
            </w:pPr>
            <w:r w:rsidRPr="001F5870">
              <w:rPr>
                <w:rFonts w:ascii="Arial" w:hAnsi="Arial" w:cs="Arial"/>
                <w:szCs w:val="24"/>
              </w:rPr>
              <w:t>RAS wild-type</w:t>
            </w:r>
          </w:p>
        </w:tc>
        <w:tc>
          <w:tcPr>
            <w:tcW w:w="311" w:type="pct"/>
          </w:tcPr>
          <w:p w14:paraId="7DE517D0"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325</w:t>
            </w:r>
          </w:p>
        </w:tc>
        <w:tc>
          <w:tcPr>
            <w:tcW w:w="268" w:type="pct"/>
          </w:tcPr>
          <w:p w14:paraId="58CF6F89"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57.9</w:t>
            </w:r>
          </w:p>
        </w:tc>
        <w:tc>
          <w:tcPr>
            <w:tcW w:w="311" w:type="pct"/>
          </w:tcPr>
          <w:p w14:paraId="28F6C70B"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69.4</w:t>
            </w:r>
          </w:p>
        </w:tc>
        <w:tc>
          <w:tcPr>
            <w:tcW w:w="422" w:type="pct"/>
          </w:tcPr>
          <w:p w14:paraId="1E3EB688"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11.5</w:t>
            </w:r>
          </w:p>
        </w:tc>
        <w:tc>
          <w:tcPr>
            <w:tcW w:w="314" w:type="pct"/>
          </w:tcPr>
          <w:p w14:paraId="66ED4876"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11.1</w:t>
            </w:r>
          </w:p>
        </w:tc>
        <w:tc>
          <w:tcPr>
            <w:tcW w:w="326" w:type="pct"/>
          </w:tcPr>
          <w:p w14:paraId="3801B487"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12.0</w:t>
            </w:r>
          </w:p>
        </w:tc>
        <w:tc>
          <w:tcPr>
            <w:tcW w:w="590" w:type="pct"/>
          </w:tcPr>
          <w:p w14:paraId="34777AD5"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0.84 (0.67 to 1.07)</w:t>
            </w:r>
          </w:p>
        </w:tc>
        <w:tc>
          <w:tcPr>
            <w:tcW w:w="306" w:type="pct"/>
          </w:tcPr>
          <w:p w14:paraId="66B00469"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32.1</w:t>
            </w:r>
          </w:p>
        </w:tc>
        <w:tc>
          <w:tcPr>
            <w:tcW w:w="314" w:type="pct"/>
          </w:tcPr>
          <w:p w14:paraId="09A6117B"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37.5</w:t>
            </w:r>
          </w:p>
        </w:tc>
        <w:tc>
          <w:tcPr>
            <w:tcW w:w="589" w:type="pct"/>
          </w:tcPr>
          <w:p w14:paraId="42F94D49"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0.77 (0.60 to 0.99)</w:t>
            </w:r>
          </w:p>
        </w:tc>
      </w:tr>
      <w:tr w:rsidR="000069D7" w:rsidRPr="001F5870" w14:paraId="2C8C0B1C" w14:textId="77777777" w:rsidTr="00B61CC7">
        <w:trPr>
          <w:trHeight w:val="905"/>
        </w:trPr>
        <w:tc>
          <w:tcPr>
            <w:tcW w:w="680" w:type="pct"/>
          </w:tcPr>
          <w:p w14:paraId="12BBA1CD" w14:textId="77777777" w:rsidR="000069D7" w:rsidRPr="001F5870" w:rsidRDefault="000069D7" w:rsidP="007B341F">
            <w:pPr>
              <w:autoSpaceDE w:val="0"/>
              <w:autoSpaceDN w:val="0"/>
              <w:adjustRightInd w:val="0"/>
              <w:spacing w:line="480" w:lineRule="auto"/>
              <w:jc w:val="both"/>
              <w:rPr>
                <w:rFonts w:ascii="Arial" w:hAnsi="Arial" w:cs="Arial"/>
                <w:szCs w:val="24"/>
              </w:rPr>
            </w:pPr>
            <w:r w:rsidRPr="001F5870">
              <w:rPr>
                <w:rFonts w:ascii="Arial" w:hAnsi="Arial" w:cs="Arial"/>
                <w:szCs w:val="24"/>
              </w:rPr>
              <w:t>FIRE-3</w:t>
            </w:r>
            <w:r w:rsidRPr="001F5870">
              <w:rPr>
                <w:rFonts w:ascii="Arial" w:hAnsi="Arial" w:cs="Arial"/>
                <w:szCs w:val="24"/>
              </w:rPr>
              <w:fldChar w:fldCharType="begin"/>
            </w:r>
            <w:r w:rsidRPr="001F5870">
              <w:rPr>
                <w:rFonts w:ascii="Arial" w:hAnsi="Arial" w:cs="Arial"/>
                <w:szCs w:val="24"/>
              </w:rPr>
              <w:instrText xml:space="preserve"> ADDIN ZOTERO_ITEM CSL_CITATION {"citationID":"p9ugtvlw","properties":{"formattedCitation":"\\super 2, 3\\nosupersub{}","plainCitation":"2, 3","noteIndex":0},"citationItems":[{"id":78,"uris":["http://zotero.org/users/local/NIYFum1Y/items/9CSB8JWW"],"itemData":{"id":78,"type":"article-journal","abstract":"BACKGROUND: Cetuximab plus FOLFIRI improved overall survival compared with bevacizumab plus FOLFIRI in KRAS wild-type metastatic colorectal cancer (mCRC) in FIRE-3, but no corresponding benefit was found for progression-free survival. This analysis aimed to determine whether cetuximab improves response and survival versus bevacizumab among response-evaluable patients receiving first-line FOLFIRI for RAS wild-type mCRC and the effect of primary tumour side on outcomes.\nMETHODS: The intent-to-treat population included 593 patients with KRAS exon 2 wild-type mCRC. Further testing identified 400 patients with extended RAS wild-type disease; of these, 352 (88%) who received ≥3 cycles of therapy and had ≥1 post-baseline scan were evaluable for response and constituted the per-protocol population (169 cetuximab and 183 bevacizumab). Patients received 5-fluorouracil, folinic acid and irinotecan (FOLFIRI) with either weekly cetuximab or biweekly bevacizumab given on day 1 of each 14-day cycle until response, progression or toxicity occurred. The primary endpoint was the objective response rate (ORR) in the per-protocol population. Secondary endpoints included overall survival (OS) and progression-free survival (PFS). The effect of primary tumour location was evaluated.\nRESULTS: Median OS in the RAS wild-type population was 31 vs 26 months in the cetuximab and bevacizumab groups, respectively (HR 0.76, P = 0.012). In the per-protocol population, outcomes favoured cetuximab for ORR (77% vs 65%, P = 0.014) and median OS (33 vs 26 months, HR 0.75, P = 0.011), while PFS was comparable between groups. The advantage of cetuximab over bevacizumab occurred only in patients with left-sided primary tumours.\nCONCLUSIONS: FOLFIRI plus cetuximab resulted in a significantly higher ORR and longer OS compared to FOLFIRI plus bevacizumab among patients with left-sided tumours. The superior response associated with cetuximab may particularly benefit patients with symptomatic tumours or borderline-resectable metastases. CLINICALTRIALS.\nGOV IDENTIFIER: NCT00433927.","container-title":"British Journal of Cancer","DOI":"10.1038/s41416-020-01140-9","ISSN":"1532-1827","issue":"3","journalAbbreviation":"Br J Cancer","language":"eng","note":"PMID: 33154570\nPMCID: PMC7851157","page":"587-594","source":"PubMed","title":"FOLFIRI plus cetuximab or bevacizumab for advanced colorectal cancer: final survival and per-protocol analysis of FIRE-3, a randomised clinical trial","title-short":"FOLFIRI plus cetuximab or bevacizumab for advanced colorectal cancer","volume":"124","author":[{"family":"Heinemann","given":"Volker"},{"family":"Weikersthal","given":"Ludwig Fischer","non-dropping-particle":"von"},{"family":"Decker","given":"Thomas"},{"family":"Kiani","given":"Alexander"},{"family":"Kaiser","given":"Florian"},{"family":"Al-Batran","given":"Salah-Edin"},{"family":"Heintges","given":"Tobias"},{"family":"Lerchenmüller","given":"Christoph"},{"family":"Kahl","given":"Christoph"},{"family":"Seipelt","given":"Gernot"},{"family":"Kullmann","given":"Frank"},{"family":"Moehler","given":"Markus"},{"family":"Scheithauer","given":"Werner"},{"family":"Held","given":"Swantje"},{"family":"Miller-Phillips","given":"Lisa"},{"family":"Modest","given":"Dominik Paul"},{"family":"Jung","given":"Andreas"},{"family":"Kirchner","given":"Thomas"},{"family":"Stintzing","given":"Sebastian"}],"issued":{"date-parts":[["2021",2]]}}},{"id":124,"uris":["http://zotero.org/users/local/NIYFum1Y/items/ZJX6L99V"],"itemData":{"id":124,"type":"article-journal","abstract":"BACKGROUND: Cetuximab and bevacizumab have both been shown to improve outcomes in patients with metastatic colorectal cancer when added to chemotherapy regimens; however, their comparative effectiveness when partnered with first-line fluorouracil, folinic acid, and irinotecan (FOLFIRI) is unknown. We aimed to compare these agents in patients with KRAS (exon 2) codon 12/13 wild-type metastatic colorectal cancer.\nMETHODS: In this open-label, randomised, phase 3 trial, we recruited patients aged 18-75 years with stage IV, histologically confirmed colorectal cancer, an Eastern Cooperative Oncology Group (ECOG) performance status of 0-2, an estimated life expectancy of greater than 3 months, and adequate organ function, from centres in Germany and Austria. Patients were centrally randomised by fax (1:1) to FOLFIRI plus cetuximab or FOLFIRI plus bevacizumab (using permuted blocks of randomly varying size), stratified according to ECOG performance status, number of metastatic sites, white blood cell count, and alkaline phosphatase concentration. The primary endpoint was objective response analysed by intention to treat. The study has completed recruitment, but follow-up of participants is ongoing. The trial is registered with ClinicalTrials.gov, number NCT00433927.\nFINDINGS: Between Jan 23, 2007, and Sept 19, 2012, 592 patients with KRAS exon 2 wild-type tumours were randomly assigned and received treatment (297 in the FOLFIRI plus cetuximab group and 295 in the FOLFIRI plus bevacizumab group). 184 (62·0%, 95% CI 56·2-67·5) patients in the cetuximab group achieved an objective response compared with 171 (58·0%, 52·1-63·7) in the bevacizumab group (odds ratio 1·18, 95% CI 0·85-1·64; p=0·18). Median progression-free survival was 10·0 months (95% CI 8·8-10·8) in the cetuximab group and 10·3 months (9·8-11·3) in the bevacizumab group (hazard ratio [HR] 1·06, 95% CI 0·88-1·26; p=0·55); however, median overall survival was 28·7 months (95% CI 24·0-36·6) in the cetuximab group compared with 25·0 months (22·7-27·6) in the bevacizumab group (HR 0·77, 95% CI 0·62-0·96; p=0·017). Safety profiles were consistent with the known side-effects of the study drugs. The most common grade 3 or worse adverse events in both treatment groups were haematotoxicity (73 [25%] of 297 patients in the cetuximab group vs 62 [21%] of 295 patients in the bevacizumab group), skin reactions (77 [26%] vs six [2%]), and diarrhoea (34 [11%] vs 40 [14%]).\nINTERPRETATION: Although the proportion of patients who achieved an objective response did not significantly differ between the FOLFIRI plus cetuximab and FOLFIRI plus bevacizumab groups, the association with longer overall survival suggests that FOLFIRI plus cetuximab could be the preferred first-line regimen for patients with KRAS exon 2 wild-type metastatic colorectal cancer.\nFUNDING: Merck KGaA.","container-title":"The Lancet. Oncology","DOI":"10.1016/S1470-2045(14)70330-4","ISSN":"1474-5488","issue":"10","journalAbbreviation":"Lancet Oncol","language":"eng","note":"PMID: 25088940","page":"1065-1075","source":"PubMed","title":"FOLFIRI plus cetuximab versus FOLFIRI plus bevacizumab as first-line treatment for patients with metastatic colorectal cancer (FIRE-3): a randomised, open-label, phase 3 trial","title-short":"FOLFIRI plus cetuximab versus FOLFIRI plus bevacizumab as first-line treatment for patients with metastatic colorectal cancer (FIRE-3)","volume":"15","author":[{"family":"Heinemann","given":"Volker"},{"family":"Weikersthal","given":"Ludwig Fischer","non-dropping-particle":"von"},{"family":"Decker","given":"Thomas"},{"family":"Kiani","given":"Alexander"},{"family":"Vehling-Kaiser","given":"Ursula"},{"family":"Al-Batran","given":"Salah-Eddin"},{"family":"Heintges","given":"Tobias"},{"family":"Lerchenmüller","given":"Christian"},{"family":"Kahl","given":"Christoph"},{"family":"Seipelt","given":"Gernot"},{"family":"Kullmann","given":"Frank"},{"family":"Stauch","given":"Martina"},{"family":"Scheithauer","given":"Werner"},{"family":"Hielscher","given":"Jörg"},{"family":"Scholz","given":"Michael"},{"family":"Müller","given":"Sebastian"},{"family":"Link","given":"Hartmut"},{"family":"Niederle","given":"Norbert"},{"family":"Rost","given":"Andreas"},{"family":"Höffkes","given":"Heinz-Gert"},{"family":"Moehler","given":"Markus"},{"family":"Lindig","given":"Reinhard U."},{"family":"Modest","given":"Dominik P."},{"family":"Rossius","given":"Lisa"},{"family":"Kirchner","given":"Thomas"},{"family":"Jung","given":"Andreas"},{"family":"Stintzing","given":"Sebastian"}],"issued":{"date-parts":[["2014",9]]}},"label":"page"}],"schema":"https://github.com/citation-style-language/schema/raw/master/csl-citation.json"} </w:instrText>
            </w:r>
            <w:r w:rsidRPr="001F5870">
              <w:rPr>
                <w:rFonts w:ascii="Arial" w:hAnsi="Arial" w:cs="Arial"/>
                <w:szCs w:val="24"/>
              </w:rPr>
              <w:fldChar w:fldCharType="separate"/>
            </w:r>
            <w:r w:rsidRPr="001F5870">
              <w:rPr>
                <w:rFonts w:ascii="Arial" w:hAnsi="Arial" w:cs="Arial"/>
                <w:szCs w:val="24"/>
                <w:vertAlign w:val="superscript"/>
              </w:rPr>
              <w:t>2, 3</w:t>
            </w:r>
            <w:r w:rsidRPr="001F5870">
              <w:rPr>
                <w:rFonts w:ascii="Arial" w:hAnsi="Arial" w:cs="Arial"/>
                <w:szCs w:val="24"/>
              </w:rPr>
              <w:fldChar w:fldCharType="end"/>
            </w:r>
          </w:p>
        </w:tc>
        <w:tc>
          <w:tcPr>
            <w:tcW w:w="569" w:type="pct"/>
          </w:tcPr>
          <w:p w14:paraId="433AFA55" w14:textId="77777777" w:rsidR="000069D7" w:rsidRPr="001F5870" w:rsidRDefault="000069D7" w:rsidP="007B341F">
            <w:pPr>
              <w:autoSpaceDE w:val="0"/>
              <w:autoSpaceDN w:val="0"/>
              <w:adjustRightInd w:val="0"/>
              <w:spacing w:line="480" w:lineRule="auto"/>
              <w:rPr>
                <w:rFonts w:ascii="Arial" w:hAnsi="Arial" w:cs="Arial"/>
                <w:szCs w:val="24"/>
              </w:rPr>
            </w:pPr>
            <w:r w:rsidRPr="001F5870">
              <w:rPr>
                <w:rFonts w:ascii="Arial" w:hAnsi="Arial" w:cs="Arial"/>
                <w:szCs w:val="24"/>
              </w:rPr>
              <w:t>RAS wild-type</w:t>
            </w:r>
          </w:p>
        </w:tc>
        <w:tc>
          <w:tcPr>
            <w:tcW w:w="311" w:type="pct"/>
          </w:tcPr>
          <w:p w14:paraId="48A265F2"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273</w:t>
            </w:r>
          </w:p>
        </w:tc>
        <w:tc>
          <w:tcPr>
            <w:tcW w:w="268" w:type="pct"/>
          </w:tcPr>
          <w:p w14:paraId="192DD14E"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67.6</w:t>
            </w:r>
          </w:p>
        </w:tc>
        <w:tc>
          <w:tcPr>
            <w:tcW w:w="311" w:type="pct"/>
          </w:tcPr>
          <w:p w14:paraId="0DC34F64"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78.8</w:t>
            </w:r>
          </w:p>
        </w:tc>
        <w:tc>
          <w:tcPr>
            <w:tcW w:w="422" w:type="pct"/>
          </w:tcPr>
          <w:p w14:paraId="18C96FB2"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11.2</w:t>
            </w:r>
          </w:p>
        </w:tc>
        <w:tc>
          <w:tcPr>
            <w:tcW w:w="314" w:type="pct"/>
          </w:tcPr>
          <w:p w14:paraId="02CEB445"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11.0</w:t>
            </w:r>
          </w:p>
        </w:tc>
        <w:tc>
          <w:tcPr>
            <w:tcW w:w="326" w:type="pct"/>
          </w:tcPr>
          <w:p w14:paraId="4EE65BCF"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11.0</w:t>
            </w:r>
          </w:p>
        </w:tc>
        <w:tc>
          <w:tcPr>
            <w:tcW w:w="590" w:type="pct"/>
          </w:tcPr>
          <w:p w14:paraId="765CFC80"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0.97 (0.76 to 1.24)</w:t>
            </w:r>
          </w:p>
        </w:tc>
        <w:tc>
          <w:tcPr>
            <w:tcW w:w="306" w:type="pct"/>
          </w:tcPr>
          <w:p w14:paraId="684FA558"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28.0</w:t>
            </w:r>
          </w:p>
        </w:tc>
        <w:tc>
          <w:tcPr>
            <w:tcW w:w="314" w:type="pct"/>
          </w:tcPr>
          <w:p w14:paraId="52872212"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38.0</w:t>
            </w:r>
          </w:p>
        </w:tc>
        <w:tc>
          <w:tcPr>
            <w:tcW w:w="589" w:type="pct"/>
          </w:tcPr>
          <w:p w14:paraId="2532E51B" w14:textId="77777777" w:rsidR="000069D7" w:rsidRPr="001F5870" w:rsidRDefault="000069D7" w:rsidP="007B341F">
            <w:pPr>
              <w:autoSpaceDE w:val="0"/>
              <w:autoSpaceDN w:val="0"/>
              <w:adjustRightInd w:val="0"/>
              <w:spacing w:line="480" w:lineRule="auto"/>
              <w:jc w:val="center"/>
              <w:rPr>
                <w:rFonts w:ascii="Arial" w:hAnsi="Arial" w:cs="Arial"/>
                <w:szCs w:val="24"/>
              </w:rPr>
            </w:pPr>
            <w:r w:rsidRPr="001F5870">
              <w:rPr>
                <w:rFonts w:ascii="Arial" w:hAnsi="Arial" w:cs="Arial"/>
                <w:szCs w:val="24"/>
              </w:rPr>
              <w:t>0.71 (0.55 to 0.92)</w:t>
            </w:r>
          </w:p>
        </w:tc>
      </w:tr>
    </w:tbl>
    <w:p w14:paraId="47058056" w14:textId="77777777" w:rsidR="00102CEC" w:rsidRPr="001F5870" w:rsidRDefault="00102CEC">
      <w:pPr>
        <w:rPr>
          <w:rFonts w:ascii="Arial" w:hAnsi="Arial" w:cs="Arial"/>
          <w:szCs w:val="24"/>
        </w:rPr>
        <w:sectPr w:rsidR="00102CEC" w:rsidRPr="001F5870" w:rsidSect="007B674C">
          <w:pgSz w:w="15840" w:h="12240" w:orient="landscape"/>
          <w:pgMar w:top="1440" w:right="1440" w:bottom="1440" w:left="1440" w:header="720" w:footer="720" w:gutter="0"/>
          <w:pgNumType w:start="1"/>
          <w:cols w:space="720"/>
          <w:docGrid w:linePitch="360"/>
        </w:sectPr>
      </w:pPr>
    </w:p>
    <w:p w14:paraId="65F01466" w14:textId="77777777" w:rsidR="000069D7" w:rsidRPr="001F5870" w:rsidRDefault="000069D7">
      <w:pPr>
        <w:rPr>
          <w:rFonts w:ascii="Arial" w:hAnsi="Arial" w:cs="Arial"/>
          <w:szCs w:val="24"/>
        </w:rPr>
      </w:pPr>
    </w:p>
    <w:p w14:paraId="5542FE91" w14:textId="7E622AC5" w:rsidR="000069D7" w:rsidRPr="001F5870" w:rsidRDefault="008D52E5" w:rsidP="000069D7">
      <w:pPr>
        <w:pStyle w:val="SMHeading"/>
        <w:rPr>
          <w:rFonts w:ascii="Arial" w:hAnsi="Arial" w:cs="Arial"/>
        </w:rPr>
      </w:pPr>
      <w:r w:rsidRPr="001F5870">
        <w:rPr>
          <w:rFonts w:ascii="Arial" w:hAnsi="Arial" w:cs="Arial"/>
        </w:rPr>
        <w:t xml:space="preserve">Supplementary </w:t>
      </w:r>
      <w:r w:rsidR="000069D7" w:rsidRPr="001F5870">
        <w:rPr>
          <w:rFonts w:ascii="Arial" w:hAnsi="Arial" w:cs="Arial"/>
        </w:rPr>
        <w:t xml:space="preserve">Table </w:t>
      </w:r>
      <w:r w:rsidR="00C46982" w:rsidRPr="001F5870">
        <w:rPr>
          <w:rFonts w:ascii="Arial" w:hAnsi="Arial" w:cs="Arial"/>
        </w:rPr>
        <w:t>4</w:t>
      </w:r>
      <w:r w:rsidR="000069D7" w:rsidRPr="001F5870">
        <w:rPr>
          <w:rFonts w:ascii="Arial" w:hAnsi="Arial" w:cs="Arial"/>
        </w:rPr>
        <w:t>.</w:t>
      </w:r>
    </w:p>
    <w:p w14:paraId="062CD8A5" w14:textId="35EA3F3A" w:rsidR="000069D7" w:rsidRPr="001F5870" w:rsidRDefault="000069D7" w:rsidP="001252B6">
      <w:pPr>
        <w:pStyle w:val="SMcaption"/>
        <w:rPr>
          <w:rFonts w:ascii="Arial" w:hAnsi="Arial" w:cs="Arial"/>
          <w:szCs w:val="24"/>
        </w:rPr>
      </w:pPr>
      <w:r w:rsidRPr="001F5870">
        <w:rPr>
          <w:rFonts w:ascii="Arial" w:hAnsi="Arial" w:cs="Arial"/>
          <w:szCs w:val="24"/>
        </w:rPr>
        <w:t xml:space="preserve">Efficacy outcomes in randomized phase III trials for RAS or RAS/BRAF wild-type left-sided mCRC. </w:t>
      </w:r>
    </w:p>
    <w:p w14:paraId="47C98AED" w14:textId="77777777" w:rsidR="001252B6" w:rsidRPr="001F5870" w:rsidRDefault="001252B6" w:rsidP="001252B6">
      <w:pPr>
        <w:autoSpaceDE w:val="0"/>
        <w:autoSpaceDN w:val="0"/>
        <w:adjustRightInd w:val="0"/>
        <w:jc w:val="both"/>
        <w:rPr>
          <w:rFonts w:ascii="Arial" w:hAnsi="Arial" w:cs="Arial"/>
          <w:szCs w:val="24"/>
        </w:rPr>
      </w:pPr>
      <w:r w:rsidRPr="001F5870">
        <w:rPr>
          <w:rFonts w:ascii="Arial" w:hAnsi="Arial" w:cs="Arial"/>
          <w:szCs w:val="24"/>
        </w:rPr>
        <w:t>Abbreviations: ORR, overall response rate; PFS, progression-free survival; OS, overall survival; Bev, bevacizumab; NR, not reported</w:t>
      </w:r>
    </w:p>
    <w:p w14:paraId="28726641" w14:textId="77777777" w:rsidR="001252B6" w:rsidRPr="001F5870" w:rsidRDefault="001252B6" w:rsidP="000069D7">
      <w:pPr>
        <w:pStyle w:val="SMcaption"/>
        <w:rPr>
          <w:rFonts w:ascii="Arial" w:hAnsi="Arial" w:cs="Arial"/>
          <w:szCs w:val="24"/>
        </w:rPr>
      </w:pPr>
    </w:p>
    <w:p w14:paraId="21FB33BE" w14:textId="77777777" w:rsidR="002126E7" w:rsidRPr="001F5870" w:rsidRDefault="002126E7" w:rsidP="000069D7">
      <w:pPr>
        <w:pStyle w:val="SMcaption"/>
        <w:rPr>
          <w:rFonts w:ascii="Arial" w:hAnsi="Arial" w:cs="Arial"/>
          <w:szCs w:val="24"/>
        </w:rPr>
      </w:pPr>
    </w:p>
    <w:p w14:paraId="216256C0" w14:textId="77777777" w:rsidR="000069D7" w:rsidRPr="001F5870" w:rsidRDefault="000069D7" w:rsidP="000069D7">
      <w:pPr>
        <w:pStyle w:val="Bibliography"/>
        <w:rPr>
          <w:rFonts w:ascii="Arial" w:hAnsi="Arial" w:cs="Arial"/>
          <w:szCs w:val="24"/>
        </w:rPr>
      </w:pPr>
      <w:r w:rsidRPr="001F5870">
        <w:rPr>
          <w:rFonts w:ascii="Arial" w:hAnsi="Arial" w:cs="Arial"/>
          <w:szCs w:val="24"/>
        </w:rPr>
        <w:fldChar w:fldCharType="begin"/>
      </w:r>
      <w:r w:rsidRPr="001F5870">
        <w:rPr>
          <w:rFonts w:ascii="Arial" w:hAnsi="Arial" w:cs="Arial"/>
          <w:szCs w:val="24"/>
        </w:rPr>
        <w:instrText xml:space="preserve"> ADDIN ZOTERO_BIBL {"uncited":[],"omitted":[],"custom":[]} CSL_BIBLIOGRAPHY </w:instrText>
      </w:r>
      <w:r w:rsidRPr="001F5870">
        <w:rPr>
          <w:rFonts w:ascii="Arial" w:hAnsi="Arial" w:cs="Arial"/>
          <w:szCs w:val="24"/>
        </w:rPr>
        <w:fldChar w:fldCharType="separate"/>
      </w:r>
      <w:r w:rsidRPr="001F5870">
        <w:rPr>
          <w:rFonts w:ascii="Arial" w:hAnsi="Arial" w:cs="Arial"/>
          <w:b/>
          <w:bCs/>
          <w:szCs w:val="24"/>
        </w:rPr>
        <w:t>1</w:t>
      </w:r>
      <w:r w:rsidRPr="001F5870">
        <w:rPr>
          <w:rFonts w:ascii="Arial" w:hAnsi="Arial" w:cs="Arial"/>
          <w:szCs w:val="24"/>
        </w:rPr>
        <w:t>. Van Cutsem E, Köhne C-H, Hitre E, et al: Cetuximab and chemotherapy as initial treatment for metastatic colorectal cancer. N Engl J Med 360:1408–1417, 2009</w:t>
      </w:r>
    </w:p>
    <w:p w14:paraId="54A6D605" w14:textId="77777777" w:rsidR="000069D7" w:rsidRPr="001F5870" w:rsidRDefault="000069D7" w:rsidP="000069D7">
      <w:pPr>
        <w:pStyle w:val="Bibliography"/>
        <w:rPr>
          <w:rFonts w:ascii="Arial" w:hAnsi="Arial" w:cs="Arial"/>
          <w:szCs w:val="24"/>
        </w:rPr>
      </w:pPr>
      <w:r w:rsidRPr="001F5870">
        <w:rPr>
          <w:rFonts w:ascii="Arial" w:hAnsi="Arial" w:cs="Arial"/>
          <w:b/>
          <w:bCs/>
          <w:szCs w:val="24"/>
        </w:rPr>
        <w:t>2</w:t>
      </w:r>
      <w:r w:rsidRPr="001F5870">
        <w:rPr>
          <w:rFonts w:ascii="Arial" w:hAnsi="Arial" w:cs="Arial"/>
          <w:szCs w:val="24"/>
        </w:rPr>
        <w:t>. Heinemann V, von Weikersthal LF, Decker T, et al: FOLFIRI plus cetuximab or bevacizumab for advanced colorectal cancer: final survival and per-protocol analysis of FIRE-3, a randomised clinical trial. Br J Cancer 124:587–594, 2021</w:t>
      </w:r>
    </w:p>
    <w:p w14:paraId="1F6D6897" w14:textId="77777777" w:rsidR="000069D7" w:rsidRPr="001F5870" w:rsidRDefault="000069D7" w:rsidP="000069D7">
      <w:pPr>
        <w:pStyle w:val="Bibliography"/>
        <w:rPr>
          <w:rFonts w:ascii="Arial" w:hAnsi="Arial" w:cs="Arial"/>
          <w:szCs w:val="24"/>
        </w:rPr>
      </w:pPr>
      <w:r w:rsidRPr="001F5870">
        <w:rPr>
          <w:rFonts w:ascii="Arial" w:hAnsi="Arial" w:cs="Arial"/>
          <w:b/>
          <w:bCs/>
          <w:szCs w:val="24"/>
        </w:rPr>
        <w:t>3</w:t>
      </w:r>
      <w:r w:rsidRPr="001F5870">
        <w:rPr>
          <w:rFonts w:ascii="Arial" w:hAnsi="Arial" w:cs="Arial"/>
          <w:szCs w:val="24"/>
        </w:rPr>
        <w:t>. Heinemann V, von Weikersthal LF, Decker T, et al: FOLFIRI plus cetuximab versus FOLFIRI plus bevacizumab as first-line treatment for patients with metastatic colorectal cancer (FIRE-3): a randomised, open-label, phase 3 trial. Lancet Oncol 15:1065–1075, 2014</w:t>
      </w:r>
    </w:p>
    <w:p w14:paraId="43523C7A" w14:textId="77777777" w:rsidR="000069D7" w:rsidRPr="001F5870" w:rsidRDefault="000069D7" w:rsidP="000069D7">
      <w:pPr>
        <w:pStyle w:val="Bibliography"/>
        <w:rPr>
          <w:rFonts w:ascii="Arial" w:hAnsi="Arial" w:cs="Arial"/>
          <w:szCs w:val="24"/>
        </w:rPr>
      </w:pPr>
      <w:r w:rsidRPr="001F5870">
        <w:rPr>
          <w:rFonts w:ascii="Arial" w:hAnsi="Arial" w:cs="Arial"/>
          <w:b/>
          <w:bCs/>
          <w:szCs w:val="24"/>
        </w:rPr>
        <w:t>4</w:t>
      </w:r>
      <w:r w:rsidRPr="001F5870">
        <w:rPr>
          <w:rFonts w:ascii="Arial" w:hAnsi="Arial" w:cs="Arial"/>
          <w:szCs w:val="24"/>
        </w:rPr>
        <w:t>. Rivera F, Karthaus M, Hecht JR, et al: Final analysis of the randomised PEAK trial: overall survival and tumour responses during first-line treatment with mFOLFOX6 plus either panitumumab or bevacizumab in patients with metastatic colorectal carcinoma. Int J Colorectal Dis 32:1179–1190, 2017</w:t>
      </w:r>
    </w:p>
    <w:p w14:paraId="44E6E312" w14:textId="77777777" w:rsidR="000069D7" w:rsidRPr="001F5870" w:rsidRDefault="000069D7" w:rsidP="000069D7">
      <w:pPr>
        <w:pStyle w:val="Bibliography"/>
        <w:rPr>
          <w:rFonts w:ascii="Arial" w:hAnsi="Arial" w:cs="Arial"/>
          <w:szCs w:val="24"/>
        </w:rPr>
      </w:pPr>
      <w:r w:rsidRPr="001F5870">
        <w:rPr>
          <w:rFonts w:ascii="Arial" w:hAnsi="Arial" w:cs="Arial"/>
          <w:b/>
          <w:bCs/>
          <w:szCs w:val="24"/>
        </w:rPr>
        <w:t>5</w:t>
      </w:r>
      <w:r w:rsidRPr="001F5870">
        <w:rPr>
          <w:rFonts w:ascii="Arial" w:hAnsi="Arial" w:cs="Arial"/>
          <w:szCs w:val="24"/>
        </w:rPr>
        <w:t>. Yoshino, Takayuki, Watanabe, Jun, Shitara, Kohei, et al: Panitumumab (PAN) plus mFOLFOX6 versus bevacizumab (BEV) plus mFOLFOX6 as first-line treatment in patients with RAS wild-type (WT) metastatic colorectal cancer (mCRC): Results from the phase 3 PARADIGM trialJ Clin Oncol 40, 2022 (suppl 17; abstr LBA1)</w:t>
      </w:r>
    </w:p>
    <w:p w14:paraId="68A1FFB4" w14:textId="77777777" w:rsidR="000069D7" w:rsidRPr="001F5870" w:rsidRDefault="000069D7" w:rsidP="000069D7">
      <w:pPr>
        <w:pStyle w:val="Bibliography"/>
        <w:rPr>
          <w:rFonts w:ascii="Arial" w:hAnsi="Arial" w:cs="Arial"/>
          <w:szCs w:val="24"/>
        </w:rPr>
      </w:pPr>
      <w:r w:rsidRPr="001F5870">
        <w:rPr>
          <w:rFonts w:ascii="Arial" w:hAnsi="Arial" w:cs="Arial"/>
          <w:b/>
          <w:bCs/>
          <w:szCs w:val="24"/>
        </w:rPr>
        <w:t>6</w:t>
      </w:r>
      <w:r w:rsidRPr="001F5870">
        <w:rPr>
          <w:rFonts w:ascii="Arial" w:hAnsi="Arial" w:cs="Arial"/>
          <w:szCs w:val="24"/>
        </w:rPr>
        <w:t>. Denda T, Takashima A, Gamoh M, et al: Combination therapy of bevacizumab with either S-1 and irinotecan or mFOLFOX6/CapeOX as first-line treatment of metastatic colorectal cancer (TRICOLORE): Exploratory analysis of RAS status and primary tumour location in a randomised, open-label, phase III, non-inferiority trial. Eur J Cancer 154:296–306, 2021</w:t>
      </w:r>
    </w:p>
    <w:p w14:paraId="29DB9840" w14:textId="77777777" w:rsidR="000069D7" w:rsidRPr="001F5870" w:rsidRDefault="000069D7" w:rsidP="000069D7">
      <w:pPr>
        <w:pStyle w:val="Bibliography"/>
        <w:rPr>
          <w:rFonts w:ascii="Arial" w:hAnsi="Arial" w:cs="Arial"/>
          <w:szCs w:val="24"/>
        </w:rPr>
      </w:pPr>
      <w:r w:rsidRPr="001F5870">
        <w:rPr>
          <w:rFonts w:ascii="Arial" w:hAnsi="Arial" w:cs="Arial"/>
          <w:b/>
          <w:bCs/>
          <w:szCs w:val="24"/>
        </w:rPr>
        <w:t>7</w:t>
      </w:r>
      <w:r w:rsidRPr="001F5870">
        <w:rPr>
          <w:rFonts w:ascii="Arial" w:hAnsi="Arial" w:cs="Arial"/>
          <w:szCs w:val="24"/>
        </w:rPr>
        <w:t>. Oki E, Emi Y, Yamanaka T, et al: Randomised phase II trial of mFOLFOX6 plus bevacizumab versus mFOLFOX6 plus cetuximab as first-line treatment for colorectal liver metastasis (ATOM trial). Br J Cancer 121:222–229, 2019</w:t>
      </w:r>
    </w:p>
    <w:p w14:paraId="686C8C64" w14:textId="77777777" w:rsidR="000069D7" w:rsidRPr="001F5870" w:rsidRDefault="000069D7" w:rsidP="000069D7">
      <w:pPr>
        <w:pStyle w:val="Bibliography"/>
        <w:rPr>
          <w:rFonts w:ascii="Arial" w:hAnsi="Arial" w:cs="Arial"/>
          <w:szCs w:val="24"/>
        </w:rPr>
      </w:pPr>
      <w:r w:rsidRPr="001F5870">
        <w:rPr>
          <w:rFonts w:ascii="Arial" w:hAnsi="Arial" w:cs="Arial"/>
          <w:b/>
          <w:bCs/>
          <w:szCs w:val="24"/>
        </w:rPr>
        <w:t>8</w:t>
      </w:r>
      <w:r w:rsidRPr="001F5870">
        <w:rPr>
          <w:rFonts w:ascii="Arial" w:hAnsi="Arial" w:cs="Arial"/>
          <w:szCs w:val="24"/>
        </w:rPr>
        <w:t>. Bendell JC, Tournigand C, Swieboda-Sadlej A, et al: Axitinib or bevacizumab plus FOLFIRI or modified FOLFOX-6 after failure of first-line therapy for metastatic colorectal cancer: a randomized phase II study. Clin Colorectal Cancer 12:239–247, 2013</w:t>
      </w:r>
    </w:p>
    <w:p w14:paraId="2752BA90" w14:textId="77777777" w:rsidR="000069D7" w:rsidRPr="001F5870" w:rsidRDefault="000069D7" w:rsidP="000069D7">
      <w:pPr>
        <w:pStyle w:val="Bibliography"/>
        <w:rPr>
          <w:rFonts w:ascii="Arial" w:hAnsi="Arial" w:cs="Arial"/>
          <w:szCs w:val="24"/>
        </w:rPr>
      </w:pPr>
      <w:r w:rsidRPr="001F5870">
        <w:rPr>
          <w:rFonts w:ascii="Arial" w:hAnsi="Arial" w:cs="Arial"/>
          <w:b/>
          <w:bCs/>
          <w:szCs w:val="24"/>
        </w:rPr>
        <w:t>9</w:t>
      </w:r>
      <w:r w:rsidRPr="001F5870">
        <w:rPr>
          <w:rFonts w:ascii="Arial" w:hAnsi="Arial" w:cs="Arial"/>
          <w:szCs w:val="24"/>
        </w:rPr>
        <w:t>. Cunningham D, Wong RPW, D’Haens G, et al: Cediranib with mFOLFOX6 vs bevacizumab with mFOLFOX6 in previously treated metastatic colorectal cancer. Br J Cancer 108:493–502, 2013</w:t>
      </w:r>
    </w:p>
    <w:p w14:paraId="2BCBDECF" w14:textId="77777777" w:rsidR="000069D7" w:rsidRPr="001F5870" w:rsidRDefault="000069D7" w:rsidP="000069D7">
      <w:pPr>
        <w:pStyle w:val="Bibliography"/>
        <w:rPr>
          <w:rFonts w:ascii="Arial" w:hAnsi="Arial" w:cs="Arial"/>
          <w:szCs w:val="24"/>
        </w:rPr>
      </w:pPr>
      <w:r w:rsidRPr="001F5870">
        <w:rPr>
          <w:rFonts w:ascii="Arial" w:hAnsi="Arial" w:cs="Arial"/>
          <w:b/>
          <w:bCs/>
          <w:szCs w:val="24"/>
        </w:rPr>
        <w:lastRenderedPageBreak/>
        <w:t>10</w:t>
      </w:r>
      <w:r w:rsidRPr="001F5870">
        <w:rPr>
          <w:rFonts w:ascii="Arial" w:hAnsi="Arial" w:cs="Arial"/>
          <w:szCs w:val="24"/>
        </w:rPr>
        <w:t>. Giantonio BJ, Catalano PJ, Meropol NJ, et al: Bevacizumab in combination with oxaliplatin, fluorouracil, and leucovorin (FOLFOX4) for previously treated metastatic colorectal cancer: results from the Eastern Cooperative Oncology Group Study E3200. J Clin Oncol 25:1539–1544, 2007</w:t>
      </w:r>
    </w:p>
    <w:p w14:paraId="472F8364" w14:textId="77777777" w:rsidR="000069D7" w:rsidRPr="001F5870" w:rsidRDefault="000069D7" w:rsidP="000069D7">
      <w:pPr>
        <w:pStyle w:val="Bibliography"/>
        <w:rPr>
          <w:rFonts w:ascii="Arial" w:hAnsi="Arial" w:cs="Arial"/>
          <w:szCs w:val="24"/>
        </w:rPr>
      </w:pPr>
      <w:r w:rsidRPr="001F5870">
        <w:rPr>
          <w:rFonts w:ascii="Arial" w:hAnsi="Arial" w:cs="Arial"/>
          <w:b/>
          <w:bCs/>
          <w:szCs w:val="24"/>
        </w:rPr>
        <w:t>11</w:t>
      </w:r>
      <w:r w:rsidRPr="001F5870">
        <w:rPr>
          <w:rFonts w:ascii="Arial" w:hAnsi="Arial" w:cs="Arial"/>
          <w:szCs w:val="24"/>
        </w:rPr>
        <w:t>. Beretta GD, Petrelli F, Stinco S, et al: FOLFIRI + bevacizumab as second-line therapy for metastatic colorectal cancer pretreated with oxaliplatin: a pooled analysis of published trials. Med Oncol 30:486, 2013</w:t>
      </w:r>
    </w:p>
    <w:p w14:paraId="04D06527" w14:textId="77777777" w:rsidR="000069D7" w:rsidRPr="001F5870" w:rsidRDefault="000069D7" w:rsidP="000069D7">
      <w:pPr>
        <w:pStyle w:val="Bibliography"/>
        <w:rPr>
          <w:rFonts w:ascii="Arial" w:hAnsi="Arial" w:cs="Arial"/>
          <w:szCs w:val="24"/>
        </w:rPr>
      </w:pPr>
      <w:r w:rsidRPr="001F5870">
        <w:rPr>
          <w:rFonts w:ascii="Arial" w:hAnsi="Arial" w:cs="Arial"/>
          <w:b/>
          <w:bCs/>
          <w:szCs w:val="24"/>
        </w:rPr>
        <w:t>12</w:t>
      </w:r>
      <w:r w:rsidRPr="001F5870">
        <w:rPr>
          <w:rFonts w:ascii="Arial" w:hAnsi="Arial" w:cs="Arial"/>
          <w:szCs w:val="24"/>
        </w:rPr>
        <w:t>. Bond, MJG, Bolhuis, K, Loosveld, OJL, et al.: LBA21 FOLFOX/FOLFIRI plus either bevacizumab or panitumumab in patients with initially unresectable colorectal liver metastases (CRLM) and left-sided and RAS/BRAFV600E wild-type tumour: phase III CAIRO5 study of the Dutch Colorectal Cancer GroupAnn Oncol. 2022;33:S1389.</w:t>
      </w:r>
    </w:p>
    <w:p w14:paraId="49C54A21" w14:textId="77777777" w:rsidR="000069D7" w:rsidRPr="001F5870" w:rsidRDefault="000069D7" w:rsidP="000069D7">
      <w:pPr>
        <w:pStyle w:val="Bibliography"/>
        <w:rPr>
          <w:rFonts w:ascii="Arial" w:hAnsi="Arial" w:cs="Arial"/>
          <w:szCs w:val="24"/>
        </w:rPr>
      </w:pPr>
      <w:r w:rsidRPr="001F5870">
        <w:rPr>
          <w:rFonts w:ascii="Arial" w:hAnsi="Arial" w:cs="Arial"/>
          <w:b/>
          <w:bCs/>
          <w:szCs w:val="24"/>
        </w:rPr>
        <w:t>13</w:t>
      </w:r>
      <w:r w:rsidRPr="001F5870">
        <w:rPr>
          <w:rFonts w:ascii="Arial" w:hAnsi="Arial" w:cs="Arial"/>
          <w:szCs w:val="24"/>
        </w:rPr>
        <w:t>. Bond MJG, Bolhuis K, Loosveld OJL, et al: First-line systemic treatment strategies in patients with initially unresectable colorectal cancer liver metastases (CAIRO5): an open-label, multicentre, randomised, controlled, phase 3 study from the Dutch Colorectal Cancer Group. Lancet Oncol 24:757–771, 2023</w:t>
      </w:r>
    </w:p>
    <w:p w14:paraId="30B9C056" w14:textId="77777777" w:rsidR="000069D7" w:rsidRPr="001F5870" w:rsidRDefault="000069D7" w:rsidP="000069D7">
      <w:pPr>
        <w:pStyle w:val="Bibliography"/>
        <w:rPr>
          <w:rFonts w:ascii="Arial" w:hAnsi="Arial" w:cs="Arial"/>
          <w:szCs w:val="24"/>
        </w:rPr>
      </w:pPr>
      <w:r w:rsidRPr="001F5870">
        <w:rPr>
          <w:rFonts w:ascii="Arial" w:hAnsi="Arial" w:cs="Arial"/>
          <w:b/>
          <w:bCs/>
          <w:szCs w:val="24"/>
        </w:rPr>
        <w:t>14</w:t>
      </w:r>
      <w:r w:rsidRPr="001F5870">
        <w:rPr>
          <w:rFonts w:ascii="Arial" w:hAnsi="Arial" w:cs="Arial"/>
          <w:szCs w:val="24"/>
        </w:rPr>
        <w:t>. Punt, CJA, Bond, MJG, Bolhuis, K, et al.: FOLFOXIRI + bevacizumab versus FOLFOX/FOLFIRI + bevacizumab in patients with initially unresectable colorectal liver metastases (CRLM) and right-sided and/or RAS/BRAFV600E-mutated primary tumor: Phase III CAIRO5 study of the Dutch Colorectal Cancer GroupJ Clin Oncol 40, 2022 (suppl 17; abstr LBA3506)</w:t>
      </w:r>
    </w:p>
    <w:p w14:paraId="61146FBE" w14:textId="77777777" w:rsidR="000069D7" w:rsidRPr="001F5870" w:rsidRDefault="000069D7" w:rsidP="000069D7">
      <w:pPr>
        <w:pStyle w:val="Bibliography"/>
        <w:rPr>
          <w:rFonts w:ascii="Arial" w:hAnsi="Arial" w:cs="Arial"/>
          <w:szCs w:val="24"/>
        </w:rPr>
      </w:pPr>
      <w:r w:rsidRPr="001F5870">
        <w:rPr>
          <w:rFonts w:ascii="Arial" w:hAnsi="Arial" w:cs="Arial"/>
          <w:b/>
          <w:bCs/>
          <w:szCs w:val="24"/>
        </w:rPr>
        <w:t>15</w:t>
      </w:r>
      <w:r w:rsidRPr="001F5870">
        <w:rPr>
          <w:rFonts w:ascii="Arial" w:hAnsi="Arial" w:cs="Arial"/>
          <w:szCs w:val="24"/>
        </w:rPr>
        <w:t>. Venook AP, Niedzwiecki D, Lenz H-J, et al: Effect of First-Line Chemotherapy Combined With Cetuximab or Bevacizumab on Overall Survival in Patients With KRAS Wild-Type Advanced or Metastatic Colorectal Cancer: A Randomized Clinical Trial. JAMA 317:2392–2401, 2017</w:t>
      </w:r>
    </w:p>
    <w:p w14:paraId="49BE3775" w14:textId="680FB752" w:rsidR="000069D7" w:rsidRPr="001F5870" w:rsidRDefault="000069D7" w:rsidP="000069D7">
      <w:pPr>
        <w:pStyle w:val="SMcaption"/>
        <w:rPr>
          <w:rFonts w:ascii="Arial" w:hAnsi="Arial" w:cs="Arial"/>
          <w:szCs w:val="24"/>
        </w:rPr>
      </w:pPr>
      <w:r w:rsidRPr="001F5870">
        <w:rPr>
          <w:rFonts w:ascii="Arial" w:hAnsi="Arial" w:cs="Arial"/>
          <w:szCs w:val="24"/>
        </w:rPr>
        <w:fldChar w:fldCharType="end"/>
      </w:r>
    </w:p>
    <w:p w14:paraId="09D0672F" w14:textId="687EB349" w:rsidR="000069D7" w:rsidRPr="001F5870" w:rsidRDefault="000069D7">
      <w:pPr>
        <w:rPr>
          <w:rFonts w:ascii="Arial" w:hAnsi="Arial" w:cs="Arial"/>
          <w:szCs w:val="24"/>
        </w:rPr>
      </w:pPr>
      <w:r w:rsidRPr="001F5870">
        <w:rPr>
          <w:rFonts w:ascii="Arial" w:hAnsi="Arial" w:cs="Arial"/>
          <w:szCs w:val="24"/>
        </w:rPr>
        <w:br w:type="page"/>
      </w:r>
    </w:p>
    <w:p w14:paraId="2B6BCA94" w14:textId="57FBE683" w:rsidR="00C50C6D" w:rsidRPr="001F5870" w:rsidRDefault="00C50C6D" w:rsidP="00C50C6D">
      <w:pPr>
        <w:pStyle w:val="SMHeading"/>
        <w:rPr>
          <w:rFonts w:ascii="Arial" w:hAnsi="Arial" w:cs="Arial"/>
        </w:rPr>
      </w:pPr>
      <w:r w:rsidRPr="001F5870">
        <w:rPr>
          <w:rFonts w:ascii="Arial" w:hAnsi="Arial" w:cs="Arial"/>
        </w:rPr>
        <w:lastRenderedPageBreak/>
        <w:t>Data 1</w:t>
      </w:r>
      <w:r w:rsidR="008218C4" w:rsidRPr="001F5870">
        <w:rPr>
          <w:rFonts w:ascii="Arial" w:hAnsi="Arial" w:cs="Arial"/>
        </w:rPr>
        <w:t>.</w:t>
      </w:r>
      <w:r w:rsidRPr="001F5870">
        <w:rPr>
          <w:rFonts w:ascii="Arial" w:hAnsi="Arial" w:cs="Arial"/>
        </w:rPr>
        <w:t xml:space="preserve"> (separate file)</w:t>
      </w:r>
    </w:p>
    <w:p w14:paraId="614756DF" w14:textId="7BBE6CD9" w:rsidR="00C50C6D" w:rsidRPr="001F5870" w:rsidRDefault="000069D7" w:rsidP="00C50C6D">
      <w:pPr>
        <w:pStyle w:val="SMcaption"/>
        <w:rPr>
          <w:rFonts w:ascii="Arial" w:hAnsi="Arial" w:cs="Arial"/>
          <w:szCs w:val="24"/>
        </w:rPr>
      </w:pPr>
      <w:r w:rsidRPr="001F5870">
        <w:rPr>
          <w:rFonts w:ascii="Arial" w:hAnsi="Arial" w:cs="Arial"/>
          <w:szCs w:val="24"/>
        </w:rPr>
        <w:t>Study protocol</w:t>
      </w:r>
      <w:r w:rsidR="00C50C6D" w:rsidRPr="001F5870">
        <w:rPr>
          <w:rFonts w:ascii="Arial" w:hAnsi="Arial" w:cs="Arial"/>
          <w:szCs w:val="24"/>
        </w:rPr>
        <w:t>.</w:t>
      </w:r>
      <w:r w:rsidR="00BC3E04" w:rsidRPr="001F5870">
        <w:rPr>
          <w:rFonts w:ascii="Arial" w:hAnsi="Arial" w:cs="Arial"/>
          <w:szCs w:val="24"/>
        </w:rPr>
        <w:t xml:space="preserve"> </w:t>
      </w:r>
    </w:p>
    <w:p w14:paraId="08DC9151" w14:textId="77777777" w:rsidR="00C50C6D" w:rsidRPr="001F5870" w:rsidRDefault="00C50C6D" w:rsidP="00477182">
      <w:pPr>
        <w:pStyle w:val="SMcaption"/>
        <w:rPr>
          <w:rFonts w:ascii="Arial" w:hAnsi="Arial" w:cs="Arial"/>
          <w:szCs w:val="24"/>
        </w:rPr>
      </w:pPr>
    </w:p>
    <w:p w14:paraId="10BF7DE9" w14:textId="77777777" w:rsidR="00B9440A" w:rsidRPr="001F5870" w:rsidRDefault="00B9440A" w:rsidP="00B9440A">
      <w:pPr>
        <w:pStyle w:val="SMcaption"/>
        <w:rPr>
          <w:rFonts w:ascii="Arial" w:hAnsi="Arial" w:cs="Arial"/>
          <w:szCs w:val="24"/>
        </w:rPr>
      </w:pPr>
    </w:p>
    <w:sectPr w:rsidR="00B9440A" w:rsidRPr="001F5870" w:rsidSect="007B674C">
      <w:pgSz w:w="15840" w:h="12240" w:orient="landscape"/>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D98D8" w14:textId="77777777" w:rsidR="00187468" w:rsidRDefault="00187468">
      <w:r>
        <w:separator/>
      </w:r>
    </w:p>
  </w:endnote>
  <w:endnote w:type="continuationSeparator" w:id="0">
    <w:p w14:paraId="12C5C980" w14:textId="77777777" w:rsidR="00187468" w:rsidRDefault="001874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8EA3E" w14:textId="32DFF1A6" w:rsidR="007B341F" w:rsidRDefault="007B341F">
    <w:pPr>
      <w:pStyle w:val="Footer"/>
      <w:jc w:val="right"/>
    </w:pPr>
    <w:r>
      <w:fldChar w:fldCharType="begin"/>
    </w:r>
    <w:r>
      <w:instrText xml:space="preserve"> PAGE   \* MERGEFORMAT </w:instrText>
    </w:r>
    <w:r>
      <w:fldChar w:fldCharType="separate"/>
    </w:r>
    <w:r>
      <w:rPr>
        <w:noProof/>
      </w:rPr>
      <w:t>3</w:t>
    </w:r>
    <w:r>
      <w:fldChar w:fldCharType="end"/>
    </w:r>
  </w:p>
  <w:p w14:paraId="211F3547" w14:textId="77777777" w:rsidR="007B341F" w:rsidRDefault="007B34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C2EF7" w14:textId="77777777" w:rsidR="00187468" w:rsidRDefault="00187468">
      <w:r>
        <w:separator/>
      </w:r>
    </w:p>
  </w:footnote>
  <w:footnote w:type="continuationSeparator" w:id="0">
    <w:p w14:paraId="58384F82" w14:textId="77777777" w:rsidR="00187468" w:rsidRDefault="001874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01F95" w14:textId="77777777" w:rsidR="007B341F" w:rsidRPr="005001AC" w:rsidRDefault="007B341F" w:rsidP="005001AC">
    <w:pPr>
      <w:jc w:val="right"/>
      <w:rPr>
        <w:sz w:val="20"/>
      </w:rPr>
    </w:pPr>
  </w:p>
  <w:p w14:paraId="3CD866EE" w14:textId="77777777" w:rsidR="007B341F" w:rsidRDefault="007B341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num w:numId="1" w16cid:durableId="1983385285">
    <w:abstractNumId w:val="9"/>
  </w:num>
  <w:num w:numId="2" w16cid:durableId="1525091272">
    <w:abstractNumId w:val="7"/>
  </w:num>
  <w:num w:numId="3" w16cid:durableId="330565559">
    <w:abstractNumId w:val="6"/>
  </w:num>
  <w:num w:numId="4" w16cid:durableId="318047376">
    <w:abstractNumId w:val="5"/>
  </w:num>
  <w:num w:numId="5" w16cid:durableId="1035732310">
    <w:abstractNumId w:val="4"/>
  </w:num>
  <w:num w:numId="6" w16cid:durableId="131678679">
    <w:abstractNumId w:val="8"/>
  </w:num>
  <w:num w:numId="7" w16cid:durableId="1026564500">
    <w:abstractNumId w:val="3"/>
  </w:num>
  <w:num w:numId="8" w16cid:durableId="1886674095">
    <w:abstractNumId w:val="2"/>
  </w:num>
  <w:num w:numId="9" w16cid:durableId="1955749779">
    <w:abstractNumId w:val="1"/>
  </w:num>
  <w:num w:numId="10" w16cid:durableId="1410080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069D7"/>
    <w:rsid w:val="00015F74"/>
    <w:rsid w:val="00050DAC"/>
    <w:rsid w:val="00065EBD"/>
    <w:rsid w:val="00083B44"/>
    <w:rsid w:val="000850DC"/>
    <w:rsid w:val="000978A1"/>
    <w:rsid w:val="000C1B44"/>
    <w:rsid w:val="000C2771"/>
    <w:rsid w:val="000D46F4"/>
    <w:rsid w:val="000E472D"/>
    <w:rsid w:val="000F0DCE"/>
    <w:rsid w:val="000F6BE3"/>
    <w:rsid w:val="00102CEC"/>
    <w:rsid w:val="00112C5B"/>
    <w:rsid w:val="00114193"/>
    <w:rsid w:val="00115A38"/>
    <w:rsid w:val="0011687B"/>
    <w:rsid w:val="00124F82"/>
    <w:rsid w:val="001252B6"/>
    <w:rsid w:val="00157D34"/>
    <w:rsid w:val="0016337A"/>
    <w:rsid w:val="00164269"/>
    <w:rsid w:val="00187468"/>
    <w:rsid w:val="001A1BDE"/>
    <w:rsid w:val="001F0876"/>
    <w:rsid w:val="001F167C"/>
    <w:rsid w:val="001F2601"/>
    <w:rsid w:val="001F5870"/>
    <w:rsid w:val="001F5E91"/>
    <w:rsid w:val="002077B9"/>
    <w:rsid w:val="00211CF4"/>
    <w:rsid w:val="002126E7"/>
    <w:rsid w:val="00220456"/>
    <w:rsid w:val="00236005"/>
    <w:rsid w:val="00236C0D"/>
    <w:rsid w:val="0024336E"/>
    <w:rsid w:val="00252790"/>
    <w:rsid w:val="0026260D"/>
    <w:rsid w:val="00262D72"/>
    <w:rsid w:val="002751CC"/>
    <w:rsid w:val="00294FBB"/>
    <w:rsid w:val="002B3205"/>
    <w:rsid w:val="002C030F"/>
    <w:rsid w:val="00327437"/>
    <w:rsid w:val="00331D75"/>
    <w:rsid w:val="00355362"/>
    <w:rsid w:val="003619B8"/>
    <w:rsid w:val="00363E44"/>
    <w:rsid w:val="00377FF2"/>
    <w:rsid w:val="00395E86"/>
    <w:rsid w:val="003A2FD8"/>
    <w:rsid w:val="003B40E6"/>
    <w:rsid w:val="003B7566"/>
    <w:rsid w:val="003E74FB"/>
    <w:rsid w:val="003F6E14"/>
    <w:rsid w:val="00405336"/>
    <w:rsid w:val="00406314"/>
    <w:rsid w:val="0044170B"/>
    <w:rsid w:val="00445337"/>
    <w:rsid w:val="004571D5"/>
    <w:rsid w:val="00461D81"/>
    <w:rsid w:val="0046356B"/>
    <w:rsid w:val="00477182"/>
    <w:rsid w:val="004779CB"/>
    <w:rsid w:val="004C711A"/>
    <w:rsid w:val="004E42D8"/>
    <w:rsid w:val="004E7BA2"/>
    <w:rsid w:val="004F7EDF"/>
    <w:rsid w:val="005001AC"/>
    <w:rsid w:val="00527D71"/>
    <w:rsid w:val="00546288"/>
    <w:rsid w:val="005520A8"/>
    <w:rsid w:val="005607DD"/>
    <w:rsid w:val="005648D6"/>
    <w:rsid w:val="005A558C"/>
    <w:rsid w:val="005D1258"/>
    <w:rsid w:val="005D475F"/>
    <w:rsid w:val="005E28F8"/>
    <w:rsid w:val="005E6513"/>
    <w:rsid w:val="00635E9C"/>
    <w:rsid w:val="00651114"/>
    <w:rsid w:val="0065566D"/>
    <w:rsid w:val="00664560"/>
    <w:rsid w:val="00670299"/>
    <w:rsid w:val="00690EB5"/>
    <w:rsid w:val="00691985"/>
    <w:rsid w:val="006A1B64"/>
    <w:rsid w:val="006D73FD"/>
    <w:rsid w:val="006E202F"/>
    <w:rsid w:val="007108F5"/>
    <w:rsid w:val="00713E5B"/>
    <w:rsid w:val="00732051"/>
    <w:rsid w:val="007402FC"/>
    <w:rsid w:val="007411A1"/>
    <w:rsid w:val="00793072"/>
    <w:rsid w:val="007B341F"/>
    <w:rsid w:val="007B674C"/>
    <w:rsid w:val="00807D35"/>
    <w:rsid w:val="008218C4"/>
    <w:rsid w:val="00821F38"/>
    <w:rsid w:val="008577F6"/>
    <w:rsid w:val="00866282"/>
    <w:rsid w:val="00867A98"/>
    <w:rsid w:val="00870867"/>
    <w:rsid w:val="00885C9B"/>
    <w:rsid w:val="008A0CCA"/>
    <w:rsid w:val="008C7D8C"/>
    <w:rsid w:val="008D52E5"/>
    <w:rsid w:val="008D5D2A"/>
    <w:rsid w:val="00901C18"/>
    <w:rsid w:val="00902A12"/>
    <w:rsid w:val="00914B63"/>
    <w:rsid w:val="009354F3"/>
    <w:rsid w:val="009447DC"/>
    <w:rsid w:val="0095035C"/>
    <w:rsid w:val="00961BA5"/>
    <w:rsid w:val="009743A9"/>
    <w:rsid w:val="009A498B"/>
    <w:rsid w:val="009A5287"/>
    <w:rsid w:val="009B2AC5"/>
    <w:rsid w:val="009B7984"/>
    <w:rsid w:val="009C0084"/>
    <w:rsid w:val="009F3883"/>
    <w:rsid w:val="009F4BED"/>
    <w:rsid w:val="009F7D93"/>
    <w:rsid w:val="00A3403B"/>
    <w:rsid w:val="00A51A12"/>
    <w:rsid w:val="00A627D4"/>
    <w:rsid w:val="00A74DA2"/>
    <w:rsid w:val="00AA53F2"/>
    <w:rsid w:val="00AB399E"/>
    <w:rsid w:val="00AC59D0"/>
    <w:rsid w:val="00AD16B1"/>
    <w:rsid w:val="00AD499C"/>
    <w:rsid w:val="00B36869"/>
    <w:rsid w:val="00B43B31"/>
    <w:rsid w:val="00B47CFA"/>
    <w:rsid w:val="00B57F00"/>
    <w:rsid w:val="00B61CC7"/>
    <w:rsid w:val="00B77B2A"/>
    <w:rsid w:val="00B82C22"/>
    <w:rsid w:val="00B93DBA"/>
    <w:rsid w:val="00B9440A"/>
    <w:rsid w:val="00BB2D2A"/>
    <w:rsid w:val="00BC3E04"/>
    <w:rsid w:val="00BD58CF"/>
    <w:rsid w:val="00BF0C92"/>
    <w:rsid w:val="00C04CC1"/>
    <w:rsid w:val="00C4096C"/>
    <w:rsid w:val="00C46982"/>
    <w:rsid w:val="00C50C6D"/>
    <w:rsid w:val="00C600D9"/>
    <w:rsid w:val="00C63D37"/>
    <w:rsid w:val="00C857C4"/>
    <w:rsid w:val="00C92B22"/>
    <w:rsid w:val="00CC1384"/>
    <w:rsid w:val="00CC743F"/>
    <w:rsid w:val="00CD3720"/>
    <w:rsid w:val="00CE6D53"/>
    <w:rsid w:val="00CF1848"/>
    <w:rsid w:val="00CF5C2F"/>
    <w:rsid w:val="00D04BCF"/>
    <w:rsid w:val="00D143D9"/>
    <w:rsid w:val="00D256DA"/>
    <w:rsid w:val="00D303DC"/>
    <w:rsid w:val="00D30CCB"/>
    <w:rsid w:val="00D5511B"/>
    <w:rsid w:val="00D766F1"/>
    <w:rsid w:val="00DA50B0"/>
    <w:rsid w:val="00E0604D"/>
    <w:rsid w:val="00E257C8"/>
    <w:rsid w:val="00E41512"/>
    <w:rsid w:val="00E4519A"/>
    <w:rsid w:val="00E853D5"/>
    <w:rsid w:val="00E9773B"/>
    <w:rsid w:val="00EA633C"/>
    <w:rsid w:val="00EA6F42"/>
    <w:rsid w:val="00EC13A3"/>
    <w:rsid w:val="00EC6761"/>
    <w:rsid w:val="00EC7C85"/>
    <w:rsid w:val="00F047FB"/>
    <w:rsid w:val="00F125EE"/>
    <w:rsid w:val="00F12E98"/>
    <w:rsid w:val="00F22029"/>
    <w:rsid w:val="00F515FB"/>
    <w:rsid w:val="00F630EA"/>
    <w:rsid w:val="00F7007E"/>
    <w:rsid w:val="00F73193"/>
    <w:rsid w:val="00F74F95"/>
    <w:rsid w:val="00F80705"/>
    <w:rsid w:val="00FA1481"/>
    <w:rsid w:val="00FD75D8"/>
    <w:rsid w:val="00FF04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597622"/>
  <w15:docId w15:val="{EAC22EA6-1BB9-493A-BA9A-8FFD465D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30EA"/>
    <w:rPr>
      <w:sz w:val="24"/>
    </w:rPr>
  </w:style>
  <w:style w:type="paragraph" w:styleId="Heading1">
    <w:name w:val="heading 1"/>
    <w:basedOn w:val="Normal"/>
    <w:next w:val="Normal"/>
    <w:link w:val="Heading1Char"/>
    <w:semiHidden/>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semiHidden/>
    <w:qFormat/>
    <w:rsid w:val="00C600D9"/>
    <w:pPr>
      <w:keepNext/>
      <w:spacing w:line="480" w:lineRule="auto"/>
      <w:outlineLvl w:val="2"/>
    </w:pPr>
    <w:rPr>
      <w:rFonts w:ascii="Times" w:eastAsia="Times" w:hAnsi="Times"/>
      <w:b/>
    </w:rPr>
  </w:style>
  <w:style w:type="paragraph" w:styleId="Heading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link w:val="Heading1"/>
    <w:semiHidden/>
    <w:rsid w:val="00FF04E3"/>
    <w:rPr>
      <w:b/>
      <w:bCs/>
      <w:kern w:val="32"/>
      <w:sz w:val="24"/>
      <w:szCs w:val="24"/>
    </w:rPr>
  </w:style>
  <w:style w:type="character" w:customStyle="1" w:styleId="Heading2Char">
    <w:name w:val="Heading 2 Char"/>
    <w:link w:val="Heading2"/>
    <w:semiHidden/>
    <w:rsid w:val="00FF04E3"/>
    <w:rPr>
      <w:rFonts w:ascii="Cambria" w:hAnsi="Cambria"/>
      <w:b/>
      <w:bCs/>
      <w:i/>
      <w:iCs/>
      <w:sz w:val="28"/>
      <w:szCs w:val="28"/>
    </w:rPr>
  </w:style>
  <w:style w:type="character" w:customStyle="1" w:styleId="Heading5Char">
    <w:name w:val="Heading 5 Char"/>
    <w:link w:val="Heading5"/>
    <w:semiHidden/>
    <w:rsid w:val="00FF04E3"/>
    <w:rPr>
      <w:rFonts w:ascii="Calibri" w:hAnsi="Calibri"/>
      <w:b/>
      <w:bCs/>
      <w:i/>
      <w:iCs/>
      <w:sz w:val="26"/>
      <w:szCs w:val="26"/>
    </w:rPr>
  </w:style>
  <w:style w:type="character" w:customStyle="1" w:styleId="Heading6Char">
    <w:name w:val="Heading 6 Char"/>
    <w:link w:val="Heading6"/>
    <w:semiHidden/>
    <w:rsid w:val="00FF04E3"/>
    <w:rPr>
      <w:rFonts w:ascii="Calibri" w:hAnsi="Calibri"/>
      <w:b/>
      <w:bCs/>
      <w:sz w:val="22"/>
      <w:szCs w:val="22"/>
    </w:rPr>
  </w:style>
  <w:style w:type="character" w:customStyle="1" w:styleId="Heading7Char">
    <w:name w:val="Heading 7 Char"/>
    <w:link w:val="Heading7"/>
    <w:semiHidden/>
    <w:rsid w:val="00FF04E3"/>
    <w:rPr>
      <w:rFonts w:ascii="Calibri" w:hAnsi="Calibri"/>
      <w:sz w:val="24"/>
      <w:szCs w:val="24"/>
    </w:rPr>
  </w:style>
  <w:style w:type="character" w:customStyle="1" w:styleId="Heading8Char">
    <w:name w:val="Heading 8 Char"/>
    <w:link w:val="Heading8"/>
    <w:semiHidden/>
    <w:rsid w:val="00FF04E3"/>
    <w:rPr>
      <w:rFonts w:ascii="Calibri" w:hAnsi="Calibri"/>
      <w:i/>
      <w:iCs/>
      <w:sz w:val="24"/>
      <w:szCs w:val="24"/>
    </w:rPr>
  </w:style>
  <w:style w:type="character" w:customStyle="1" w:styleId="Heading9Char">
    <w:name w:val="Heading 9 Char"/>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link w:val="BalloonText"/>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link w:val="Closing"/>
    <w:semiHidden/>
    <w:rsid w:val="00FF04E3"/>
    <w:rPr>
      <w:sz w:val="24"/>
    </w:rPr>
  </w:style>
  <w:style w:type="paragraph" w:styleId="CommentText">
    <w:name w:val="annotation text"/>
    <w:basedOn w:val="Normal"/>
    <w:link w:val="CommentTextChar"/>
    <w:semiHidden/>
    <w:rsid w:val="00405336"/>
    <w:rPr>
      <w:sz w:val="20"/>
    </w:rPr>
  </w:style>
  <w:style w:type="character" w:customStyle="1" w:styleId="CommentTextChar">
    <w:name w:val="Comment Text Char"/>
    <w:basedOn w:val="DefaultParagraphFont"/>
    <w:link w:val="CommentText"/>
    <w:semiHidden/>
    <w:rsid w:val="00FF04E3"/>
  </w:style>
  <w:style w:type="paragraph" w:styleId="CommentSubject">
    <w:name w:val="annotation subject"/>
    <w:basedOn w:val="CommentText"/>
    <w:next w:val="CommentText"/>
    <w:link w:val="CommentSubjectChar"/>
    <w:semiHidden/>
    <w:rsid w:val="00405336"/>
    <w:rPr>
      <w:b/>
      <w:bCs/>
    </w:rPr>
  </w:style>
  <w:style w:type="character" w:customStyle="1" w:styleId="CommentSubjectChar">
    <w:name w:val="Comment Subject Char"/>
    <w:link w:val="CommentSubject"/>
    <w:semiHidden/>
    <w:rsid w:val="00FF04E3"/>
    <w:rPr>
      <w:b/>
      <w:bCs/>
    </w:rPr>
  </w:style>
  <w:style w:type="paragraph" w:styleId="Date">
    <w:name w:val="Date"/>
    <w:basedOn w:val="Normal"/>
    <w:next w:val="Normal"/>
    <w:link w:val="DateChar"/>
    <w:semiHidden/>
    <w:rsid w:val="00405336"/>
  </w:style>
  <w:style w:type="character" w:customStyle="1" w:styleId="DateChar">
    <w:name w:val="Date Char"/>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semiHidden/>
    <w:rsid w:val="00405336"/>
    <w:pPr>
      <w:tabs>
        <w:tab w:val="center" w:pos="4680"/>
        <w:tab w:val="right" w:pos="9360"/>
      </w:tabs>
    </w:pPr>
  </w:style>
  <w:style w:type="character" w:customStyle="1" w:styleId="FooterChar">
    <w:name w:val="Footer Char"/>
    <w:link w:val="Footer"/>
    <w:semiHidden/>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semiHidden/>
    <w:rsid w:val="00405336"/>
    <w:pPr>
      <w:tabs>
        <w:tab w:val="center" w:pos="4680"/>
        <w:tab w:val="right" w:pos="9360"/>
      </w:tabs>
    </w:pPr>
  </w:style>
  <w:style w:type="character" w:customStyle="1" w:styleId="HeaderChar">
    <w:name w:val="Header Char"/>
    <w:link w:val="Header"/>
    <w:semiHidden/>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semiHidden/>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rPr>
      <w:sz w:val="24"/>
    </w:rPr>
  </w:style>
  <w:style w:type="paragraph" w:styleId="NormalWeb">
    <w:name w:val="Normal (Web)"/>
    <w:basedOn w:val="Normal"/>
    <w:semiHidden/>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link w:val="Signature"/>
    <w:semiHidden/>
    <w:rsid w:val="00FF04E3"/>
    <w:rPr>
      <w:sz w:val="24"/>
    </w:rPr>
  </w:style>
  <w:style w:type="paragraph" w:styleId="Subtitle">
    <w:name w:val="Subtitle"/>
    <w:basedOn w:val="Normal"/>
    <w:next w:val="Normal"/>
    <w:link w:val="SubtitleChar"/>
    <w:uiPriority w:val="11"/>
    <w:qFormat/>
    <w:rsid w:val="00405336"/>
    <w:pPr>
      <w:spacing w:after="60"/>
      <w:jc w:val="center"/>
      <w:outlineLvl w:val="1"/>
    </w:pPr>
    <w:rPr>
      <w:rFonts w:ascii="Cambria" w:hAnsi="Cambria"/>
      <w:szCs w:val="24"/>
    </w:rPr>
  </w:style>
  <w:style w:type="character" w:customStyle="1" w:styleId="SubtitleChar">
    <w:name w:val="Subtitle Char"/>
    <w:link w:val="Subtitle"/>
    <w:uiPriority w:val="11"/>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semiHidden/>
    <w:rsid w:val="007402FC"/>
    <w:rPr>
      <w:color w:val="0000FF"/>
      <w:u w:val="single"/>
    </w:rPr>
  </w:style>
  <w:style w:type="character" w:styleId="FollowedHyperlink">
    <w:name w:val="FollowedHyperlink"/>
    <w:semiHidden/>
    <w:unhideWhenUsed/>
    <w:rsid w:val="00793072"/>
    <w:rPr>
      <w:color w:val="800080"/>
      <w:u w:val="single"/>
    </w:rPr>
  </w:style>
  <w:style w:type="character" w:styleId="CommentReference">
    <w:name w:val="annotation reference"/>
    <w:semiHidden/>
    <w:unhideWhenUsed/>
    <w:rsid w:val="00793072"/>
    <w:rPr>
      <w:sz w:val="16"/>
      <w:szCs w:val="16"/>
    </w:rPr>
  </w:style>
  <w:style w:type="character" w:styleId="UnresolvedMention">
    <w:name w:val="Unresolved Mention"/>
    <w:basedOn w:val="DefaultParagraphFont"/>
    <w:uiPriority w:val="99"/>
    <w:semiHidden/>
    <w:unhideWhenUsed/>
    <w:rsid w:val="008218C4"/>
    <w:rPr>
      <w:color w:val="808080"/>
      <w:shd w:val="clear" w:color="auto" w:fill="E6E6E6"/>
    </w:rPr>
  </w:style>
  <w:style w:type="paragraph" w:styleId="Revision">
    <w:name w:val="Revision"/>
    <w:hidden/>
    <w:uiPriority w:val="99"/>
    <w:semiHidden/>
    <w:rsid w:val="0032743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10945</Words>
  <Characters>62390</Characters>
  <Application>Microsoft Office Word</Application>
  <DocSecurity>0</DocSecurity>
  <Lines>519</Lines>
  <Paragraphs>146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Supporting Online Material for</vt:lpstr>
      <vt:lpstr>Supporting Online Material for</vt:lpstr>
    </vt:vector>
  </TitlesOfParts>
  <Company>AAAS</Company>
  <LinksUpToDate>false</LinksUpToDate>
  <CharactersWithSpaces>73189</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BENETKIEWICZ Magdalena</cp:lastModifiedBy>
  <cp:revision>3</cp:revision>
  <cp:lastPrinted>2018-01-11T19:53:00Z</cp:lastPrinted>
  <dcterms:created xsi:type="dcterms:W3CDTF">2026-02-03T14:29:00Z</dcterms:created>
  <dcterms:modified xsi:type="dcterms:W3CDTF">2026-02-03T14:29:00Z</dcterms:modified>
</cp:coreProperties>
</file>