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/>
  <w:body>
    <w:p w14:paraId="02A5F2D2">
      <w:pPr>
        <w:spacing w:line="288" w:lineRule="auto"/>
        <w:jc w:val="center"/>
        <w:rPr>
          <w:sz w:val="36"/>
          <w:szCs w:val="36"/>
          <w:highlight w:val="none"/>
        </w:rPr>
      </w:pPr>
      <w:r>
        <w:rPr>
          <w:sz w:val="36"/>
          <w:szCs w:val="36"/>
          <w:highlight w:val="none"/>
        </w:rPr>
        <w:t>Supplementary Materials for</w:t>
      </w:r>
    </w:p>
    <w:p w14:paraId="33611A30">
      <w:pPr>
        <w:spacing w:line="288" w:lineRule="auto"/>
        <w:jc w:val="center"/>
        <w:rPr>
          <w:rFonts w:eastAsia="微软雅黑"/>
          <w:color w:val="000000"/>
          <w:sz w:val="28"/>
          <w:szCs w:val="28"/>
          <w:highlight w:val="none"/>
        </w:rPr>
      </w:pPr>
      <w:r>
        <w:rPr>
          <w:rFonts w:hint="eastAsia" w:eastAsia="微软雅黑"/>
          <w:color w:val="000000"/>
          <w:sz w:val="28"/>
          <w:szCs w:val="28"/>
          <w:highlight w:val="none"/>
        </w:rPr>
        <w:t>Reprogramming the tumor microenvironment with antibody against membrane-proximal AXL to overcome immune checkpoint blockade resistance</w:t>
      </w:r>
      <w:bookmarkStart w:id="0" w:name="_GoBack"/>
      <w:bookmarkEnd w:id="0"/>
    </w:p>
    <w:p w14:paraId="2F366A40">
      <w:pPr>
        <w:rPr>
          <w:highlight w:val="none"/>
        </w:rPr>
      </w:pPr>
      <w:r>
        <w:rPr>
          <w:szCs w:val="24"/>
          <w:highlight w:val="none"/>
          <w:shd w:val="clear" w:color="auto" w:fill="FFFFFF"/>
        </w:rPr>
        <w:t xml:space="preserve">Zuming Yang, Shuaishuai Cao, Jiaen Zhang, Xiaohua Nie, Zhimin Wang, Shaojun Yang, Jingshu Wang, </w:t>
      </w:r>
      <w:r>
        <w:rPr>
          <w:szCs w:val="24"/>
          <w:highlight w:val="none"/>
        </w:rPr>
        <w:t>Xin Sun,</w:t>
      </w:r>
      <w:r>
        <w:rPr>
          <w:szCs w:val="24"/>
          <w:highlight w:val="none"/>
          <w:shd w:val="clear" w:color="auto" w:fill="FFFFFF"/>
        </w:rPr>
        <w:t xml:space="preserve"> Xueli Kuang, </w:t>
      </w:r>
      <w:r>
        <w:rPr>
          <w:szCs w:val="24"/>
          <w:highlight w:val="none"/>
        </w:rPr>
        <w:t>Huiming Huang,</w:t>
      </w:r>
      <w:r>
        <w:rPr>
          <w:szCs w:val="24"/>
          <w:highlight w:val="none"/>
          <w:shd w:val="clear" w:color="auto" w:fill="FFFFFF"/>
        </w:rPr>
        <w:t xml:space="preserve"> </w:t>
      </w:r>
      <w:r>
        <w:rPr>
          <w:szCs w:val="24"/>
          <w:highlight w:val="none"/>
        </w:rPr>
        <w:t>Z</w:t>
      </w:r>
      <w:r>
        <w:rPr>
          <w:rFonts w:eastAsiaTheme="minorEastAsia"/>
          <w:szCs w:val="24"/>
          <w:highlight w:val="none"/>
        </w:rPr>
        <w:t>ifan</w:t>
      </w:r>
      <w:r>
        <w:rPr>
          <w:szCs w:val="24"/>
          <w:highlight w:val="none"/>
        </w:rPr>
        <w:t xml:space="preserve"> W</w:t>
      </w:r>
      <w:r>
        <w:rPr>
          <w:rFonts w:eastAsiaTheme="minorEastAsia"/>
          <w:szCs w:val="24"/>
          <w:highlight w:val="none"/>
        </w:rPr>
        <w:t xml:space="preserve">ei, </w:t>
      </w:r>
      <w:r>
        <w:rPr>
          <w:szCs w:val="24"/>
          <w:highlight w:val="none"/>
          <w:shd w:val="clear" w:color="auto" w:fill="FFFFFF"/>
        </w:rPr>
        <w:t xml:space="preserve">Pengfei Duan, </w:t>
      </w:r>
      <w:r>
        <w:rPr>
          <w:szCs w:val="24"/>
          <w:highlight w:val="none"/>
        </w:rPr>
        <w:t xml:space="preserve">Mingwan Tang, Liyu Zhang, Zhenhua Ren, Xun Lan, </w:t>
      </w:r>
      <w:r>
        <w:rPr>
          <w:szCs w:val="24"/>
          <w:highlight w:val="none"/>
          <w:shd w:val="clear" w:color="auto" w:fill="FFFFFF"/>
        </w:rPr>
        <w:t>Yang-Xin Fu, Liguo Zhang, Xuyuan Zhang, Yong Liang</w:t>
      </w:r>
    </w:p>
    <w:p w14:paraId="5596D651">
      <w:pPr>
        <w:spacing w:line="288" w:lineRule="auto"/>
        <w:jc w:val="left"/>
        <w:rPr>
          <w:rFonts w:eastAsia="微软雅黑"/>
          <w:color w:val="000000"/>
          <w:szCs w:val="24"/>
          <w:highlight w:val="none"/>
        </w:rPr>
      </w:pPr>
    </w:p>
    <w:p w14:paraId="16A8BCB1">
      <w:pPr>
        <w:spacing w:line="288" w:lineRule="auto"/>
        <w:jc w:val="left"/>
        <w:rPr>
          <w:szCs w:val="24"/>
          <w:highlight w:val="none"/>
        </w:rPr>
      </w:pPr>
      <w:r>
        <w:rPr>
          <w:szCs w:val="24"/>
          <w:highlight w:val="none"/>
        </w:rPr>
        <w:t>Correspondence to:</w:t>
      </w:r>
      <w:r>
        <w:rPr>
          <w:rFonts w:hint="eastAsia"/>
          <w:szCs w:val="24"/>
          <w:highlight w:val="none"/>
        </w:rPr>
        <w:t xml:space="preserve"> </w:t>
      </w:r>
      <w:r>
        <w:rPr>
          <w:szCs w:val="24"/>
          <w:highlight w:val="none"/>
        </w:rPr>
        <w:t>yongliang@tsinghua.edu.cn (Y.L.); zxy_better@ibp.ac.cn (X.Z.); liguozhang@ibp.ac.cn (L.Z.); yangxinfu@tsinghua.edu.cn (Y.F.)</w:t>
      </w:r>
    </w:p>
    <w:p w14:paraId="625B8EEA">
      <w:pPr>
        <w:spacing w:line="288" w:lineRule="auto"/>
        <w:rPr>
          <w:b/>
          <w:highlight w:val="none"/>
        </w:rPr>
      </w:pPr>
    </w:p>
    <w:p w14:paraId="6D86A52F">
      <w:pPr>
        <w:spacing w:line="288" w:lineRule="auto"/>
        <w:rPr>
          <w:highlight w:val="none"/>
        </w:rPr>
      </w:pPr>
      <w:r>
        <w:rPr>
          <w:b/>
          <w:highlight w:val="none"/>
        </w:rPr>
        <w:t>This PDF file includes:</w:t>
      </w:r>
    </w:p>
    <w:p w14:paraId="617BF7C7">
      <w:pPr>
        <w:spacing w:line="288" w:lineRule="auto"/>
        <w:jc w:val="left"/>
        <w:rPr>
          <w:highlight w:val="none"/>
        </w:rPr>
      </w:pPr>
      <w:r>
        <w:rPr>
          <w:highlight w:val="none"/>
        </w:rPr>
        <w:t>Figures. S1 to S5</w:t>
      </w:r>
    </w:p>
    <w:p w14:paraId="418C1A86">
      <w:pPr>
        <w:spacing w:line="288" w:lineRule="auto"/>
        <w:jc w:val="left"/>
        <w:rPr>
          <w:highlight w:val="none"/>
        </w:rPr>
      </w:pPr>
    </w:p>
    <w:p w14:paraId="1F1080B1">
      <w:pPr>
        <w:rPr>
          <w:highlight w:val="none"/>
        </w:rPr>
      </w:pPr>
      <w:r>
        <w:rPr>
          <w:b/>
          <w:highlight w:val="none"/>
        </w:rPr>
        <w:t xml:space="preserve">Other Supplementary Materials for this manuscript include the following: </w:t>
      </w:r>
    </w:p>
    <w:p w14:paraId="7E66C252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Data S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. Supplementary Data S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_Uncropped_WB_images.pdf</w:t>
      </w:r>
    </w:p>
    <w:p w14:paraId="17BC1876">
      <w:pPr>
        <w:spacing w:line="288" w:lineRule="auto"/>
        <w:jc w:val="left"/>
        <w:rPr>
          <w:highlight w:val="none"/>
        </w:rPr>
      </w:pPr>
    </w:p>
    <w:p w14:paraId="6BDD894C">
      <w:pPr>
        <w:spacing w:line="288" w:lineRule="auto"/>
        <w:jc w:val="left"/>
        <w:rPr>
          <w:highlight w:val="none"/>
        </w:rPr>
      </w:pPr>
    </w:p>
    <w:p w14:paraId="2CE91A0D">
      <w:pPr>
        <w:spacing w:line="288" w:lineRule="auto"/>
        <w:jc w:val="left"/>
        <w:rPr>
          <w:highlight w:val="none"/>
        </w:rPr>
      </w:pPr>
    </w:p>
    <w:p w14:paraId="05993EDE">
      <w:pPr>
        <w:spacing w:line="288" w:lineRule="auto"/>
        <w:jc w:val="left"/>
        <w:rPr>
          <w:highlight w:val="none"/>
        </w:rPr>
      </w:pPr>
    </w:p>
    <w:p w14:paraId="630D6B77">
      <w:pPr>
        <w:spacing w:line="288" w:lineRule="auto"/>
        <w:jc w:val="left"/>
        <w:rPr>
          <w:highlight w:val="none"/>
        </w:rPr>
      </w:pPr>
    </w:p>
    <w:p w14:paraId="14E0A380">
      <w:pPr>
        <w:spacing w:line="288" w:lineRule="auto"/>
        <w:jc w:val="left"/>
        <w:rPr>
          <w:highlight w:val="none"/>
        </w:rPr>
      </w:pPr>
    </w:p>
    <w:p w14:paraId="08ED353A">
      <w:pPr>
        <w:spacing w:line="288" w:lineRule="auto"/>
        <w:jc w:val="left"/>
        <w:rPr>
          <w:highlight w:val="none"/>
        </w:rPr>
      </w:pPr>
    </w:p>
    <w:p w14:paraId="0F1FAFBD">
      <w:pPr>
        <w:spacing w:line="288" w:lineRule="auto"/>
        <w:jc w:val="left"/>
        <w:rPr>
          <w:highlight w:val="none"/>
        </w:rPr>
      </w:pPr>
    </w:p>
    <w:p w14:paraId="4DA5ABF1">
      <w:pPr>
        <w:spacing w:line="288" w:lineRule="auto"/>
        <w:jc w:val="left"/>
        <w:rPr>
          <w:highlight w:val="none"/>
        </w:rPr>
      </w:pPr>
    </w:p>
    <w:p w14:paraId="67C224EC">
      <w:pPr>
        <w:spacing w:line="288" w:lineRule="auto"/>
        <w:jc w:val="left"/>
        <w:rPr>
          <w:highlight w:val="none"/>
        </w:rPr>
      </w:pPr>
    </w:p>
    <w:p w14:paraId="611B4BC2">
      <w:pPr>
        <w:spacing w:line="240" w:lineRule="auto"/>
        <w:jc w:val="left"/>
        <w:rPr>
          <w:highlight w:val="none"/>
        </w:rPr>
      </w:pPr>
      <w:r>
        <w:rPr>
          <w:highlight w:val="none"/>
        </w:rPr>
        <w:br w:type="page"/>
      </w:r>
    </w:p>
    <w:p w14:paraId="17A615FB">
      <w:pPr>
        <w:spacing w:line="288" w:lineRule="auto"/>
        <w:jc w:val="left"/>
        <w:rPr>
          <w:b/>
          <w:bCs/>
          <w:highlight w:val="none"/>
        </w:rPr>
      </w:pPr>
      <w:r>
        <w:rPr>
          <w:b/>
          <w:bCs/>
          <w:highlight w:val="none"/>
        </w:rPr>
        <w:t xml:space="preserve">Figure. S1 </w:t>
      </w:r>
    </w:p>
    <w:p w14:paraId="59A5EAC4">
      <w:pPr>
        <w:spacing w:line="288" w:lineRule="auto"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drawing>
          <wp:inline distT="0" distB="0" distL="114300" distR="114300">
            <wp:extent cx="5548630" cy="8221345"/>
            <wp:effectExtent l="0" t="0" r="1270" b="8255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/>
                    </pic:cNvPicPr>
                  </pic:nvPicPr>
                  <pic:blipFill>
                    <a:blip r:embed="rId7"/>
                    <a:srcRect t="3098"/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C3DF7">
      <w:pPr>
        <w:spacing w:line="288" w:lineRule="auto"/>
        <w:rPr>
          <w:color w:val="000000"/>
          <w:szCs w:val="24"/>
          <w:highlight w:val="none"/>
        </w:rPr>
      </w:pPr>
      <w:r>
        <w:rPr>
          <w:b/>
          <w:bCs/>
          <w:highlight w:val="none"/>
        </w:rPr>
        <w:t>Figure. S</w:t>
      </w:r>
      <w:r>
        <w:rPr>
          <w:rFonts w:hint="eastAsia"/>
          <w:b/>
          <w:bCs/>
          <w:highlight w:val="none"/>
          <w:lang w:val="en-US" w:eastAsia="zh-CN"/>
        </w:rPr>
        <w:t>1</w:t>
      </w:r>
      <w:r>
        <w:rPr>
          <w:b/>
          <w:bCs/>
          <w:color w:val="000000"/>
          <w:szCs w:val="24"/>
          <w:highlight w:val="none"/>
        </w:rPr>
        <w:t xml:space="preserve"> Development of antibodies targeting distinct epitopes of AXL. a </w:t>
      </w:r>
      <w:r>
        <w:rPr>
          <w:color w:val="000000"/>
          <w:szCs w:val="24"/>
          <w:highlight w:val="none"/>
        </w:rPr>
        <w:t xml:space="preserve">Schematic representation of hAXL with different truncations. </w:t>
      </w:r>
      <w:r>
        <w:rPr>
          <w:b/>
          <w:bCs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 xml:space="preserve"> Binding of anti-hAXL antibodies to cell surface-expressed hAXL truncation mutants. </w:t>
      </w:r>
      <w:r>
        <w:rPr>
          <w:b/>
          <w:bCs/>
          <w:color w:val="000000"/>
          <w:szCs w:val="24"/>
          <w:highlight w:val="none"/>
        </w:rPr>
        <w:t>c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 xml:space="preserve">Binding of </w:t>
      </w:r>
      <w:r>
        <w:rPr>
          <w:rFonts w:hint="eastAsia"/>
          <w:color w:val="000000"/>
          <w:szCs w:val="24"/>
          <w:highlight w:val="none"/>
        </w:rPr>
        <w:t>6C</w:t>
      </w:r>
      <w:r>
        <w:rPr>
          <w:color w:val="000000"/>
          <w:szCs w:val="24"/>
          <w:highlight w:val="none"/>
        </w:rPr>
        <w:t>5 to native AXL expressed on AXL</w:t>
      </w:r>
      <w:r>
        <w:rPr>
          <w:color w:val="000000"/>
          <w:szCs w:val="24"/>
          <w:highlight w:val="none"/>
          <w:vertAlign w:val="superscript"/>
        </w:rPr>
        <w:t>+</w:t>
      </w:r>
      <w:r>
        <w:rPr>
          <w:color w:val="000000"/>
          <w:szCs w:val="24"/>
          <w:highlight w:val="none"/>
        </w:rPr>
        <w:t xml:space="preserve"> dendritic cells in human PBMCs.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</w:rPr>
        <w:t>d</w:t>
      </w:r>
      <w:r>
        <w:rPr>
          <w:color w:val="000000"/>
          <w:szCs w:val="24"/>
          <w:highlight w:val="none"/>
        </w:rPr>
        <w:t xml:space="preserve"> Flow cytometry analysis of hAXL expression on B16-hAXL tumor cells.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</w:rPr>
        <w:t>e-f</w:t>
      </w:r>
      <w:r>
        <w:rPr>
          <w:rFonts w:hint="eastAsia"/>
          <w:color w:val="000000"/>
          <w:szCs w:val="24"/>
          <w:highlight w:val="none"/>
        </w:rPr>
        <w:t xml:space="preserve"> Male C57BL/6J mice</w:t>
      </w:r>
      <w:r>
        <w:rPr>
          <w:color w:val="000000"/>
          <w:szCs w:val="24"/>
          <w:highlight w:val="none"/>
        </w:rPr>
        <w:t xml:space="preserve"> </w:t>
      </w:r>
      <w:r>
        <w:rPr>
          <w:rFonts w:hint="eastAsia"/>
          <w:color w:val="000000"/>
          <w:szCs w:val="24"/>
          <w:highlight w:val="none"/>
        </w:rPr>
        <w:t>(n=6) bearing B16-hAXL tumor</w:t>
      </w:r>
      <w:r>
        <w:rPr>
          <w:color w:val="000000"/>
          <w:szCs w:val="24"/>
          <w:highlight w:val="none"/>
        </w:rPr>
        <w:t>s</w:t>
      </w:r>
      <w:r>
        <w:rPr>
          <w:rFonts w:hint="eastAsia"/>
          <w:color w:val="000000"/>
          <w:szCs w:val="24"/>
          <w:highlight w:val="none"/>
        </w:rPr>
        <w:t xml:space="preserve"> were treated with PBS</w:t>
      </w:r>
      <w:r>
        <w:rPr>
          <w:color w:val="000000"/>
          <w:szCs w:val="24"/>
          <w:highlight w:val="none"/>
        </w:rPr>
        <w:t xml:space="preserve"> or</w:t>
      </w:r>
      <w:r>
        <w:rPr>
          <w:rFonts w:hint="eastAsia"/>
          <w:color w:val="000000"/>
          <w:szCs w:val="24"/>
          <w:highlight w:val="none"/>
        </w:rPr>
        <w:t xml:space="preserve"> 6C5</w:t>
      </w:r>
      <w:r>
        <w:rPr>
          <w:color w:val="000000"/>
          <w:szCs w:val="24"/>
          <w:highlight w:val="none"/>
        </w:rPr>
        <w:t xml:space="preserve"> </w:t>
      </w:r>
      <w:r>
        <w:rPr>
          <w:rFonts w:hint="eastAsia"/>
          <w:color w:val="000000"/>
          <w:szCs w:val="24"/>
          <w:highlight w:val="none"/>
        </w:rPr>
        <w:t xml:space="preserve">(200µg per mice) </w:t>
      </w:r>
      <w:r>
        <w:rPr>
          <w:color w:val="000000"/>
          <w:szCs w:val="24"/>
          <w:highlight w:val="none"/>
        </w:rPr>
        <w:t>via</w:t>
      </w:r>
      <w:r>
        <w:rPr>
          <w:rFonts w:hint="eastAsia"/>
          <w:color w:val="000000"/>
          <w:szCs w:val="24"/>
          <w:highlight w:val="none"/>
        </w:rPr>
        <w:t xml:space="preserve"> intraperitoneal injection on days 8, 11 and 14.</w:t>
      </w:r>
      <w:r>
        <w:rPr>
          <w:color w:val="000000"/>
          <w:szCs w:val="24"/>
          <w:highlight w:val="none"/>
        </w:rPr>
        <w:t xml:space="preserve"> </w:t>
      </w:r>
      <w:r>
        <w:rPr>
          <w:rFonts w:hint="eastAsia"/>
          <w:color w:val="000000"/>
          <w:szCs w:val="24"/>
          <w:highlight w:val="none"/>
        </w:rPr>
        <w:t>Tumor growth curves (</w:t>
      </w:r>
      <w:r>
        <w:rPr>
          <w:rFonts w:hint="eastAsia"/>
          <w:b/>
          <w:bCs/>
          <w:color w:val="000000"/>
          <w:szCs w:val="24"/>
          <w:highlight w:val="none"/>
        </w:rPr>
        <w:t>e</w:t>
      </w:r>
      <w:r>
        <w:rPr>
          <w:rFonts w:hint="eastAsia"/>
          <w:color w:val="000000"/>
          <w:szCs w:val="24"/>
          <w:highlight w:val="none"/>
        </w:rPr>
        <w:t>)</w:t>
      </w:r>
      <w:r>
        <w:rPr>
          <w:color w:val="000000"/>
          <w:szCs w:val="24"/>
          <w:highlight w:val="none"/>
        </w:rPr>
        <w:t>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R</w:t>
      </w:r>
      <w:r>
        <w:rPr>
          <w:rFonts w:hint="eastAsia"/>
          <w:color w:val="000000"/>
          <w:szCs w:val="24"/>
          <w:highlight w:val="none"/>
        </w:rPr>
        <w:t>epresentative image of tumors (</w:t>
      </w:r>
      <w:r>
        <w:rPr>
          <w:rFonts w:hint="eastAsia"/>
          <w:b/>
          <w:bCs/>
          <w:color w:val="000000"/>
          <w:szCs w:val="24"/>
          <w:highlight w:val="none"/>
        </w:rPr>
        <w:t>f</w:t>
      </w:r>
      <w:r>
        <w:rPr>
          <w:rFonts w:hint="eastAsia"/>
          <w:color w:val="000000"/>
          <w:szCs w:val="24"/>
          <w:highlight w:val="none"/>
        </w:rPr>
        <w:t xml:space="preserve">). </w:t>
      </w:r>
      <w:r>
        <w:rPr>
          <w:rFonts w:hint="eastAsia"/>
          <w:b/>
          <w:bCs/>
          <w:color w:val="000000"/>
          <w:szCs w:val="24"/>
          <w:highlight w:val="none"/>
        </w:rPr>
        <w:t>g-h</w:t>
      </w:r>
      <w:r>
        <w:rPr>
          <w:rFonts w:hint="eastAsia"/>
          <w:color w:val="000000"/>
          <w:szCs w:val="24"/>
          <w:highlight w:val="none"/>
        </w:rPr>
        <w:t xml:space="preserve"> C57BL/6J mice bearing B16-hAXL tumors were treated </w:t>
      </w:r>
      <w:r>
        <w:rPr>
          <w:color w:val="000000"/>
          <w:szCs w:val="24"/>
          <w:highlight w:val="none"/>
        </w:rPr>
        <w:t>as in (e,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color w:val="000000"/>
          <w:szCs w:val="24"/>
          <w:highlight w:val="none"/>
        </w:rPr>
        <w:t>f)</w:t>
      </w:r>
      <w:r>
        <w:rPr>
          <w:rFonts w:hint="eastAsia"/>
          <w:color w:val="000000"/>
          <w:szCs w:val="24"/>
          <w:highlight w:val="none"/>
        </w:rPr>
        <w:t xml:space="preserve">. </w:t>
      </w:r>
      <w:r>
        <w:rPr>
          <w:color w:val="000000"/>
          <w:szCs w:val="24"/>
          <w:highlight w:val="none"/>
        </w:rPr>
        <w:t>H&amp;E staining of m</w:t>
      </w:r>
      <w:r>
        <w:rPr>
          <w:rFonts w:hint="eastAsia"/>
          <w:color w:val="000000"/>
          <w:szCs w:val="24"/>
          <w:highlight w:val="none"/>
        </w:rPr>
        <w:t>ajor organs collected 10</w:t>
      </w:r>
      <w:r>
        <w:rPr>
          <w:color w:val="000000"/>
          <w:szCs w:val="24"/>
          <w:highlight w:val="none"/>
        </w:rPr>
        <w:t xml:space="preserve"> days after</w:t>
      </w:r>
      <w:r>
        <w:rPr>
          <w:rFonts w:hint="eastAsia"/>
          <w:color w:val="000000"/>
          <w:szCs w:val="24"/>
          <w:highlight w:val="none"/>
        </w:rPr>
        <w:t xml:space="preserve"> the first </w:t>
      </w:r>
      <w:r>
        <w:rPr>
          <w:color w:val="000000"/>
          <w:szCs w:val="24"/>
          <w:highlight w:val="none"/>
        </w:rPr>
        <w:t>treatment</w:t>
      </w:r>
      <w:r>
        <w:rPr>
          <w:rFonts w:hint="eastAsia"/>
          <w:color w:val="000000"/>
          <w:szCs w:val="24"/>
          <w:highlight w:val="none"/>
          <w:lang w:val="en-US" w:eastAsia="zh-CN"/>
        </w:rPr>
        <w:t>,</w:t>
      </w:r>
      <w:r>
        <w:rPr>
          <w:color w:val="000000"/>
          <w:szCs w:val="24"/>
          <w:highlight w:val="none"/>
        </w:rPr>
        <w:t xml:space="preserve"> </w:t>
      </w:r>
      <w:r>
        <w:rPr>
          <w:rFonts w:hint="eastAsia"/>
          <w:color w:val="000000"/>
          <w:szCs w:val="24"/>
          <w:highlight w:val="none"/>
        </w:rPr>
        <w:t>Scale bar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/>
          <w:color w:val="000000"/>
          <w:szCs w:val="24"/>
          <w:highlight w:val="none"/>
        </w:rPr>
        <w:t>=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/>
          <w:color w:val="000000"/>
          <w:szCs w:val="24"/>
          <w:highlight w:val="none"/>
        </w:rPr>
        <w:t xml:space="preserve">100 </w:t>
      </w:r>
      <w:r>
        <w:rPr>
          <w:rFonts w:hint="default" w:ascii="Times New Roman" w:hAnsi="Times New Roman" w:cs="Times New Roman"/>
          <w:b w:val="0"/>
          <w:bCs w:val="0"/>
          <w:color w:val="000000"/>
          <w:szCs w:val="24"/>
          <w:highlight w:val="none"/>
        </w:rPr>
        <w:t>µ</w:t>
      </w:r>
      <w:r>
        <w:rPr>
          <w:rFonts w:hint="eastAsia"/>
          <w:color w:val="000000"/>
          <w:szCs w:val="24"/>
          <w:highlight w:val="none"/>
        </w:rPr>
        <w:t>m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/>
          <w:color w:val="000000"/>
          <w:szCs w:val="24"/>
          <w:highlight w:val="none"/>
        </w:rPr>
        <w:t>(</w:t>
      </w:r>
      <w:r>
        <w:rPr>
          <w:rFonts w:hint="eastAsia"/>
          <w:b/>
          <w:bCs/>
          <w:color w:val="000000"/>
          <w:szCs w:val="24"/>
          <w:highlight w:val="none"/>
        </w:rPr>
        <w:t>g</w:t>
      </w:r>
      <w:r>
        <w:rPr>
          <w:rFonts w:hint="eastAsia"/>
          <w:color w:val="000000"/>
          <w:szCs w:val="24"/>
          <w:highlight w:val="none"/>
        </w:rPr>
        <w:t>)</w:t>
      </w:r>
      <w:r>
        <w:rPr>
          <w:color w:val="000000"/>
          <w:szCs w:val="24"/>
          <w:highlight w:val="none"/>
        </w:rPr>
        <w:t>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C</w:t>
      </w:r>
      <w:r>
        <w:rPr>
          <w:rFonts w:hint="eastAsia"/>
          <w:color w:val="000000"/>
          <w:szCs w:val="24"/>
          <w:highlight w:val="none"/>
        </w:rPr>
        <w:t>ytokine levels</w:t>
      </w:r>
      <w:r>
        <w:rPr>
          <w:color w:val="000000"/>
          <w:szCs w:val="24"/>
          <w:highlight w:val="none"/>
        </w:rPr>
        <w:t xml:space="preserve"> in blood samples </w:t>
      </w:r>
      <w:r>
        <w:rPr>
          <w:rFonts w:hint="eastAsia"/>
          <w:color w:val="000000"/>
          <w:szCs w:val="24"/>
          <w:highlight w:val="none"/>
        </w:rPr>
        <w:t>(</w:t>
      </w:r>
      <w:r>
        <w:rPr>
          <w:rFonts w:hint="eastAsia"/>
          <w:b/>
          <w:bCs/>
          <w:color w:val="000000"/>
          <w:szCs w:val="24"/>
          <w:highlight w:val="none"/>
        </w:rPr>
        <w:t>h</w:t>
      </w:r>
      <w:r>
        <w:rPr>
          <w:rFonts w:hint="eastAsia"/>
          <w:color w:val="000000"/>
          <w:szCs w:val="24"/>
          <w:highlight w:val="none"/>
        </w:rPr>
        <w:t xml:space="preserve">). </w:t>
      </w:r>
      <w:r>
        <w:rPr>
          <w:rFonts w:hint="eastAsia"/>
          <w:b/>
          <w:bCs/>
          <w:color w:val="000000"/>
          <w:szCs w:val="24"/>
          <w:highlight w:val="none"/>
        </w:rPr>
        <w:t>i</w:t>
      </w:r>
      <w:r>
        <w:rPr>
          <w:rFonts w:hint="eastAsia"/>
          <w:color w:val="000000"/>
          <w:szCs w:val="24"/>
          <w:highlight w:val="none"/>
        </w:rPr>
        <w:t xml:space="preserve"> BALB/c mice (n=6) bearing CT26-hAXL tumor</w:t>
      </w:r>
      <w:r>
        <w:rPr>
          <w:color w:val="000000"/>
          <w:szCs w:val="24"/>
          <w:highlight w:val="none"/>
        </w:rPr>
        <w:t>s</w:t>
      </w:r>
      <w:r>
        <w:rPr>
          <w:rFonts w:hint="eastAsia"/>
          <w:color w:val="000000"/>
          <w:szCs w:val="24"/>
          <w:highlight w:val="none"/>
        </w:rPr>
        <w:t xml:space="preserve"> were treated with PBS</w:t>
      </w:r>
      <w:r>
        <w:rPr>
          <w:color w:val="000000"/>
          <w:szCs w:val="24"/>
          <w:highlight w:val="none"/>
        </w:rPr>
        <w:t xml:space="preserve"> or</w:t>
      </w:r>
      <w:r>
        <w:rPr>
          <w:rFonts w:hint="eastAsia"/>
          <w:color w:val="000000"/>
          <w:szCs w:val="24"/>
          <w:highlight w:val="none"/>
        </w:rPr>
        <w:t xml:space="preserve"> 6C5</w:t>
      </w:r>
      <w:r>
        <w:rPr>
          <w:color w:val="000000"/>
          <w:szCs w:val="24"/>
          <w:highlight w:val="none"/>
        </w:rPr>
        <w:t xml:space="preserve"> </w:t>
      </w:r>
      <w:r>
        <w:rPr>
          <w:rFonts w:hint="eastAsia"/>
          <w:color w:val="000000"/>
          <w:szCs w:val="24"/>
          <w:highlight w:val="none"/>
        </w:rPr>
        <w:t>(200µg per mice) on days 5, 8, 11 and 14. Data indicate means ± SEM and are repeated two or three independent times. Statistical analysis for tumor growth was performed using a two-way ANOVA. *P &lt; 0.05, **P &lt; 0.01.</w:t>
      </w:r>
    </w:p>
    <w:p w14:paraId="355201A0">
      <w:pPr>
        <w:spacing w:line="288" w:lineRule="auto"/>
        <w:rPr>
          <w:color w:val="000000"/>
          <w:szCs w:val="24"/>
          <w:highlight w:val="none"/>
        </w:rPr>
      </w:pPr>
    </w:p>
    <w:p w14:paraId="26152940">
      <w:pPr>
        <w:spacing w:line="288" w:lineRule="auto"/>
        <w:rPr>
          <w:color w:val="000000"/>
          <w:szCs w:val="24"/>
          <w:highlight w:val="none"/>
        </w:rPr>
      </w:pPr>
    </w:p>
    <w:p w14:paraId="14DC32BA">
      <w:pPr>
        <w:spacing w:line="288" w:lineRule="auto"/>
        <w:rPr>
          <w:color w:val="000000"/>
          <w:szCs w:val="24"/>
          <w:highlight w:val="none"/>
        </w:rPr>
      </w:pPr>
    </w:p>
    <w:p w14:paraId="5E92BF11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3EB8E38A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55FE0258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0CACC250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5AA73075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5AFAD796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642D8296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40F7A050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76CE0582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58B6545F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68A07D85">
      <w:pPr>
        <w:spacing w:line="288" w:lineRule="auto"/>
        <w:ind w:left="0" w:firstLine="0" w:firstLineChars="0"/>
        <w:jc w:val="left"/>
        <w:rPr>
          <w:b/>
          <w:bCs/>
          <w:highlight w:val="none"/>
        </w:rPr>
      </w:pPr>
    </w:p>
    <w:p w14:paraId="6FFC4921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</w:p>
    <w:p w14:paraId="38B00B8F">
      <w:pPr>
        <w:spacing w:line="240" w:lineRule="auto"/>
        <w:ind w:left="0" w:firstLine="0" w:firstLineChars="0"/>
        <w:jc w:val="left"/>
        <w:rPr>
          <w:b/>
          <w:bCs/>
          <w:highlight w:val="none"/>
        </w:rPr>
      </w:pPr>
      <w:r>
        <w:rPr>
          <w:b/>
          <w:bCs/>
          <w:highlight w:val="none"/>
        </w:rPr>
        <w:br w:type="page"/>
      </w:r>
    </w:p>
    <w:p w14:paraId="3C8E73D2">
      <w:pPr>
        <w:spacing w:line="288" w:lineRule="auto"/>
        <w:ind w:left="241" w:hanging="241" w:hangingChars="100"/>
        <w:jc w:val="left"/>
        <w:rPr>
          <w:b/>
          <w:bCs/>
          <w:highlight w:val="none"/>
        </w:rPr>
      </w:pPr>
      <w:r>
        <w:rPr>
          <w:b/>
          <w:bCs/>
          <w:highlight w:val="none"/>
        </w:rPr>
        <w:t>Figure. S</w:t>
      </w:r>
      <w:r>
        <w:rPr>
          <w:rFonts w:hint="eastAsia"/>
          <w:b/>
          <w:bCs/>
          <w:highlight w:val="none"/>
        </w:rPr>
        <w:t>2</w:t>
      </w:r>
      <w:r>
        <w:rPr>
          <w:b/>
          <w:bCs/>
          <w:highlight w:val="none"/>
        </w:rPr>
        <w:t xml:space="preserve"> </w:t>
      </w:r>
    </w:p>
    <w:p w14:paraId="649C8553">
      <w:pPr>
        <w:spacing w:line="288" w:lineRule="auto"/>
        <w:ind w:left="241" w:hanging="241" w:hangingChars="100"/>
        <w:jc w:val="center"/>
        <w:rPr>
          <w:b/>
          <w:bCs/>
          <w:highlight w:val="none"/>
        </w:rPr>
      </w:pPr>
      <w:r>
        <w:rPr>
          <w:rFonts w:hint="eastAsia" w:eastAsia="宋体"/>
          <w:b/>
          <w:bCs/>
          <w:highlight w:val="none"/>
          <w:lang w:eastAsia="zh-CN"/>
        </w:rPr>
        <w:drawing>
          <wp:inline distT="0" distB="0" distL="114300" distR="114300">
            <wp:extent cx="5647690" cy="6280785"/>
            <wp:effectExtent l="0" t="0" r="0" b="0"/>
            <wp:docPr id="3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"/>
                    <pic:cNvPicPr>
                      <a:picLocks noChangeAspect="1"/>
                    </pic:cNvPicPr>
                  </pic:nvPicPr>
                  <pic:blipFill>
                    <a:blip r:embed="rId8"/>
                    <a:srcRect t="3509" b="23720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628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99237">
      <w:pPr>
        <w:spacing w:line="288" w:lineRule="auto"/>
        <w:rPr>
          <w:color w:val="000000"/>
          <w:szCs w:val="24"/>
          <w:highlight w:val="none"/>
        </w:rPr>
      </w:pPr>
      <w:r>
        <w:rPr>
          <w:b/>
          <w:bCs/>
          <w:highlight w:val="none"/>
        </w:rPr>
        <w:t>Figure. S2</w:t>
      </w:r>
      <w:r>
        <w:rPr>
          <w:b/>
          <w:bCs/>
          <w:color w:val="000000"/>
          <w:szCs w:val="24"/>
          <w:highlight w:val="none"/>
        </w:rPr>
        <w:t xml:space="preserve"> Antitumor effects of the 6C5 antibody are independent of direct inhibition of tumor cell growth. a </w:t>
      </w:r>
      <w:r>
        <w:rPr>
          <w:color w:val="000000"/>
          <w:szCs w:val="24"/>
          <w:highlight w:val="none"/>
        </w:rPr>
        <w:t xml:space="preserve">Schematic of the transgenic hAXL locus in </w:t>
      </w:r>
      <w:r>
        <w:rPr>
          <w:iCs/>
          <w:color w:val="000000"/>
          <w:szCs w:val="24"/>
          <w:highlight w:val="none"/>
        </w:rPr>
        <w:t>hAXL</w:t>
      </w:r>
      <w:r>
        <w:rPr>
          <w:iCs/>
          <w:color w:val="000000"/>
          <w:szCs w:val="24"/>
          <w:highlight w:val="none"/>
          <w:vertAlign w:val="superscript"/>
        </w:rPr>
        <w:t>BAC</w:t>
      </w:r>
      <w:r>
        <w:rPr>
          <w:color w:val="000000"/>
          <w:szCs w:val="24"/>
          <w:highlight w:val="none"/>
        </w:rPr>
        <w:t xml:space="preserve"> mice. </w:t>
      </w:r>
      <w:r>
        <w:rPr>
          <w:b/>
          <w:bCs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 xml:space="preserve"> Flow cytometric analysis of hAXL expression on immune cell subsets from splenocyte</w:t>
      </w:r>
      <w:r>
        <w:rPr>
          <w:rFonts w:hint="eastAsia"/>
          <w:color w:val="000000"/>
          <w:szCs w:val="24"/>
          <w:highlight w:val="none"/>
          <w:lang w:val="en-US" w:eastAsia="zh-CN"/>
        </w:rPr>
        <w:t>s</w:t>
      </w:r>
      <w:r>
        <w:rPr>
          <w:color w:val="000000"/>
          <w:szCs w:val="24"/>
          <w:highlight w:val="none"/>
        </w:rPr>
        <w:t xml:space="preserve"> of </w:t>
      </w:r>
      <w:r>
        <w:rPr>
          <w:i w:val="0"/>
          <w:iCs/>
          <w:color w:val="000000"/>
          <w:szCs w:val="24"/>
          <w:highlight w:val="none"/>
        </w:rPr>
        <w:t>hAXL</w:t>
      </w:r>
      <w:r>
        <w:rPr>
          <w:i w:val="0"/>
          <w:iCs/>
          <w:color w:val="000000"/>
          <w:szCs w:val="24"/>
          <w:highlight w:val="none"/>
          <w:vertAlign w:val="superscript"/>
        </w:rPr>
        <w:t>BAC</w:t>
      </w:r>
      <w:r>
        <w:rPr>
          <w:color w:val="000000"/>
          <w:szCs w:val="24"/>
          <w:highlight w:val="none"/>
        </w:rPr>
        <w:t xml:space="preserve"> mice. </w:t>
      </w:r>
      <w:r>
        <w:rPr>
          <w:b/>
          <w:bCs/>
          <w:color w:val="000000"/>
          <w:szCs w:val="24"/>
          <w:highlight w:val="none"/>
        </w:rPr>
        <w:t>c</w:t>
      </w:r>
      <w:r>
        <w:rPr>
          <w:color w:val="000000"/>
          <w:szCs w:val="24"/>
          <w:highlight w:val="none"/>
        </w:rPr>
        <w:t xml:space="preserve"> Detection of hAXL expression on MC38-hAXL tumor cells by flow cytometry. </w:t>
      </w:r>
      <w:r>
        <w:rPr>
          <w:b/>
          <w:bCs/>
          <w:color w:val="000000"/>
          <w:szCs w:val="24"/>
          <w:highlight w:val="none"/>
        </w:rPr>
        <w:t>d</w:t>
      </w:r>
      <w:r>
        <w:rPr>
          <w:color w:val="000000"/>
          <w:szCs w:val="24"/>
          <w:highlight w:val="none"/>
        </w:rPr>
        <w:t xml:space="preserve"> Binding of 6C5 to mouse AXL (mAXL) expressed on the cell surface.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e</w:t>
      </w:r>
      <w:r>
        <w:rPr>
          <w:color w:val="000000"/>
          <w:szCs w:val="24"/>
          <w:highlight w:val="none"/>
        </w:rPr>
        <w:t xml:space="preserve"> Effects of anti-AXL antibodies and </w:t>
      </w:r>
      <w:r>
        <w:rPr>
          <w:rFonts w:hint="eastAsia"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 xml:space="preserve">emcentinib on B16-hAXL cell growth </w:t>
      </w:r>
      <w:r>
        <w:rPr>
          <w:i/>
          <w:iCs/>
          <w:color w:val="000000"/>
          <w:szCs w:val="24"/>
          <w:highlight w:val="none"/>
        </w:rPr>
        <w:t>in vitro</w:t>
      </w:r>
      <w:r>
        <w:rPr>
          <w:color w:val="000000"/>
          <w:szCs w:val="24"/>
          <w:highlight w:val="none"/>
        </w:rPr>
        <w:t xml:space="preserve">. Cells were cultured with 400 ng/mL Gas6 in the presence of 10 µg/mL antibodies or 2 µM </w:t>
      </w:r>
      <w:r>
        <w:rPr>
          <w:rFonts w:hint="eastAsia"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>emcentinib for 72 h, and viability was measured by CCK-8 assay.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f</w:t>
      </w:r>
      <w:r>
        <w:rPr>
          <w:b/>
          <w:bCs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 xml:space="preserve">AXL expression levels on SN12C and Calu-1 analyzed by flow cytometry.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g</w:t>
      </w:r>
      <w:r>
        <w:rPr>
          <w:color w:val="000000"/>
          <w:szCs w:val="24"/>
          <w:highlight w:val="none"/>
        </w:rPr>
        <w:t xml:space="preserve"> Effect of 6C5 on the growth of SN12C and Calu-1, assessed by CCK-8 assay.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h</w:t>
      </w:r>
      <w:r>
        <w:rPr>
          <w:color w:val="000000"/>
          <w:szCs w:val="24"/>
          <w:highlight w:val="none"/>
        </w:rPr>
        <w:t xml:space="preserve"> Calu-1 cells were serum-starved for 24 hours, preincubated with 100 μg/mL of indicated antibodies or 5 μM R428 for 2 h and stimulated with or without Gas6 for 30 min. Phosphorylation of AXL and Akt was assessed by western blotting. β-actin was used as loading control.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</w:rPr>
        <w:t>i</w:t>
      </w:r>
      <w:r>
        <w:rPr>
          <w:color w:val="000000"/>
          <w:szCs w:val="24"/>
          <w:highlight w:val="none"/>
        </w:rPr>
        <w:t xml:space="preserve"> Tumor growth curves of NSG</w:t>
      </w:r>
      <w:r>
        <w:rPr>
          <w:rFonts w:hint="eastAsia"/>
          <w:color w:val="000000"/>
          <w:szCs w:val="24"/>
          <w:highlight w:val="none"/>
          <w:lang w:val="en-US" w:eastAsia="zh-CN"/>
        </w:rPr>
        <w:t>-SGM3</w:t>
      </w:r>
      <w:r>
        <w:rPr>
          <w:color w:val="000000"/>
          <w:szCs w:val="24"/>
          <w:highlight w:val="none"/>
        </w:rPr>
        <w:t xml:space="preserve"> mice (n=8 per group) bearing B16-hAXL tumor following treated with PBS or 6C5 (200 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>g per mice) on days 9, 12 and 15. Data indicate means ± SEM and are repeated two or three independent times. Statistical analysis for tumor growth was performed using a two-way ANOVA. For (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g</w:t>
      </w:r>
      <w:r>
        <w:rPr>
          <w:color w:val="000000"/>
          <w:szCs w:val="24"/>
          <w:highlight w:val="none"/>
        </w:rPr>
        <w:t xml:space="preserve">), unpaired two-tailed t test was applied. ns (not significant), </w:t>
      </w:r>
      <w:r>
        <w:rPr>
          <w:rFonts w:hint="eastAsia"/>
          <w:color w:val="000000"/>
          <w:szCs w:val="24"/>
          <w:highlight w:val="none"/>
        </w:rPr>
        <w:t>****P &lt; 0.0001</w:t>
      </w:r>
      <w:r>
        <w:rPr>
          <w:color w:val="000000"/>
          <w:szCs w:val="24"/>
          <w:highlight w:val="none"/>
        </w:rPr>
        <w:t>.</w:t>
      </w:r>
    </w:p>
    <w:p w14:paraId="558B1980">
      <w:pPr>
        <w:spacing w:line="288" w:lineRule="auto"/>
        <w:rPr>
          <w:color w:val="000000"/>
          <w:szCs w:val="24"/>
          <w:highlight w:val="none"/>
        </w:rPr>
      </w:pPr>
    </w:p>
    <w:p w14:paraId="545E3551">
      <w:pPr>
        <w:spacing w:line="288" w:lineRule="auto"/>
        <w:rPr>
          <w:color w:val="000000"/>
          <w:szCs w:val="24"/>
          <w:highlight w:val="none"/>
        </w:rPr>
      </w:pPr>
    </w:p>
    <w:p w14:paraId="3D303AE5">
      <w:pPr>
        <w:spacing w:line="288" w:lineRule="auto"/>
        <w:rPr>
          <w:color w:val="000000"/>
          <w:szCs w:val="24"/>
          <w:highlight w:val="none"/>
        </w:rPr>
      </w:pPr>
    </w:p>
    <w:p w14:paraId="7E502E31">
      <w:pPr>
        <w:spacing w:line="288" w:lineRule="auto"/>
        <w:rPr>
          <w:color w:val="000000"/>
          <w:szCs w:val="24"/>
          <w:highlight w:val="none"/>
        </w:rPr>
      </w:pPr>
    </w:p>
    <w:p w14:paraId="6509072F">
      <w:pPr>
        <w:spacing w:line="288" w:lineRule="auto"/>
        <w:rPr>
          <w:color w:val="000000"/>
          <w:szCs w:val="24"/>
          <w:highlight w:val="none"/>
        </w:rPr>
      </w:pPr>
    </w:p>
    <w:p w14:paraId="266579CE">
      <w:pPr>
        <w:spacing w:line="288" w:lineRule="auto"/>
        <w:rPr>
          <w:color w:val="000000"/>
          <w:szCs w:val="24"/>
          <w:highlight w:val="none"/>
        </w:rPr>
      </w:pPr>
    </w:p>
    <w:p w14:paraId="1DFEA49C">
      <w:pPr>
        <w:spacing w:line="288" w:lineRule="auto"/>
        <w:rPr>
          <w:color w:val="000000"/>
          <w:szCs w:val="24"/>
          <w:highlight w:val="none"/>
        </w:rPr>
      </w:pPr>
    </w:p>
    <w:p w14:paraId="4CFDC72B">
      <w:pPr>
        <w:spacing w:line="288" w:lineRule="auto"/>
        <w:rPr>
          <w:color w:val="000000"/>
          <w:szCs w:val="24"/>
          <w:highlight w:val="none"/>
        </w:rPr>
      </w:pPr>
    </w:p>
    <w:p w14:paraId="3ECE95F0">
      <w:pPr>
        <w:spacing w:line="288" w:lineRule="auto"/>
        <w:rPr>
          <w:color w:val="000000"/>
          <w:szCs w:val="24"/>
          <w:highlight w:val="none"/>
        </w:rPr>
      </w:pPr>
    </w:p>
    <w:p w14:paraId="165ADF72">
      <w:pPr>
        <w:spacing w:line="288" w:lineRule="auto"/>
        <w:rPr>
          <w:color w:val="000000"/>
          <w:szCs w:val="24"/>
          <w:highlight w:val="none"/>
        </w:rPr>
      </w:pPr>
    </w:p>
    <w:p w14:paraId="373AE84A">
      <w:pPr>
        <w:spacing w:line="288" w:lineRule="auto"/>
        <w:rPr>
          <w:color w:val="000000"/>
          <w:szCs w:val="24"/>
          <w:highlight w:val="none"/>
        </w:rPr>
      </w:pPr>
    </w:p>
    <w:p w14:paraId="628EBEFD">
      <w:pPr>
        <w:spacing w:line="240" w:lineRule="auto"/>
        <w:rPr>
          <w:rFonts w:hint="eastAsia"/>
          <w:color w:val="000000"/>
          <w:szCs w:val="24"/>
          <w:highlight w:val="none"/>
        </w:rPr>
      </w:pPr>
      <w:r>
        <w:rPr>
          <w:color w:val="000000"/>
          <w:szCs w:val="24"/>
          <w:highlight w:val="none"/>
        </w:rPr>
        <w:br w:type="page"/>
      </w:r>
    </w:p>
    <w:p w14:paraId="788413E6">
      <w:pPr>
        <w:spacing w:line="288" w:lineRule="auto"/>
        <w:jc w:val="left"/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</w:pPr>
      <w:r>
        <w:rPr>
          <w:b/>
          <w:bCs/>
          <w:highlight w:val="none"/>
        </w:rPr>
        <w:t xml:space="preserve">Figure. S3 </w:t>
      </w:r>
    </w:p>
    <w:p w14:paraId="7DFC58C2">
      <w:pPr>
        <w:spacing w:line="288" w:lineRule="auto"/>
        <w:jc w:val="center"/>
        <w:rPr>
          <w:b/>
          <w:bCs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drawing>
          <wp:inline distT="0" distB="0" distL="114300" distR="114300">
            <wp:extent cx="5647690" cy="7273925"/>
            <wp:effectExtent l="0" t="0" r="0" b="0"/>
            <wp:docPr id="4" name="图片 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"/>
                    <pic:cNvPicPr>
                      <a:picLocks noChangeAspect="1"/>
                    </pic:cNvPicPr>
                  </pic:nvPicPr>
                  <pic:blipFill>
                    <a:blip r:embed="rId9"/>
                    <a:srcRect t="2303" b="13420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727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485DD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color w:val="000000"/>
          <w:szCs w:val="24"/>
          <w:highlight w:val="none"/>
        </w:rPr>
      </w:pPr>
      <w:r>
        <w:rPr>
          <w:b/>
          <w:bCs/>
          <w:highlight w:val="none"/>
        </w:rPr>
        <w:t>Figure. S3</w:t>
      </w:r>
      <w:r>
        <w:rPr>
          <w:b/>
          <w:bCs/>
          <w:color w:val="000000"/>
          <w:szCs w:val="24"/>
          <w:highlight w:val="none"/>
        </w:rPr>
        <w:t xml:space="preserve"> Therapeutic effect of 6C5 antibody depends on CD8⁺ T cells</w:t>
      </w:r>
      <w:r>
        <w:rPr>
          <w:rFonts w:hint="eastAsia"/>
          <w:b/>
          <w:bCs/>
          <w:color w:val="000000"/>
          <w:szCs w:val="24"/>
          <w:highlight w:val="none"/>
        </w:rPr>
        <w:t>.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>UMAP visualization of total CD45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cells isolated from tumors, identifying 22 distinct clusters. </w:t>
      </w:r>
      <w:r>
        <w:rPr>
          <w:rFonts w:hint="default" w:ascii="Times New Roman" w:hAnsi="Times New Roman" w:cs="Times New Roman"/>
          <w:b/>
          <w:bCs/>
          <w:color w:val="000000"/>
          <w:szCs w:val="24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Proportions of tumor-infiltrating immune cells.</w:t>
      </w:r>
      <w:r>
        <w:rPr>
          <w:rFonts w:hint="default" w:ascii="Times New Roman" w:hAnsi="Times New Roman" w:cs="Times New Roman"/>
          <w:b/>
          <w:bCs/>
          <w:color w:val="000000"/>
          <w:szCs w:val="24"/>
          <w:highlight w:val="none"/>
        </w:rPr>
        <w:t xml:space="preserve"> c.</w:t>
      </w:r>
      <w:r>
        <w:rPr>
          <w:rFonts w:hint="default" w:ascii="Times New Roman" w:hAnsi="Times New Roman" w:cs="Times New Roman"/>
          <w:b w:val="0"/>
          <w:bCs w:val="0"/>
          <w:color w:val="000000"/>
          <w:szCs w:val="24"/>
          <w:highlight w:val="none"/>
        </w:rPr>
        <w:t>C57BL/6J mice bearing B16-hAXL tumors were treated with PBS (control) or 6C5 (200 µg per mouse) via intraperitoneal injection on days 8 and 11. Tumors were collected on day 5 following the first administration for immunofluorescence analysis of CD45⁺ cells(red) and CD8</w:t>
      </w:r>
      <w:r>
        <w:rPr>
          <w:rFonts w:hint="default" w:ascii="Times New Roman" w:hAnsi="Times New Roman" w:cs="Times New Roman"/>
          <w:b w:val="0"/>
          <w:bCs w:val="0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b w:val="0"/>
          <w:bCs w:val="0"/>
          <w:color w:val="000000"/>
          <w:szCs w:val="24"/>
          <w:highlight w:val="none"/>
        </w:rPr>
        <w:t xml:space="preserve"> T cells(green) infiltration</w:t>
      </w:r>
      <w:r>
        <w:rPr>
          <w:rFonts w:hint="eastAsia" w:cs="Times New Roman"/>
          <w:b w:val="0"/>
          <w:bCs w:val="0"/>
          <w:color w:val="000000"/>
          <w:szCs w:val="24"/>
          <w:highlight w:val="none"/>
          <w:lang w:val="en-US" w:eastAsia="zh-CN"/>
        </w:rPr>
        <w:t>, Scale bar = 50 µm</w:t>
      </w:r>
      <w:r>
        <w:rPr>
          <w:rFonts w:hint="default" w:ascii="Times New Roman" w:hAnsi="Times New Roman" w:cs="Times New Roman"/>
          <w:b w:val="0"/>
          <w:bCs w:val="0"/>
          <w:color w:val="000000"/>
          <w:szCs w:val="24"/>
          <w:highlight w:val="none"/>
        </w:rPr>
        <w:t>.</w:t>
      </w:r>
      <w:r>
        <w:rPr>
          <w:rFonts w:hint="eastAsia" w:cs="Times New Roman"/>
          <w:b w:val="0"/>
          <w:bCs w:val="0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d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Heatmap of top differentially expressed genes (DEGs) of each CD8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 xml:space="preserve">+ 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T cell population.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Bar graph showing the proportion of CD8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 xml:space="preserve">+ 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>T cell clusters identified within the tumor.</w:t>
      </w:r>
      <w:r>
        <w:rPr>
          <w:rFonts w:hint="default" w:ascii="Times New Roman" w:hAnsi="Times New Roman" w:cs="Times New Roman"/>
          <w:b/>
          <w:bCs/>
          <w:color w:val="000000"/>
          <w:szCs w:val="24"/>
          <w:highlight w:val="none"/>
        </w:rPr>
        <w:t xml:space="preserve">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Feature plot showing the expression of 4-1BB (</w:t>
      </w:r>
      <w:r>
        <w:rPr>
          <w:rFonts w:hint="default" w:ascii="Times New Roman" w:hAnsi="Times New Roman" w:cs="Times New Roman"/>
          <w:i/>
          <w:iCs/>
          <w:color w:val="000000"/>
          <w:szCs w:val="24"/>
          <w:highlight w:val="none"/>
        </w:rPr>
        <w:t>Tnfrsf9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>) in CD8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 xml:space="preserve">+ 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T cell populations.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g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Flow cytometry gating strategy for 4-1BB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>CD8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T cells, pre-gated on live/CD45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cells.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Flow cytometry was performed to assess the depletion effect of anti-CD8 on intratumoral CD8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>+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T cells. </w:t>
      </w:r>
      <w:r>
        <w:rPr>
          <w:rFonts w:hint="eastAsia" w:cs="Times New Roman"/>
          <w:b/>
          <w:bCs/>
          <w:color w:val="000000"/>
          <w:szCs w:val="24"/>
          <w:highlight w:val="none"/>
          <w:lang w:val="en-US" w:eastAsia="zh-CN"/>
        </w:rPr>
        <w:t>i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Flow cytometry was performed to assess the depletion effect of anti-CD4 on intratumoral CD4</w:t>
      </w:r>
      <w:r>
        <w:rPr>
          <w:rFonts w:hint="default" w:ascii="Times New Roman" w:hAnsi="Times New Roman" w:cs="Times New Roman"/>
          <w:color w:val="000000"/>
          <w:szCs w:val="24"/>
          <w:highlight w:val="none"/>
          <w:vertAlign w:val="superscript"/>
        </w:rPr>
        <w:t xml:space="preserve">+ 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>T cells</w:t>
      </w:r>
      <w:r>
        <w:rPr>
          <w:rFonts w:hint="eastAsia" w:cs="Times New Roman"/>
          <w:color w:val="000000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000000"/>
          <w:szCs w:val="24"/>
          <w:highlight w:val="none"/>
        </w:rPr>
        <w:t xml:space="preserve"> </w:t>
      </w:r>
    </w:p>
    <w:p w14:paraId="042E6CD0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Cs w:val="24"/>
          <w:highlight w:val="none"/>
        </w:rPr>
        <w:br w:type="page"/>
      </w:r>
    </w:p>
    <w:p w14:paraId="62C78466">
      <w:pPr>
        <w:numPr>
          <w:ilvl w:val="255"/>
          <w:numId w:val="0"/>
        </w:numPr>
        <w:spacing w:line="288" w:lineRule="auto"/>
        <w:jc w:val="left"/>
        <w:rPr>
          <w:b/>
          <w:bCs/>
          <w:highlight w:val="none"/>
        </w:rPr>
      </w:pPr>
      <w:r>
        <w:rPr>
          <w:b/>
          <w:bCs/>
          <w:highlight w:val="none"/>
        </w:rPr>
        <w:t>Figure. S</w:t>
      </w:r>
      <w:r>
        <w:rPr>
          <w:rFonts w:hint="eastAsia"/>
          <w:b/>
          <w:bCs/>
          <w:highlight w:val="none"/>
        </w:rPr>
        <w:t>4</w:t>
      </w:r>
      <w:r>
        <w:rPr>
          <w:b/>
          <w:bCs/>
          <w:highlight w:val="none"/>
        </w:rPr>
        <w:t xml:space="preserve"> </w:t>
      </w:r>
    </w:p>
    <w:p w14:paraId="58FEA9D7">
      <w:pPr>
        <w:numPr>
          <w:ilvl w:val="255"/>
          <w:numId w:val="0"/>
        </w:numPr>
        <w:spacing w:line="288" w:lineRule="auto"/>
        <w:jc w:val="center"/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 w:eastAsia="宋体"/>
          <w:b/>
          <w:bCs/>
          <w:highlight w:val="none"/>
          <w:lang w:eastAsia="zh-CN"/>
        </w:rPr>
        <w:drawing>
          <wp:inline distT="0" distB="0" distL="114300" distR="114300">
            <wp:extent cx="5647690" cy="5542915"/>
            <wp:effectExtent l="0" t="0" r="0" b="0"/>
            <wp:docPr id="6" name="图片 6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0"/>
                    <pic:cNvPicPr>
                      <a:picLocks noChangeAspect="1"/>
                    </pic:cNvPicPr>
                  </pic:nvPicPr>
                  <pic:blipFill>
                    <a:blip r:embed="rId10"/>
                    <a:srcRect t="3399" b="32379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554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DEEF">
      <w:pPr>
        <w:numPr>
          <w:ilvl w:val="255"/>
          <w:numId w:val="0"/>
        </w:numPr>
        <w:spacing w:line="288" w:lineRule="auto"/>
        <w:jc w:val="both"/>
        <w:rPr>
          <w:color w:val="000000"/>
          <w:szCs w:val="24"/>
          <w:highlight w:val="none"/>
        </w:rPr>
      </w:pPr>
      <w:r>
        <w:rPr>
          <w:b/>
          <w:bCs/>
          <w:highlight w:val="none"/>
        </w:rPr>
        <w:t>Figure.</w:t>
      </w:r>
      <w:r>
        <w:rPr>
          <w:rFonts w:hint="eastAsia"/>
          <w:b/>
          <w:bCs/>
          <w:highlight w:val="none"/>
        </w:rPr>
        <w:t xml:space="preserve"> </w:t>
      </w:r>
      <w:r>
        <w:rPr>
          <w:b/>
          <w:bCs/>
          <w:highlight w:val="none"/>
        </w:rPr>
        <w:t>S4</w:t>
      </w:r>
      <w:r>
        <w:rPr>
          <w:b/>
          <w:bCs/>
          <w:color w:val="000000"/>
          <w:szCs w:val="24"/>
          <w:highlight w:val="none"/>
        </w:rPr>
        <w:t xml:space="preserve"> Antibodies targeting membrane-proximal epitopes of AXL enhance macrophage-mediated ADCP effect.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 xml:space="preserve"> </w:t>
      </w:r>
      <w:r>
        <w:rPr>
          <w:b/>
          <w:bCs/>
          <w:color w:val="000000"/>
          <w:szCs w:val="24"/>
          <w:highlight w:val="none"/>
        </w:rPr>
        <w:t xml:space="preserve">a </w:t>
      </w:r>
      <w:r>
        <w:rPr>
          <w:color w:val="000000"/>
          <w:szCs w:val="24"/>
          <w:highlight w:val="none"/>
        </w:rPr>
        <w:t>Flow cytometr</w:t>
      </w:r>
      <w:r>
        <w:rPr>
          <w:rFonts w:hint="eastAsia"/>
          <w:color w:val="000000"/>
          <w:szCs w:val="24"/>
          <w:highlight w:val="none"/>
        </w:rPr>
        <w:t>ic</w:t>
      </w:r>
      <w:r>
        <w:rPr>
          <w:color w:val="000000"/>
          <w:szCs w:val="24"/>
          <w:highlight w:val="none"/>
        </w:rPr>
        <w:t xml:space="preserve"> analysis of macrophage depletion in tumors following anti-CSF1R treatment. </w:t>
      </w:r>
      <w:r>
        <w:rPr>
          <w:b/>
          <w:bCs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 xml:space="preserve"> Flow cytometric evaluation of NK cell</w:t>
      </w:r>
      <w:r>
        <w:rPr>
          <w:rFonts w:hint="eastAsia"/>
          <w:color w:val="000000"/>
          <w:szCs w:val="24"/>
          <w:highlight w:val="none"/>
          <w:lang w:val="en-US" w:eastAsia="zh-CN"/>
        </w:rPr>
        <w:t>s</w:t>
      </w:r>
      <w:r>
        <w:rPr>
          <w:color w:val="000000"/>
          <w:szCs w:val="24"/>
          <w:highlight w:val="none"/>
        </w:rPr>
        <w:t xml:space="preserve"> depletion in tumors </w:t>
      </w:r>
      <w:r>
        <w:rPr>
          <w:rFonts w:hint="eastAsia"/>
          <w:color w:val="000000"/>
          <w:szCs w:val="24"/>
          <w:highlight w:val="none"/>
        </w:rPr>
        <w:t>after</w:t>
      </w:r>
      <w:r>
        <w:rPr>
          <w:color w:val="000000"/>
          <w:szCs w:val="24"/>
          <w:highlight w:val="none"/>
        </w:rPr>
        <w:t xml:space="preserve"> anti-NK1.1 administration. </w:t>
      </w:r>
      <w:r>
        <w:rPr>
          <w:b/>
          <w:bCs/>
          <w:color w:val="000000"/>
          <w:szCs w:val="24"/>
          <w:highlight w:val="none"/>
        </w:rPr>
        <w:t>c</w:t>
      </w:r>
      <w:r>
        <w:rPr>
          <w:color w:val="000000"/>
          <w:szCs w:val="24"/>
          <w:highlight w:val="none"/>
        </w:rPr>
        <w:t xml:space="preserve"> Representative flow plots showing phagocytosis of B16-hAXL tumor cells by macrophages in the presence of 6C5 or an Fc mutated variant 6C5 (6C</w:t>
      </w:r>
      <w:r>
        <w:rPr>
          <w:rFonts w:hint="eastAsia"/>
          <w:color w:val="000000"/>
          <w:szCs w:val="24"/>
          <w:highlight w:val="none"/>
        </w:rPr>
        <w:t>5-mutant</w:t>
      </w:r>
      <w:r>
        <w:rPr>
          <w:color w:val="000000"/>
          <w:szCs w:val="24"/>
          <w:highlight w:val="none"/>
        </w:rPr>
        <w:t xml:space="preserve">). </w:t>
      </w:r>
      <w:r>
        <w:rPr>
          <w:b/>
          <w:bCs/>
          <w:color w:val="000000"/>
          <w:szCs w:val="24"/>
          <w:highlight w:val="none"/>
        </w:rPr>
        <w:t>d</w:t>
      </w:r>
      <w:r>
        <w:rPr>
          <w:color w:val="000000"/>
          <w:szCs w:val="24"/>
          <w:highlight w:val="none"/>
        </w:rPr>
        <w:t xml:space="preserve"> Representative flow plots showing macrophage-mediated phagocytosis of B16-hAXL tumor cells induced by antibodies targeting different AXL epitopes. </w:t>
      </w:r>
      <w:r>
        <w:rPr>
          <w:b/>
          <w:bCs/>
          <w:color w:val="000000"/>
          <w:szCs w:val="24"/>
          <w:highlight w:val="none"/>
        </w:rPr>
        <w:t>e</w:t>
      </w:r>
      <w:r>
        <w:rPr>
          <w:color w:val="000000"/>
          <w:szCs w:val="24"/>
          <w:highlight w:val="none"/>
        </w:rPr>
        <w:t xml:space="preserve"> Tumor growth curves in </w:t>
      </w:r>
      <w:r>
        <w:rPr>
          <w:iCs/>
          <w:color w:val="000000"/>
          <w:szCs w:val="24"/>
          <w:highlight w:val="none"/>
        </w:rPr>
        <w:t>hAXL</w:t>
      </w:r>
      <w:r>
        <w:rPr>
          <w:iCs/>
          <w:color w:val="000000"/>
          <w:szCs w:val="24"/>
          <w:highlight w:val="none"/>
          <w:vertAlign w:val="superscript"/>
        </w:rPr>
        <w:t>BAC</w:t>
      </w:r>
      <w:r>
        <w:rPr>
          <w:color w:val="000000"/>
          <w:szCs w:val="24"/>
          <w:highlight w:val="none"/>
        </w:rPr>
        <w:t xml:space="preserve"> mice bearing B16-hAXL tumors treated with PBS (control, n=4), 1# (200 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 xml:space="preserve">g per mice, n=5) and 20# (200 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 xml:space="preserve">g per mice, n=5) via intraperitoneal injection on days 9, 12 and 15. </w:t>
      </w:r>
      <w:r>
        <w:rPr>
          <w:b/>
          <w:bCs/>
          <w:color w:val="000000"/>
          <w:szCs w:val="24"/>
          <w:highlight w:val="none"/>
        </w:rPr>
        <w:t>f</w:t>
      </w:r>
      <w:r>
        <w:rPr>
          <w:color w:val="000000"/>
          <w:szCs w:val="24"/>
          <w:highlight w:val="none"/>
        </w:rPr>
        <w:t xml:space="preserve"> Tumor growth curves of </w:t>
      </w:r>
      <w:r>
        <w:rPr>
          <w:i/>
          <w:iCs/>
          <w:color w:val="000000"/>
          <w:szCs w:val="24"/>
          <w:highlight w:val="none"/>
        </w:rPr>
        <w:t>Batf3</w:t>
      </w:r>
      <w:r>
        <w:rPr>
          <w:i/>
          <w:iCs/>
          <w:color w:val="000000"/>
          <w:szCs w:val="24"/>
          <w:highlight w:val="none"/>
          <w:vertAlign w:val="superscript"/>
        </w:rPr>
        <w:t>-/-</w:t>
      </w:r>
      <w:r>
        <w:rPr>
          <w:color w:val="000000"/>
          <w:szCs w:val="24"/>
          <w:highlight w:val="none"/>
        </w:rPr>
        <w:t xml:space="preserve"> mice bearing B16-hAXL tumor were treated with PBS (control, n=8)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or </w:t>
      </w:r>
      <w:r>
        <w:rPr>
          <w:color w:val="000000"/>
          <w:szCs w:val="24"/>
          <w:highlight w:val="none"/>
        </w:rPr>
        <w:t xml:space="preserve">6C5 (200 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>g per mice, n=7) by intraperitoneal injection on days 8, 11 and 14. Data indicate means ± SEM and are repeated two or three independent times. Statistical analysis for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tumor growth</w:t>
      </w:r>
      <w:r>
        <w:rPr>
          <w:color w:val="000000"/>
          <w:szCs w:val="24"/>
          <w:highlight w:val="none"/>
        </w:rPr>
        <w:t xml:space="preserve"> was performed using a two-way ANOVA. ns (not significant), *P &lt; 0.05.</w:t>
      </w:r>
    </w:p>
    <w:p w14:paraId="4E0D25A7">
      <w:pPr>
        <w:numPr>
          <w:ilvl w:val="255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696A65A9">
      <w:pPr>
        <w:spacing w:line="288" w:lineRule="auto"/>
        <w:rPr>
          <w:highlight w:val="none"/>
        </w:rPr>
      </w:pPr>
    </w:p>
    <w:p w14:paraId="31CAF71C">
      <w:pPr>
        <w:spacing w:line="288" w:lineRule="auto"/>
        <w:rPr>
          <w:highlight w:val="none"/>
        </w:rPr>
      </w:pPr>
    </w:p>
    <w:p w14:paraId="5276CA88">
      <w:pPr>
        <w:spacing w:line="288" w:lineRule="auto"/>
        <w:rPr>
          <w:highlight w:val="none"/>
        </w:rPr>
      </w:pPr>
    </w:p>
    <w:p w14:paraId="3244A9AF">
      <w:pPr>
        <w:spacing w:line="288" w:lineRule="auto"/>
        <w:rPr>
          <w:highlight w:val="none"/>
        </w:rPr>
      </w:pPr>
    </w:p>
    <w:p w14:paraId="0F2E7618">
      <w:pPr>
        <w:spacing w:line="288" w:lineRule="auto"/>
        <w:rPr>
          <w:highlight w:val="none"/>
        </w:rPr>
      </w:pPr>
    </w:p>
    <w:p w14:paraId="04753031">
      <w:pPr>
        <w:spacing w:line="288" w:lineRule="auto"/>
        <w:rPr>
          <w:highlight w:val="none"/>
        </w:rPr>
      </w:pPr>
    </w:p>
    <w:p w14:paraId="1EC6877E">
      <w:pPr>
        <w:spacing w:line="288" w:lineRule="auto"/>
        <w:rPr>
          <w:highlight w:val="none"/>
        </w:rPr>
      </w:pPr>
    </w:p>
    <w:p w14:paraId="4148AF63">
      <w:pPr>
        <w:spacing w:line="288" w:lineRule="auto"/>
        <w:rPr>
          <w:highlight w:val="none"/>
        </w:rPr>
      </w:pPr>
    </w:p>
    <w:p w14:paraId="1C7D2ECD">
      <w:pPr>
        <w:spacing w:line="288" w:lineRule="auto"/>
        <w:rPr>
          <w:highlight w:val="none"/>
        </w:rPr>
      </w:pPr>
    </w:p>
    <w:p w14:paraId="09792D0B">
      <w:pPr>
        <w:spacing w:line="288" w:lineRule="auto"/>
        <w:rPr>
          <w:highlight w:val="none"/>
        </w:rPr>
      </w:pPr>
    </w:p>
    <w:p w14:paraId="08C1A5D0">
      <w:pPr>
        <w:spacing w:line="288" w:lineRule="auto"/>
        <w:rPr>
          <w:highlight w:val="none"/>
        </w:rPr>
      </w:pPr>
    </w:p>
    <w:p w14:paraId="0802D37D">
      <w:pPr>
        <w:spacing w:line="288" w:lineRule="auto"/>
        <w:rPr>
          <w:highlight w:val="none"/>
        </w:rPr>
      </w:pPr>
    </w:p>
    <w:p w14:paraId="6F781B5A">
      <w:pPr>
        <w:spacing w:line="288" w:lineRule="auto"/>
        <w:rPr>
          <w:highlight w:val="none"/>
        </w:rPr>
      </w:pPr>
    </w:p>
    <w:p w14:paraId="6DBE4DB2">
      <w:pPr>
        <w:spacing w:line="288" w:lineRule="auto"/>
        <w:rPr>
          <w:highlight w:val="none"/>
        </w:rPr>
      </w:pPr>
    </w:p>
    <w:p w14:paraId="38B78533">
      <w:pPr>
        <w:spacing w:line="240" w:lineRule="auto"/>
        <w:rPr>
          <w:highlight w:val="none"/>
        </w:rPr>
      </w:pPr>
      <w:r>
        <w:rPr>
          <w:highlight w:val="none"/>
        </w:rPr>
        <w:br w:type="page"/>
      </w:r>
    </w:p>
    <w:p w14:paraId="737DBFC7">
      <w:pPr>
        <w:spacing w:line="288" w:lineRule="auto"/>
        <w:rPr>
          <w:b/>
          <w:bCs/>
          <w:highlight w:val="none"/>
        </w:rPr>
      </w:pPr>
      <w:r>
        <w:rPr>
          <w:b/>
          <w:bCs/>
          <w:highlight w:val="none"/>
        </w:rPr>
        <w:t>Figure. S</w:t>
      </w:r>
      <w:r>
        <w:rPr>
          <w:rFonts w:hint="eastAsia"/>
          <w:b/>
          <w:bCs/>
          <w:highlight w:val="none"/>
        </w:rPr>
        <w:t>5</w:t>
      </w:r>
      <w:r>
        <w:rPr>
          <w:b/>
          <w:bCs/>
          <w:highlight w:val="none"/>
        </w:rPr>
        <w:t xml:space="preserve"> </w:t>
      </w:r>
    </w:p>
    <w:p w14:paraId="0C8A48B0">
      <w:pPr>
        <w:spacing w:line="288" w:lineRule="auto"/>
        <w:jc w:val="center"/>
        <w:rPr>
          <w:color w:val="000000"/>
          <w:szCs w:val="24"/>
          <w:highlight w:val="none"/>
        </w:rPr>
      </w:pPr>
      <w:r>
        <w:rPr>
          <w:color w:val="000000"/>
          <w:szCs w:val="24"/>
          <w:highlight w:val="none"/>
        </w:rPr>
        <w:drawing>
          <wp:inline distT="0" distB="0" distL="114300" distR="114300">
            <wp:extent cx="5511165" cy="8252460"/>
            <wp:effectExtent l="0" t="0" r="635" b="2540"/>
            <wp:docPr id="9" name="图片 9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1"/>
                    <pic:cNvPicPr>
                      <a:picLocks noChangeAspect="1"/>
                    </pic:cNvPicPr>
                  </pic:nvPicPr>
                  <pic:blipFill>
                    <a:blip r:embed="rId11"/>
                    <a:srcRect t="1966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35B9">
      <w:pPr>
        <w:spacing w:line="288" w:lineRule="auto"/>
        <w:jc w:val="center"/>
        <w:rPr>
          <w:color w:val="000000"/>
          <w:szCs w:val="24"/>
          <w:highlight w:val="none"/>
        </w:rPr>
      </w:pPr>
    </w:p>
    <w:p w14:paraId="06224E02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  <w:r>
        <w:rPr>
          <w:b/>
          <w:bCs/>
          <w:highlight w:val="none"/>
        </w:rPr>
        <w:t>Figure. S5</w:t>
      </w:r>
      <w:r>
        <w:rPr>
          <w:b/>
          <w:bCs/>
          <w:color w:val="000000"/>
          <w:szCs w:val="24"/>
          <w:highlight w:val="none"/>
        </w:rPr>
        <w:t xml:space="preserve"> The therapeutic efficacy of the 6C5 antibody depends on type I interferon signaling. a</w:t>
      </w:r>
      <w:r>
        <w:rPr>
          <w:color w:val="000000"/>
          <w:szCs w:val="24"/>
          <w:highlight w:val="none"/>
        </w:rPr>
        <w:t xml:space="preserve"> Feature plots illustrate the expression of type I interferon-related genes across distinct cell clusters. </w:t>
      </w:r>
      <w:r>
        <w:rPr>
          <w:b/>
          <w:bCs/>
          <w:color w:val="000000"/>
          <w:szCs w:val="24"/>
          <w:highlight w:val="none"/>
        </w:rPr>
        <w:t>b</w:t>
      </w:r>
      <w:r>
        <w:rPr>
          <w:color w:val="000000"/>
          <w:szCs w:val="24"/>
          <w:highlight w:val="none"/>
        </w:rPr>
        <w:t xml:space="preserve"> Tumor growth curves of </w:t>
      </w:r>
      <w:r>
        <w:rPr>
          <w:i/>
          <w:iCs/>
          <w:color w:val="000000"/>
          <w:szCs w:val="24"/>
          <w:highlight w:val="none"/>
        </w:rPr>
        <w:t>Ifnar1</w:t>
      </w:r>
      <w:r>
        <w:rPr>
          <w:color w:val="000000"/>
          <w:szCs w:val="24"/>
          <w:highlight w:val="none"/>
        </w:rPr>
        <w:t xml:space="preserve"> KO C57BL/6 mice (n=6 per group) bearing B16-hAXL tumor were treated with PBS or 6C5 (200 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>g per mice) via intraperitoneal injection on days 8, 11, 14.</w:t>
      </w:r>
      <w:r>
        <w:rPr>
          <w:b/>
          <w:bCs/>
          <w:color w:val="000000"/>
          <w:szCs w:val="24"/>
          <w:highlight w:val="none"/>
        </w:rPr>
        <w:t xml:space="preserve"> c</w:t>
      </w:r>
      <w:r>
        <w:rPr>
          <w:color w:val="000000"/>
          <w:szCs w:val="24"/>
          <w:highlight w:val="none"/>
        </w:rPr>
        <w:t xml:space="preserve"> Tumor growth curves in C57BL/6 mice (n=5 per group) and </w:t>
      </w:r>
      <w:r>
        <w:rPr>
          <w:i/>
          <w:iCs/>
          <w:color w:val="000000"/>
          <w:szCs w:val="24"/>
          <w:highlight w:val="none"/>
        </w:rPr>
        <w:t>Lyz2-cre Ifnar1</w:t>
      </w:r>
      <w:r>
        <w:rPr>
          <w:i/>
          <w:iCs/>
          <w:color w:val="000000"/>
          <w:szCs w:val="24"/>
          <w:highlight w:val="none"/>
          <w:vertAlign w:val="superscript"/>
        </w:rPr>
        <w:t>f/f</w:t>
      </w:r>
      <w:r>
        <w:rPr>
          <w:color w:val="000000"/>
          <w:szCs w:val="24"/>
          <w:highlight w:val="none"/>
        </w:rPr>
        <w:t xml:space="preserve"> mice (n=5 per group) bearing B16-hAXL tumor.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d</w:t>
      </w:r>
      <w:r>
        <w:rPr>
          <w:color w:val="000000"/>
          <w:szCs w:val="24"/>
          <w:highlight w:val="none"/>
        </w:rPr>
        <w:t xml:space="preserve"> C57BL/6J mice(n=5) bearing B16-hAXL tumor were treated with PBS or 6C5(200</w:t>
      </w:r>
      <w:r>
        <w:rPr>
          <w:rFonts w:eastAsia="等线"/>
          <w:color w:val="000000"/>
          <w:szCs w:val="24"/>
          <w:highlight w:val="none"/>
        </w:rPr>
        <w:t>μ</w:t>
      </w:r>
      <w:r>
        <w:rPr>
          <w:color w:val="000000"/>
          <w:szCs w:val="24"/>
          <w:highlight w:val="none"/>
        </w:rPr>
        <w:t xml:space="preserve">g per mice) on days 8, 11 and 14. Tumors were collected on day </w:t>
      </w:r>
      <w:r>
        <w:rPr>
          <w:rFonts w:hint="eastAsia"/>
          <w:color w:val="000000"/>
          <w:szCs w:val="24"/>
          <w:highlight w:val="none"/>
          <w:lang w:val="en-US" w:eastAsia="zh-CN"/>
        </w:rPr>
        <w:t>8</w:t>
      </w:r>
      <w:r>
        <w:rPr>
          <w:color w:val="000000"/>
          <w:szCs w:val="24"/>
          <w:highlight w:val="none"/>
        </w:rPr>
        <w:t xml:space="preserve"> after the first dose for flow cytometric analysis.</w:t>
      </w:r>
      <w:r>
        <w:rPr>
          <w:rFonts w:hint="eastAsia"/>
          <w:color w:val="000000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e</w:t>
      </w:r>
      <w:r>
        <w:rPr>
          <w:color w:val="000000"/>
          <w:szCs w:val="24"/>
          <w:highlight w:val="none"/>
        </w:rPr>
        <w:t xml:space="preserve"> Gating strategy for identifying PD-1</w:t>
      </w:r>
      <w:r>
        <w:rPr>
          <w:color w:val="000000"/>
          <w:szCs w:val="24"/>
          <w:highlight w:val="none"/>
          <w:vertAlign w:val="superscript"/>
        </w:rPr>
        <w:t>hi</w:t>
      </w:r>
      <w:r>
        <w:rPr>
          <w:color w:val="000000"/>
          <w:szCs w:val="24"/>
          <w:highlight w:val="none"/>
        </w:rPr>
        <w:t>Foxp3</w:t>
      </w:r>
      <w:r>
        <w:rPr>
          <w:rFonts w:hint="eastAsia"/>
          <w:color w:val="000000"/>
          <w:szCs w:val="24"/>
          <w:highlight w:val="none"/>
          <w:vertAlign w:val="superscript"/>
          <w:lang w:val="en-US" w:eastAsia="zh-CN"/>
        </w:rPr>
        <w:t>-</w:t>
      </w:r>
      <w:r>
        <w:rPr>
          <w:color w:val="000000"/>
          <w:szCs w:val="24"/>
          <w:highlight w:val="none"/>
        </w:rPr>
        <w:t>CD4</w:t>
      </w:r>
      <w:r>
        <w:rPr>
          <w:color w:val="000000"/>
          <w:szCs w:val="24"/>
          <w:highlight w:val="none"/>
          <w:vertAlign w:val="superscript"/>
        </w:rPr>
        <w:t xml:space="preserve">+ </w:t>
      </w:r>
      <w:r>
        <w:rPr>
          <w:color w:val="000000"/>
          <w:szCs w:val="24"/>
          <w:highlight w:val="none"/>
        </w:rPr>
        <w:t xml:space="preserve">T cells.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f</w:t>
      </w:r>
      <w:r>
        <w:rPr>
          <w:color w:val="000000"/>
          <w:szCs w:val="24"/>
          <w:highlight w:val="none"/>
        </w:rPr>
        <w:t xml:space="preserve"> Venn diagram depicting shared and unique TCR clonotypes among tumor derived Treg,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PD-1</w:t>
      </w:r>
      <w:r>
        <w:rPr>
          <w:color w:val="000000"/>
          <w:szCs w:val="24"/>
          <w:highlight w:val="none"/>
          <w:vertAlign w:val="superscript"/>
        </w:rPr>
        <w:t>hi</w:t>
      </w:r>
      <w:r>
        <w:rPr>
          <w:color w:val="000000"/>
          <w:szCs w:val="24"/>
          <w:highlight w:val="none"/>
        </w:rPr>
        <w:t>Foxp3</w:t>
      </w:r>
      <w:r>
        <w:rPr>
          <w:color w:val="000000"/>
          <w:szCs w:val="24"/>
          <w:highlight w:val="none"/>
          <w:vertAlign w:val="superscript"/>
        </w:rPr>
        <w:t>-</w:t>
      </w:r>
      <w:r>
        <w:rPr>
          <w:color w:val="000000"/>
          <w:szCs w:val="24"/>
          <w:highlight w:val="none"/>
        </w:rPr>
        <w:t>CD4</w:t>
      </w:r>
      <w:r>
        <w:rPr>
          <w:color w:val="000000"/>
          <w:szCs w:val="24"/>
          <w:highlight w:val="none"/>
          <w:vertAlign w:val="superscript"/>
        </w:rPr>
        <w:t>+</w:t>
      </w:r>
      <w:r>
        <w:rPr>
          <w:color w:val="000000"/>
          <w:szCs w:val="24"/>
          <w:highlight w:val="none"/>
        </w:rPr>
        <w:t xml:space="preserve"> T and PD-1⁻Foxp3⁻CD4⁺ T cells subsets. Numbers indicate unique or overlapping clonotypes.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g</w:t>
      </w:r>
      <w:r>
        <w:rPr>
          <w:color w:val="000000"/>
          <w:szCs w:val="24"/>
          <w:highlight w:val="none"/>
        </w:rPr>
        <w:t xml:space="preserve"> Stacked bar graph showing the cumulative frequencies of the top 10 TCR clonotypes within tumor infiltrating Treg, PD-1</w:t>
      </w:r>
      <w:r>
        <w:rPr>
          <w:color w:val="000000"/>
          <w:szCs w:val="24"/>
          <w:highlight w:val="none"/>
          <w:vertAlign w:val="superscript"/>
        </w:rPr>
        <w:t>hi</w:t>
      </w:r>
      <w:r>
        <w:rPr>
          <w:color w:val="000000"/>
          <w:szCs w:val="24"/>
          <w:highlight w:val="none"/>
        </w:rPr>
        <w:t>Foxp3⁻CD4⁺ T and PD-1⁻Foxp3⁻CD4⁺ T populations.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h</w:t>
      </w:r>
      <w:r>
        <w:rPr>
          <w:color w:val="000000"/>
          <w:szCs w:val="24"/>
          <w:highlight w:val="none"/>
        </w:rPr>
        <w:t xml:space="preserve"> Cumulative frequencies of the top 10 clonotypes from PD-1</w:t>
      </w:r>
      <w:r>
        <w:rPr>
          <w:color w:val="000000"/>
          <w:szCs w:val="24"/>
          <w:highlight w:val="none"/>
          <w:vertAlign w:val="superscript"/>
        </w:rPr>
        <w:t>hi</w:t>
      </w:r>
      <w:r>
        <w:rPr>
          <w:color w:val="000000"/>
          <w:szCs w:val="24"/>
          <w:highlight w:val="none"/>
        </w:rPr>
        <w:t>Foxp3</w:t>
      </w:r>
      <w:r>
        <w:rPr>
          <w:color w:val="000000"/>
          <w:szCs w:val="24"/>
          <w:highlight w:val="none"/>
          <w:vertAlign w:val="superscript"/>
        </w:rPr>
        <w:t>-</w:t>
      </w:r>
      <w:r>
        <w:rPr>
          <w:color w:val="000000"/>
          <w:szCs w:val="24"/>
          <w:highlight w:val="none"/>
        </w:rPr>
        <w:t>CD4</w:t>
      </w:r>
      <w:r>
        <w:rPr>
          <w:color w:val="000000"/>
          <w:szCs w:val="24"/>
          <w:highlight w:val="none"/>
          <w:vertAlign w:val="superscript"/>
        </w:rPr>
        <w:t>+</w:t>
      </w:r>
      <w:r>
        <w:rPr>
          <w:color w:val="000000"/>
          <w:szCs w:val="24"/>
          <w:highlight w:val="none"/>
        </w:rPr>
        <w:t xml:space="preserve"> T among the three CD4⁺ T cell subsets. 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i</w:t>
      </w:r>
      <w:r>
        <w:rPr>
          <w:color w:val="000000"/>
          <w:szCs w:val="24"/>
          <w:highlight w:val="none"/>
        </w:rPr>
        <w:t xml:space="preserve"> Cumulative frequencies of the top 10 clonotypes from PD-1</w:t>
      </w:r>
      <w:r>
        <w:rPr>
          <w:color w:val="000000"/>
          <w:szCs w:val="24"/>
          <w:highlight w:val="none"/>
          <w:vertAlign w:val="superscript"/>
        </w:rPr>
        <w:t>-</w:t>
      </w:r>
      <w:r>
        <w:rPr>
          <w:color w:val="000000"/>
          <w:szCs w:val="24"/>
          <w:highlight w:val="none"/>
        </w:rPr>
        <w:t>Foxp3</w:t>
      </w:r>
      <w:r>
        <w:rPr>
          <w:color w:val="000000"/>
          <w:szCs w:val="24"/>
          <w:highlight w:val="none"/>
          <w:vertAlign w:val="superscript"/>
        </w:rPr>
        <w:t>-</w:t>
      </w:r>
      <w:r>
        <w:rPr>
          <w:color w:val="000000"/>
          <w:szCs w:val="24"/>
          <w:highlight w:val="none"/>
        </w:rPr>
        <w:t>CD4</w:t>
      </w:r>
      <w:r>
        <w:rPr>
          <w:color w:val="000000"/>
          <w:szCs w:val="24"/>
          <w:highlight w:val="none"/>
          <w:vertAlign w:val="superscript"/>
        </w:rPr>
        <w:t>+</w:t>
      </w:r>
      <w:r>
        <w:rPr>
          <w:color w:val="000000"/>
          <w:szCs w:val="24"/>
          <w:highlight w:val="none"/>
        </w:rPr>
        <w:t xml:space="preserve"> T among the three CD4⁺ T cell subsets. </w:t>
      </w:r>
      <w:r>
        <w:rPr>
          <w:rFonts w:hint="eastAsia"/>
          <w:b/>
          <w:bCs/>
          <w:color w:val="000000"/>
          <w:szCs w:val="24"/>
          <w:highlight w:val="none"/>
        </w:rPr>
        <w:t>j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Tumor growth curves of C57BL/6 mice that experienced complete tumor regression after 6C5 plus anti-CD4 combination therapy, following subcutaneous rechallenge with B16-hAXL tumor cells. Data indicate means ± SEM and are repeated two or three independent times. Statistical analysis for tumor growth was performed using a two-way ANOVA. For (</w:t>
      </w:r>
      <w:r>
        <w:rPr>
          <w:rFonts w:hint="eastAsia"/>
          <w:b/>
          <w:bCs/>
          <w:color w:val="000000"/>
          <w:szCs w:val="24"/>
          <w:highlight w:val="none"/>
          <w:lang w:val="en-US" w:eastAsia="zh-CN"/>
        </w:rPr>
        <w:t>d</w:t>
      </w:r>
      <w:r>
        <w:rPr>
          <w:color w:val="000000"/>
          <w:szCs w:val="24"/>
          <w:highlight w:val="none"/>
        </w:rPr>
        <w:t>), unpaired two-tailed t test was applied.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ns (not significant), *P &lt; 0.05, **P &lt; 0.01</w:t>
      </w:r>
      <w:r>
        <w:rPr>
          <w:rFonts w:hint="eastAsia"/>
          <w:color w:val="000000"/>
          <w:szCs w:val="24"/>
          <w:highlight w:val="none"/>
        </w:rPr>
        <w:t xml:space="preserve"> </w:t>
      </w:r>
      <w:r>
        <w:rPr>
          <w:color w:val="000000"/>
          <w:szCs w:val="24"/>
          <w:highlight w:val="none"/>
        </w:rPr>
        <w:t>and ****P &lt; 0.0001.</w:t>
      </w:r>
    </w:p>
    <w:p w14:paraId="13EE8510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07567FA5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34E35712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010B9AB1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6A3A2720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5F2594E4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18D22495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1BBE2053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7780685C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p w14:paraId="297693E9">
      <w:pPr>
        <w:numPr>
          <w:ilvl w:val="-1"/>
          <w:numId w:val="0"/>
        </w:numPr>
        <w:spacing w:line="240" w:lineRule="auto"/>
        <w:rPr>
          <w:color w:val="000000"/>
          <w:szCs w:val="24"/>
          <w:highlight w:val="none"/>
        </w:rPr>
      </w:pPr>
      <w:r>
        <w:rPr>
          <w:color w:val="000000"/>
          <w:szCs w:val="24"/>
          <w:highlight w:val="none"/>
        </w:rPr>
        <w:br w:type="page"/>
      </w:r>
    </w:p>
    <w:p w14:paraId="1908ECB4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Data S</w:t>
      </w:r>
      <w:r>
        <w:rPr>
          <w:rFonts w:hint="eastAsia" w:eastAsia="TimesNewRomanPS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. (separate file) </w:t>
      </w:r>
    </w:p>
    <w:p w14:paraId="5878C276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Uncropped images of Western blot membranes.</w:t>
      </w:r>
    </w:p>
    <w:p w14:paraId="375056F7">
      <w:pPr>
        <w:numPr>
          <w:ilvl w:val="0"/>
          <w:numId w:val="0"/>
        </w:numPr>
        <w:spacing w:line="288" w:lineRule="auto"/>
        <w:rPr>
          <w:color w:val="000000"/>
          <w:szCs w:val="24"/>
          <w:highlight w:val="none"/>
        </w:rPr>
      </w:pPr>
    </w:p>
    <w:sectPr>
      <w:headerReference r:id="rId4" w:type="default"/>
      <w:footerReference r:id="rId5" w:type="default"/>
      <w:pgSz w:w="11906" w:h="16838"/>
      <w:pgMar w:top="1440" w:right="1440" w:bottom="1800" w:left="1440" w:header="850" w:footer="994" w:gutter="0"/>
      <w:lnNumType w:countBy="1" w:restart="continuous"/>
      <w:cols w:space="720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MT">
    <w:altName w:val="Arial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75D8D">
    <w:pPr>
      <w:pStyle w:val="8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14BF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14BF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048B0">
    <w:pPr>
      <w:pStyle w:val="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521F41"/>
    <w:multiLevelType w:val="multilevel"/>
    <w:tmpl w:val="86521F41"/>
    <w:lvl w:ilvl="0" w:tentative="0">
      <w:start w:val="1"/>
      <w:numFmt w:val="decimal"/>
      <w:suff w:val="space"/>
      <w:lvlText w:val="%1. "/>
      <w:lvlJc w:val="left"/>
      <w:pPr>
        <w:ind w:left="425" w:hanging="425"/>
      </w:pPr>
      <w:rPr>
        <w:rFonts w:hint="default" w:ascii="Times New Roman" w:hAnsi="Times New Roman" w:eastAsia="黑体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0"/>
        <w:u w:val="none"/>
        <w:vertAlign w:val="baseline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425" w:hanging="425"/>
      </w:pPr>
      <w:rPr>
        <w:rFonts w:hint="default" w:ascii="Times New Roman" w:hAnsi="Times New Roman"/>
        <w:b/>
        <w:i w:val="0"/>
        <w:sz w:val="28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4395" w:firstLine="0"/>
      </w:pPr>
      <w:rPr>
        <w:rFonts w:hint="default" w:ascii="Times New Roman" w:hAnsi="Times New Roman"/>
        <w:b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trackRevisions w:val="1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xYWIxNWM2MGZkMWQ2NTgzYTkwNzRkZTZiMGZhODQ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tw0p20aawf0be5xebvffdyw9fdfrxsz95s&quot;&gt;My EndNote Library&lt;record-ids&gt;&lt;item&gt;1&lt;/item&gt;&lt;item&gt;2&lt;/item&gt;&lt;item&gt;3&lt;/item&gt;&lt;item&gt;4&lt;/item&gt;&lt;item&gt;5&lt;/item&gt;&lt;item&gt;6&lt;/item&gt;&lt;item&gt;7&lt;/item&gt;&lt;item&gt;10&lt;/item&gt;&lt;item&gt;11&lt;/item&gt;&lt;item&gt;12&lt;/item&gt;&lt;item&gt;13&lt;/item&gt;&lt;item&gt;17&lt;/item&gt;&lt;item&gt;19&lt;/item&gt;&lt;item&gt;20&lt;/item&gt;&lt;item&gt;21&lt;/item&gt;&lt;item&gt;23&lt;/item&gt;&lt;item&gt;24&lt;/item&gt;&lt;item&gt;30&lt;/item&gt;&lt;item&gt;31&lt;/item&gt;&lt;item&gt;32&lt;/item&gt;&lt;item&gt;33&lt;/item&gt;&lt;item&gt;34&lt;/item&gt;&lt;item&gt;35&lt;/item&gt;&lt;item&gt;36&lt;/item&gt;&lt;item&gt;37&lt;/item&gt;&lt;item&gt;39&lt;/item&gt;&lt;item&gt;40&lt;/item&gt;&lt;item&gt;43&lt;/item&gt;&lt;item&gt;45&lt;/item&gt;&lt;item&gt;47&lt;/item&gt;&lt;item&gt;49&lt;/item&gt;&lt;item&gt;51&lt;/item&gt;&lt;item&gt;54&lt;/item&gt;&lt;item&gt;58&lt;/item&gt;&lt;item&gt;60&lt;/item&gt;&lt;item&gt;62&lt;/item&gt;&lt;item&gt;63&lt;/item&gt;&lt;item&gt;64&lt;/item&gt;&lt;item&gt;65&lt;/item&gt;&lt;item&gt;66&lt;/item&gt;&lt;item&gt;67&lt;/item&gt;&lt;item&gt;77&lt;/item&gt;&lt;item&gt;79&lt;/item&gt;&lt;item&gt;80&lt;/item&gt;&lt;item&gt;82&lt;/item&gt;&lt;item&gt;87&lt;/item&gt;&lt;item&gt;88&lt;/item&gt;&lt;item&gt;89&lt;/item&gt;&lt;item&gt;93&lt;/item&gt;&lt;item&gt;94&lt;/item&gt;&lt;item&gt;95&lt;/item&gt;&lt;item&gt;96&lt;/item&gt;&lt;item&gt;97&lt;/item&gt;&lt;item&gt;98&lt;/item&gt;&lt;item&gt;99&lt;/item&gt;&lt;item&gt;103&lt;/item&gt;&lt;item&gt;104&lt;/item&gt;&lt;item&gt;105&lt;/item&gt;&lt;item&gt;106&lt;/item&gt;&lt;item&gt;107&lt;/item&gt;&lt;item&gt;108&lt;/item&gt;&lt;item&gt;109&lt;/item&gt;&lt;item&gt;110&lt;/item&gt;&lt;/record-ids&gt;&lt;/item&gt;&lt;/Libraries&gt;"/>
  </w:docVars>
  <w:rsids>
    <w:rsidRoot w:val="00172A27"/>
    <w:rsid w:val="00001A17"/>
    <w:rsid w:val="00002712"/>
    <w:rsid w:val="0000309C"/>
    <w:rsid w:val="00003218"/>
    <w:rsid w:val="000040E6"/>
    <w:rsid w:val="00004D91"/>
    <w:rsid w:val="000061B6"/>
    <w:rsid w:val="000064B8"/>
    <w:rsid w:val="0000679D"/>
    <w:rsid w:val="000077C1"/>
    <w:rsid w:val="000079AE"/>
    <w:rsid w:val="0001051F"/>
    <w:rsid w:val="0001056F"/>
    <w:rsid w:val="00011CC7"/>
    <w:rsid w:val="00012B61"/>
    <w:rsid w:val="000131A5"/>
    <w:rsid w:val="00014240"/>
    <w:rsid w:val="00015535"/>
    <w:rsid w:val="000155D9"/>
    <w:rsid w:val="00016F56"/>
    <w:rsid w:val="00020008"/>
    <w:rsid w:val="0002005D"/>
    <w:rsid w:val="0002139B"/>
    <w:rsid w:val="000215F5"/>
    <w:rsid w:val="00021A19"/>
    <w:rsid w:val="000226FD"/>
    <w:rsid w:val="000231B5"/>
    <w:rsid w:val="00023264"/>
    <w:rsid w:val="00023319"/>
    <w:rsid w:val="00024E27"/>
    <w:rsid w:val="000279A7"/>
    <w:rsid w:val="00031474"/>
    <w:rsid w:val="00032939"/>
    <w:rsid w:val="0003313F"/>
    <w:rsid w:val="00033573"/>
    <w:rsid w:val="00034BAC"/>
    <w:rsid w:val="00034E80"/>
    <w:rsid w:val="00037B81"/>
    <w:rsid w:val="0004074D"/>
    <w:rsid w:val="00040C10"/>
    <w:rsid w:val="00041EFF"/>
    <w:rsid w:val="00041F7A"/>
    <w:rsid w:val="00042B47"/>
    <w:rsid w:val="000432DB"/>
    <w:rsid w:val="00045573"/>
    <w:rsid w:val="00046347"/>
    <w:rsid w:val="00046CBA"/>
    <w:rsid w:val="000513D0"/>
    <w:rsid w:val="000518BD"/>
    <w:rsid w:val="0005266F"/>
    <w:rsid w:val="00052A49"/>
    <w:rsid w:val="0005442D"/>
    <w:rsid w:val="00055514"/>
    <w:rsid w:val="00056D0A"/>
    <w:rsid w:val="000608B7"/>
    <w:rsid w:val="00060C73"/>
    <w:rsid w:val="0006170F"/>
    <w:rsid w:val="00061867"/>
    <w:rsid w:val="00061DB1"/>
    <w:rsid w:val="00063137"/>
    <w:rsid w:val="00064F19"/>
    <w:rsid w:val="000652EB"/>
    <w:rsid w:val="000713F1"/>
    <w:rsid w:val="00071659"/>
    <w:rsid w:val="0007201D"/>
    <w:rsid w:val="00072DDD"/>
    <w:rsid w:val="00073E94"/>
    <w:rsid w:val="0007443C"/>
    <w:rsid w:val="00074B4E"/>
    <w:rsid w:val="00074EB7"/>
    <w:rsid w:val="00075344"/>
    <w:rsid w:val="00075A1F"/>
    <w:rsid w:val="000770BC"/>
    <w:rsid w:val="00077881"/>
    <w:rsid w:val="0007798D"/>
    <w:rsid w:val="000812BC"/>
    <w:rsid w:val="000827B1"/>
    <w:rsid w:val="0008390E"/>
    <w:rsid w:val="00090A69"/>
    <w:rsid w:val="00090C6F"/>
    <w:rsid w:val="0009144E"/>
    <w:rsid w:val="000914A0"/>
    <w:rsid w:val="00091BEA"/>
    <w:rsid w:val="000927AA"/>
    <w:rsid w:val="00093890"/>
    <w:rsid w:val="00094288"/>
    <w:rsid w:val="000949CB"/>
    <w:rsid w:val="00097514"/>
    <w:rsid w:val="00097A0B"/>
    <w:rsid w:val="000A001E"/>
    <w:rsid w:val="000A18DC"/>
    <w:rsid w:val="000A25BA"/>
    <w:rsid w:val="000A2E44"/>
    <w:rsid w:val="000A45D9"/>
    <w:rsid w:val="000A4CB1"/>
    <w:rsid w:val="000A5FD1"/>
    <w:rsid w:val="000A6256"/>
    <w:rsid w:val="000B0B2E"/>
    <w:rsid w:val="000B0D03"/>
    <w:rsid w:val="000B193E"/>
    <w:rsid w:val="000B1BC0"/>
    <w:rsid w:val="000B1E22"/>
    <w:rsid w:val="000B4074"/>
    <w:rsid w:val="000B41AC"/>
    <w:rsid w:val="000B589F"/>
    <w:rsid w:val="000B58DD"/>
    <w:rsid w:val="000B5FA7"/>
    <w:rsid w:val="000B6A25"/>
    <w:rsid w:val="000B6A93"/>
    <w:rsid w:val="000B7E0B"/>
    <w:rsid w:val="000C120C"/>
    <w:rsid w:val="000C3A92"/>
    <w:rsid w:val="000C3DFC"/>
    <w:rsid w:val="000C4088"/>
    <w:rsid w:val="000C4EE8"/>
    <w:rsid w:val="000C5D39"/>
    <w:rsid w:val="000C62D4"/>
    <w:rsid w:val="000C73A8"/>
    <w:rsid w:val="000C7612"/>
    <w:rsid w:val="000D0E89"/>
    <w:rsid w:val="000D0F2C"/>
    <w:rsid w:val="000D18FA"/>
    <w:rsid w:val="000D1A70"/>
    <w:rsid w:val="000D1F86"/>
    <w:rsid w:val="000D3B3F"/>
    <w:rsid w:val="000D3F6A"/>
    <w:rsid w:val="000D41FA"/>
    <w:rsid w:val="000D5227"/>
    <w:rsid w:val="000E0BE9"/>
    <w:rsid w:val="000E2BA0"/>
    <w:rsid w:val="000E3B65"/>
    <w:rsid w:val="000E4673"/>
    <w:rsid w:val="000E4C0B"/>
    <w:rsid w:val="000E53EF"/>
    <w:rsid w:val="000E6586"/>
    <w:rsid w:val="000E75FF"/>
    <w:rsid w:val="000E778F"/>
    <w:rsid w:val="000E7819"/>
    <w:rsid w:val="000F155E"/>
    <w:rsid w:val="000F2769"/>
    <w:rsid w:val="000F288B"/>
    <w:rsid w:val="000F34E3"/>
    <w:rsid w:val="000F3BAF"/>
    <w:rsid w:val="000F58DB"/>
    <w:rsid w:val="000F5948"/>
    <w:rsid w:val="000F5D50"/>
    <w:rsid w:val="000F6FC6"/>
    <w:rsid w:val="000F6FE9"/>
    <w:rsid w:val="000F7A6E"/>
    <w:rsid w:val="000F7CC6"/>
    <w:rsid w:val="00100552"/>
    <w:rsid w:val="001016DD"/>
    <w:rsid w:val="00101D99"/>
    <w:rsid w:val="00103CDE"/>
    <w:rsid w:val="00104AED"/>
    <w:rsid w:val="00106C1F"/>
    <w:rsid w:val="00107014"/>
    <w:rsid w:val="00107319"/>
    <w:rsid w:val="00112786"/>
    <w:rsid w:val="001134F8"/>
    <w:rsid w:val="00113544"/>
    <w:rsid w:val="00113826"/>
    <w:rsid w:val="00113FAD"/>
    <w:rsid w:val="00113FB8"/>
    <w:rsid w:val="00114229"/>
    <w:rsid w:val="00115CD8"/>
    <w:rsid w:val="0012073B"/>
    <w:rsid w:val="00121F4D"/>
    <w:rsid w:val="00122167"/>
    <w:rsid w:val="00123369"/>
    <w:rsid w:val="00123C07"/>
    <w:rsid w:val="0012403A"/>
    <w:rsid w:val="00124FEF"/>
    <w:rsid w:val="001251D2"/>
    <w:rsid w:val="001253C6"/>
    <w:rsid w:val="00126357"/>
    <w:rsid w:val="00126BFB"/>
    <w:rsid w:val="0013002E"/>
    <w:rsid w:val="0013081E"/>
    <w:rsid w:val="00131A88"/>
    <w:rsid w:val="00133441"/>
    <w:rsid w:val="00134C21"/>
    <w:rsid w:val="001351C0"/>
    <w:rsid w:val="001353B1"/>
    <w:rsid w:val="00135DA3"/>
    <w:rsid w:val="00135EDD"/>
    <w:rsid w:val="0013637A"/>
    <w:rsid w:val="001363C6"/>
    <w:rsid w:val="00140A65"/>
    <w:rsid w:val="001415B4"/>
    <w:rsid w:val="00141C74"/>
    <w:rsid w:val="00142016"/>
    <w:rsid w:val="00142478"/>
    <w:rsid w:val="00143AC9"/>
    <w:rsid w:val="00143BCD"/>
    <w:rsid w:val="001447D2"/>
    <w:rsid w:val="00144F16"/>
    <w:rsid w:val="00145187"/>
    <w:rsid w:val="00145FBB"/>
    <w:rsid w:val="001469B3"/>
    <w:rsid w:val="00146B09"/>
    <w:rsid w:val="00150587"/>
    <w:rsid w:val="00150C9F"/>
    <w:rsid w:val="0015116B"/>
    <w:rsid w:val="00151ACC"/>
    <w:rsid w:val="0015380F"/>
    <w:rsid w:val="00154A40"/>
    <w:rsid w:val="00155DCC"/>
    <w:rsid w:val="00155EDA"/>
    <w:rsid w:val="00156723"/>
    <w:rsid w:val="001607F1"/>
    <w:rsid w:val="00162233"/>
    <w:rsid w:val="00165122"/>
    <w:rsid w:val="00166D4A"/>
    <w:rsid w:val="00166FC5"/>
    <w:rsid w:val="0017261E"/>
    <w:rsid w:val="00172A27"/>
    <w:rsid w:val="0017475A"/>
    <w:rsid w:val="0017527D"/>
    <w:rsid w:val="00175B79"/>
    <w:rsid w:val="00176C43"/>
    <w:rsid w:val="00176DB7"/>
    <w:rsid w:val="0018007A"/>
    <w:rsid w:val="00180E2C"/>
    <w:rsid w:val="00182AEA"/>
    <w:rsid w:val="00183865"/>
    <w:rsid w:val="00183D1D"/>
    <w:rsid w:val="001858F9"/>
    <w:rsid w:val="001861D6"/>
    <w:rsid w:val="00186B60"/>
    <w:rsid w:val="001870E8"/>
    <w:rsid w:val="001872D8"/>
    <w:rsid w:val="00187AFA"/>
    <w:rsid w:val="00191B9E"/>
    <w:rsid w:val="00191D61"/>
    <w:rsid w:val="00194C5F"/>
    <w:rsid w:val="00195384"/>
    <w:rsid w:val="00196F55"/>
    <w:rsid w:val="00197FE9"/>
    <w:rsid w:val="001A0F9D"/>
    <w:rsid w:val="001A0FD8"/>
    <w:rsid w:val="001A31E5"/>
    <w:rsid w:val="001A36A3"/>
    <w:rsid w:val="001A3BCB"/>
    <w:rsid w:val="001A42BC"/>
    <w:rsid w:val="001A4CAD"/>
    <w:rsid w:val="001A5035"/>
    <w:rsid w:val="001A564A"/>
    <w:rsid w:val="001A5DF5"/>
    <w:rsid w:val="001A5ECF"/>
    <w:rsid w:val="001A65A6"/>
    <w:rsid w:val="001A6D0F"/>
    <w:rsid w:val="001A6F94"/>
    <w:rsid w:val="001B51BC"/>
    <w:rsid w:val="001B5DD6"/>
    <w:rsid w:val="001B709E"/>
    <w:rsid w:val="001B7E23"/>
    <w:rsid w:val="001C0B8A"/>
    <w:rsid w:val="001C1B2D"/>
    <w:rsid w:val="001C42E3"/>
    <w:rsid w:val="001C5329"/>
    <w:rsid w:val="001C5D22"/>
    <w:rsid w:val="001D1C82"/>
    <w:rsid w:val="001D24DF"/>
    <w:rsid w:val="001D2881"/>
    <w:rsid w:val="001D374F"/>
    <w:rsid w:val="001D391B"/>
    <w:rsid w:val="001D557F"/>
    <w:rsid w:val="001D5E90"/>
    <w:rsid w:val="001D6252"/>
    <w:rsid w:val="001D7376"/>
    <w:rsid w:val="001E30D0"/>
    <w:rsid w:val="001E3E7B"/>
    <w:rsid w:val="001E580F"/>
    <w:rsid w:val="001E6F14"/>
    <w:rsid w:val="001E7C22"/>
    <w:rsid w:val="001E7CB6"/>
    <w:rsid w:val="001F0E3E"/>
    <w:rsid w:val="001F3387"/>
    <w:rsid w:val="001F33CF"/>
    <w:rsid w:val="001F5633"/>
    <w:rsid w:val="001F5D50"/>
    <w:rsid w:val="001F711A"/>
    <w:rsid w:val="002000A7"/>
    <w:rsid w:val="002001CC"/>
    <w:rsid w:val="0020257B"/>
    <w:rsid w:val="00202669"/>
    <w:rsid w:val="00202E66"/>
    <w:rsid w:val="002043BC"/>
    <w:rsid w:val="002052BB"/>
    <w:rsid w:val="00205513"/>
    <w:rsid w:val="00206E3B"/>
    <w:rsid w:val="00210990"/>
    <w:rsid w:val="002115DF"/>
    <w:rsid w:val="00213734"/>
    <w:rsid w:val="0021411C"/>
    <w:rsid w:val="00214549"/>
    <w:rsid w:val="00214E33"/>
    <w:rsid w:val="002155DF"/>
    <w:rsid w:val="00215AF8"/>
    <w:rsid w:val="002211C6"/>
    <w:rsid w:val="0022127E"/>
    <w:rsid w:val="002213E9"/>
    <w:rsid w:val="002241D3"/>
    <w:rsid w:val="0022421C"/>
    <w:rsid w:val="00224306"/>
    <w:rsid w:val="00226724"/>
    <w:rsid w:val="00230975"/>
    <w:rsid w:val="00230E48"/>
    <w:rsid w:val="00230F72"/>
    <w:rsid w:val="00231481"/>
    <w:rsid w:val="002317FC"/>
    <w:rsid w:val="0023185E"/>
    <w:rsid w:val="0023244C"/>
    <w:rsid w:val="00232EDD"/>
    <w:rsid w:val="00233765"/>
    <w:rsid w:val="00233B63"/>
    <w:rsid w:val="002355BA"/>
    <w:rsid w:val="00236B86"/>
    <w:rsid w:val="00240E6E"/>
    <w:rsid w:val="0024141F"/>
    <w:rsid w:val="00241E84"/>
    <w:rsid w:val="00243BCB"/>
    <w:rsid w:val="002442CA"/>
    <w:rsid w:val="00246E1C"/>
    <w:rsid w:val="0024764D"/>
    <w:rsid w:val="0024780D"/>
    <w:rsid w:val="00250E9D"/>
    <w:rsid w:val="0025117E"/>
    <w:rsid w:val="002513D7"/>
    <w:rsid w:val="002519D5"/>
    <w:rsid w:val="002535E8"/>
    <w:rsid w:val="00254C1C"/>
    <w:rsid w:val="002551F8"/>
    <w:rsid w:val="0025538F"/>
    <w:rsid w:val="00255D6F"/>
    <w:rsid w:val="00260260"/>
    <w:rsid w:val="00260443"/>
    <w:rsid w:val="00261983"/>
    <w:rsid w:val="00261C4C"/>
    <w:rsid w:val="00263AC0"/>
    <w:rsid w:val="0026438E"/>
    <w:rsid w:val="00264627"/>
    <w:rsid w:val="0026562B"/>
    <w:rsid w:val="002669AB"/>
    <w:rsid w:val="00266CD3"/>
    <w:rsid w:val="00271057"/>
    <w:rsid w:val="00271600"/>
    <w:rsid w:val="00271AB6"/>
    <w:rsid w:val="00272414"/>
    <w:rsid w:val="0027485B"/>
    <w:rsid w:val="00276CF7"/>
    <w:rsid w:val="00277125"/>
    <w:rsid w:val="002841C2"/>
    <w:rsid w:val="00285AE6"/>
    <w:rsid w:val="00290D7D"/>
    <w:rsid w:val="00291053"/>
    <w:rsid w:val="00291654"/>
    <w:rsid w:val="0029236B"/>
    <w:rsid w:val="002935A6"/>
    <w:rsid w:val="00294608"/>
    <w:rsid w:val="00296823"/>
    <w:rsid w:val="00296A3C"/>
    <w:rsid w:val="002A05B0"/>
    <w:rsid w:val="002A0B36"/>
    <w:rsid w:val="002A39C7"/>
    <w:rsid w:val="002A413A"/>
    <w:rsid w:val="002A4A58"/>
    <w:rsid w:val="002B0949"/>
    <w:rsid w:val="002B1F83"/>
    <w:rsid w:val="002B3BFE"/>
    <w:rsid w:val="002B560C"/>
    <w:rsid w:val="002B5BFE"/>
    <w:rsid w:val="002B5C07"/>
    <w:rsid w:val="002B62CB"/>
    <w:rsid w:val="002B6541"/>
    <w:rsid w:val="002B6CA1"/>
    <w:rsid w:val="002B7732"/>
    <w:rsid w:val="002B7C4E"/>
    <w:rsid w:val="002C1495"/>
    <w:rsid w:val="002C29A3"/>
    <w:rsid w:val="002C6175"/>
    <w:rsid w:val="002C6C73"/>
    <w:rsid w:val="002D0DDA"/>
    <w:rsid w:val="002D37EA"/>
    <w:rsid w:val="002D3FB4"/>
    <w:rsid w:val="002D3FC0"/>
    <w:rsid w:val="002D4F09"/>
    <w:rsid w:val="002D55FB"/>
    <w:rsid w:val="002D587A"/>
    <w:rsid w:val="002D5FB0"/>
    <w:rsid w:val="002D7DAF"/>
    <w:rsid w:val="002E0727"/>
    <w:rsid w:val="002E0DF5"/>
    <w:rsid w:val="002E29A1"/>
    <w:rsid w:val="002E3696"/>
    <w:rsid w:val="002E5C41"/>
    <w:rsid w:val="002E5EFA"/>
    <w:rsid w:val="002E6D11"/>
    <w:rsid w:val="002E71F0"/>
    <w:rsid w:val="002E75C4"/>
    <w:rsid w:val="002F1922"/>
    <w:rsid w:val="002F1FAA"/>
    <w:rsid w:val="002F3213"/>
    <w:rsid w:val="002F4A68"/>
    <w:rsid w:val="002F5414"/>
    <w:rsid w:val="002F6E65"/>
    <w:rsid w:val="002F7841"/>
    <w:rsid w:val="00302586"/>
    <w:rsid w:val="0030321B"/>
    <w:rsid w:val="0030374B"/>
    <w:rsid w:val="003043E2"/>
    <w:rsid w:val="00304FFD"/>
    <w:rsid w:val="00305D30"/>
    <w:rsid w:val="00310648"/>
    <w:rsid w:val="0031148C"/>
    <w:rsid w:val="00312634"/>
    <w:rsid w:val="0031387D"/>
    <w:rsid w:val="0031448E"/>
    <w:rsid w:val="00314524"/>
    <w:rsid w:val="00314835"/>
    <w:rsid w:val="00314E02"/>
    <w:rsid w:val="003153DB"/>
    <w:rsid w:val="00315FBF"/>
    <w:rsid w:val="003165DD"/>
    <w:rsid w:val="00317542"/>
    <w:rsid w:val="003209E7"/>
    <w:rsid w:val="003252E8"/>
    <w:rsid w:val="00326483"/>
    <w:rsid w:val="003264F3"/>
    <w:rsid w:val="003275BF"/>
    <w:rsid w:val="003276DC"/>
    <w:rsid w:val="003279D6"/>
    <w:rsid w:val="00327FC4"/>
    <w:rsid w:val="00330C07"/>
    <w:rsid w:val="003313FE"/>
    <w:rsid w:val="0033169C"/>
    <w:rsid w:val="00331A38"/>
    <w:rsid w:val="00332331"/>
    <w:rsid w:val="00332B6F"/>
    <w:rsid w:val="0033463F"/>
    <w:rsid w:val="00334956"/>
    <w:rsid w:val="00335BC2"/>
    <w:rsid w:val="00335F9D"/>
    <w:rsid w:val="003362C0"/>
    <w:rsid w:val="0033663B"/>
    <w:rsid w:val="003374A3"/>
    <w:rsid w:val="00342435"/>
    <w:rsid w:val="00344591"/>
    <w:rsid w:val="00344E0F"/>
    <w:rsid w:val="00345913"/>
    <w:rsid w:val="003467AF"/>
    <w:rsid w:val="00346A9B"/>
    <w:rsid w:val="00347186"/>
    <w:rsid w:val="003475BE"/>
    <w:rsid w:val="00350B39"/>
    <w:rsid w:val="003513C7"/>
    <w:rsid w:val="00351FFF"/>
    <w:rsid w:val="0035247B"/>
    <w:rsid w:val="003526DB"/>
    <w:rsid w:val="0035326E"/>
    <w:rsid w:val="003533B3"/>
    <w:rsid w:val="00355C15"/>
    <w:rsid w:val="0035605C"/>
    <w:rsid w:val="00356A1E"/>
    <w:rsid w:val="00357904"/>
    <w:rsid w:val="00357ACD"/>
    <w:rsid w:val="003617D9"/>
    <w:rsid w:val="00362324"/>
    <w:rsid w:val="003629B1"/>
    <w:rsid w:val="00362B39"/>
    <w:rsid w:val="003636C6"/>
    <w:rsid w:val="0036383F"/>
    <w:rsid w:val="003646B1"/>
    <w:rsid w:val="0036520B"/>
    <w:rsid w:val="00365A89"/>
    <w:rsid w:val="003665D5"/>
    <w:rsid w:val="00372018"/>
    <w:rsid w:val="00376306"/>
    <w:rsid w:val="00376924"/>
    <w:rsid w:val="00376D5E"/>
    <w:rsid w:val="00377016"/>
    <w:rsid w:val="00380499"/>
    <w:rsid w:val="003823D9"/>
    <w:rsid w:val="00382575"/>
    <w:rsid w:val="00382872"/>
    <w:rsid w:val="00382CE8"/>
    <w:rsid w:val="00385097"/>
    <w:rsid w:val="00385C05"/>
    <w:rsid w:val="0038727C"/>
    <w:rsid w:val="0038769D"/>
    <w:rsid w:val="003902E5"/>
    <w:rsid w:val="00391C45"/>
    <w:rsid w:val="00392E76"/>
    <w:rsid w:val="003943AE"/>
    <w:rsid w:val="00394631"/>
    <w:rsid w:val="003A1468"/>
    <w:rsid w:val="003A18D2"/>
    <w:rsid w:val="003A4167"/>
    <w:rsid w:val="003A4819"/>
    <w:rsid w:val="003A55BC"/>
    <w:rsid w:val="003A6D65"/>
    <w:rsid w:val="003A6DB8"/>
    <w:rsid w:val="003A7CFD"/>
    <w:rsid w:val="003B041D"/>
    <w:rsid w:val="003B0635"/>
    <w:rsid w:val="003B0860"/>
    <w:rsid w:val="003B18A3"/>
    <w:rsid w:val="003B1CEE"/>
    <w:rsid w:val="003B1E2C"/>
    <w:rsid w:val="003B2BCB"/>
    <w:rsid w:val="003B3508"/>
    <w:rsid w:val="003B3A51"/>
    <w:rsid w:val="003B5D6B"/>
    <w:rsid w:val="003B7272"/>
    <w:rsid w:val="003C04E3"/>
    <w:rsid w:val="003C182C"/>
    <w:rsid w:val="003C240B"/>
    <w:rsid w:val="003C3036"/>
    <w:rsid w:val="003C6346"/>
    <w:rsid w:val="003C6486"/>
    <w:rsid w:val="003C76DB"/>
    <w:rsid w:val="003D01AE"/>
    <w:rsid w:val="003D0B63"/>
    <w:rsid w:val="003D1DAD"/>
    <w:rsid w:val="003D3014"/>
    <w:rsid w:val="003D3A0B"/>
    <w:rsid w:val="003D3B05"/>
    <w:rsid w:val="003D3F40"/>
    <w:rsid w:val="003D457F"/>
    <w:rsid w:val="003D483E"/>
    <w:rsid w:val="003D5C8D"/>
    <w:rsid w:val="003E02E7"/>
    <w:rsid w:val="003E0BE6"/>
    <w:rsid w:val="003E5521"/>
    <w:rsid w:val="003E65DE"/>
    <w:rsid w:val="003E7F62"/>
    <w:rsid w:val="003F0AD4"/>
    <w:rsid w:val="003F13A1"/>
    <w:rsid w:val="003F1C1C"/>
    <w:rsid w:val="003F1D39"/>
    <w:rsid w:val="003F4581"/>
    <w:rsid w:val="003F4F70"/>
    <w:rsid w:val="003F55F5"/>
    <w:rsid w:val="003F636B"/>
    <w:rsid w:val="00401345"/>
    <w:rsid w:val="0040162A"/>
    <w:rsid w:val="00401BA3"/>
    <w:rsid w:val="00402A35"/>
    <w:rsid w:val="00404A92"/>
    <w:rsid w:val="00405027"/>
    <w:rsid w:val="00407BF3"/>
    <w:rsid w:val="00410643"/>
    <w:rsid w:val="004119C2"/>
    <w:rsid w:val="00412C48"/>
    <w:rsid w:val="00412D14"/>
    <w:rsid w:val="00413000"/>
    <w:rsid w:val="00413372"/>
    <w:rsid w:val="00413E8B"/>
    <w:rsid w:val="004159C7"/>
    <w:rsid w:val="00416701"/>
    <w:rsid w:val="004175EE"/>
    <w:rsid w:val="004176B9"/>
    <w:rsid w:val="00417E83"/>
    <w:rsid w:val="00420A82"/>
    <w:rsid w:val="004228E7"/>
    <w:rsid w:val="00422BF7"/>
    <w:rsid w:val="00425474"/>
    <w:rsid w:val="00425B52"/>
    <w:rsid w:val="004263F4"/>
    <w:rsid w:val="0042730D"/>
    <w:rsid w:val="00427807"/>
    <w:rsid w:val="00432FE3"/>
    <w:rsid w:val="004335DF"/>
    <w:rsid w:val="00433682"/>
    <w:rsid w:val="0043521E"/>
    <w:rsid w:val="004360B4"/>
    <w:rsid w:val="00440570"/>
    <w:rsid w:val="004405AD"/>
    <w:rsid w:val="00440A0C"/>
    <w:rsid w:val="00440BB1"/>
    <w:rsid w:val="0044169F"/>
    <w:rsid w:val="00441D89"/>
    <w:rsid w:val="0044309D"/>
    <w:rsid w:val="0044421B"/>
    <w:rsid w:val="004443A1"/>
    <w:rsid w:val="00445865"/>
    <w:rsid w:val="00445C54"/>
    <w:rsid w:val="00446763"/>
    <w:rsid w:val="00447609"/>
    <w:rsid w:val="0045027D"/>
    <w:rsid w:val="00451C58"/>
    <w:rsid w:val="0045454A"/>
    <w:rsid w:val="004550CB"/>
    <w:rsid w:val="004550CE"/>
    <w:rsid w:val="004562E4"/>
    <w:rsid w:val="0045650C"/>
    <w:rsid w:val="00456CEC"/>
    <w:rsid w:val="0045725E"/>
    <w:rsid w:val="0046104B"/>
    <w:rsid w:val="00461BC8"/>
    <w:rsid w:val="00462CC9"/>
    <w:rsid w:val="00463039"/>
    <w:rsid w:val="0046346B"/>
    <w:rsid w:val="00463B20"/>
    <w:rsid w:val="004646C9"/>
    <w:rsid w:val="0046530B"/>
    <w:rsid w:val="0046539D"/>
    <w:rsid w:val="00465F73"/>
    <w:rsid w:val="004661D8"/>
    <w:rsid w:val="004667BA"/>
    <w:rsid w:val="00467516"/>
    <w:rsid w:val="00470D0E"/>
    <w:rsid w:val="004715F1"/>
    <w:rsid w:val="00471872"/>
    <w:rsid w:val="00472C3C"/>
    <w:rsid w:val="00473606"/>
    <w:rsid w:val="0047507B"/>
    <w:rsid w:val="0047610C"/>
    <w:rsid w:val="00476587"/>
    <w:rsid w:val="00476B02"/>
    <w:rsid w:val="00476FD0"/>
    <w:rsid w:val="004776C2"/>
    <w:rsid w:val="0048074F"/>
    <w:rsid w:val="00480A4C"/>
    <w:rsid w:val="004834AC"/>
    <w:rsid w:val="004837BC"/>
    <w:rsid w:val="00484CE4"/>
    <w:rsid w:val="004853D2"/>
    <w:rsid w:val="00485A95"/>
    <w:rsid w:val="004866B5"/>
    <w:rsid w:val="00492189"/>
    <w:rsid w:val="00492511"/>
    <w:rsid w:val="00492FBE"/>
    <w:rsid w:val="00493720"/>
    <w:rsid w:val="00494964"/>
    <w:rsid w:val="004969F4"/>
    <w:rsid w:val="00496CBA"/>
    <w:rsid w:val="0049774F"/>
    <w:rsid w:val="00497BE9"/>
    <w:rsid w:val="00497C08"/>
    <w:rsid w:val="004A030D"/>
    <w:rsid w:val="004A06B1"/>
    <w:rsid w:val="004A0BF7"/>
    <w:rsid w:val="004A0EE2"/>
    <w:rsid w:val="004A1A15"/>
    <w:rsid w:val="004A1C8E"/>
    <w:rsid w:val="004A44AC"/>
    <w:rsid w:val="004A4658"/>
    <w:rsid w:val="004A4EA6"/>
    <w:rsid w:val="004B175D"/>
    <w:rsid w:val="004B1CC7"/>
    <w:rsid w:val="004B211C"/>
    <w:rsid w:val="004B56C1"/>
    <w:rsid w:val="004C254C"/>
    <w:rsid w:val="004C3A65"/>
    <w:rsid w:val="004C3BEA"/>
    <w:rsid w:val="004C423E"/>
    <w:rsid w:val="004C4BAE"/>
    <w:rsid w:val="004C51A3"/>
    <w:rsid w:val="004C66EE"/>
    <w:rsid w:val="004C796D"/>
    <w:rsid w:val="004C7E4B"/>
    <w:rsid w:val="004D00D8"/>
    <w:rsid w:val="004D01F8"/>
    <w:rsid w:val="004D0E48"/>
    <w:rsid w:val="004D213B"/>
    <w:rsid w:val="004D2BDF"/>
    <w:rsid w:val="004D2E97"/>
    <w:rsid w:val="004D335F"/>
    <w:rsid w:val="004D3E40"/>
    <w:rsid w:val="004D4484"/>
    <w:rsid w:val="004D4872"/>
    <w:rsid w:val="004D499F"/>
    <w:rsid w:val="004D587E"/>
    <w:rsid w:val="004D664B"/>
    <w:rsid w:val="004E33F0"/>
    <w:rsid w:val="004E447C"/>
    <w:rsid w:val="004E4E31"/>
    <w:rsid w:val="004E5AAB"/>
    <w:rsid w:val="004E654E"/>
    <w:rsid w:val="004E6D48"/>
    <w:rsid w:val="004E7749"/>
    <w:rsid w:val="004E77A7"/>
    <w:rsid w:val="004F06A9"/>
    <w:rsid w:val="004F1B43"/>
    <w:rsid w:val="004F36B4"/>
    <w:rsid w:val="004F44B4"/>
    <w:rsid w:val="004F4F51"/>
    <w:rsid w:val="004F7C13"/>
    <w:rsid w:val="0050093E"/>
    <w:rsid w:val="00501008"/>
    <w:rsid w:val="00502CA5"/>
    <w:rsid w:val="0050325F"/>
    <w:rsid w:val="00503EA9"/>
    <w:rsid w:val="00504B24"/>
    <w:rsid w:val="00507E1B"/>
    <w:rsid w:val="00512444"/>
    <w:rsid w:val="00512D0A"/>
    <w:rsid w:val="00512D4E"/>
    <w:rsid w:val="005151B1"/>
    <w:rsid w:val="005162FD"/>
    <w:rsid w:val="00516896"/>
    <w:rsid w:val="00517E2D"/>
    <w:rsid w:val="00520076"/>
    <w:rsid w:val="005205CC"/>
    <w:rsid w:val="00520F36"/>
    <w:rsid w:val="00521F63"/>
    <w:rsid w:val="0052438C"/>
    <w:rsid w:val="00524E01"/>
    <w:rsid w:val="005252A0"/>
    <w:rsid w:val="005255FA"/>
    <w:rsid w:val="005256DC"/>
    <w:rsid w:val="00525C05"/>
    <w:rsid w:val="00526AD8"/>
    <w:rsid w:val="0052735F"/>
    <w:rsid w:val="005273FF"/>
    <w:rsid w:val="00527B0D"/>
    <w:rsid w:val="00532885"/>
    <w:rsid w:val="00533A12"/>
    <w:rsid w:val="005342FA"/>
    <w:rsid w:val="00534751"/>
    <w:rsid w:val="00534CF8"/>
    <w:rsid w:val="00534E97"/>
    <w:rsid w:val="005358AC"/>
    <w:rsid w:val="00537328"/>
    <w:rsid w:val="00537351"/>
    <w:rsid w:val="00541DF5"/>
    <w:rsid w:val="005433AA"/>
    <w:rsid w:val="0054357E"/>
    <w:rsid w:val="005437D7"/>
    <w:rsid w:val="00544B6A"/>
    <w:rsid w:val="00544CC7"/>
    <w:rsid w:val="00545CC3"/>
    <w:rsid w:val="00546FDD"/>
    <w:rsid w:val="00547507"/>
    <w:rsid w:val="00551E58"/>
    <w:rsid w:val="0055433C"/>
    <w:rsid w:val="00554347"/>
    <w:rsid w:val="005545F3"/>
    <w:rsid w:val="0055560B"/>
    <w:rsid w:val="0055658D"/>
    <w:rsid w:val="0055674B"/>
    <w:rsid w:val="00556908"/>
    <w:rsid w:val="00557AE0"/>
    <w:rsid w:val="0056046A"/>
    <w:rsid w:val="00560D64"/>
    <w:rsid w:val="00562525"/>
    <w:rsid w:val="0056424F"/>
    <w:rsid w:val="00565F53"/>
    <w:rsid w:val="00570C7E"/>
    <w:rsid w:val="0057138D"/>
    <w:rsid w:val="00571A9C"/>
    <w:rsid w:val="00572577"/>
    <w:rsid w:val="00574C69"/>
    <w:rsid w:val="00576412"/>
    <w:rsid w:val="005777B4"/>
    <w:rsid w:val="005803F6"/>
    <w:rsid w:val="005819D4"/>
    <w:rsid w:val="00581B2E"/>
    <w:rsid w:val="00583271"/>
    <w:rsid w:val="005852D3"/>
    <w:rsid w:val="00585539"/>
    <w:rsid w:val="0058572E"/>
    <w:rsid w:val="00587930"/>
    <w:rsid w:val="00587CEF"/>
    <w:rsid w:val="00591873"/>
    <w:rsid w:val="00591A8A"/>
    <w:rsid w:val="00594F94"/>
    <w:rsid w:val="00595572"/>
    <w:rsid w:val="00595E24"/>
    <w:rsid w:val="005A16DB"/>
    <w:rsid w:val="005A1AA4"/>
    <w:rsid w:val="005A1D58"/>
    <w:rsid w:val="005A2BDF"/>
    <w:rsid w:val="005A2DD6"/>
    <w:rsid w:val="005A31DE"/>
    <w:rsid w:val="005A334E"/>
    <w:rsid w:val="005A343F"/>
    <w:rsid w:val="005A52AC"/>
    <w:rsid w:val="005A6F25"/>
    <w:rsid w:val="005B115C"/>
    <w:rsid w:val="005B590D"/>
    <w:rsid w:val="005B5DFE"/>
    <w:rsid w:val="005B784C"/>
    <w:rsid w:val="005B78C8"/>
    <w:rsid w:val="005C048C"/>
    <w:rsid w:val="005C3A7A"/>
    <w:rsid w:val="005C40C7"/>
    <w:rsid w:val="005C49AA"/>
    <w:rsid w:val="005C4B52"/>
    <w:rsid w:val="005C4DD2"/>
    <w:rsid w:val="005C563F"/>
    <w:rsid w:val="005C5820"/>
    <w:rsid w:val="005C6038"/>
    <w:rsid w:val="005C61D7"/>
    <w:rsid w:val="005C678C"/>
    <w:rsid w:val="005D0449"/>
    <w:rsid w:val="005D10AD"/>
    <w:rsid w:val="005D1A81"/>
    <w:rsid w:val="005D2EA4"/>
    <w:rsid w:val="005D3A2F"/>
    <w:rsid w:val="005D5516"/>
    <w:rsid w:val="005D6D58"/>
    <w:rsid w:val="005E0B8D"/>
    <w:rsid w:val="005E1414"/>
    <w:rsid w:val="005E3F6A"/>
    <w:rsid w:val="005E4092"/>
    <w:rsid w:val="005E44FF"/>
    <w:rsid w:val="005E4646"/>
    <w:rsid w:val="005E70B6"/>
    <w:rsid w:val="005F0E5E"/>
    <w:rsid w:val="005F1115"/>
    <w:rsid w:val="005F3B06"/>
    <w:rsid w:val="005F4662"/>
    <w:rsid w:val="005F4AFC"/>
    <w:rsid w:val="005F527F"/>
    <w:rsid w:val="005F54B3"/>
    <w:rsid w:val="005F5B1F"/>
    <w:rsid w:val="005F6691"/>
    <w:rsid w:val="005F714B"/>
    <w:rsid w:val="00601A47"/>
    <w:rsid w:val="00605215"/>
    <w:rsid w:val="006055AE"/>
    <w:rsid w:val="0060599F"/>
    <w:rsid w:val="00607E07"/>
    <w:rsid w:val="00610160"/>
    <w:rsid w:val="006102ED"/>
    <w:rsid w:val="00610769"/>
    <w:rsid w:val="006114CB"/>
    <w:rsid w:val="00611F6D"/>
    <w:rsid w:val="00612716"/>
    <w:rsid w:val="00614232"/>
    <w:rsid w:val="00615896"/>
    <w:rsid w:val="00615A0A"/>
    <w:rsid w:val="00615AA4"/>
    <w:rsid w:val="006165B0"/>
    <w:rsid w:val="00616C8E"/>
    <w:rsid w:val="006200D7"/>
    <w:rsid w:val="0062382F"/>
    <w:rsid w:val="00623835"/>
    <w:rsid w:val="00623EC2"/>
    <w:rsid w:val="00624793"/>
    <w:rsid w:val="00624AD3"/>
    <w:rsid w:val="00624BC2"/>
    <w:rsid w:val="00625424"/>
    <w:rsid w:val="0063187E"/>
    <w:rsid w:val="006334B5"/>
    <w:rsid w:val="00635902"/>
    <w:rsid w:val="00636637"/>
    <w:rsid w:val="00636DF2"/>
    <w:rsid w:val="00637B7F"/>
    <w:rsid w:val="006402EE"/>
    <w:rsid w:val="0064186B"/>
    <w:rsid w:val="00643DDB"/>
    <w:rsid w:val="00644852"/>
    <w:rsid w:val="0064530B"/>
    <w:rsid w:val="00646997"/>
    <w:rsid w:val="00646F25"/>
    <w:rsid w:val="00647A23"/>
    <w:rsid w:val="00651F5A"/>
    <w:rsid w:val="0065459C"/>
    <w:rsid w:val="006554BA"/>
    <w:rsid w:val="006564A6"/>
    <w:rsid w:val="00657A93"/>
    <w:rsid w:val="00657D58"/>
    <w:rsid w:val="00660046"/>
    <w:rsid w:val="00661097"/>
    <w:rsid w:val="0066145B"/>
    <w:rsid w:val="00661BC6"/>
    <w:rsid w:val="006648B5"/>
    <w:rsid w:val="00665230"/>
    <w:rsid w:val="00666124"/>
    <w:rsid w:val="00666192"/>
    <w:rsid w:val="00666373"/>
    <w:rsid w:val="00671A32"/>
    <w:rsid w:val="00674F68"/>
    <w:rsid w:val="006756BA"/>
    <w:rsid w:val="00675B08"/>
    <w:rsid w:val="00675EC4"/>
    <w:rsid w:val="006761E1"/>
    <w:rsid w:val="0067772E"/>
    <w:rsid w:val="00677911"/>
    <w:rsid w:val="00680E17"/>
    <w:rsid w:val="006833E7"/>
    <w:rsid w:val="0068561F"/>
    <w:rsid w:val="00685639"/>
    <w:rsid w:val="006864B7"/>
    <w:rsid w:val="00687BE6"/>
    <w:rsid w:val="006922D9"/>
    <w:rsid w:val="00692E65"/>
    <w:rsid w:val="00692F93"/>
    <w:rsid w:val="00694A54"/>
    <w:rsid w:val="00694CD5"/>
    <w:rsid w:val="00694E87"/>
    <w:rsid w:val="00695472"/>
    <w:rsid w:val="0069732B"/>
    <w:rsid w:val="0069786E"/>
    <w:rsid w:val="006A05CE"/>
    <w:rsid w:val="006A0D1A"/>
    <w:rsid w:val="006A3ED4"/>
    <w:rsid w:val="006A4AFC"/>
    <w:rsid w:val="006A5AD2"/>
    <w:rsid w:val="006A5C69"/>
    <w:rsid w:val="006A75A8"/>
    <w:rsid w:val="006B0F7F"/>
    <w:rsid w:val="006B176F"/>
    <w:rsid w:val="006B4B30"/>
    <w:rsid w:val="006B634D"/>
    <w:rsid w:val="006B670F"/>
    <w:rsid w:val="006C252D"/>
    <w:rsid w:val="006C2EB9"/>
    <w:rsid w:val="006C3B99"/>
    <w:rsid w:val="006C41DF"/>
    <w:rsid w:val="006C4451"/>
    <w:rsid w:val="006C5FA6"/>
    <w:rsid w:val="006C6286"/>
    <w:rsid w:val="006C649F"/>
    <w:rsid w:val="006C6E4B"/>
    <w:rsid w:val="006D1BD4"/>
    <w:rsid w:val="006D22C3"/>
    <w:rsid w:val="006D26F4"/>
    <w:rsid w:val="006D2A5E"/>
    <w:rsid w:val="006D4F5C"/>
    <w:rsid w:val="006D69FD"/>
    <w:rsid w:val="006D72B1"/>
    <w:rsid w:val="006D7795"/>
    <w:rsid w:val="006E0442"/>
    <w:rsid w:val="006E2F70"/>
    <w:rsid w:val="006E3794"/>
    <w:rsid w:val="006E56AF"/>
    <w:rsid w:val="006E59FB"/>
    <w:rsid w:val="006E5E5D"/>
    <w:rsid w:val="006E7129"/>
    <w:rsid w:val="006E7B5D"/>
    <w:rsid w:val="006F0671"/>
    <w:rsid w:val="006F09D3"/>
    <w:rsid w:val="006F148A"/>
    <w:rsid w:val="006F328C"/>
    <w:rsid w:val="006F4DF9"/>
    <w:rsid w:val="006F53DF"/>
    <w:rsid w:val="006F7168"/>
    <w:rsid w:val="006F787E"/>
    <w:rsid w:val="00700230"/>
    <w:rsid w:val="00701870"/>
    <w:rsid w:val="0070232E"/>
    <w:rsid w:val="007024D9"/>
    <w:rsid w:val="00702946"/>
    <w:rsid w:val="00705B76"/>
    <w:rsid w:val="00705FDA"/>
    <w:rsid w:val="00707795"/>
    <w:rsid w:val="007105D5"/>
    <w:rsid w:val="00710CB3"/>
    <w:rsid w:val="00710FFA"/>
    <w:rsid w:val="00711A03"/>
    <w:rsid w:val="00711D26"/>
    <w:rsid w:val="00712017"/>
    <w:rsid w:val="007120BB"/>
    <w:rsid w:val="00713844"/>
    <w:rsid w:val="00714E35"/>
    <w:rsid w:val="007151DC"/>
    <w:rsid w:val="007152C0"/>
    <w:rsid w:val="007154C6"/>
    <w:rsid w:val="007176D2"/>
    <w:rsid w:val="00717929"/>
    <w:rsid w:val="007209DE"/>
    <w:rsid w:val="007216AF"/>
    <w:rsid w:val="00723427"/>
    <w:rsid w:val="007248F6"/>
    <w:rsid w:val="00730784"/>
    <w:rsid w:val="0073351E"/>
    <w:rsid w:val="00736CF1"/>
    <w:rsid w:val="00736E27"/>
    <w:rsid w:val="00737B9C"/>
    <w:rsid w:val="00740083"/>
    <w:rsid w:val="007411E8"/>
    <w:rsid w:val="007414A9"/>
    <w:rsid w:val="00741A1B"/>
    <w:rsid w:val="00741CC4"/>
    <w:rsid w:val="00742A4D"/>
    <w:rsid w:val="00745D61"/>
    <w:rsid w:val="00747E64"/>
    <w:rsid w:val="007504B0"/>
    <w:rsid w:val="00750D7A"/>
    <w:rsid w:val="00751A99"/>
    <w:rsid w:val="00751F5E"/>
    <w:rsid w:val="007531DC"/>
    <w:rsid w:val="00753878"/>
    <w:rsid w:val="0075399E"/>
    <w:rsid w:val="007539B8"/>
    <w:rsid w:val="00753F58"/>
    <w:rsid w:val="00754823"/>
    <w:rsid w:val="00754CA5"/>
    <w:rsid w:val="00755078"/>
    <w:rsid w:val="0075532E"/>
    <w:rsid w:val="00756406"/>
    <w:rsid w:val="00756B21"/>
    <w:rsid w:val="007575E8"/>
    <w:rsid w:val="0075790C"/>
    <w:rsid w:val="0076008C"/>
    <w:rsid w:val="00760BEC"/>
    <w:rsid w:val="007618D7"/>
    <w:rsid w:val="00761BA7"/>
    <w:rsid w:val="007638E2"/>
    <w:rsid w:val="007658C1"/>
    <w:rsid w:val="00766A07"/>
    <w:rsid w:val="00767C95"/>
    <w:rsid w:val="00771E38"/>
    <w:rsid w:val="0077231D"/>
    <w:rsid w:val="00772DBC"/>
    <w:rsid w:val="007740DF"/>
    <w:rsid w:val="007744C3"/>
    <w:rsid w:val="00774EE4"/>
    <w:rsid w:val="00775403"/>
    <w:rsid w:val="0077561A"/>
    <w:rsid w:val="007763F3"/>
    <w:rsid w:val="00776A22"/>
    <w:rsid w:val="00777379"/>
    <w:rsid w:val="00777768"/>
    <w:rsid w:val="0077788B"/>
    <w:rsid w:val="00780725"/>
    <w:rsid w:val="00781A3D"/>
    <w:rsid w:val="00781C47"/>
    <w:rsid w:val="007820AE"/>
    <w:rsid w:val="00782BED"/>
    <w:rsid w:val="00782D50"/>
    <w:rsid w:val="00783A46"/>
    <w:rsid w:val="00783E0A"/>
    <w:rsid w:val="00784BF5"/>
    <w:rsid w:val="007852CC"/>
    <w:rsid w:val="0078646F"/>
    <w:rsid w:val="00786797"/>
    <w:rsid w:val="007902A7"/>
    <w:rsid w:val="007903D6"/>
    <w:rsid w:val="00793763"/>
    <w:rsid w:val="00794A74"/>
    <w:rsid w:val="00795F43"/>
    <w:rsid w:val="00797A39"/>
    <w:rsid w:val="00797BC2"/>
    <w:rsid w:val="007A0F9E"/>
    <w:rsid w:val="007A128A"/>
    <w:rsid w:val="007A6DCE"/>
    <w:rsid w:val="007A7028"/>
    <w:rsid w:val="007B115A"/>
    <w:rsid w:val="007B19E1"/>
    <w:rsid w:val="007B1CB4"/>
    <w:rsid w:val="007B2E8B"/>
    <w:rsid w:val="007B4900"/>
    <w:rsid w:val="007B4973"/>
    <w:rsid w:val="007B5CEF"/>
    <w:rsid w:val="007B647D"/>
    <w:rsid w:val="007B6D26"/>
    <w:rsid w:val="007B701F"/>
    <w:rsid w:val="007B78C1"/>
    <w:rsid w:val="007C0424"/>
    <w:rsid w:val="007C1BC5"/>
    <w:rsid w:val="007C4072"/>
    <w:rsid w:val="007C41B1"/>
    <w:rsid w:val="007C47BA"/>
    <w:rsid w:val="007C521E"/>
    <w:rsid w:val="007C628C"/>
    <w:rsid w:val="007D02A4"/>
    <w:rsid w:val="007D03D3"/>
    <w:rsid w:val="007D3204"/>
    <w:rsid w:val="007D384D"/>
    <w:rsid w:val="007D4339"/>
    <w:rsid w:val="007D71B6"/>
    <w:rsid w:val="007E364F"/>
    <w:rsid w:val="007E36AE"/>
    <w:rsid w:val="007E5AFA"/>
    <w:rsid w:val="007E5E63"/>
    <w:rsid w:val="007E60E1"/>
    <w:rsid w:val="007E626B"/>
    <w:rsid w:val="007E660B"/>
    <w:rsid w:val="007E6F54"/>
    <w:rsid w:val="007E750F"/>
    <w:rsid w:val="007F0094"/>
    <w:rsid w:val="007F0607"/>
    <w:rsid w:val="007F0B17"/>
    <w:rsid w:val="007F0B9A"/>
    <w:rsid w:val="007F117A"/>
    <w:rsid w:val="007F3FE5"/>
    <w:rsid w:val="007F6F6E"/>
    <w:rsid w:val="007F7E54"/>
    <w:rsid w:val="00802A14"/>
    <w:rsid w:val="00802F68"/>
    <w:rsid w:val="0080358B"/>
    <w:rsid w:val="00805BAC"/>
    <w:rsid w:val="00805C55"/>
    <w:rsid w:val="00807971"/>
    <w:rsid w:val="00807A1A"/>
    <w:rsid w:val="00807DD6"/>
    <w:rsid w:val="00812128"/>
    <w:rsid w:val="008127F5"/>
    <w:rsid w:val="00813929"/>
    <w:rsid w:val="00814DAC"/>
    <w:rsid w:val="00815696"/>
    <w:rsid w:val="00821D8E"/>
    <w:rsid w:val="008221E6"/>
    <w:rsid w:val="00822432"/>
    <w:rsid w:val="0082270E"/>
    <w:rsid w:val="008232D3"/>
    <w:rsid w:val="008245C7"/>
    <w:rsid w:val="008250FD"/>
    <w:rsid w:val="0082665D"/>
    <w:rsid w:val="0083090A"/>
    <w:rsid w:val="00830F1D"/>
    <w:rsid w:val="00830F93"/>
    <w:rsid w:val="0083174F"/>
    <w:rsid w:val="00832699"/>
    <w:rsid w:val="008326A8"/>
    <w:rsid w:val="00832F9A"/>
    <w:rsid w:val="008333E0"/>
    <w:rsid w:val="0083392C"/>
    <w:rsid w:val="0083443F"/>
    <w:rsid w:val="00834C66"/>
    <w:rsid w:val="00835497"/>
    <w:rsid w:val="00835CD0"/>
    <w:rsid w:val="00842187"/>
    <w:rsid w:val="008424F5"/>
    <w:rsid w:val="008436D2"/>
    <w:rsid w:val="0084370C"/>
    <w:rsid w:val="00843E32"/>
    <w:rsid w:val="008446B5"/>
    <w:rsid w:val="008446C8"/>
    <w:rsid w:val="0084496E"/>
    <w:rsid w:val="00844C3B"/>
    <w:rsid w:val="00845753"/>
    <w:rsid w:val="008457F8"/>
    <w:rsid w:val="00845BBF"/>
    <w:rsid w:val="00845D6C"/>
    <w:rsid w:val="00847EC8"/>
    <w:rsid w:val="00851914"/>
    <w:rsid w:val="00851E6D"/>
    <w:rsid w:val="00855C84"/>
    <w:rsid w:val="00856321"/>
    <w:rsid w:val="00857355"/>
    <w:rsid w:val="00857AEE"/>
    <w:rsid w:val="00857F51"/>
    <w:rsid w:val="00864F78"/>
    <w:rsid w:val="008666F9"/>
    <w:rsid w:val="00867304"/>
    <w:rsid w:val="008679A2"/>
    <w:rsid w:val="008679A3"/>
    <w:rsid w:val="00870EED"/>
    <w:rsid w:val="00870F11"/>
    <w:rsid w:val="008727EC"/>
    <w:rsid w:val="00874ED3"/>
    <w:rsid w:val="00880984"/>
    <w:rsid w:val="00881704"/>
    <w:rsid w:val="00881A32"/>
    <w:rsid w:val="008827E6"/>
    <w:rsid w:val="008830C1"/>
    <w:rsid w:val="0088424C"/>
    <w:rsid w:val="00884431"/>
    <w:rsid w:val="00884F49"/>
    <w:rsid w:val="0088567B"/>
    <w:rsid w:val="00886E2F"/>
    <w:rsid w:val="00890D10"/>
    <w:rsid w:val="00890DAA"/>
    <w:rsid w:val="0089352A"/>
    <w:rsid w:val="00893947"/>
    <w:rsid w:val="00896868"/>
    <w:rsid w:val="0089698B"/>
    <w:rsid w:val="00896FBB"/>
    <w:rsid w:val="008970D9"/>
    <w:rsid w:val="008A041D"/>
    <w:rsid w:val="008A049B"/>
    <w:rsid w:val="008A1935"/>
    <w:rsid w:val="008A1DD9"/>
    <w:rsid w:val="008A22BE"/>
    <w:rsid w:val="008A2EF6"/>
    <w:rsid w:val="008A363F"/>
    <w:rsid w:val="008A3E82"/>
    <w:rsid w:val="008A4075"/>
    <w:rsid w:val="008A4A15"/>
    <w:rsid w:val="008A7F7F"/>
    <w:rsid w:val="008B0505"/>
    <w:rsid w:val="008B072C"/>
    <w:rsid w:val="008B0862"/>
    <w:rsid w:val="008B18AC"/>
    <w:rsid w:val="008B1B00"/>
    <w:rsid w:val="008B1D62"/>
    <w:rsid w:val="008B2059"/>
    <w:rsid w:val="008B2BED"/>
    <w:rsid w:val="008B2D9F"/>
    <w:rsid w:val="008B46EC"/>
    <w:rsid w:val="008B4A6F"/>
    <w:rsid w:val="008B5B40"/>
    <w:rsid w:val="008B7AA1"/>
    <w:rsid w:val="008C0CEC"/>
    <w:rsid w:val="008C0F2F"/>
    <w:rsid w:val="008C211D"/>
    <w:rsid w:val="008C26F5"/>
    <w:rsid w:val="008C2A96"/>
    <w:rsid w:val="008C5B7E"/>
    <w:rsid w:val="008C79A8"/>
    <w:rsid w:val="008D08C4"/>
    <w:rsid w:val="008D23C5"/>
    <w:rsid w:val="008D4A3E"/>
    <w:rsid w:val="008D5D22"/>
    <w:rsid w:val="008D5F77"/>
    <w:rsid w:val="008D6408"/>
    <w:rsid w:val="008D7383"/>
    <w:rsid w:val="008D7D68"/>
    <w:rsid w:val="008E0191"/>
    <w:rsid w:val="008E01D2"/>
    <w:rsid w:val="008E313D"/>
    <w:rsid w:val="008E3C37"/>
    <w:rsid w:val="008E41BE"/>
    <w:rsid w:val="008E4906"/>
    <w:rsid w:val="008E5689"/>
    <w:rsid w:val="008E67C9"/>
    <w:rsid w:val="008E6F0D"/>
    <w:rsid w:val="008E7600"/>
    <w:rsid w:val="008F0097"/>
    <w:rsid w:val="008F0662"/>
    <w:rsid w:val="008F135A"/>
    <w:rsid w:val="008F2657"/>
    <w:rsid w:val="008F352D"/>
    <w:rsid w:val="008F3F46"/>
    <w:rsid w:val="008F6281"/>
    <w:rsid w:val="008F7BF5"/>
    <w:rsid w:val="00900088"/>
    <w:rsid w:val="009001BB"/>
    <w:rsid w:val="00901A13"/>
    <w:rsid w:val="009030CE"/>
    <w:rsid w:val="00904607"/>
    <w:rsid w:val="009049FD"/>
    <w:rsid w:val="00906A97"/>
    <w:rsid w:val="00906D8E"/>
    <w:rsid w:val="009108B2"/>
    <w:rsid w:val="00910D18"/>
    <w:rsid w:val="00911692"/>
    <w:rsid w:val="00911C12"/>
    <w:rsid w:val="009121D5"/>
    <w:rsid w:val="00912295"/>
    <w:rsid w:val="00912818"/>
    <w:rsid w:val="0091398D"/>
    <w:rsid w:val="00913C6A"/>
    <w:rsid w:val="00913ECF"/>
    <w:rsid w:val="0091432B"/>
    <w:rsid w:val="00916528"/>
    <w:rsid w:val="009169C5"/>
    <w:rsid w:val="0092144F"/>
    <w:rsid w:val="009221D1"/>
    <w:rsid w:val="009229CE"/>
    <w:rsid w:val="00922A4E"/>
    <w:rsid w:val="00923123"/>
    <w:rsid w:val="00923634"/>
    <w:rsid w:val="009238A0"/>
    <w:rsid w:val="009247B4"/>
    <w:rsid w:val="009247E1"/>
    <w:rsid w:val="0092483F"/>
    <w:rsid w:val="00924BDD"/>
    <w:rsid w:val="00926279"/>
    <w:rsid w:val="00927E3B"/>
    <w:rsid w:val="00932499"/>
    <w:rsid w:val="00932704"/>
    <w:rsid w:val="00932C70"/>
    <w:rsid w:val="00934273"/>
    <w:rsid w:val="00935BCF"/>
    <w:rsid w:val="00935E62"/>
    <w:rsid w:val="00936088"/>
    <w:rsid w:val="00936271"/>
    <w:rsid w:val="0093629E"/>
    <w:rsid w:val="00937C22"/>
    <w:rsid w:val="009402A8"/>
    <w:rsid w:val="00940E16"/>
    <w:rsid w:val="00941511"/>
    <w:rsid w:val="009420A4"/>
    <w:rsid w:val="00942139"/>
    <w:rsid w:val="009433BD"/>
    <w:rsid w:val="009438A4"/>
    <w:rsid w:val="00943EDC"/>
    <w:rsid w:val="00944035"/>
    <w:rsid w:val="0094449E"/>
    <w:rsid w:val="00944B9E"/>
    <w:rsid w:val="009453ED"/>
    <w:rsid w:val="00945BC7"/>
    <w:rsid w:val="009505AF"/>
    <w:rsid w:val="00950B02"/>
    <w:rsid w:val="00951D4B"/>
    <w:rsid w:val="009525A2"/>
    <w:rsid w:val="009525B0"/>
    <w:rsid w:val="0095318E"/>
    <w:rsid w:val="00954962"/>
    <w:rsid w:val="00955455"/>
    <w:rsid w:val="00955C6C"/>
    <w:rsid w:val="00956858"/>
    <w:rsid w:val="00956A11"/>
    <w:rsid w:val="00957262"/>
    <w:rsid w:val="009577FD"/>
    <w:rsid w:val="009601CB"/>
    <w:rsid w:val="00961154"/>
    <w:rsid w:val="00961652"/>
    <w:rsid w:val="0096417D"/>
    <w:rsid w:val="00964E0E"/>
    <w:rsid w:val="00967896"/>
    <w:rsid w:val="00970C69"/>
    <w:rsid w:val="00972345"/>
    <w:rsid w:val="009728E1"/>
    <w:rsid w:val="00974170"/>
    <w:rsid w:val="0097419D"/>
    <w:rsid w:val="00975287"/>
    <w:rsid w:val="0097589D"/>
    <w:rsid w:val="009770C3"/>
    <w:rsid w:val="00977B4D"/>
    <w:rsid w:val="00980339"/>
    <w:rsid w:val="00983489"/>
    <w:rsid w:val="00983F58"/>
    <w:rsid w:val="00984F74"/>
    <w:rsid w:val="00984FF0"/>
    <w:rsid w:val="00986247"/>
    <w:rsid w:val="00986DB2"/>
    <w:rsid w:val="0099270A"/>
    <w:rsid w:val="00992E1B"/>
    <w:rsid w:val="0099582E"/>
    <w:rsid w:val="00995C6F"/>
    <w:rsid w:val="00996BBE"/>
    <w:rsid w:val="00996F7F"/>
    <w:rsid w:val="0099712A"/>
    <w:rsid w:val="009977B9"/>
    <w:rsid w:val="009977CB"/>
    <w:rsid w:val="00997BC8"/>
    <w:rsid w:val="00997DB9"/>
    <w:rsid w:val="009A212B"/>
    <w:rsid w:val="009A4C43"/>
    <w:rsid w:val="009A54CD"/>
    <w:rsid w:val="009A604D"/>
    <w:rsid w:val="009A6739"/>
    <w:rsid w:val="009B035C"/>
    <w:rsid w:val="009B1192"/>
    <w:rsid w:val="009B3811"/>
    <w:rsid w:val="009B3A70"/>
    <w:rsid w:val="009B4992"/>
    <w:rsid w:val="009B5904"/>
    <w:rsid w:val="009B5C5B"/>
    <w:rsid w:val="009B5EC0"/>
    <w:rsid w:val="009C0849"/>
    <w:rsid w:val="009C28E4"/>
    <w:rsid w:val="009C32D6"/>
    <w:rsid w:val="009C3496"/>
    <w:rsid w:val="009C4C85"/>
    <w:rsid w:val="009C726E"/>
    <w:rsid w:val="009D0CED"/>
    <w:rsid w:val="009D107A"/>
    <w:rsid w:val="009D11AA"/>
    <w:rsid w:val="009D2752"/>
    <w:rsid w:val="009D37FD"/>
    <w:rsid w:val="009D5A50"/>
    <w:rsid w:val="009E05AB"/>
    <w:rsid w:val="009E0CC8"/>
    <w:rsid w:val="009E195C"/>
    <w:rsid w:val="009E1CCC"/>
    <w:rsid w:val="009E22C0"/>
    <w:rsid w:val="009E375B"/>
    <w:rsid w:val="009E3F3B"/>
    <w:rsid w:val="009E41E1"/>
    <w:rsid w:val="009E4730"/>
    <w:rsid w:val="009E593F"/>
    <w:rsid w:val="009E6D5A"/>
    <w:rsid w:val="009E7A89"/>
    <w:rsid w:val="009F2BA6"/>
    <w:rsid w:val="00A01701"/>
    <w:rsid w:val="00A01DD1"/>
    <w:rsid w:val="00A02F42"/>
    <w:rsid w:val="00A05729"/>
    <w:rsid w:val="00A058C1"/>
    <w:rsid w:val="00A05D62"/>
    <w:rsid w:val="00A0647E"/>
    <w:rsid w:val="00A07071"/>
    <w:rsid w:val="00A07DC8"/>
    <w:rsid w:val="00A07F95"/>
    <w:rsid w:val="00A07F9C"/>
    <w:rsid w:val="00A1008B"/>
    <w:rsid w:val="00A10391"/>
    <w:rsid w:val="00A10B2E"/>
    <w:rsid w:val="00A114EF"/>
    <w:rsid w:val="00A12412"/>
    <w:rsid w:val="00A12B10"/>
    <w:rsid w:val="00A1451F"/>
    <w:rsid w:val="00A14C51"/>
    <w:rsid w:val="00A1526C"/>
    <w:rsid w:val="00A158F9"/>
    <w:rsid w:val="00A1779C"/>
    <w:rsid w:val="00A1793E"/>
    <w:rsid w:val="00A203BD"/>
    <w:rsid w:val="00A20562"/>
    <w:rsid w:val="00A214F2"/>
    <w:rsid w:val="00A21E50"/>
    <w:rsid w:val="00A21E95"/>
    <w:rsid w:val="00A22253"/>
    <w:rsid w:val="00A24FB4"/>
    <w:rsid w:val="00A255A5"/>
    <w:rsid w:val="00A25FAA"/>
    <w:rsid w:val="00A27917"/>
    <w:rsid w:val="00A27E1B"/>
    <w:rsid w:val="00A32255"/>
    <w:rsid w:val="00A33BFA"/>
    <w:rsid w:val="00A35561"/>
    <w:rsid w:val="00A359EA"/>
    <w:rsid w:val="00A36081"/>
    <w:rsid w:val="00A438E0"/>
    <w:rsid w:val="00A447F7"/>
    <w:rsid w:val="00A45128"/>
    <w:rsid w:val="00A4641C"/>
    <w:rsid w:val="00A509D2"/>
    <w:rsid w:val="00A5230D"/>
    <w:rsid w:val="00A5392D"/>
    <w:rsid w:val="00A54CD9"/>
    <w:rsid w:val="00A6191B"/>
    <w:rsid w:val="00A6239E"/>
    <w:rsid w:val="00A63079"/>
    <w:rsid w:val="00A64BB9"/>
    <w:rsid w:val="00A64FB8"/>
    <w:rsid w:val="00A6530A"/>
    <w:rsid w:val="00A665E9"/>
    <w:rsid w:val="00A67321"/>
    <w:rsid w:val="00A7103B"/>
    <w:rsid w:val="00A71653"/>
    <w:rsid w:val="00A7170F"/>
    <w:rsid w:val="00A723C1"/>
    <w:rsid w:val="00A732C3"/>
    <w:rsid w:val="00A73613"/>
    <w:rsid w:val="00A74B74"/>
    <w:rsid w:val="00A750EF"/>
    <w:rsid w:val="00A756CE"/>
    <w:rsid w:val="00A7796D"/>
    <w:rsid w:val="00A81AD5"/>
    <w:rsid w:val="00A82051"/>
    <w:rsid w:val="00A82246"/>
    <w:rsid w:val="00A82656"/>
    <w:rsid w:val="00A82A0D"/>
    <w:rsid w:val="00A85B9C"/>
    <w:rsid w:val="00A874E7"/>
    <w:rsid w:val="00A90919"/>
    <w:rsid w:val="00A91863"/>
    <w:rsid w:val="00A93094"/>
    <w:rsid w:val="00A94C6F"/>
    <w:rsid w:val="00A94F2D"/>
    <w:rsid w:val="00A96452"/>
    <w:rsid w:val="00A969E6"/>
    <w:rsid w:val="00A97975"/>
    <w:rsid w:val="00AA054C"/>
    <w:rsid w:val="00AA0FE9"/>
    <w:rsid w:val="00AA12E3"/>
    <w:rsid w:val="00AA14FE"/>
    <w:rsid w:val="00AA1C87"/>
    <w:rsid w:val="00AA33E6"/>
    <w:rsid w:val="00AA3413"/>
    <w:rsid w:val="00AA434E"/>
    <w:rsid w:val="00AA4D92"/>
    <w:rsid w:val="00AA542B"/>
    <w:rsid w:val="00AA5B31"/>
    <w:rsid w:val="00AA70A8"/>
    <w:rsid w:val="00AA77DB"/>
    <w:rsid w:val="00AA788C"/>
    <w:rsid w:val="00AB1355"/>
    <w:rsid w:val="00AB2838"/>
    <w:rsid w:val="00AB2886"/>
    <w:rsid w:val="00AB334D"/>
    <w:rsid w:val="00AB4F45"/>
    <w:rsid w:val="00AB564D"/>
    <w:rsid w:val="00AB578E"/>
    <w:rsid w:val="00AB606A"/>
    <w:rsid w:val="00AB61CE"/>
    <w:rsid w:val="00AB7EB8"/>
    <w:rsid w:val="00AC0D87"/>
    <w:rsid w:val="00AC2481"/>
    <w:rsid w:val="00AC28F8"/>
    <w:rsid w:val="00AC2BA6"/>
    <w:rsid w:val="00AC329E"/>
    <w:rsid w:val="00AC332E"/>
    <w:rsid w:val="00AC4FEF"/>
    <w:rsid w:val="00AC7176"/>
    <w:rsid w:val="00AD1E8B"/>
    <w:rsid w:val="00AD3577"/>
    <w:rsid w:val="00AD3A72"/>
    <w:rsid w:val="00AD4075"/>
    <w:rsid w:val="00AD44F6"/>
    <w:rsid w:val="00AD64D9"/>
    <w:rsid w:val="00AE2E8D"/>
    <w:rsid w:val="00AE3AEA"/>
    <w:rsid w:val="00AE3B25"/>
    <w:rsid w:val="00AE40BA"/>
    <w:rsid w:val="00AE4C0C"/>
    <w:rsid w:val="00AE59A9"/>
    <w:rsid w:val="00AE73E6"/>
    <w:rsid w:val="00AE74AD"/>
    <w:rsid w:val="00AE76EB"/>
    <w:rsid w:val="00AF097B"/>
    <w:rsid w:val="00AF1469"/>
    <w:rsid w:val="00AF197C"/>
    <w:rsid w:val="00AF2DA6"/>
    <w:rsid w:val="00AF5761"/>
    <w:rsid w:val="00AF57D7"/>
    <w:rsid w:val="00AF7884"/>
    <w:rsid w:val="00AF7F6A"/>
    <w:rsid w:val="00B007A4"/>
    <w:rsid w:val="00B00D87"/>
    <w:rsid w:val="00B00EA9"/>
    <w:rsid w:val="00B00F40"/>
    <w:rsid w:val="00B0117A"/>
    <w:rsid w:val="00B01184"/>
    <w:rsid w:val="00B020FE"/>
    <w:rsid w:val="00B034F0"/>
    <w:rsid w:val="00B035E2"/>
    <w:rsid w:val="00B0393B"/>
    <w:rsid w:val="00B12D8B"/>
    <w:rsid w:val="00B138AB"/>
    <w:rsid w:val="00B13E20"/>
    <w:rsid w:val="00B15994"/>
    <w:rsid w:val="00B166CE"/>
    <w:rsid w:val="00B205A5"/>
    <w:rsid w:val="00B20D84"/>
    <w:rsid w:val="00B20EEC"/>
    <w:rsid w:val="00B212D8"/>
    <w:rsid w:val="00B2139A"/>
    <w:rsid w:val="00B249D5"/>
    <w:rsid w:val="00B252E8"/>
    <w:rsid w:val="00B30538"/>
    <w:rsid w:val="00B30EBE"/>
    <w:rsid w:val="00B30F12"/>
    <w:rsid w:val="00B31CE1"/>
    <w:rsid w:val="00B320CC"/>
    <w:rsid w:val="00B320DF"/>
    <w:rsid w:val="00B3235F"/>
    <w:rsid w:val="00B32AFC"/>
    <w:rsid w:val="00B3303D"/>
    <w:rsid w:val="00B33046"/>
    <w:rsid w:val="00B348BF"/>
    <w:rsid w:val="00B35CCC"/>
    <w:rsid w:val="00B362CD"/>
    <w:rsid w:val="00B372A5"/>
    <w:rsid w:val="00B40910"/>
    <w:rsid w:val="00B41101"/>
    <w:rsid w:val="00B41757"/>
    <w:rsid w:val="00B41E4C"/>
    <w:rsid w:val="00B4290D"/>
    <w:rsid w:val="00B43FDF"/>
    <w:rsid w:val="00B43FE5"/>
    <w:rsid w:val="00B44659"/>
    <w:rsid w:val="00B4645E"/>
    <w:rsid w:val="00B46EDC"/>
    <w:rsid w:val="00B4710E"/>
    <w:rsid w:val="00B50733"/>
    <w:rsid w:val="00B50AA8"/>
    <w:rsid w:val="00B51134"/>
    <w:rsid w:val="00B534CE"/>
    <w:rsid w:val="00B5387F"/>
    <w:rsid w:val="00B541D6"/>
    <w:rsid w:val="00B550C2"/>
    <w:rsid w:val="00B55D98"/>
    <w:rsid w:val="00B57FD7"/>
    <w:rsid w:val="00B60959"/>
    <w:rsid w:val="00B61E0F"/>
    <w:rsid w:val="00B644B1"/>
    <w:rsid w:val="00B6581C"/>
    <w:rsid w:val="00B67A41"/>
    <w:rsid w:val="00B67D47"/>
    <w:rsid w:val="00B71E4E"/>
    <w:rsid w:val="00B72A30"/>
    <w:rsid w:val="00B730AE"/>
    <w:rsid w:val="00B75B7E"/>
    <w:rsid w:val="00B768A1"/>
    <w:rsid w:val="00B802A6"/>
    <w:rsid w:val="00B80F92"/>
    <w:rsid w:val="00B81F09"/>
    <w:rsid w:val="00B829E1"/>
    <w:rsid w:val="00B831E8"/>
    <w:rsid w:val="00B86C3C"/>
    <w:rsid w:val="00B87B47"/>
    <w:rsid w:val="00B87F7C"/>
    <w:rsid w:val="00B90D9D"/>
    <w:rsid w:val="00B91105"/>
    <w:rsid w:val="00B912CB"/>
    <w:rsid w:val="00B92E0D"/>
    <w:rsid w:val="00B94D66"/>
    <w:rsid w:val="00B95282"/>
    <w:rsid w:val="00B95789"/>
    <w:rsid w:val="00B97F1A"/>
    <w:rsid w:val="00BA0108"/>
    <w:rsid w:val="00BA06D7"/>
    <w:rsid w:val="00BA13D8"/>
    <w:rsid w:val="00BA180E"/>
    <w:rsid w:val="00BA2354"/>
    <w:rsid w:val="00BA2C83"/>
    <w:rsid w:val="00BA31E7"/>
    <w:rsid w:val="00BA4845"/>
    <w:rsid w:val="00BA48A0"/>
    <w:rsid w:val="00BA48E9"/>
    <w:rsid w:val="00BA60B7"/>
    <w:rsid w:val="00BB0287"/>
    <w:rsid w:val="00BB069F"/>
    <w:rsid w:val="00BB07D2"/>
    <w:rsid w:val="00BB2EF3"/>
    <w:rsid w:val="00BB2F8C"/>
    <w:rsid w:val="00BB3181"/>
    <w:rsid w:val="00BB6016"/>
    <w:rsid w:val="00BB6C75"/>
    <w:rsid w:val="00BB772D"/>
    <w:rsid w:val="00BC1E7D"/>
    <w:rsid w:val="00BC222C"/>
    <w:rsid w:val="00BC4458"/>
    <w:rsid w:val="00BC5969"/>
    <w:rsid w:val="00BD1232"/>
    <w:rsid w:val="00BD1A62"/>
    <w:rsid w:val="00BD1F3A"/>
    <w:rsid w:val="00BD2BEF"/>
    <w:rsid w:val="00BD3A70"/>
    <w:rsid w:val="00BD3EEA"/>
    <w:rsid w:val="00BD4358"/>
    <w:rsid w:val="00BD4732"/>
    <w:rsid w:val="00BD63FC"/>
    <w:rsid w:val="00BD6400"/>
    <w:rsid w:val="00BD7791"/>
    <w:rsid w:val="00BD78F8"/>
    <w:rsid w:val="00BE0DA1"/>
    <w:rsid w:val="00BE14F3"/>
    <w:rsid w:val="00BE1566"/>
    <w:rsid w:val="00BE2816"/>
    <w:rsid w:val="00BE2C54"/>
    <w:rsid w:val="00BE2ED4"/>
    <w:rsid w:val="00BE4E0E"/>
    <w:rsid w:val="00BE566C"/>
    <w:rsid w:val="00BE58CF"/>
    <w:rsid w:val="00BF048B"/>
    <w:rsid w:val="00BF1B6B"/>
    <w:rsid w:val="00BF1BF2"/>
    <w:rsid w:val="00BF219B"/>
    <w:rsid w:val="00BF2695"/>
    <w:rsid w:val="00BF2F53"/>
    <w:rsid w:val="00BF2FC3"/>
    <w:rsid w:val="00BF3128"/>
    <w:rsid w:val="00BF51D8"/>
    <w:rsid w:val="00BF52D4"/>
    <w:rsid w:val="00BF69CB"/>
    <w:rsid w:val="00BF7797"/>
    <w:rsid w:val="00C00232"/>
    <w:rsid w:val="00C00415"/>
    <w:rsid w:val="00C00461"/>
    <w:rsid w:val="00C01F7F"/>
    <w:rsid w:val="00C028F1"/>
    <w:rsid w:val="00C032BD"/>
    <w:rsid w:val="00C05142"/>
    <w:rsid w:val="00C061C7"/>
    <w:rsid w:val="00C065D9"/>
    <w:rsid w:val="00C07B30"/>
    <w:rsid w:val="00C10643"/>
    <w:rsid w:val="00C11D57"/>
    <w:rsid w:val="00C13145"/>
    <w:rsid w:val="00C15400"/>
    <w:rsid w:val="00C15C4D"/>
    <w:rsid w:val="00C165D0"/>
    <w:rsid w:val="00C200DB"/>
    <w:rsid w:val="00C2036B"/>
    <w:rsid w:val="00C20616"/>
    <w:rsid w:val="00C207ED"/>
    <w:rsid w:val="00C20B9C"/>
    <w:rsid w:val="00C2208E"/>
    <w:rsid w:val="00C22580"/>
    <w:rsid w:val="00C24080"/>
    <w:rsid w:val="00C243AB"/>
    <w:rsid w:val="00C24C0A"/>
    <w:rsid w:val="00C26443"/>
    <w:rsid w:val="00C3018A"/>
    <w:rsid w:val="00C306B4"/>
    <w:rsid w:val="00C30DB7"/>
    <w:rsid w:val="00C320DF"/>
    <w:rsid w:val="00C328C4"/>
    <w:rsid w:val="00C33F93"/>
    <w:rsid w:val="00C3417B"/>
    <w:rsid w:val="00C3448D"/>
    <w:rsid w:val="00C353E1"/>
    <w:rsid w:val="00C354DA"/>
    <w:rsid w:val="00C36748"/>
    <w:rsid w:val="00C36FF3"/>
    <w:rsid w:val="00C37353"/>
    <w:rsid w:val="00C37DE4"/>
    <w:rsid w:val="00C41099"/>
    <w:rsid w:val="00C4120D"/>
    <w:rsid w:val="00C41843"/>
    <w:rsid w:val="00C42E97"/>
    <w:rsid w:val="00C43F9E"/>
    <w:rsid w:val="00C449DA"/>
    <w:rsid w:val="00C44E7E"/>
    <w:rsid w:val="00C4520B"/>
    <w:rsid w:val="00C4548F"/>
    <w:rsid w:val="00C455F3"/>
    <w:rsid w:val="00C475A9"/>
    <w:rsid w:val="00C50C09"/>
    <w:rsid w:val="00C50D2E"/>
    <w:rsid w:val="00C53BA2"/>
    <w:rsid w:val="00C5458B"/>
    <w:rsid w:val="00C60035"/>
    <w:rsid w:val="00C63A10"/>
    <w:rsid w:val="00C64018"/>
    <w:rsid w:val="00C6679A"/>
    <w:rsid w:val="00C71029"/>
    <w:rsid w:val="00C7104E"/>
    <w:rsid w:val="00C72836"/>
    <w:rsid w:val="00C7466E"/>
    <w:rsid w:val="00C76246"/>
    <w:rsid w:val="00C7645F"/>
    <w:rsid w:val="00C777F7"/>
    <w:rsid w:val="00C81DCC"/>
    <w:rsid w:val="00C83249"/>
    <w:rsid w:val="00C8356F"/>
    <w:rsid w:val="00C838B7"/>
    <w:rsid w:val="00C83EBD"/>
    <w:rsid w:val="00C843D2"/>
    <w:rsid w:val="00C85B15"/>
    <w:rsid w:val="00C8628C"/>
    <w:rsid w:val="00C86CFE"/>
    <w:rsid w:val="00C917ED"/>
    <w:rsid w:val="00C92B0C"/>
    <w:rsid w:val="00C93675"/>
    <w:rsid w:val="00C951F6"/>
    <w:rsid w:val="00C9587A"/>
    <w:rsid w:val="00C95C26"/>
    <w:rsid w:val="00C96717"/>
    <w:rsid w:val="00C97222"/>
    <w:rsid w:val="00C97F44"/>
    <w:rsid w:val="00CA0BA2"/>
    <w:rsid w:val="00CA17B7"/>
    <w:rsid w:val="00CA22DA"/>
    <w:rsid w:val="00CA2C08"/>
    <w:rsid w:val="00CA2D0D"/>
    <w:rsid w:val="00CA3004"/>
    <w:rsid w:val="00CA3B1E"/>
    <w:rsid w:val="00CA5498"/>
    <w:rsid w:val="00CA6B73"/>
    <w:rsid w:val="00CA6CF6"/>
    <w:rsid w:val="00CA7086"/>
    <w:rsid w:val="00CA7AA9"/>
    <w:rsid w:val="00CB047A"/>
    <w:rsid w:val="00CB30B8"/>
    <w:rsid w:val="00CB3C24"/>
    <w:rsid w:val="00CB3DFE"/>
    <w:rsid w:val="00CB4946"/>
    <w:rsid w:val="00CB5BE9"/>
    <w:rsid w:val="00CB6035"/>
    <w:rsid w:val="00CB76B3"/>
    <w:rsid w:val="00CC112F"/>
    <w:rsid w:val="00CC17FE"/>
    <w:rsid w:val="00CC1983"/>
    <w:rsid w:val="00CC1CDB"/>
    <w:rsid w:val="00CC27A6"/>
    <w:rsid w:val="00CC28A3"/>
    <w:rsid w:val="00CC42C5"/>
    <w:rsid w:val="00CC4799"/>
    <w:rsid w:val="00CC4AB2"/>
    <w:rsid w:val="00CC557F"/>
    <w:rsid w:val="00CC5DE9"/>
    <w:rsid w:val="00CC639E"/>
    <w:rsid w:val="00CC73CE"/>
    <w:rsid w:val="00CD00B7"/>
    <w:rsid w:val="00CD0608"/>
    <w:rsid w:val="00CD3885"/>
    <w:rsid w:val="00CD4059"/>
    <w:rsid w:val="00CD56A9"/>
    <w:rsid w:val="00CD6887"/>
    <w:rsid w:val="00CD6D22"/>
    <w:rsid w:val="00CE1977"/>
    <w:rsid w:val="00CE1D4A"/>
    <w:rsid w:val="00CF03C9"/>
    <w:rsid w:val="00CF0EFC"/>
    <w:rsid w:val="00CF1D74"/>
    <w:rsid w:val="00CF1E1F"/>
    <w:rsid w:val="00CF31E2"/>
    <w:rsid w:val="00CF3B31"/>
    <w:rsid w:val="00CF44B9"/>
    <w:rsid w:val="00CF45C6"/>
    <w:rsid w:val="00CF4D49"/>
    <w:rsid w:val="00CF5517"/>
    <w:rsid w:val="00CF56C0"/>
    <w:rsid w:val="00D00866"/>
    <w:rsid w:val="00D010C7"/>
    <w:rsid w:val="00D047F4"/>
    <w:rsid w:val="00D052B0"/>
    <w:rsid w:val="00D06612"/>
    <w:rsid w:val="00D06DF0"/>
    <w:rsid w:val="00D06F61"/>
    <w:rsid w:val="00D07094"/>
    <w:rsid w:val="00D07660"/>
    <w:rsid w:val="00D07D69"/>
    <w:rsid w:val="00D10FD8"/>
    <w:rsid w:val="00D117CB"/>
    <w:rsid w:val="00D158B5"/>
    <w:rsid w:val="00D202DA"/>
    <w:rsid w:val="00D20767"/>
    <w:rsid w:val="00D21ABF"/>
    <w:rsid w:val="00D22797"/>
    <w:rsid w:val="00D22A1B"/>
    <w:rsid w:val="00D237B4"/>
    <w:rsid w:val="00D24A2D"/>
    <w:rsid w:val="00D24F1D"/>
    <w:rsid w:val="00D251B5"/>
    <w:rsid w:val="00D26B75"/>
    <w:rsid w:val="00D272B4"/>
    <w:rsid w:val="00D27BBC"/>
    <w:rsid w:val="00D27E33"/>
    <w:rsid w:val="00D31804"/>
    <w:rsid w:val="00D338E0"/>
    <w:rsid w:val="00D34527"/>
    <w:rsid w:val="00D35E69"/>
    <w:rsid w:val="00D37108"/>
    <w:rsid w:val="00D37EB9"/>
    <w:rsid w:val="00D40BB5"/>
    <w:rsid w:val="00D40D64"/>
    <w:rsid w:val="00D43708"/>
    <w:rsid w:val="00D43932"/>
    <w:rsid w:val="00D44462"/>
    <w:rsid w:val="00D45155"/>
    <w:rsid w:val="00D456D2"/>
    <w:rsid w:val="00D45AFF"/>
    <w:rsid w:val="00D46C88"/>
    <w:rsid w:val="00D4768B"/>
    <w:rsid w:val="00D476C4"/>
    <w:rsid w:val="00D47C0F"/>
    <w:rsid w:val="00D47E53"/>
    <w:rsid w:val="00D51ADF"/>
    <w:rsid w:val="00D51B10"/>
    <w:rsid w:val="00D52203"/>
    <w:rsid w:val="00D52F03"/>
    <w:rsid w:val="00D533CD"/>
    <w:rsid w:val="00D53980"/>
    <w:rsid w:val="00D541D4"/>
    <w:rsid w:val="00D542E3"/>
    <w:rsid w:val="00D55010"/>
    <w:rsid w:val="00D5686C"/>
    <w:rsid w:val="00D57542"/>
    <w:rsid w:val="00D57612"/>
    <w:rsid w:val="00D600E5"/>
    <w:rsid w:val="00D6028A"/>
    <w:rsid w:val="00D61F70"/>
    <w:rsid w:val="00D6274D"/>
    <w:rsid w:val="00D64BD2"/>
    <w:rsid w:val="00D65B09"/>
    <w:rsid w:val="00D7289D"/>
    <w:rsid w:val="00D72CED"/>
    <w:rsid w:val="00D74238"/>
    <w:rsid w:val="00D7574E"/>
    <w:rsid w:val="00D76C0E"/>
    <w:rsid w:val="00D776CF"/>
    <w:rsid w:val="00D803FB"/>
    <w:rsid w:val="00D80CF2"/>
    <w:rsid w:val="00D812E5"/>
    <w:rsid w:val="00D83070"/>
    <w:rsid w:val="00D833FA"/>
    <w:rsid w:val="00D84625"/>
    <w:rsid w:val="00D85935"/>
    <w:rsid w:val="00D878F2"/>
    <w:rsid w:val="00D90049"/>
    <w:rsid w:val="00D90DE4"/>
    <w:rsid w:val="00D9128C"/>
    <w:rsid w:val="00D922BA"/>
    <w:rsid w:val="00D92324"/>
    <w:rsid w:val="00D92A84"/>
    <w:rsid w:val="00D9315F"/>
    <w:rsid w:val="00D9330E"/>
    <w:rsid w:val="00D959AB"/>
    <w:rsid w:val="00D971FD"/>
    <w:rsid w:val="00D97901"/>
    <w:rsid w:val="00DA0786"/>
    <w:rsid w:val="00DA099C"/>
    <w:rsid w:val="00DA17EB"/>
    <w:rsid w:val="00DA350E"/>
    <w:rsid w:val="00DA501C"/>
    <w:rsid w:val="00DA65CB"/>
    <w:rsid w:val="00DA683B"/>
    <w:rsid w:val="00DA78EB"/>
    <w:rsid w:val="00DB034B"/>
    <w:rsid w:val="00DB249E"/>
    <w:rsid w:val="00DB352F"/>
    <w:rsid w:val="00DB3898"/>
    <w:rsid w:val="00DB4207"/>
    <w:rsid w:val="00DB5E06"/>
    <w:rsid w:val="00DB63A8"/>
    <w:rsid w:val="00DB77AA"/>
    <w:rsid w:val="00DC00BE"/>
    <w:rsid w:val="00DC1026"/>
    <w:rsid w:val="00DC105F"/>
    <w:rsid w:val="00DC3B31"/>
    <w:rsid w:val="00DC45A8"/>
    <w:rsid w:val="00DC5453"/>
    <w:rsid w:val="00DC6276"/>
    <w:rsid w:val="00DC6487"/>
    <w:rsid w:val="00DC69ED"/>
    <w:rsid w:val="00DC745D"/>
    <w:rsid w:val="00DD1C5E"/>
    <w:rsid w:val="00DD2122"/>
    <w:rsid w:val="00DD2150"/>
    <w:rsid w:val="00DD2B6E"/>
    <w:rsid w:val="00DD2EA7"/>
    <w:rsid w:val="00DD56B4"/>
    <w:rsid w:val="00DD5ED6"/>
    <w:rsid w:val="00DD7548"/>
    <w:rsid w:val="00DE00CD"/>
    <w:rsid w:val="00DE0389"/>
    <w:rsid w:val="00DE0D0D"/>
    <w:rsid w:val="00DE1E40"/>
    <w:rsid w:val="00DE3539"/>
    <w:rsid w:val="00DE3E1A"/>
    <w:rsid w:val="00DE41B8"/>
    <w:rsid w:val="00DE4354"/>
    <w:rsid w:val="00DE6552"/>
    <w:rsid w:val="00DE6CF6"/>
    <w:rsid w:val="00DF0BD3"/>
    <w:rsid w:val="00DF1111"/>
    <w:rsid w:val="00DF13AB"/>
    <w:rsid w:val="00DF1459"/>
    <w:rsid w:val="00DF15B6"/>
    <w:rsid w:val="00DF1725"/>
    <w:rsid w:val="00DF1923"/>
    <w:rsid w:val="00DF1AE0"/>
    <w:rsid w:val="00DF22A6"/>
    <w:rsid w:val="00DF298F"/>
    <w:rsid w:val="00DF528C"/>
    <w:rsid w:val="00DF5669"/>
    <w:rsid w:val="00DF6AE4"/>
    <w:rsid w:val="00DF7061"/>
    <w:rsid w:val="00DF77FF"/>
    <w:rsid w:val="00E01970"/>
    <w:rsid w:val="00E02063"/>
    <w:rsid w:val="00E021D5"/>
    <w:rsid w:val="00E02F8A"/>
    <w:rsid w:val="00E039C5"/>
    <w:rsid w:val="00E04BF5"/>
    <w:rsid w:val="00E04C5A"/>
    <w:rsid w:val="00E06077"/>
    <w:rsid w:val="00E06740"/>
    <w:rsid w:val="00E10017"/>
    <w:rsid w:val="00E114E2"/>
    <w:rsid w:val="00E11A6C"/>
    <w:rsid w:val="00E12499"/>
    <w:rsid w:val="00E12DAF"/>
    <w:rsid w:val="00E13AA6"/>
    <w:rsid w:val="00E13F03"/>
    <w:rsid w:val="00E14119"/>
    <w:rsid w:val="00E155E2"/>
    <w:rsid w:val="00E16097"/>
    <w:rsid w:val="00E16FEB"/>
    <w:rsid w:val="00E2067C"/>
    <w:rsid w:val="00E2260E"/>
    <w:rsid w:val="00E2401A"/>
    <w:rsid w:val="00E25231"/>
    <w:rsid w:val="00E256AD"/>
    <w:rsid w:val="00E26BA8"/>
    <w:rsid w:val="00E278B4"/>
    <w:rsid w:val="00E27C77"/>
    <w:rsid w:val="00E308BC"/>
    <w:rsid w:val="00E308D3"/>
    <w:rsid w:val="00E317DB"/>
    <w:rsid w:val="00E321AD"/>
    <w:rsid w:val="00E342B6"/>
    <w:rsid w:val="00E345BE"/>
    <w:rsid w:val="00E34D59"/>
    <w:rsid w:val="00E3637C"/>
    <w:rsid w:val="00E3703F"/>
    <w:rsid w:val="00E379CE"/>
    <w:rsid w:val="00E408E0"/>
    <w:rsid w:val="00E43D8D"/>
    <w:rsid w:val="00E43E5C"/>
    <w:rsid w:val="00E43F9C"/>
    <w:rsid w:val="00E4578F"/>
    <w:rsid w:val="00E45A89"/>
    <w:rsid w:val="00E4663D"/>
    <w:rsid w:val="00E46C2A"/>
    <w:rsid w:val="00E47F9D"/>
    <w:rsid w:val="00E503B7"/>
    <w:rsid w:val="00E510A3"/>
    <w:rsid w:val="00E553FF"/>
    <w:rsid w:val="00E5552E"/>
    <w:rsid w:val="00E5595B"/>
    <w:rsid w:val="00E55C5C"/>
    <w:rsid w:val="00E56C14"/>
    <w:rsid w:val="00E5790E"/>
    <w:rsid w:val="00E60AC7"/>
    <w:rsid w:val="00E62E96"/>
    <w:rsid w:val="00E63836"/>
    <w:rsid w:val="00E64067"/>
    <w:rsid w:val="00E65104"/>
    <w:rsid w:val="00E656CD"/>
    <w:rsid w:val="00E65FA5"/>
    <w:rsid w:val="00E66C58"/>
    <w:rsid w:val="00E67DB3"/>
    <w:rsid w:val="00E706A8"/>
    <w:rsid w:val="00E75019"/>
    <w:rsid w:val="00E77639"/>
    <w:rsid w:val="00E830D6"/>
    <w:rsid w:val="00E83864"/>
    <w:rsid w:val="00E84BF8"/>
    <w:rsid w:val="00E870E9"/>
    <w:rsid w:val="00E90ACA"/>
    <w:rsid w:val="00E9135E"/>
    <w:rsid w:val="00E917FE"/>
    <w:rsid w:val="00E942F9"/>
    <w:rsid w:val="00E94EED"/>
    <w:rsid w:val="00EA197A"/>
    <w:rsid w:val="00EA2025"/>
    <w:rsid w:val="00EA3254"/>
    <w:rsid w:val="00EA36BC"/>
    <w:rsid w:val="00EA37EC"/>
    <w:rsid w:val="00EA3D14"/>
    <w:rsid w:val="00EA5096"/>
    <w:rsid w:val="00EA5216"/>
    <w:rsid w:val="00EA6471"/>
    <w:rsid w:val="00EA6A12"/>
    <w:rsid w:val="00EA7807"/>
    <w:rsid w:val="00EA7C8F"/>
    <w:rsid w:val="00EB02A7"/>
    <w:rsid w:val="00EB2274"/>
    <w:rsid w:val="00EB37A8"/>
    <w:rsid w:val="00EB4B9F"/>
    <w:rsid w:val="00EB52C3"/>
    <w:rsid w:val="00EB583A"/>
    <w:rsid w:val="00EB6C25"/>
    <w:rsid w:val="00EC2D36"/>
    <w:rsid w:val="00EC3786"/>
    <w:rsid w:val="00EC3F1A"/>
    <w:rsid w:val="00EC406A"/>
    <w:rsid w:val="00EC4F94"/>
    <w:rsid w:val="00EC65A1"/>
    <w:rsid w:val="00EC6DDC"/>
    <w:rsid w:val="00ED19D4"/>
    <w:rsid w:val="00ED35F4"/>
    <w:rsid w:val="00ED3606"/>
    <w:rsid w:val="00ED43BA"/>
    <w:rsid w:val="00ED4794"/>
    <w:rsid w:val="00ED5B67"/>
    <w:rsid w:val="00EE25A8"/>
    <w:rsid w:val="00EE405D"/>
    <w:rsid w:val="00EE56E4"/>
    <w:rsid w:val="00EE5E60"/>
    <w:rsid w:val="00EE6C5D"/>
    <w:rsid w:val="00EE6F67"/>
    <w:rsid w:val="00EE708E"/>
    <w:rsid w:val="00EE79CE"/>
    <w:rsid w:val="00EE7D45"/>
    <w:rsid w:val="00EE7E1E"/>
    <w:rsid w:val="00EE7E43"/>
    <w:rsid w:val="00EF28B3"/>
    <w:rsid w:val="00EF409D"/>
    <w:rsid w:val="00EF4ED0"/>
    <w:rsid w:val="00EF6A78"/>
    <w:rsid w:val="00EF6FA1"/>
    <w:rsid w:val="00F002EC"/>
    <w:rsid w:val="00F01E93"/>
    <w:rsid w:val="00F020DE"/>
    <w:rsid w:val="00F02635"/>
    <w:rsid w:val="00F03180"/>
    <w:rsid w:val="00F11375"/>
    <w:rsid w:val="00F11B7B"/>
    <w:rsid w:val="00F1217F"/>
    <w:rsid w:val="00F14301"/>
    <w:rsid w:val="00F15438"/>
    <w:rsid w:val="00F15E5F"/>
    <w:rsid w:val="00F17873"/>
    <w:rsid w:val="00F20350"/>
    <w:rsid w:val="00F20490"/>
    <w:rsid w:val="00F20CFE"/>
    <w:rsid w:val="00F21675"/>
    <w:rsid w:val="00F2189A"/>
    <w:rsid w:val="00F21945"/>
    <w:rsid w:val="00F22DE4"/>
    <w:rsid w:val="00F23702"/>
    <w:rsid w:val="00F23BA8"/>
    <w:rsid w:val="00F24905"/>
    <w:rsid w:val="00F25DAF"/>
    <w:rsid w:val="00F26510"/>
    <w:rsid w:val="00F31257"/>
    <w:rsid w:val="00F31431"/>
    <w:rsid w:val="00F323D0"/>
    <w:rsid w:val="00F33F47"/>
    <w:rsid w:val="00F350FF"/>
    <w:rsid w:val="00F41F11"/>
    <w:rsid w:val="00F42710"/>
    <w:rsid w:val="00F42818"/>
    <w:rsid w:val="00F43457"/>
    <w:rsid w:val="00F43F75"/>
    <w:rsid w:val="00F43F92"/>
    <w:rsid w:val="00F453E4"/>
    <w:rsid w:val="00F52C79"/>
    <w:rsid w:val="00F5336A"/>
    <w:rsid w:val="00F53BBF"/>
    <w:rsid w:val="00F53F86"/>
    <w:rsid w:val="00F54DF3"/>
    <w:rsid w:val="00F5566B"/>
    <w:rsid w:val="00F576F8"/>
    <w:rsid w:val="00F60441"/>
    <w:rsid w:val="00F61744"/>
    <w:rsid w:val="00F628AA"/>
    <w:rsid w:val="00F70C3A"/>
    <w:rsid w:val="00F722AF"/>
    <w:rsid w:val="00F737AD"/>
    <w:rsid w:val="00F73FF7"/>
    <w:rsid w:val="00F748D6"/>
    <w:rsid w:val="00F74BAB"/>
    <w:rsid w:val="00F75131"/>
    <w:rsid w:val="00F76378"/>
    <w:rsid w:val="00F77E46"/>
    <w:rsid w:val="00F80602"/>
    <w:rsid w:val="00F81DCF"/>
    <w:rsid w:val="00F823C8"/>
    <w:rsid w:val="00F84225"/>
    <w:rsid w:val="00F85815"/>
    <w:rsid w:val="00F86282"/>
    <w:rsid w:val="00F862EC"/>
    <w:rsid w:val="00F87595"/>
    <w:rsid w:val="00F87CF0"/>
    <w:rsid w:val="00F90D49"/>
    <w:rsid w:val="00F91044"/>
    <w:rsid w:val="00F91FAD"/>
    <w:rsid w:val="00F93088"/>
    <w:rsid w:val="00F938AF"/>
    <w:rsid w:val="00F97812"/>
    <w:rsid w:val="00F97AE0"/>
    <w:rsid w:val="00F97C20"/>
    <w:rsid w:val="00FA0674"/>
    <w:rsid w:val="00FA0F72"/>
    <w:rsid w:val="00FA166F"/>
    <w:rsid w:val="00FA305A"/>
    <w:rsid w:val="00FA3144"/>
    <w:rsid w:val="00FA3831"/>
    <w:rsid w:val="00FA38BD"/>
    <w:rsid w:val="00FA4247"/>
    <w:rsid w:val="00FA6FE0"/>
    <w:rsid w:val="00FB0CD6"/>
    <w:rsid w:val="00FB0F4F"/>
    <w:rsid w:val="00FB22ED"/>
    <w:rsid w:val="00FB2359"/>
    <w:rsid w:val="00FB2E5D"/>
    <w:rsid w:val="00FB38ED"/>
    <w:rsid w:val="00FB481D"/>
    <w:rsid w:val="00FB64C6"/>
    <w:rsid w:val="00FB6504"/>
    <w:rsid w:val="00FB6E0B"/>
    <w:rsid w:val="00FB70AB"/>
    <w:rsid w:val="00FB7438"/>
    <w:rsid w:val="00FB776D"/>
    <w:rsid w:val="00FB7AA3"/>
    <w:rsid w:val="00FC2C7D"/>
    <w:rsid w:val="00FC31D6"/>
    <w:rsid w:val="00FD0239"/>
    <w:rsid w:val="00FD04B3"/>
    <w:rsid w:val="00FD1539"/>
    <w:rsid w:val="00FD275F"/>
    <w:rsid w:val="00FD2DC0"/>
    <w:rsid w:val="00FD34CA"/>
    <w:rsid w:val="00FD5AEB"/>
    <w:rsid w:val="00FD7CF9"/>
    <w:rsid w:val="00FE084D"/>
    <w:rsid w:val="00FE0F77"/>
    <w:rsid w:val="00FE1959"/>
    <w:rsid w:val="00FE1AC0"/>
    <w:rsid w:val="00FE1DDC"/>
    <w:rsid w:val="00FE3818"/>
    <w:rsid w:val="00FE386B"/>
    <w:rsid w:val="00FE3ECC"/>
    <w:rsid w:val="00FE428F"/>
    <w:rsid w:val="00FE7BD3"/>
    <w:rsid w:val="00FF0167"/>
    <w:rsid w:val="00FF04D3"/>
    <w:rsid w:val="00FF203E"/>
    <w:rsid w:val="00FF245D"/>
    <w:rsid w:val="00FF29AA"/>
    <w:rsid w:val="00FF30BF"/>
    <w:rsid w:val="00FF3945"/>
    <w:rsid w:val="00FF49B9"/>
    <w:rsid w:val="00FF4CA3"/>
    <w:rsid w:val="00FF4E91"/>
    <w:rsid w:val="00FF51E1"/>
    <w:rsid w:val="00FF61BC"/>
    <w:rsid w:val="00FF6971"/>
    <w:rsid w:val="00FF6D92"/>
    <w:rsid w:val="00FF7286"/>
    <w:rsid w:val="00FF7419"/>
    <w:rsid w:val="00FF78C0"/>
    <w:rsid w:val="00FF7FE5"/>
    <w:rsid w:val="0133697F"/>
    <w:rsid w:val="013A6CBC"/>
    <w:rsid w:val="013B29D2"/>
    <w:rsid w:val="014852B3"/>
    <w:rsid w:val="01557A3F"/>
    <w:rsid w:val="019C056D"/>
    <w:rsid w:val="01A0718C"/>
    <w:rsid w:val="01E46A63"/>
    <w:rsid w:val="01ED3599"/>
    <w:rsid w:val="01EF3ADB"/>
    <w:rsid w:val="020D3436"/>
    <w:rsid w:val="02117D9A"/>
    <w:rsid w:val="029B6D3B"/>
    <w:rsid w:val="02C514CC"/>
    <w:rsid w:val="03772BBD"/>
    <w:rsid w:val="03942954"/>
    <w:rsid w:val="03AD7A69"/>
    <w:rsid w:val="03EF6541"/>
    <w:rsid w:val="04352076"/>
    <w:rsid w:val="044C3BB0"/>
    <w:rsid w:val="04B56138"/>
    <w:rsid w:val="04C1557E"/>
    <w:rsid w:val="04DA5702"/>
    <w:rsid w:val="04DC5D07"/>
    <w:rsid w:val="04E945F2"/>
    <w:rsid w:val="04F02654"/>
    <w:rsid w:val="050134B5"/>
    <w:rsid w:val="05303C59"/>
    <w:rsid w:val="053F7100"/>
    <w:rsid w:val="05700919"/>
    <w:rsid w:val="05C708ED"/>
    <w:rsid w:val="05C8248C"/>
    <w:rsid w:val="05CB3411"/>
    <w:rsid w:val="05E03BCA"/>
    <w:rsid w:val="06014D87"/>
    <w:rsid w:val="06484940"/>
    <w:rsid w:val="06603445"/>
    <w:rsid w:val="06844DBE"/>
    <w:rsid w:val="068B3CDD"/>
    <w:rsid w:val="068E5EF5"/>
    <w:rsid w:val="06D37A88"/>
    <w:rsid w:val="06D46400"/>
    <w:rsid w:val="06E61AFA"/>
    <w:rsid w:val="073A630B"/>
    <w:rsid w:val="075879B1"/>
    <w:rsid w:val="075B55C4"/>
    <w:rsid w:val="075D6058"/>
    <w:rsid w:val="07862F42"/>
    <w:rsid w:val="078A60AB"/>
    <w:rsid w:val="079478DC"/>
    <w:rsid w:val="07C3354C"/>
    <w:rsid w:val="08107DC8"/>
    <w:rsid w:val="081661E1"/>
    <w:rsid w:val="081F2D88"/>
    <w:rsid w:val="08287953"/>
    <w:rsid w:val="08315C53"/>
    <w:rsid w:val="08353995"/>
    <w:rsid w:val="08487F22"/>
    <w:rsid w:val="08652B7A"/>
    <w:rsid w:val="087B19AA"/>
    <w:rsid w:val="087F11CE"/>
    <w:rsid w:val="08984829"/>
    <w:rsid w:val="0916625C"/>
    <w:rsid w:val="094A363C"/>
    <w:rsid w:val="09535E97"/>
    <w:rsid w:val="09707E5F"/>
    <w:rsid w:val="097F1C5F"/>
    <w:rsid w:val="09A96A3B"/>
    <w:rsid w:val="09DA28B7"/>
    <w:rsid w:val="0A1B0B07"/>
    <w:rsid w:val="0A307BEE"/>
    <w:rsid w:val="0A726839"/>
    <w:rsid w:val="0A7A6B00"/>
    <w:rsid w:val="0A93362F"/>
    <w:rsid w:val="0A9F4F8C"/>
    <w:rsid w:val="0AAC2EC8"/>
    <w:rsid w:val="0AB13EC9"/>
    <w:rsid w:val="0AF33506"/>
    <w:rsid w:val="0B102674"/>
    <w:rsid w:val="0B374538"/>
    <w:rsid w:val="0B566331"/>
    <w:rsid w:val="0BBE5985"/>
    <w:rsid w:val="0BC83E6E"/>
    <w:rsid w:val="0BDE7E80"/>
    <w:rsid w:val="0BE85DDC"/>
    <w:rsid w:val="0C154EB1"/>
    <w:rsid w:val="0C331791"/>
    <w:rsid w:val="0C560A4C"/>
    <w:rsid w:val="0C5A4A42"/>
    <w:rsid w:val="0C5D11FF"/>
    <w:rsid w:val="0C6E63F1"/>
    <w:rsid w:val="0C785CA0"/>
    <w:rsid w:val="0C8C5093"/>
    <w:rsid w:val="0CCC3E9A"/>
    <w:rsid w:val="0CF814DF"/>
    <w:rsid w:val="0CFB7545"/>
    <w:rsid w:val="0D0A7C8B"/>
    <w:rsid w:val="0D213803"/>
    <w:rsid w:val="0D4735EA"/>
    <w:rsid w:val="0D5663F1"/>
    <w:rsid w:val="0DC05284"/>
    <w:rsid w:val="0DC249D9"/>
    <w:rsid w:val="0E317059"/>
    <w:rsid w:val="0E394083"/>
    <w:rsid w:val="0E543A81"/>
    <w:rsid w:val="0E6A187F"/>
    <w:rsid w:val="0EBB761E"/>
    <w:rsid w:val="0ED77EB4"/>
    <w:rsid w:val="0EEE3E71"/>
    <w:rsid w:val="0EEF4E8D"/>
    <w:rsid w:val="0EF16699"/>
    <w:rsid w:val="0EF6014C"/>
    <w:rsid w:val="0EFA7D6B"/>
    <w:rsid w:val="0F00356B"/>
    <w:rsid w:val="0F0B0965"/>
    <w:rsid w:val="0F1258D7"/>
    <w:rsid w:val="0F216961"/>
    <w:rsid w:val="0F22366F"/>
    <w:rsid w:val="0F413C28"/>
    <w:rsid w:val="0F514414"/>
    <w:rsid w:val="0F576127"/>
    <w:rsid w:val="0F7066E0"/>
    <w:rsid w:val="0F7C4CC9"/>
    <w:rsid w:val="0F82292F"/>
    <w:rsid w:val="0FA35E1F"/>
    <w:rsid w:val="0FB9365C"/>
    <w:rsid w:val="0FB97007"/>
    <w:rsid w:val="0FCB0FA3"/>
    <w:rsid w:val="0FD91120"/>
    <w:rsid w:val="0FE56DDC"/>
    <w:rsid w:val="0FF312BD"/>
    <w:rsid w:val="10030EDC"/>
    <w:rsid w:val="102B7A1A"/>
    <w:rsid w:val="10591542"/>
    <w:rsid w:val="107439CE"/>
    <w:rsid w:val="107C0612"/>
    <w:rsid w:val="10CE054F"/>
    <w:rsid w:val="10D33DA9"/>
    <w:rsid w:val="10EF58C7"/>
    <w:rsid w:val="10F0607C"/>
    <w:rsid w:val="10F12AF0"/>
    <w:rsid w:val="11131B70"/>
    <w:rsid w:val="111802F5"/>
    <w:rsid w:val="11531B43"/>
    <w:rsid w:val="11636CB1"/>
    <w:rsid w:val="119674E7"/>
    <w:rsid w:val="11B31E95"/>
    <w:rsid w:val="11BB6C6B"/>
    <w:rsid w:val="11C16E52"/>
    <w:rsid w:val="11DD425B"/>
    <w:rsid w:val="1201448E"/>
    <w:rsid w:val="12053225"/>
    <w:rsid w:val="121560E0"/>
    <w:rsid w:val="12180BBD"/>
    <w:rsid w:val="12384D02"/>
    <w:rsid w:val="129F26A7"/>
    <w:rsid w:val="12B40A3B"/>
    <w:rsid w:val="12DA25D1"/>
    <w:rsid w:val="12ED3E06"/>
    <w:rsid w:val="12F519A8"/>
    <w:rsid w:val="130C6728"/>
    <w:rsid w:val="13662D37"/>
    <w:rsid w:val="136F3FAF"/>
    <w:rsid w:val="13761C90"/>
    <w:rsid w:val="138E5B75"/>
    <w:rsid w:val="13AB3552"/>
    <w:rsid w:val="13B861DA"/>
    <w:rsid w:val="13F2191D"/>
    <w:rsid w:val="13F72E8E"/>
    <w:rsid w:val="143C08C2"/>
    <w:rsid w:val="144B3C1C"/>
    <w:rsid w:val="144E106D"/>
    <w:rsid w:val="14535B71"/>
    <w:rsid w:val="14640162"/>
    <w:rsid w:val="14687188"/>
    <w:rsid w:val="1479426F"/>
    <w:rsid w:val="148F7048"/>
    <w:rsid w:val="14977CD7"/>
    <w:rsid w:val="14D701AF"/>
    <w:rsid w:val="14EB7761"/>
    <w:rsid w:val="14FF2B6E"/>
    <w:rsid w:val="15001CD4"/>
    <w:rsid w:val="15045A83"/>
    <w:rsid w:val="15545B7C"/>
    <w:rsid w:val="155B47A2"/>
    <w:rsid w:val="15643BA8"/>
    <w:rsid w:val="156F469E"/>
    <w:rsid w:val="159F2CCA"/>
    <w:rsid w:val="15D162AC"/>
    <w:rsid w:val="1652472A"/>
    <w:rsid w:val="1663076D"/>
    <w:rsid w:val="168C360A"/>
    <w:rsid w:val="16C042BD"/>
    <w:rsid w:val="16DC7F5D"/>
    <w:rsid w:val="16E5653C"/>
    <w:rsid w:val="16F66DD9"/>
    <w:rsid w:val="16FF5B47"/>
    <w:rsid w:val="17101665"/>
    <w:rsid w:val="173410C9"/>
    <w:rsid w:val="177D27E6"/>
    <w:rsid w:val="17C302DE"/>
    <w:rsid w:val="18297BB3"/>
    <w:rsid w:val="18447A82"/>
    <w:rsid w:val="18465E5E"/>
    <w:rsid w:val="186D6D90"/>
    <w:rsid w:val="189578E5"/>
    <w:rsid w:val="18C977C0"/>
    <w:rsid w:val="18CD16EA"/>
    <w:rsid w:val="18D76EF3"/>
    <w:rsid w:val="18DE6BEE"/>
    <w:rsid w:val="18E1766C"/>
    <w:rsid w:val="191608D6"/>
    <w:rsid w:val="19181A3A"/>
    <w:rsid w:val="19193C38"/>
    <w:rsid w:val="19342861"/>
    <w:rsid w:val="193F378F"/>
    <w:rsid w:val="194C6A11"/>
    <w:rsid w:val="19586550"/>
    <w:rsid w:val="19734E21"/>
    <w:rsid w:val="19782140"/>
    <w:rsid w:val="199021AD"/>
    <w:rsid w:val="19C376C2"/>
    <w:rsid w:val="19D20E56"/>
    <w:rsid w:val="19E82AC2"/>
    <w:rsid w:val="1A183957"/>
    <w:rsid w:val="1A3223C5"/>
    <w:rsid w:val="1A35698F"/>
    <w:rsid w:val="1A660C29"/>
    <w:rsid w:val="1AAC1929"/>
    <w:rsid w:val="1AB52F71"/>
    <w:rsid w:val="1AD24EE1"/>
    <w:rsid w:val="1B101D45"/>
    <w:rsid w:val="1B3D1F88"/>
    <w:rsid w:val="1B503651"/>
    <w:rsid w:val="1B595772"/>
    <w:rsid w:val="1B6D1940"/>
    <w:rsid w:val="1B7C116F"/>
    <w:rsid w:val="1B9A36FD"/>
    <w:rsid w:val="1BD9300C"/>
    <w:rsid w:val="1C055CA6"/>
    <w:rsid w:val="1C0D6DD6"/>
    <w:rsid w:val="1C353ED6"/>
    <w:rsid w:val="1C795116"/>
    <w:rsid w:val="1CAD46F2"/>
    <w:rsid w:val="1CBC50B4"/>
    <w:rsid w:val="1CC10D30"/>
    <w:rsid w:val="1CE130B7"/>
    <w:rsid w:val="1CE97400"/>
    <w:rsid w:val="1CED58D2"/>
    <w:rsid w:val="1D3D6C76"/>
    <w:rsid w:val="1D501329"/>
    <w:rsid w:val="1D6E1142"/>
    <w:rsid w:val="1D71005A"/>
    <w:rsid w:val="1D7360E0"/>
    <w:rsid w:val="1DBC3074"/>
    <w:rsid w:val="1DBC4003"/>
    <w:rsid w:val="1DC679DA"/>
    <w:rsid w:val="1DFC77A5"/>
    <w:rsid w:val="1E3319FB"/>
    <w:rsid w:val="1E3C58D2"/>
    <w:rsid w:val="1E707410"/>
    <w:rsid w:val="1E74001A"/>
    <w:rsid w:val="1E9F254E"/>
    <w:rsid w:val="1ECE2DE8"/>
    <w:rsid w:val="1EFA7C30"/>
    <w:rsid w:val="1F0005D1"/>
    <w:rsid w:val="1F451D3F"/>
    <w:rsid w:val="1F4618A3"/>
    <w:rsid w:val="1F957D85"/>
    <w:rsid w:val="1FB87525"/>
    <w:rsid w:val="1FBD0187"/>
    <w:rsid w:val="1FC31B28"/>
    <w:rsid w:val="1FDA015E"/>
    <w:rsid w:val="1FDC4F5E"/>
    <w:rsid w:val="201B59F4"/>
    <w:rsid w:val="20377B8A"/>
    <w:rsid w:val="205E77A8"/>
    <w:rsid w:val="2096173F"/>
    <w:rsid w:val="20A553F0"/>
    <w:rsid w:val="20DE5D3F"/>
    <w:rsid w:val="20E83E89"/>
    <w:rsid w:val="213C7197"/>
    <w:rsid w:val="21414AC8"/>
    <w:rsid w:val="217933C3"/>
    <w:rsid w:val="21D62CED"/>
    <w:rsid w:val="221413F8"/>
    <w:rsid w:val="226136F6"/>
    <w:rsid w:val="227328A9"/>
    <w:rsid w:val="227937C5"/>
    <w:rsid w:val="227A1F45"/>
    <w:rsid w:val="22862631"/>
    <w:rsid w:val="229C7738"/>
    <w:rsid w:val="22A0459C"/>
    <w:rsid w:val="22AE2A63"/>
    <w:rsid w:val="22C6374B"/>
    <w:rsid w:val="22EA7724"/>
    <w:rsid w:val="234212C9"/>
    <w:rsid w:val="23775772"/>
    <w:rsid w:val="23946965"/>
    <w:rsid w:val="23CB291E"/>
    <w:rsid w:val="23D16A21"/>
    <w:rsid w:val="23E744D3"/>
    <w:rsid w:val="24046325"/>
    <w:rsid w:val="24240DD8"/>
    <w:rsid w:val="24751E0D"/>
    <w:rsid w:val="24794649"/>
    <w:rsid w:val="24A95863"/>
    <w:rsid w:val="24D124A1"/>
    <w:rsid w:val="24F07031"/>
    <w:rsid w:val="2502534F"/>
    <w:rsid w:val="250B08C6"/>
    <w:rsid w:val="2532477C"/>
    <w:rsid w:val="253D1F7A"/>
    <w:rsid w:val="25B30915"/>
    <w:rsid w:val="25BE697B"/>
    <w:rsid w:val="25D87525"/>
    <w:rsid w:val="25E0752F"/>
    <w:rsid w:val="26747F89"/>
    <w:rsid w:val="26806A39"/>
    <w:rsid w:val="26885016"/>
    <w:rsid w:val="26952FF4"/>
    <w:rsid w:val="269D3954"/>
    <w:rsid w:val="26E954BE"/>
    <w:rsid w:val="26FB63EA"/>
    <w:rsid w:val="2721633B"/>
    <w:rsid w:val="273E7613"/>
    <w:rsid w:val="278779B8"/>
    <w:rsid w:val="28172CA6"/>
    <w:rsid w:val="281825E1"/>
    <w:rsid w:val="28290661"/>
    <w:rsid w:val="282C1F78"/>
    <w:rsid w:val="28494343"/>
    <w:rsid w:val="284E0875"/>
    <w:rsid w:val="28651636"/>
    <w:rsid w:val="28767F9D"/>
    <w:rsid w:val="2882251C"/>
    <w:rsid w:val="289B47AA"/>
    <w:rsid w:val="28B53E05"/>
    <w:rsid w:val="28CE01BC"/>
    <w:rsid w:val="28EE0B69"/>
    <w:rsid w:val="293F2D39"/>
    <w:rsid w:val="294A2BB3"/>
    <w:rsid w:val="296B4E82"/>
    <w:rsid w:val="29996C0D"/>
    <w:rsid w:val="29AE4672"/>
    <w:rsid w:val="29B81EAF"/>
    <w:rsid w:val="29C3382F"/>
    <w:rsid w:val="29E929BA"/>
    <w:rsid w:val="29EF765A"/>
    <w:rsid w:val="2A430771"/>
    <w:rsid w:val="2AA77FE1"/>
    <w:rsid w:val="2ABA4A13"/>
    <w:rsid w:val="2AF96CC1"/>
    <w:rsid w:val="2AFF2E97"/>
    <w:rsid w:val="2B4A0342"/>
    <w:rsid w:val="2BB9108D"/>
    <w:rsid w:val="2BC214FA"/>
    <w:rsid w:val="2BD5209F"/>
    <w:rsid w:val="2C20003C"/>
    <w:rsid w:val="2C3A399C"/>
    <w:rsid w:val="2C552BE8"/>
    <w:rsid w:val="2C6625A6"/>
    <w:rsid w:val="2C6E3A21"/>
    <w:rsid w:val="2C892C49"/>
    <w:rsid w:val="2C9270C5"/>
    <w:rsid w:val="2CBC0A72"/>
    <w:rsid w:val="2CBD64F3"/>
    <w:rsid w:val="2CC25C57"/>
    <w:rsid w:val="2CDB3525"/>
    <w:rsid w:val="2D0018C4"/>
    <w:rsid w:val="2D0226C7"/>
    <w:rsid w:val="2D1D7870"/>
    <w:rsid w:val="2D224E5A"/>
    <w:rsid w:val="2D302ECE"/>
    <w:rsid w:val="2D31458B"/>
    <w:rsid w:val="2D807AA5"/>
    <w:rsid w:val="2DD72DAA"/>
    <w:rsid w:val="2DD91313"/>
    <w:rsid w:val="2DF3440E"/>
    <w:rsid w:val="2E103922"/>
    <w:rsid w:val="2E3A2E0D"/>
    <w:rsid w:val="2E52782B"/>
    <w:rsid w:val="2EAC0819"/>
    <w:rsid w:val="2ED8336B"/>
    <w:rsid w:val="2EFC31C5"/>
    <w:rsid w:val="2EFE1F25"/>
    <w:rsid w:val="2F1550A9"/>
    <w:rsid w:val="2F31394F"/>
    <w:rsid w:val="2FAC4ADB"/>
    <w:rsid w:val="2FAD5882"/>
    <w:rsid w:val="2FBB48BB"/>
    <w:rsid w:val="2FC15C5A"/>
    <w:rsid w:val="30121E6E"/>
    <w:rsid w:val="301953F7"/>
    <w:rsid w:val="30737B19"/>
    <w:rsid w:val="308F13B7"/>
    <w:rsid w:val="30ED145A"/>
    <w:rsid w:val="3128134E"/>
    <w:rsid w:val="315B2735"/>
    <w:rsid w:val="31A0304C"/>
    <w:rsid w:val="31C02DAE"/>
    <w:rsid w:val="31F82F08"/>
    <w:rsid w:val="32113AB2"/>
    <w:rsid w:val="321A61C0"/>
    <w:rsid w:val="32377F39"/>
    <w:rsid w:val="325112E4"/>
    <w:rsid w:val="325E19B3"/>
    <w:rsid w:val="326F66CF"/>
    <w:rsid w:val="32725B22"/>
    <w:rsid w:val="32935DAD"/>
    <w:rsid w:val="3312059E"/>
    <w:rsid w:val="336011D5"/>
    <w:rsid w:val="33D451AD"/>
    <w:rsid w:val="340A54B1"/>
    <w:rsid w:val="34114BEF"/>
    <w:rsid w:val="34322564"/>
    <w:rsid w:val="344D14FD"/>
    <w:rsid w:val="34504E4D"/>
    <w:rsid w:val="34844B2E"/>
    <w:rsid w:val="34864F4E"/>
    <w:rsid w:val="34965B38"/>
    <w:rsid w:val="349F40FD"/>
    <w:rsid w:val="34C3799C"/>
    <w:rsid w:val="34F24308"/>
    <w:rsid w:val="35127301"/>
    <w:rsid w:val="35516833"/>
    <w:rsid w:val="358325B0"/>
    <w:rsid w:val="35BC79DD"/>
    <w:rsid w:val="35C809BC"/>
    <w:rsid w:val="3602605B"/>
    <w:rsid w:val="360D7B3A"/>
    <w:rsid w:val="362A2762"/>
    <w:rsid w:val="363E2E15"/>
    <w:rsid w:val="36651848"/>
    <w:rsid w:val="369A7F0F"/>
    <w:rsid w:val="36A507FE"/>
    <w:rsid w:val="36E5781D"/>
    <w:rsid w:val="36EC7515"/>
    <w:rsid w:val="370F7999"/>
    <w:rsid w:val="372B2510"/>
    <w:rsid w:val="373056A1"/>
    <w:rsid w:val="3736396D"/>
    <w:rsid w:val="374067F6"/>
    <w:rsid w:val="375A77DC"/>
    <w:rsid w:val="37682E08"/>
    <w:rsid w:val="3776484C"/>
    <w:rsid w:val="37B33974"/>
    <w:rsid w:val="37C76847"/>
    <w:rsid w:val="37D32FEB"/>
    <w:rsid w:val="37FC4126"/>
    <w:rsid w:val="38076DC8"/>
    <w:rsid w:val="380A7980"/>
    <w:rsid w:val="38373EE3"/>
    <w:rsid w:val="38527A11"/>
    <w:rsid w:val="38571C7D"/>
    <w:rsid w:val="38870B4C"/>
    <w:rsid w:val="38DD575A"/>
    <w:rsid w:val="38FD7127"/>
    <w:rsid w:val="391F3E42"/>
    <w:rsid w:val="392B02A9"/>
    <w:rsid w:val="398F777C"/>
    <w:rsid w:val="39AC0EF0"/>
    <w:rsid w:val="39CA62DC"/>
    <w:rsid w:val="39D339B8"/>
    <w:rsid w:val="39D90069"/>
    <w:rsid w:val="3A082EFD"/>
    <w:rsid w:val="3A2A53FC"/>
    <w:rsid w:val="3A64265F"/>
    <w:rsid w:val="3A883217"/>
    <w:rsid w:val="3ACF36B6"/>
    <w:rsid w:val="3AD65514"/>
    <w:rsid w:val="3AE5022D"/>
    <w:rsid w:val="3AFC096B"/>
    <w:rsid w:val="3B221F4D"/>
    <w:rsid w:val="3B821A39"/>
    <w:rsid w:val="3BC22F21"/>
    <w:rsid w:val="3BCE7CAB"/>
    <w:rsid w:val="3BFA1DF4"/>
    <w:rsid w:val="3C2142B7"/>
    <w:rsid w:val="3C2E3547"/>
    <w:rsid w:val="3C5B6995"/>
    <w:rsid w:val="3C8879B3"/>
    <w:rsid w:val="3CBE6CAE"/>
    <w:rsid w:val="3D3B2EB9"/>
    <w:rsid w:val="3D477B99"/>
    <w:rsid w:val="3D4D7222"/>
    <w:rsid w:val="3DBA6551"/>
    <w:rsid w:val="3DE73B9D"/>
    <w:rsid w:val="3DFF671E"/>
    <w:rsid w:val="3E3A5BA6"/>
    <w:rsid w:val="3E410D89"/>
    <w:rsid w:val="3E7D380E"/>
    <w:rsid w:val="3E810519"/>
    <w:rsid w:val="3EF21AD1"/>
    <w:rsid w:val="3EFC07E8"/>
    <w:rsid w:val="3F027B6D"/>
    <w:rsid w:val="3F175488"/>
    <w:rsid w:val="3F3C3BB3"/>
    <w:rsid w:val="3F407C53"/>
    <w:rsid w:val="3F7C17CB"/>
    <w:rsid w:val="3F7D6164"/>
    <w:rsid w:val="3FAC6067"/>
    <w:rsid w:val="3FB038AC"/>
    <w:rsid w:val="40080EE3"/>
    <w:rsid w:val="40215550"/>
    <w:rsid w:val="405954DF"/>
    <w:rsid w:val="405C4927"/>
    <w:rsid w:val="40600DAE"/>
    <w:rsid w:val="408B0364"/>
    <w:rsid w:val="40932ED3"/>
    <w:rsid w:val="40D66C23"/>
    <w:rsid w:val="40D7280A"/>
    <w:rsid w:val="40DB5054"/>
    <w:rsid w:val="40E048BF"/>
    <w:rsid w:val="411C5FA8"/>
    <w:rsid w:val="412E32F2"/>
    <w:rsid w:val="41446E23"/>
    <w:rsid w:val="41C443C7"/>
    <w:rsid w:val="41D97316"/>
    <w:rsid w:val="41DE55C6"/>
    <w:rsid w:val="420A434C"/>
    <w:rsid w:val="42126DA1"/>
    <w:rsid w:val="42786A8D"/>
    <w:rsid w:val="427D232A"/>
    <w:rsid w:val="429556B0"/>
    <w:rsid w:val="4298064E"/>
    <w:rsid w:val="42BA1A7D"/>
    <w:rsid w:val="42BC538A"/>
    <w:rsid w:val="43056A83"/>
    <w:rsid w:val="431D69DD"/>
    <w:rsid w:val="432933BF"/>
    <w:rsid w:val="434D4C79"/>
    <w:rsid w:val="4350530C"/>
    <w:rsid w:val="43A14703"/>
    <w:rsid w:val="43B26B9C"/>
    <w:rsid w:val="43B72E0E"/>
    <w:rsid w:val="43BE07D9"/>
    <w:rsid w:val="43C8662C"/>
    <w:rsid w:val="43CB5FCE"/>
    <w:rsid w:val="43D54E8E"/>
    <w:rsid w:val="443C2228"/>
    <w:rsid w:val="44B23C0E"/>
    <w:rsid w:val="44EF2664"/>
    <w:rsid w:val="450C272E"/>
    <w:rsid w:val="4537221B"/>
    <w:rsid w:val="453B6B56"/>
    <w:rsid w:val="453E2FB2"/>
    <w:rsid w:val="45512DC5"/>
    <w:rsid w:val="45611A6C"/>
    <w:rsid w:val="459C3A03"/>
    <w:rsid w:val="459D0CC6"/>
    <w:rsid w:val="45A602D1"/>
    <w:rsid w:val="45D11731"/>
    <w:rsid w:val="45D64208"/>
    <w:rsid w:val="45F27800"/>
    <w:rsid w:val="4655735E"/>
    <w:rsid w:val="467E61A9"/>
    <w:rsid w:val="47257848"/>
    <w:rsid w:val="472917F4"/>
    <w:rsid w:val="47357AE2"/>
    <w:rsid w:val="4743280F"/>
    <w:rsid w:val="47467CC2"/>
    <w:rsid w:val="47521611"/>
    <w:rsid w:val="47602B25"/>
    <w:rsid w:val="477D47A4"/>
    <w:rsid w:val="478E310B"/>
    <w:rsid w:val="479F1A3B"/>
    <w:rsid w:val="47BF3787"/>
    <w:rsid w:val="47DB0C12"/>
    <w:rsid w:val="483153FC"/>
    <w:rsid w:val="489B5CD9"/>
    <w:rsid w:val="48BF6C63"/>
    <w:rsid w:val="48C261FA"/>
    <w:rsid w:val="48D02047"/>
    <w:rsid w:val="48D3139B"/>
    <w:rsid w:val="498F75F3"/>
    <w:rsid w:val="49CC5CD6"/>
    <w:rsid w:val="4A107DA0"/>
    <w:rsid w:val="4A1F42EE"/>
    <w:rsid w:val="4A4B1FA6"/>
    <w:rsid w:val="4A7A78BF"/>
    <w:rsid w:val="4A9B12FC"/>
    <w:rsid w:val="4ABA0617"/>
    <w:rsid w:val="4ACE1C20"/>
    <w:rsid w:val="4B07016C"/>
    <w:rsid w:val="4B131890"/>
    <w:rsid w:val="4B3A57D8"/>
    <w:rsid w:val="4B3D4DD9"/>
    <w:rsid w:val="4BA36393"/>
    <w:rsid w:val="4BC220DC"/>
    <w:rsid w:val="4BD22036"/>
    <w:rsid w:val="4BFA26A4"/>
    <w:rsid w:val="4C2767A6"/>
    <w:rsid w:val="4C276D2C"/>
    <w:rsid w:val="4C300FEA"/>
    <w:rsid w:val="4C6B4054"/>
    <w:rsid w:val="4C9E3D41"/>
    <w:rsid w:val="4CA94A23"/>
    <w:rsid w:val="4CEB0B7C"/>
    <w:rsid w:val="4CEB7ABC"/>
    <w:rsid w:val="4CFE718E"/>
    <w:rsid w:val="4D032BBB"/>
    <w:rsid w:val="4D0355D9"/>
    <w:rsid w:val="4D0D3F07"/>
    <w:rsid w:val="4D811DB6"/>
    <w:rsid w:val="4D9B7BA8"/>
    <w:rsid w:val="4DD0543A"/>
    <w:rsid w:val="4E186BD8"/>
    <w:rsid w:val="4E326364"/>
    <w:rsid w:val="4E4A17FE"/>
    <w:rsid w:val="4E532912"/>
    <w:rsid w:val="4E5F537D"/>
    <w:rsid w:val="4E636C63"/>
    <w:rsid w:val="4E6746BA"/>
    <w:rsid w:val="4E8642F1"/>
    <w:rsid w:val="4E9A2D97"/>
    <w:rsid w:val="4E9D47C7"/>
    <w:rsid w:val="4F1311AB"/>
    <w:rsid w:val="4F854737"/>
    <w:rsid w:val="4F924BD6"/>
    <w:rsid w:val="4FA83C3F"/>
    <w:rsid w:val="4FB3554D"/>
    <w:rsid w:val="4FC45CE8"/>
    <w:rsid w:val="4FD23AE9"/>
    <w:rsid w:val="503A341F"/>
    <w:rsid w:val="50652DF3"/>
    <w:rsid w:val="50722108"/>
    <w:rsid w:val="50727BC8"/>
    <w:rsid w:val="509A48EB"/>
    <w:rsid w:val="51160E53"/>
    <w:rsid w:val="511E38A6"/>
    <w:rsid w:val="51526E07"/>
    <w:rsid w:val="51736F37"/>
    <w:rsid w:val="517608A7"/>
    <w:rsid w:val="517F75D3"/>
    <w:rsid w:val="51831036"/>
    <w:rsid w:val="518838F8"/>
    <w:rsid w:val="51E01A69"/>
    <w:rsid w:val="51EB11A7"/>
    <w:rsid w:val="51F85787"/>
    <w:rsid w:val="52022920"/>
    <w:rsid w:val="520C13A3"/>
    <w:rsid w:val="520C6961"/>
    <w:rsid w:val="52137C6D"/>
    <w:rsid w:val="521A2583"/>
    <w:rsid w:val="523C4A15"/>
    <w:rsid w:val="52642771"/>
    <w:rsid w:val="52756FBB"/>
    <w:rsid w:val="52B03B7E"/>
    <w:rsid w:val="52B25ACC"/>
    <w:rsid w:val="52CE7D69"/>
    <w:rsid w:val="52D30DF6"/>
    <w:rsid w:val="52F67F77"/>
    <w:rsid w:val="532C18B5"/>
    <w:rsid w:val="533E4E9D"/>
    <w:rsid w:val="534700CF"/>
    <w:rsid w:val="535347AE"/>
    <w:rsid w:val="53A06867"/>
    <w:rsid w:val="53A62F3B"/>
    <w:rsid w:val="53D10891"/>
    <w:rsid w:val="54061C71"/>
    <w:rsid w:val="541C594D"/>
    <w:rsid w:val="5441455A"/>
    <w:rsid w:val="54A92AF2"/>
    <w:rsid w:val="54C02680"/>
    <w:rsid w:val="55122522"/>
    <w:rsid w:val="55253741"/>
    <w:rsid w:val="55463C75"/>
    <w:rsid w:val="554F79CB"/>
    <w:rsid w:val="55560C63"/>
    <w:rsid w:val="55997B60"/>
    <w:rsid w:val="55AE23A0"/>
    <w:rsid w:val="55FF5D93"/>
    <w:rsid w:val="563A5CE5"/>
    <w:rsid w:val="566B782D"/>
    <w:rsid w:val="56707EE0"/>
    <w:rsid w:val="56825F93"/>
    <w:rsid w:val="56AE1F43"/>
    <w:rsid w:val="570A7FA6"/>
    <w:rsid w:val="57223DC1"/>
    <w:rsid w:val="57514659"/>
    <w:rsid w:val="57C16764"/>
    <w:rsid w:val="57E33943"/>
    <w:rsid w:val="57EC5561"/>
    <w:rsid w:val="580E26A7"/>
    <w:rsid w:val="583B29CE"/>
    <w:rsid w:val="585A5481"/>
    <w:rsid w:val="58612C0E"/>
    <w:rsid w:val="58AB78EF"/>
    <w:rsid w:val="58B96B20"/>
    <w:rsid w:val="58D10943"/>
    <w:rsid w:val="58F739F7"/>
    <w:rsid w:val="592F5FC2"/>
    <w:rsid w:val="594453FF"/>
    <w:rsid w:val="598C65AA"/>
    <w:rsid w:val="599478C6"/>
    <w:rsid w:val="59A5419F"/>
    <w:rsid w:val="59A613EE"/>
    <w:rsid w:val="59C6379C"/>
    <w:rsid w:val="59FF35B4"/>
    <w:rsid w:val="5A157CD6"/>
    <w:rsid w:val="5A1A5757"/>
    <w:rsid w:val="5A5C174F"/>
    <w:rsid w:val="5A9B6C60"/>
    <w:rsid w:val="5AE22592"/>
    <w:rsid w:val="5B145C51"/>
    <w:rsid w:val="5B30611C"/>
    <w:rsid w:val="5BA00AE1"/>
    <w:rsid w:val="5BB5644F"/>
    <w:rsid w:val="5BE433C5"/>
    <w:rsid w:val="5BED35E0"/>
    <w:rsid w:val="5BF61401"/>
    <w:rsid w:val="5C1128AA"/>
    <w:rsid w:val="5C2A09B2"/>
    <w:rsid w:val="5C522E80"/>
    <w:rsid w:val="5C690343"/>
    <w:rsid w:val="5C9C1C7E"/>
    <w:rsid w:val="5CAD718A"/>
    <w:rsid w:val="5CC15A98"/>
    <w:rsid w:val="5CCE41D6"/>
    <w:rsid w:val="5CF35B62"/>
    <w:rsid w:val="5D0A5F32"/>
    <w:rsid w:val="5D1A1068"/>
    <w:rsid w:val="5D2972E4"/>
    <w:rsid w:val="5D3B55DD"/>
    <w:rsid w:val="5D437F7D"/>
    <w:rsid w:val="5D4F0DAD"/>
    <w:rsid w:val="5D5723B1"/>
    <w:rsid w:val="5D6C5B1B"/>
    <w:rsid w:val="5D704E8B"/>
    <w:rsid w:val="5D9F449B"/>
    <w:rsid w:val="5DB37248"/>
    <w:rsid w:val="5DD904F8"/>
    <w:rsid w:val="5DDF358F"/>
    <w:rsid w:val="5DE47A17"/>
    <w:rsid w:val="5E0A4EF9"/>
    <w:rsid w:val="5E1F6577"/>
    <w:rsid w:val="5E310F5A"/>
    <w:rsid w:val="5E554048"/>
    <w:rsid w:val="5E6F49F4"/>
    <w:rsid w:val="5EA323D3"/>
    <w:rsid w:val="5EA91D5E"/>
    <w:rsid w:val="5EB20A5E"/>
    <w:rsid w:val="5EBE6EE4"/>
    <w:rsid w:val="5ED131D0"/>
    <w:rsid w:val="5EE00BB3"/>
    <w:rsid w:val="5F02209B"/>
    <w:rsid w:val="5F195958"/>
    <w:rsid w:val="5F1B2016"/>
    <w:rsid w:val="5F744BF7"/>
    <w:rsid w:val="5F7B1510"/>
    <w:rsid w:val="5FBD6E8B"/>
    <w:rsid w:val="5FEA0B84"/>
    <w:rsid w:val="5FEB59FF"/>
    <w:rsid w:val="5FEE6B72"/>
    <w:rsid w:val="5FFC0086"/>
    <w:rsid w:val="5FFF24A9"/>
    <w:rsid w:val="60454B2A"/>
    <w:rsid w:val="604A228A"/>
    <w:rsid w:val="60A16616"/>
    <w:rsid w:val="61071836"/>
    <w:rsid w:val="6115758E"/>
    <w:rsid w:val="612658E6"/>
    <w:rsid w:val="6137675A"/>
    <w:rsid w:val="61704E48"/>
    <w:rsid w:val="618968BB"/>
    <w:rsid w:val="61B21CD6"/>
    <w:rsid w:val="61C8459A"/>
    <w:rsid w:val="61DE18A1"/>
    <w:rsid w:val="61EB0A19"/>
    <w:rsid w:val="61FD54BA"/>
    <w:rsid w:val="61FF64DE"/>
    <w:rsid w:val="62014D2A"/>
    <w:rsid w:val="623B63B7"/>
    <w:rsid w:val="62441245"/>
    <w:rsid w:val="625B4757"/>
    <w:rsid w:val="62BD568B"/>
    <w:rsid w:val="62DC1A81"/>
    <w:rsid w:val="62F6123C"/>
    <w:rsid w:val="62F926AA"/>
    <w:rsid w:val="632A6424"/>
    <w:rsid w:val="632B4C18"/>
    <w:rsid w:val="63312291"/>
    <w:rsid w:val="63357DC6"/>
    <w:rsid w:val="6352494F"/>
    <w:rsid w:val="637D1EC9"/>
    <w:rsid w:val="638819A9"/>
    <w:rsid w:val="63945341"/>
    <w:rsid w:val="63B907CA"/>
    <w:rsid w:val="63E83FFF"/>
    <w:rsid w:val="63FB165C"/>
    <w:rsid w:val="640B532D"/>
    <w:rsid w:val="643B0F51"/>
    <w:rsid w:val="644C58A9"/>
    <w:rsid w:val="64535519"/>
    <w:rsid w:val="645E23B6"/>
    <w:rsid w:val="64611270"/>
    <w:rsid w:val="64661434"/>
    <w:rsid w:val="647414A6"/>
    <w:rsid w:val="64821505"/>
    <w:rsid w:val="6493221D"/>
    <w:rsid w:val="649D39A3"/>
    <w:rsid w:val="64AD132A"/>
    <w:rsid w:val="64B54B22"/>
    <w:rsid w:val="64C3384A"/>
    <w:rsid w:val="65017E44"/>
    <w:rsid w:val="651F4E8A"/>
    <w:rsid w:val="655D44ED"/>
    <w:rsid w:val="656B1A72"/>
    <w:rsid w:val="65912FAD"/>
    <w:rsid w:val="65D72426"/>
    <w:rsid w:val="664726D9"/>
    <w:rsid w:val="66536303"/>
    <w:rsid w:val="66641B6F"/>
    <w:rsid w:val="6667292C"/>
    <w:rsid w:val="668115BA"/>
    <w:rsid w:val="67141E2D"/>
    <w:rsid w:val="671D1C91"/>
    <w:rsid w:val="673B426B"/>
    <w:rsid w:val="67421678"/>
    <w:rsid w:val="67516475"/>
    <w:rsid w:val="67616436"/>
    <w:rsid w:val="67806310"/>
    <w:rsid w:val="6792703F"/>
    <w:rsid w:val="6797079F"/>
    <w:rsid w:val="67A77262"/>
    <w:rsid w:val="67AC32A5"/>
    <w:rsid w:val="67D06BD9"/>
    <w:rsid w:val="67D356E3"/>
    <w:rsid w:val="68997A2B"/>
    <w:rsid w:val="68B172D0"/>
    <w:rsid w:val="68BB3463"/>
    <w:rsid w:val="69192725"/>
    <w:rsid w:val="69377E6D"/>
    <w:rsid w:val="693A709E"/>
    <w:rsid w:val="693C1432"/>
    <w:rsid w:val="694138E4"/>
    <w:rsid w:val="69557CD9"/>
    <w:rsid w:val="69642B15"/>
    <w:rsid w:val="69B566C5"/>
    <w:rsid w:val="69B62E8C"/>
    <w:rsid w:val="69F31AC1"/>
    <w:rsid w:val="69FD0EC8"/>
    <w:rsid w:val="6A0C5AF8"/>
    <w:rsid w:val="6A2A4D5A"/>
    <w:rsid w:val="6A4001DE"/>
    <w:rsid w:val="6A7926B2"/>
    <w:rsid w:val="6ACB1A81"/>
    <w:rsid w:val="6ADE5338"/>
    <w:rsid w:val="6BB526FC"/>
    <w:rsid w:val="6BC45B81"/>
    <w:rsid w:val="6BCE6D3F"/>
    <w:rsid w:val="6BDF5289"/>
    <w:rsid w:val="6BED679D"/>
    <w:rsid w:val="6BFB4640"/>
    <w:rsid w:val="6BFF6031"/>
    <w:rsid w:val="6C0515C5"/>
    <w:rsid w:val="6C0F54CE"/>
    <w:rsid w:val="6C5A20EB"/>
    <w:rsid w:val="6C6D53D2"/>
    <w:rsid w:val="6C957894"/>
    <w:rsid w:val="6C9E6F7E"/>
    <w:rsid w:val="6CA362CC"/>
    <w:rsid w:val="6D342338"/>
    <w:rsid w:val="6D381E25"/>
    <w:rsid w:val="6D3F2E49"/>
    <w:rsid w:val="6D4633B5"/>
    <w:rsid w:val="6D740BA3"/>
    <w:rsid w:val="6D8D0186"/>
    <w:rsid w:val="6DB41676"/>
    <w:rsid w:val="6DCC2E80"/>
    <w:rsid w:val="6DD85044"/>
    <w:rsid w:val="6DF41EF2"/>
    <w:rsid w:val="6E1A0D0C"/>
    <w:rsid w:val="6E2C1152"/>
    <w:rsid w:val="6E3D39B8"/>
    <w:rsid w:val="6E637982"/>
    <w:rsid w:val="6E6C6018"/>
    <w:rsid w:val="6E6F0A3A"/>
    <w:rsid w:val="6EC06276"/>
    <w:rsid w:val="6F6822D7"/>
    <w:rsid w:val="6F7A21F2"/>
    <w:rsid w:val="6F840A2D"/>
    <w:rsid w:val="6FA56127"/>
    <w:rsid w:val="6FB52A20"/>
    <w:rsid w:val="6FD756D1"/>
    <w:rsid w:val="6FEA072C"/>
    <w:rsid w:val="6FEF1925"/>
    <w:rsid w:val="7010592D"/>
    <w:rsid w:val="70246155"/>
    <w:rsid w:val="70661F5F"/>
    <w:rsid w:val="70670B75"/>
    <w:rsid w:val="706A1AFA"/>
    <w:rsid w:val="709F7053"/>
    <w:rsid w:val="70C93CA2"/>
    <w:rsid w:val="70DE50FD"/>
    <w:rsid w:val="713008D9"/>
    <w:rsid w:val="71367F49"/>
    <w:rsid w:val="715433B3"/>
    <w:rsid w:val="7161307A"/>
    <w:rsid w:val="717E7DBE"/>
    <w:rsid w:val="719E163A"/>
    <w:rsid w:val="71B77F18"/>
    <w:rsid w:val="71FB0F8C"/>
    <w:rsid w:val="72405DAA"/>
    <w:rsid w:val="72487479"/>
    <w:rsid w:val="724D5513"/>
    <w:rsid w:val="72532C9F"/>
    <w:rsid w:val="72832CF9"/>
    <w:rsid w:val="72A73F41"/>
    <w:rsid w:val="72ED0CB5"/>
    <w:rsid w:val="72EF2FCF"/>
    <w:rsid w:val="73121DD9"/>
    <w:rsid w:val="731334E0"/>
    <w:rsid w:val="732D7E5D"/>
    <w:rsid w:val="73905561"/>
    <w:rsid w:val="7399453C"/>
    <w:rsid w:val="74132FF4"/>
    <w:rsid w:val="74390D16"/>
    <w:rsid w:val="74AF2AFE"/>
    <w:rsid w:val="74B60BDD"/>
    <w:rsid w:val="74BE7BEC"/>
    <w:rsid w:val="74BF2A58"/>
    <w:rsid w:val="7553580B"/>
    <w:rsid w:val="756703A7"/>
    <w:rsid w:val="7574464B"/>
    <w:rsid w:val="75781501"/>
    <w:rsid w:val="75895992"/>
    <w:rsid w:val="75931436"/>
    <w:rsid w:val="75A55556"/>
    <w:rsid w:val="762B2A78"/>
    <w:rsid w:val="76305B19"/>
    <w:rsid w:val="763273F7"/>
    <w:rsid w:val="76664885"/>
    <w:rsid w:val="766B3393"/>
    <w:rsid w:val="7699243B"/>
    <w:rsid w:val="76C6706A"/>
    <w:rsid w:val="76E949E7"/>
    <w:rsid w:val="76EC3542"/>
    <w:rsid w:val="76FF725D"/>
    <w:rsid w:val="770B4AB2"/>
    <w:rsid w:val="77167DD7"/>
    <w:rsid w:val="7719159D"/>
    <w:rsid w:val="773F53B4"/>
    <w:rsid w:val="77462D00"/>
    <w:rsid w:val="77616FF6"/>
    <w:rsid w:val="776F2682"/>
    <w:rsid w:val="77752457"/>
    <w:rsid w:val="77831323"/>
    <w:rsid w:val="778B672F"/>
    <w:rsid w:val="77C63091"/>
    <w:rsid w:val="77C80792"/>
    <w:rsid w:val="78083877"/>
    <w:rsid w:val="78202330"/>
    <w:rsid w:val="78310A2D"/>
    <w:rsid w:val="783D57F4"/>
    <w:rsid w:val="787501FD"/>
    <w:rsid w:val="788D7F2F"/>
    <w:rsid w:val="78A135E5"/>
    <w:rsid w:val="78A468A5"/>
    <w:rsid w:val="78C362D2"/>
    <w:rsid w:val="78D81372"/>
    <w:rsid w:val="78DF7364"/>
    <w:rsid w:val="79377886"/>
    <w:rsid w:val="79490BDA"/>
    <w:rsid w:val="79531804"/>
    <w:rsid w:val="795E40AC"/>
    <w:rsid w:val="79782E00"/>
    <w:rsid w:val="79875270"/>
    <w:rsid w:val="798C0D32"/>
    <w:rsid w:val="79AC0284"/>
    <w:rsid w:val="79DF1B41"/>
    <w:rsid w:val="7A0A7FF5"/>
    <w:rsid w:val="7A21099F"/>
    <w:rsid w:val="7A3D701C"/>
    <w:rsid w:val="7A422816"/>
    <w:rsid w:val="7A4517DA"/>
    <w:rsid w:val="7AF2226A"/>
    <w:rsid w:val="7AF915E0"/>
    <w:rsid w:val="7B347B07"/>
    <w:rsid w:val="7B4306BE"/>
    <w:rsid w:val="7B77730A"/>
    <w:rsid w:val="7BB774DC"/>
    <w:rsid w:val="7BBF387D"/>
    <w:rsid w:val="7BDB4920"/>
    <w:rsid w:val="7BDD7943"/>
    <w:rsid w:val="7BDE55EE"/>
    <w:rsid w:val="7BE51584"/>
    <w:rsid w:val="7BE83755"/>
    <w:rsid w:val="7BF05E2A"/>
    <w:rsid w:val="7BFB5EAE"/>
    <w:rsid w:val="7C2535BA"/>
    <w:rsid w:val="7C2A4406"/>
    <w:rsid w:val="7C323BD4"/>
    <w:rsid w:val="7CBC6FB1"/>
    <w:rsid w:val="7D306F70"/>
    <w:rsid w:val="7D8212F8"/>
    <w:rsid w:val="7DA62E1C"/>
    <w:rsid w:val="7DCA16EC"/>
    <w:rsid w:val="7DEC2F26"/>
    <w:rsid w:val="7DFE4C9D"/>
    <w:rsid w:val="7E0D11ED"/>
    <w:rsid w:val="7E1B3E61"/>
    <w:rsid w:val="7E6418EB"/>
    <w:rsid w:val="7F22771F"/>
    <w:rsid w:val="7F275F47"/>
    <w:rsid w:val="7F3E7DBB"/>
    <w:rsid w:val="7F707B6E"/>
    <w:rsid w:val="7F8714FF"/>
    <w:rsid w:val="7FE1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2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line="360" w:lineRule="auto"/>
      <w:ind w:left="425" w:hanging="425"/>
      <w:outlineLvl w:val="0"/>
    </w:pPr>
    <w:rPr>
      <w:rFonts w:eastAsia="黑体" w:cs="宋体"/>
      <w:b/>
      <w:bCs/>
      <w:color w:val="00B0F0"/>
      <w:kern w:val="44"/>
      <w:sz w:val="32"/>
      <w:szCs w:val="32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spacing w:after="156" w:afterLines="50"/>
      <w:outlineLvl w:val="1"/>
    </w:pPr>
    <w:rPr>
      <w:rFonts w:eastAsia="黑体"/>
      <w:b/>
      <w:bCs/>
      <w:kern w:val="0"/>
      <w:sz w:val="2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ind w:firstLine="0"/>
      <w:outlineLvl w:val="2"/>
    </w:pPr>
    <w:rPr>
      <w:b/>
      <w:sz w:val="32"/>
    </w:rPr>
  </w:style>
  <w:style w:type="paragraph" w:styleId="5">
    <w:name w:val="heading 4"/>
    <w:basedOn w:val="4"/>
    <w:next w:val="1"/>
    <w:link w:val="21"/>
    <w:qFormat/>
    <w:uiPriority w:val="0"/>
    <w:pPr>
      <w:numPr>
        <w:ilvl w:val="3"/>
      </w:numPr>
      <w:spacing w:before="180" w:after="240"/>
      <w:ind w:left="0"/>
      <w:outlineLvl w:val="3"/>
    </w:pPr>
    <w:rPr>
      <w:rFonts w:eastAsia="黑体"/>
      <w:b w:val="0"/>
      <w:bCs/>
      <w:kern w:val="0"/>
      <w:sz w:val="24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2"/>
    <w:qFormat/>
    <w:uiPriority w:val="0"/>
    <w:pPr>
      <w:jc w:val="left"/>
    </w:pPr>
  </w:style>
  <w:style w:type="paragraph" w:styleId="7">
    <w:name w:val="Balloon Text"/>
    <w:basedOn w:val="1"/>
    <w:link w:val="2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Cs w:val="24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</w:rPr>
  </w:style>
  <w:style w:type="paragraph" w:styleId="12">
    <w:name w:val="annotation subject"/>
    <w:basedOn w:val="6"/>
    <w:next w:val="6"/>
    <w:link w:val="24"/>
    <w:qFormat/>
    <w:uiPriority w:val="0"/>
    <w:rPr>
      <w:b/>
      <w:bCs/>
    </w:rPr>
  </w:style>
  <w:style w:type="character" w:styleId="15">
    <w:name w:val="Strong"/>
    <w:qFormat/>
    <w:uiPriority w:val="22"/>
    <w:rPr>
      <w:b/>
      <w:bCs/>
    </w:rPr>
  </w:style>
  <w:style w:type="character" w:styleId="16">
    <w:name w:val="line number"/>
    <w:qFormat/>
    <w:uiPriority w:val="0"/>
  </w:style>
  <w:style w:type="character" w:styleId="17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customStyle="1" w:styleId="19">
    <w:name w:val="标题 1 字符"/>
    <w:link w:val="2"/>
    <w:qFormat/>
    <w:uiPriority w:val="0"/>
    <w:rPr>
      <w:rFonts w:eastAsia="黑体" w:cs="宋体"/>
      <w:b/>
      <w:bCs/>
      <w:color w:val="00B0F0"/>
      <w:kern w:val="44"/>
      <w:sz w:val="32"/>
      <w:szCs w:val="32"/>
    </w:rPr>
  </w:style>
  <w:style w:type="character" w:customStyle="1" w:styleId="20">
    <w:name w:val="标题 2 字符"/>
    <w:link w:val="3"/>
    <w:qFormat/>
    <w:uiPriority w:val="0"/>
    <w:rPr>
      <w:rFonts w:eastAsia="黑体"/>
      <w:b/>
      <w:bCs/>
      <w:sz w:val="22"/>
      <w:szCs w:val="22"/>
    </w:rPr>
  </w:style>
  <w:style w:type="character" w:customStyle="1" w:styleId="21">
    <w:name w:val="标题 4 字符"/>
    <w:link w:val="5"/>
    <w:qFormat/>
    <w:uiPriority w:val="0"/>
    <w:rPr>
      <w:rFonts w:ascii="Times New Roman" w:hAnsi="Times New Roman" w:eastAsia="黑体" w:cs="Times New Roman"/>
      <w:bCs/>
      <w:kern w:val="0"/>
      <w:sz w:val="24"/>
      <w:szCs w:val="32"/>
    </w:rPr>
  </w:style>
  <w:style w:type="character" w:customStyle="1" w:styleId="22">
    <w:name w:val="批注文字 字符"/>
    <w:link w:val="6"/>
    <w:qFormat/>
    <w:uiPriority w:val="0"/>
    <w:rPr>
      <w:kern w:val="2"/>
      <w:sz w:val="24"/>
      <w:szCs w:val="22"/>
    </w:rPr>
  </w:style>
  <w:style w:type="character" w:customStyle="1" w:styleId="23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24">
    <w:name w:val="批注主题 字符"/>
    <w:link w:val="12"/>
    <w:qFormat/>
    <w:uiPriority w:val="0"/>
    <w:rPr>
      <w:b/>
      <w:bCs/>
      <w:kern w:val="2"/>
      <w:sz w:val="24"/>
      <w:szCs w:val="22"/>
    </w:rPr>
  </w:style>
  <w:style w:type="paragraph" w:customStyle="1" w:styleId="25">
    <w:name w:val="EndNote Bibliography Title"/>
    <w:qFormat/>
    <w:uiPriority w:val="0"/>
    <w:pPr>
      <w:jc w:val="center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26">
    <w:name w:val="EndNote Bibliography"/>
    <w:qFormat/>
    <w:uiPriority w:val="0"/>
    <w:pPr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27">
    <w:name w:val="_Style 25"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28">
    <w:name w:val="fontstyle01"/>
    <w:qFormat/>
    <w:uiPriority w:val="0"/>
    <w:rPr>
      <w:rFonts w:hint="default" w:ascii="ArialMT" w:hAnsi="ArialMT"/>
      <w:color w:val="000000"/>
      <w:sz w:val="20"/>
      <w:szCs w:val="20"/>
    </w:rPr>
  </w:style>
  <w:style w:type="paragraph" w:customStyle="1" w:styleId="29">
    <w:name w:val="Paragraph"/>
    <w:basedOn w:val="30"/>
    <w:qFormat/>
    <w:uiPriority w:val="0"/>
    <w:pPr>
      <w:ind w:firstLine="720"/>
    </w:pPr>
  </w:style>
  <w:style w:type="paragraph" w:customStyle="1" w:styleId="30">
    <w:name w:val="Base_Text"/>
    <w:qFormat/>
    <w:uiPriority w:val="0"/>
    <w:pPr>
      <w:spacing w:before="1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32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tif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1170</Words>
  <Characters>6270</Characters>
  <Lines>64</Lines>
  <Paragraphs>18</Paragraphs>
  <TotalTime>8</TotalTime>
  <ScaleCrop>false</ScaleCrop>
  <LinksUpToDate>false</LinksUpToDate>
  <CharactersWithSpaces>7428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2025-11-03T08:54:00Z</dcterms:created>
  <dc:creator>杨祖明</dc:creator>
  <cp:lastModifiedBy>杨祖明</cp:lastModifiedBy>
  <dcterms:modified xsi:type="dcterms:W3CDTF">2026-02-25T11:46:51Z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8A15A15DAB2A46899138B76AD161F2B3_13</vt:lpwstr>
  </property>
  <property fmtid="{D5CDD505-2E9C-101B-9397-08002B2CF9AE}" pid="4" name="KSOTemplateDocerSaveRecord">
    <vt:lpwstr>eyJoZGlkIjoiNDE4YzEwNDA4NWU5N2MxNjcxZmM2NzgyNTdhZDNhZTciLCJ1c2VySWQiOiIyNDI2OTE3MzIifQ==</vt:lpwstr>
  </property>
  <property fmtid="{D5CDD505-2E9C-101B-9397-08002B2CF9AE}" pid="5" name="GrammarlyDocumentId">
    <vt:lpwstr>aba47395-988d-4aba-aa3d-22925137e318</vt:lpwstr>
  </property>
</Properties>
</file>