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DDB42">
      <w:pPr>
        <w:rPr>
          <w:sz w:val="36"/>
          <w:szCs w:val="36"/>
        </w:rPr>
      </w:pPr>
    </w:p>
    <w:p w14:paraId="7631434C">
      <w:pPr>
        <w:jc w:val="center"/>
        <w:rPr>
          <w:sz w:val="36"/>
          <w:szCs w:val="36"/>
        </w:rPr>
      </w:pPr>
    </w:p>
    <w:p w14:paraId="5AEFB005">
      <w:pPr>
        <w:jc w:val="center"/>
        <w:rPr>
          <w:sz w:val="36"/>
          <w:szCs w:val="36"/>
        </w:rPr>
      </w:pPr>
      <w:r>
        <w:rPr>
          <w:sz w:val="36"/>
          <w:szCs w:val="36"/>
        </w:rPr>
        <w:t>Supplementary Materials for</w:t>
      </w:r>
    </w:p>
    <w:p w14:paraId="3840A1EF"/>
    <w:p w14:paraId="229119CE">
      <w:pPr>
        <w:jc w:val="center"/>
        <w:rPr>
          <w:sz w:val="28"/>
          <w:szCs w:val="28"/>
        </w:rPr>
      </w:pPr>
      <w:r>
        <w:rPr>
          <w:rFonts w:hint="eastAsia"/>
          <w:sz w:val="28"/>
          <w:szCs w:val="28"/>
        </w:rPr>
        <w:t>BMAL1 regulates circadian rhythms via phase separation–mediated transcriptional hub formation</w:t>
      </w:r>
    </w:p>
    <w:p w14:paraId="3397AE5B">
      <w:pPr>
        <w:jc w:val="center"/>
        <w:rPr>
          <w:sz w:val="28"/>
          <w:szCs w:val="28"/>
        </w:rPr>
      </w:pPr>
    </w:p>
    <w:p w14:paraId="5D08AD94">
      <w:pPr>
        <w:spacing w:line="360" w:lineRule="auto"/>
        <w:jc w:val="both"/>
        <w:rPr>
          <w:szCs w:val="24"/>
        </w:rPr>
      </w:pPr>
      <w:r>
        <w:rPr>
          <w:rFonts w:eastAsia="宋体"/>
          <w:szCs w:val="32"/>
          <w:lang w:eastAsia="zh-CN"/>
        </w:rPr>
        <w:t>Wenzhen Gao</w:t>
      </w:r>
      <w:r>
        <w:rPr>
          <w:rFonts w:eastAsia="宋体"/>
          <w:szCs w:val="32"/>
          <w:vertAlign w:val="superscript"/>
          <w:lang w:eastAsia="zh-CN"/>
        </w:rPr>
        <w:t>1,</w:t>
      </w:r>
      <w:r>
        <w:rPr>
          <w:rFonts w:hint="eastAsia" w:eastAsia="宋体"/>
          <w:szCs w:val="32"/>
          <w:vertAlign w:val="superscript"/>
          <w:lang w:eastAsia="zh-CN"/>
        </w:rPr>
        <w:t>2</w:t>
      </w:r>
      <w:r>
        <w:rPr>
          <w:rFonts w:eastAsia="宋体"/>
          <w:szCs w:val="32"/>
          <w:lang w:eastAsia="zh-CN"/>
        </w:rPr>
        <w:t>, Li Zhu</w:t>
      </w:r>
      <w:r>
        <w:rPr>
          <w:rFonts w:eastAsia="宋体"/>
          <w:szCs w:val="32"/>
          <w:vertAlign w:val="superscript"/>
          <w:lang w:eastAsia="zh-CN"/>
        </w:rPr>
        <w:t>1,3</w:t>
      </w:r>
      <w:r>
        <w:rPr>
          <w:rFonts w:eastAsia="宋体"/>
          <w:szCs w:val="32"/>
          <w:lang w:eastAsia="zh-CN"/>
        </w:rPr>
        <w:t>, Yali Wei</w:t>
      </w:r>
      <w:r>
        <w:rPr>
          <w:rFonts w:eastAsia="宋体"/>
          <w:szCs w:val="32"/>
          <w:vertAlign w:val="superscript"/>
          <w:lang w:eastAsia="zh-CN"/>
        </w:rPr>
        <w:t>1,4</w:t>
      </w:r>
      <w:r>
        <w:rPr>
          <w:rFonts w:eastAsia="宋体"/>
          <w:szCs w:val="32"/>
          <w:lang w:eastAsia="zh-CN"/>
        </w:rPr>
        <w:t>, Guowen Luo</w:t>
      </w:r>
      <w:r>
        <w:rPr>
          <w:rFonts w:eastAsia="宋体"/>
          <w:szCs w:val="32"/>
          <w:vertAlign w:val="superscript"/>
          <w:lang w:eastAsia="zh-CN"/>
        </w:rPr>
        <w:t>1,2</w:t>
      </w:r>
      <w:r>
        <w:rPr>
          <w:rFonts w:eastAsia="宋体"/>
          <w:szCs w:val="32"/>
          <w:lang w:eastAsia="zh-CN"/>
        </w:rPr>
        <w:t>,</w:t>
      </w:r>
      <w:r>
        <w:rPr>
          <w:rFonts w:hint="eastAsia" w:eastAsia="宋体"/>
          <w:szCs w:val="32"/>
          <w:lang w:eastAsia="zh-CN"/>
        </w:rPr>
        <w:t xml:space="preserve">  </w:t>
      </w:r>
      <w:r>
        <w:rPr>
          <w:rFonts w:eastAsia="宋体"/>
          <w:szCs w:val="32"/>
          <w:lang w:eastAsia="zh-CN"/>
        </w:rPr>
        <w:t>Jiahe Wang</w:t>
      </w:r>
      <w:r>
        <w:rPr>
          <w:rFonts w:eastAsia="宋体"/>
          <w:szCs w:val="32"/>
          <w:vertAlign w:val="superscript"/>
          <w:lang w:eastAsia="zh-CN"/>
        </w:rPr>
        <w:t>1,2</w:t>
      </w:r>
      <w:r>
        <w:rPr>
          <w:rFonts w:eastAsia="宋体"/>
          <w:szCs w:val="32"/>
          <w:lang w:eastAsia="zh-CN"/>
        </w:rPr>
        <w:t>,</w:t>
      </w:r>
      <w:r>
        <w:rPr>
          <w:rFonts w:hint="eastAsia" w:eastAsia="宋体"/>
          <w:szCs w:val="32"/>
          <w:lang w:eastAsia="zh-CN"/>
        </w:rPr>
        <w:t xml:space="preserve"> Lijie Wang</w:t>
      </w:r>
      <w:r>
        <w:rPr>
          <w:rFonts w:eastAsia="宋体"/>
          <w:szCs w:val="32"/>
          <w:vertAlign w:val="superscript"/>
          <w:lang w:eastAsia="zh-CN"/>
        </w:rPr>
        <w:t>1,2</w:t>
      </w:r>
      <w:r>
        <w:rPr>
          <w:rFonts w:eastAsia="宋体"/>
          <w:szCs w:val="32"/>
          <w:lang w:eastAsia="zh-CN"/>
        </w:rPr>
        <w:t xml:space="preserve">, </w:t>
      </w:r>
      <w:r>
        <w:rPr>
          <w:rFonts w:hint="eastAsia" w:eastAsia="宋体"/>
          <w:szCs w:val="32"/>
          <w:lang w:eastAsia="zh-CN"/>
        </w:rPr>
        <w:t>Zhengying Peng</w:t>
      </w:r>
      <w:r>
        <w:rPr>
          <w:rFonts w:eastAsia="宋体"/>
          <w:szCs w:val="32"/>
          <w:vertAlign w:val="superscript"/>
          <w:lang w:eastAsia="zh-CN"/>
        </w:rPr>
        <w:t>1</w:t>
      </w:r>
      <w:r>
        <w:rPr>
          <w:rFonts w:eastAsia="宋体"/>
          <w:szCs w:val="32"/>
          <w:lang w:eastAsia="zh-CN"/>
        </w:rPr>
        <w:t>,</w:t>
      </w:r>
      <w:r>
        <w:rPr>
          <w:rFonts w:hint="eastAsia" w:eastAsia="宋体"/>
          <w:szCs w:val="32"/>
          <w:lang w:eastAsia="zh-CN"/>
        </w:rPr>
        <w:t xml:space="preserve"> </w:t>
      </w:r>
      <w:r>
        <w:rPr>
          <w:rFonts w:eastAsia="宋体"/>
          <w:szCs w:val="32"/>
          <w:lang w:eastAsia="zh-CN"/>
        </w:rPr>
        <w:t>Xuan Li</w:t>
      </w:r>
      <w:r>
        <w:rPr>
          <w:rFonts w:eastAsia="宋体"/>
          <w:szCs w:val="32"/>
          <w:vertAlign w:val="superscript"/>
          <w:lang w:eastAsia="zh-CN"/>
        </w:rPr>
        <w:t>1</w:t>
      </w:r>
      <w:r>
        <w:rPr>
          <w:rFonts w:eastAsia="宋体"/>
          <w:szCs w:val="32"/>
          <w:lang w:eastAsia="zh-CN"/>
        </w:rPr>
        <w:t>,</w:t>
      </w:r>
      <w:r>
        <w:rPr>
          <w:rFonts w:hint="eastAsia" w:eastAsia="宋体"/>
          <w:szCs w:val="32"/>
          <w:lang w:eastAsia="zh-CN"/>
        </w:rPr>
        <w:t xml:space="preserve"> Zhuoxuan Wu</w:t>
      </w:r>
      <w:r>
        <w:rPr>
          <w:rFonts w:eastAsia="宋体"/>
          <w:szCs w:val="32"/>
          <w:vertAlign w:val="superscript"/>
          <w:lang w:eastAsia="zh-CN"/>
        </w:rPr>
        <w:t>1,2</w:t>
      </w:r>
      <w:r>
        <w:rPr>
          <w:rFonts w:eastAsia="宋体"/>
          <w:szCs w:val="32"/>
          <w:lang w:eastAsia="zh-CN"/>
        </w:rPr>
        <w:t>,</w:t>
      </w:r>
      <w:r>
        <w:rPr>
          <w:rFonts w:hint="eastAsia" w:eastAsia="宋体"/>
          <w:szCs w:val="32"/>
          <w:lang w:eastAsia="zh-CN"/>
        </w:rPr>
        <w:t xml:space="preserve"> </w:t>
      </w:r>
      <w:r>
        <w:rPr>
          <w:rFonts w:eastAsia="宋体"/>
          <w:szCs w:val="32"/>
          <w:lang w:eastAsia="zh-CN"/>
        </w:rPr>
        <w:t>Jingyi Li</w:t>
      </w:r>
      <w:r>
        <w:rPr>
          <w:rFonts w:eastAsia="宋体"/>
          <w:szCs w:val="32"/>
          <w:vertAlign w:val="superscript"/>
          <w:lang w:eastAsia="zh-CN"/>
        </w:rPr>
        <w:t>1,2</w:t>
      </w:r>
      <w:r>
        <w:rPr>
          <w:rFonts w:eastAsia="宋体"/>
          <w:szCs w:val="32"/>
          <w:lang w:eastAsia="zh-CN"/>
        </w:rPr>
        <w:t>,</w:t>
      </w:r>
      <w:r>
        <w:rPr>
          <w:rFonts w:hint="eastAsia" w:eastAsia="宋体"/>
          <w:szCs w:val="32"/>
          <w:lang w:eastAsia="zh-CN"/>
        </w:rPr>
        <w:t xml:space="preserve"> </w:t>
      </w:r>
      <w:r>
        <w:rPr>
          <w:rFonts w:eastAsia="宋体"/>
          <w:szCs w:val="32"/>
          <w:lang w:eastAsia="zh-CN"/>
        </w:rPr>
        <w:t>Yanfen Wu</w:t>
      </w:r>
      <w:r>
        <w:rPr>
          <w:rFonts w:eastAsia="宋体"/>
          <w:szCs w:val="32"/>
          <w:vertAlign w:val="superscript"/>
          <w:lang w:eastAsia="zh-CN"/>
        </w:rPr>
        <w:t>1,2</w:t>
      </w:r>
      <w:r>
        <w:rPr>
          <w:rFonts w:eastAsia="宋体"/>
          <w:szCs w:val="32"/>
          <w:lang w:eastAsia="zh-CN"/>
        </w:rPr>
        <w:t>,</w:t>
      </w:r>
      <w:r>
        <w:rPr>
          <w:rFonts w:hint="eastAsia" w:eastAsia="宋体"/>
          <w:szCs w:val="32"/>
          <w:lang w:eastAsia="zh-CN"/>
        </w:rPr>
        <w:t xml:space="preserve"> </w:t>
      </w:r>
      <w:r>
        <w:rPr>
          <w:rFonts w:eastAsia="宋体"/>
          <w:szCs w:val="32"/>
          <w:lang w:eastAsia="zh-CN"/>
        </w:rPr>
        <w:t>Xiaoxiao Wang</w:t>
      </w:r>
      <w:r>
        <w:rPr>
          <w:rFonts w:eastAsia="宋体"/>
          <w:szCs w:val="32"/>
          <w:vertAlign w:val="superscript"/>
          <w:lang w:eastAsia="zh-CN"/>
        </w:rPr>
        <w:t>1,2</w:t>
      </w:r>
      <w:r>
        <w:rPr>
          <w:rFonts w:eastAsia="宋体"/>
          <w:szCs w:val="32"/>
          <w:lang w:eastAsia="zh-CN"/>
        </w:rPr>
        <w:t>,</w:t>
      </w:r>
      <w:r>
        <w:rPr>
          <w:rFonts w:hint="eastAsia" w:eastAsia="宋体"/>
          <w:szCs w:val="32"/>
          <w:lang w:eastAsia="zh-CN"/>
        </w:rPr>
        <w:t xml:space="preserve"> </w:t>
      </w:r>
      <w:r>
        <w:rPr>
          <w:rFonts w:eastAsia="宋体"/>
          <w:szCs w:val="32"/>
          <w:lang w:eastAsia="zh-CN"/>
        </w:rPr>
        <w:t>Junjun Jing</w:t>
      </w:r>
      <w:r>
        <w:rPr>
          <w:rFonts w:eastAsia="宋体"/>
          <w:szCs w:val="32"/>
          <w:vertAlign w:val="superscript"/>
          <w:lang w:eastAsia="zh-CN"/>
        </w:rPr>
        <w:t>1</w:t>
      </w:r>
      <w:r>
        <w:rPr>
          <w:rFonts w:eastAsia="宋体"/>
          <w:szCs w:val="32"/>
          <w:lang w:eastAsia="zh-CN"/>
        </w:rPr>
        <w:t>,</w:t>
      </w:r>
      <w:r>
        <w:rPr>
          <w:rFonts w:hint="eastAsia" w:eastAsia="宋体"/>
          <w:szCs w:val="32"/>
          <w:lang w:eastAsia="zh-CN"/>
        </w:rPr>
        <w:t xml:space="preserve">  </w:t>
      </w:r>
      <w:r>
        <w:rPr>
          <w:rFonts w:eastAsia="宋体"/>
          <w:szCs w:val="32"/>
          <w:lang w:eastAsia="zh-CN"/>
        </w:rPr>
        <w:t>Shujuan Zou</w:t>
      </w:r>
      <w:r>
        <w:rPr>
          <w:rFonts w:eastAsia="宋体"/>
          <w:szCs w:val="32"/>
          <w:vertAlign w:val="superscript"/>
          <w:lang w:eastAsia="zh-CN"/>
        </w:rPr>
        <w:t>1,3</w:t>
      </w:r>
      <w:r>
        <w:rPr>
          <w:rFonts w:eastAsia="宋体"/>
          <w:szCs w:val="32"/>
          <w:lang w:eastAsia="zh-CN"/>
        </w:rPr>
        <w:t>,</w:t>
      </w:r>
      <w:r>
        <w:rPr>
          <w:rFonts w:hint="eastAsia" w:eastAsia="宋体"/>
          <w:szCs w:val="32"/>
          <w:lang w:eastAsia="zh-CN"/>
        </w:rPr>
        <w:t xml:space="preserve"> </w:t>
      </w:r>
      <w:r>
        <w:rPr>
          <w:rFonts w:eastAsia="宋体"/>
          <w:szCs w:val="32"/>
          <w:lang w:eastAsia="zh-CN"/>
        </w:rPr>
        <w:t>Qing Zhao</w:t>
      </w:r>
      <w:r>
        <w:rPr>
          <w:rFonts w:eastAsia="宋体"/>
          <w:szCs w:val="32"/>
          <w:vertAlign w:val="superscript"/>
          <w:lang w:eastAsia="zh-CN"/>
        </w:rPr>
        <w:t>1,3</w:t>
      </w:r>
      <w:r>
        <w:rPr>
          <w:rFonts w:eastAsia="宋体"/>
          <w:szCs w:val="32"/>
          <w:lang w:eastAsia="zh-CN"/>
        </w:rPr>
        <w:t>, Yi</w:t>
      </w:r>
      <w:r>
        <w:rPr>
          <w:rFonts w:hint="eastAsia" w:eastAsia="宋体"/>
          <w:szCs w:val="32"/>
          <w:lang w:eastAsia="zh-CN"/>
        </w:rPr>
        <w:t xml:space="preserve"> </w:t>
      </w:r>
      <w:r>
        <w:rPr>
          <w:rFonts w:eastAsia="宋体"/>
          <w:szCs w:val="32"/>
          <w:lang w:eastAsia="zh-CN"/>
        </w:rPr>
        <w:t>Fan</w:t>
      </w:r>
      <w:r>
        <w:rPr>
          <w:rFonts w:eastAsia="宋体"/>
          <w:szCs w:val="32"/>
          <w:vertAlign w:val="superscript"/>
          <w:lang w:eastAsia="zh-CN"/>
        </w:rPr>
        <w:t>1,4#</w:t>
      </w:r>
      <w:r>
        <w:rPr>
          <w:rFonts w:eastAsia="宋体"/>
          <w:szCs w:val="32"/>
          <w:lang w:eastAsia="zh-CN"/>
        </w:rPr>
        <w:t>, Quan Yuan</w:t>
      </w:r>
      <w:r>
        <w:rPr>
          <w:rFonts w:eastAsia="宋体"/>
          <w:szCs w:val="32"/>
          <w:vertAlign w:val="superscript"/>
          <w:lang w:eastAsia="zh-CN"/>
        </w:rPr>
        <w:t>1#</w:t>
      </w:r>
      <w:r>
        <w:rPr>
          <w:rFonts w:eastAsia="宋体"/>
          <w:szCs w:val="32"/>
          <w:lang w:eastAsia="zh-CN"/>
        </w:rPr>
        <w:t xml:space="preserve">, </w:t>
      </w:r>
      <w:r>
        <w:t>C</w:t>
      </w:r>
      <w:r>
        <w:rPr>
          <w:rFonts w:hint="eastAsia" w:eastAsia="宋体"/>
          <w:lang w:eastAsia="zh-CN"/>
        </w:rPr>
        <w:t xml:space="preserve">henchen </w:t>
      </w:r>
      <w:r>
        <w:rPr>
          <w:rFonts w:eastAsia="宋体"/>
          <w:lang w:eastAsia="zh-CN"/>
        </w:rPr>
        <w:t>Z</w:t>
      </w:r>
      <w:r>
        <w:rPr>
          <w:rFonts w:hint="eastAsia" w:eastAsia="宋体"/>
          <w:lang w:eastAsia="zh-CN"/>
        </w:rPr>
        <w:t>hou</w:t>
      </w:r>
      <w:r>
        <w:rPr>
          <w:rFonts w:eastAsia="宋体"/>
          <w:szCs w:val="32"/>
          <w:vertAlign w:val="superscript"/>
          <w:lang w:eastAsia="zh-CN"/>
        </w:rPr>
        <w:t>1,2</w:t>
      </w:r>
      <w:r>
        <w:rPr>
          <w:rFonts w:eastAsia="宋体"/>
          <w:vertAlign w:val="superscript"/>
          <w:lang w:eastAsia="zh-CN"/>
        </w:rPr>
        <w:t>#</w:t>
      </w:r>
    </w:p>
    <w:p w14:paraId="30F7DC69">
      <w:pPr>
        <w:spacing w:before="240" w:beforeLines="100"/>
        <w:jc w:val="center"/>
        <w:rPr>
          <w:szCs w:val="24"/>
        </w:rPr>
      </w:pPr>
      <w:r>
        <w:rPr>
          <w:szCs w:val="24"/>
        </w:rPr>
        <w:t xml:space="preserve">Correspondence to: </w:t>
      </w:r>
      <w:r>
        <w:t xml:space="preserve">Chenchenzhou5510@scu.edu.cn </w:t>
      </w:r>
    </w:p>
    <w:p w14:paraId="2FCF7339"/>
    <w:p w14:paraId="44842BB2">
      <w:pPr>
        <w:rPr>
          <w:b/>
        </w:rPr>
      </w:pPr>
    </w:p>
    <w:p w14:paraId="1D8D2B46">
      <w:pPr>
        <w:rPr>
          <w:b/>
        </w:rPr>
      </w:pPr>
      <w:r>
        <w:rPr>
          <w:b/>
        </w:rPr>
        <w:t>This PDF file includes:</w:t>
      </w:r>
    </w:p>
    <w:p w14:paraId="4BC1ED94"/>
    <w:p w14:paraId="69C415BD">
      <w:pPr>
        <w:spacing w:line="360" w:lineRule="auto"/>
      </w:pPr>
      <w:r>
        <w:t>Fig</w:t>
      </w:r>
      <w:r>
        <w:rPr>
          <w:rFonts w:hint="eastAsia"/>
          <w:lang w:eastAsia="zh-CN"/>
        </w:rPr>
        <w:t>ure</w:t>
      </w:r>
      <w:r>
        <w:t>s. S1 to S5</w:t>
      </w:r>
    </w:p>
    <w:p w14:paraId="2282DEBC">
      <w:pPr>
        <w:spacing w:line="360" w:lineRule="auto"/>
      </w:pPr>
      <w:r>
        <w:t>Tables S1 to S2</w:t>
      </w:r>
      <w:bookmarkStart w:id="0" w:name="Tables"/>
      <w:bookmarkEnd w:id="0"/>
      <w:bookmarkStart w:id="1" w:name="MaterialsMethods"/>
      <w:bookmarkEnd w:id="1"/>
    </w:p>
    <w:p w14:paraId="11A79B6E">
      <w:r>
        <w:br w:type="page"/>
      </w:r>
    </w:p>
    <w:p w14:paraId="6E17B052">
      <w:pPr>
        <w:pStyle w:val="144"/>
        <w:spacing w:before="0" w:line="480" w:lineRule="auto"/>
        <w:ind w:firstLine="0"/>
        <w:jc w:val="both"/>
        <w:rPr>
          <w:rFonts w:ascii="Times New Roman Bold" w:hAnsi="Times New Roman Bold" w:cs="Times New Roman Bold"/>
          <w:b/>
          <w:lang w:eastAsia="zh-CN"/>
        </w:rPr>
      </w:pPr>
      <w:r>
        <w:rPr>
          <w:rFonts w:ascii="Times New Roman Bold" w:hAnsi="Times New Roman Bold" w:cs="Times New Roman Bold"/>
          <w:b/>
          <w:lang w:eastAsia="zh-CN"/>
        </w:rPr>
        <w:drawing>
          <wp:inline distT="0" distB="0" distL="114300" distR="114300">
            <wp:extent cx="5947410" cy="3644265"/>
            <wp:effectExtent l="0" t="0" r="21590" b="13335"/>
            <wp:docPr id="2" name="图片 2"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1"/>
                    <pic:cNvPicPr>
                      <a:picLocks noChangeAspect="1"/>
                    </pic:cNvPicPr>
                  </pic:nvPicPr>
                  <pic:blipFill>
                    <a:blip r:embed="rId6"/>
                    <a:srcRect l="8693" t="7008" r="8207" b="56979"/>
                    <a:stretch>
                      <a:fillRect/>
                    </a:stretch>
                  </pic:blipFill>
                  <pic:spPr>
                    <a:xfrm>
                      <a:off x="0" y="0"/>
                      <a:ext cx="5947410" cy="3644265"/>
                    </a:xfrm>
                    <a:prstGeom prst="rect">
                      <a:avLst/>
                    </a:prstGeom>
                  </pic:spPr>
                </pic:pic>
              </a:graphicData>
            </a:graphic>
          </wp:inline>
        </w:drawing>
      </w:r>
    </w:p>
    <w:p w14:paraId="66028939">
      <w:pPr>
        <w:pStyle w:val="144"/>
        <w:spacing w:before="0" w:line="480" w:lineRule="auto"/>
        <w:ind w:firstLine="0"/>
        <w:jc w:val="both"/>
        <w:rPr>
          <w:bCs/>
          <w:lang w:eastAsia="zh-CN"/>
        </w:rPr>
      </w:pPr>
      <w:r>
        <w:rPr>
          <w:rFonts w:ascii="Times New Roman Bold" w:hAnsi="Times New Roman Bold" w:cs="Times New Roman Bold"/>
          <w:b/>
          <w:lang w:eastAsia="zh-CN"/>
        </w:rPr>
        <w:t xml:space="preserve">Figure. S1. BMAL1 condensate formation across the circadian cycle. </w:t>
      </w:r>
      <w:r>
        <w:rPr>
          <w:rFonts w:hint="eastAsia"/>
          <w:bCs/>
          <w:lang w:eastAsia="zh-CN"/>
        </w:rPr>
        <w:t>(</w:t>
      </w:r>
      <w:r>
        <w:rPr>
          <w:bCs/>
          <w:lang w:eastAsia="zh-CN"/>
        </w:rPr>
        <w:t>a</w:t>
      </w:r>
      <w:r>
        <w:rPr>
          <w:rFonts w:hint="eastAsia"/>
          <w:bCs/>
          <w:lang w:eastAsia="zh-CN"/>
        </w:rPr>
        <w:t xml:space="preserve">, </w:t>
      </w:r>
      <w:r>
        <w:rPr>
          <w:bCs/>
          <w:lang w:eastAsia="zh-CN"/>
        </w:rPr>
        <w:t>b</w:t>
      </w:r>
      <w:r>
        <w:rPr>
          <w:rFonts w:hint="eastAsia"/>
          <w:bCs/>
          <w:lang w:eastAsia="zh-CN"/>
        </w:rPr>
        <w:t>) Quantification of the total nuclear BMAL1 fluorescence intensity in mouse liver (</w:t>
      </w:r>
      <w:r>
        <w:rPr>
          <w:bCs/>
          <w:lang w:eastAsia="zh-CN"/>
        </w:rPr>
        <w:t>a</w:t>
      </w:r>
      <w:r>
        <w:rPr>
          <w:rFonts w:hint="eastAsia"/>
          <w:bCs/>
          <w:lang w:eastAsia="zh-CN"/>
        </w:rPr>
        <w:t xml:space="preserve">) and suprachiasmatic nucleus (SCN) </w:t>
      </w:r>
      <w:r>
        <w:rPr>
          <w:bCs/>
          <w:lang w:eastAsia="zh-CN"/>
        </w:rPr>
        <w:t>(b). (c) Representative images revealing the rhythmic assembly and disassembly of BMAL1 puncta in the nucleus over a 24-hour cycle. White dashed lines delineate the nuclear boundaries. Scale bar, 5 μm. (d, e) Quantitative analysis corresponding to the images in (c), showing the number of BMAL1 puncta per nucleus (d) and the average size of the nuclear puncta (e) across different time points. (f) Representative immunofluorescence images of U2OS transfected with F</w:t>
      </w:r>
      <w:r>
        <w:rPr>
          <w:rFonts w:hint="default"/>
          <w:bCs/>
          <w:lang w:val="en-US" w:eastAsia="zh-CN"/>
        </w:rPr>
        <w:t>LAG</w:t>
      </w:r>
      <w:r>
        <w:rPr>
          <w:bCs/>
          <w:lang w:eastAsia="zh-CN"/>
        </w:rPr>
        <w:t>-CLOCK. Protein expression was detected using an anti-F</w:t>
      </w:r>
      <w:r>
        <w:rPr>
          <w:rFonts w:hint="default"/>
          <w:bCs/>
          <w:lang w:val="en-US" w:eastAsia="zh-CN"/>
        </w:rPr>
        <w:t>LAG</w:t>
      </w:r>
      <w:r>
        <w:rPr>
          <w:bCs/>
          <w:lang w:eastAsia="zh-CN"/>
        </w:rPr>
        <w:t xml:space="preserve"> antibody (red), and nuclei were stained with DAPI (blue). Scale bar, 5 µm. </w:t>
      </w:r>
    </w:p>
    <w:p w14:paraId="0A574DBD">
      <w:pPr>
        <w:rPr>
          <w:bCs/>
          <w:lang w:eastAsia="zh-CN"/>
        </w:rPr>
      </w:pPr>
      <w:r>
        <w:rPr>
          <w:bCs/>
          <w:lang w:eastAsia="zh-CN"/>
        </w:rPr>
        <w:br w:type="page"/>
      </w:r>
    </w:p>
    <w:p w14:paraId="524E1311">
      <w:pPr>
        <w:pStyle w:val="144"/>
        <w:spacing w:before="0" w:line="480" w:lineRule="auto"/>
        <w:ind w:firstLine="0"/>
        <w:jc w:val="both"/>
        <w:rPr>
          <w:rFonts w:hint="eastAsia" w:eastAsia="宋体"/>
          <w:lang w:eastAsia="zh-CN"/>
        </w:rPr>
      </w:pPr>
      <w:r>
        <w:rPr>
          <w:rFonts w:hint="eastAsia" w:eastAsia="宋体"/>
          <w:lang w:eastAsia="zh-CN"/>
        </w:rPr>
        <w:drawing>
          <wp:inline distT="0" distB="0" distL="114300" distR="114300">
            <wp:extent cx="5901690" cy="8154670"/>
            <wp:effectExtent l="0" t="0" r="16510" b="24130"/>
            <wp:docPr id="3" name="图片 3" descr="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2jpg"/>
                    <pic:cNvPicPr>
                      <a:picLocks noChangeAspect="1"/>
                    </pic:cNvPicPr>
                  </pic:nvPicPr>
                  <pic:blipFill>
                    <a:blip r:embed="rId7"/>
                    <a:srcRect l="7428" t="5077" r="8017" b="12317"/>
                    <a:stretch>
                      <a:fillRect/>
                    </a:stretch>
                  </pic:blipFill>
                  <pic:spPr>
                    <a:xfrm>
                      <a:off x="0" y="0"/>
                      <a:ext cx="5901690" cy="8154670"/>
                    </a:xfrm>
                    <a:prstGeom prst="rect">
                      <a:avLst/>
                    </a:prstGeom>
                  </pic:spPr>
                </pic:pic>
              </a:graphicData>
            </a:graphic>
          </wp:inline>
        </w:drawing>
      </w:r>
    </w:p>
    <w:p w14:paraId="183E50FD">
      <w:pPr>
        <w:pStyle w:val="144"/>
        <w:spacing w:before="0" w:line="480" w:lineRule="auto"/>
        <w:ind w:firstLine="0"/>
        <w:jc w:val="both"/>
        <w:rPr>
          <w:bCs/>
          <w:lang w:eastAsia="zh-CN"/>
        </w:rPr>
      </w:pPr>
      <w:r>
        <w:rPr>
          <w:rFonts w:ascii="Times New Roman Bold" w:hAnsi="Times New Roman Bold" w:cs="Times New Roman Bold"/>
          <w:b/>
          <w:lang w:eastAsia="zh-CN"/>
        </w:rPr>
        <w:t xml:space="preserve">Figure. S2. Biophysical characterization and phosphorylation analysis of BMAL1 phase separation. </w:t>
      </w:r>
      <w:r>
        <w:rPr>
          <w:bCs/>
          <w:lang w:eastAsia="zh-CN"/>
        </w:rPr>
        <w:t xml:space="preserve">(a) Fusion of eGFP-BMAL1 protein droplets </w:t>
      </w:r>
      <w:r>
        <w:rPr>
          <w:rFonts w:ascii="Times New Roman Italic" w:hAnsi="Times New Roman Italic" w:cs="Times New Roman Italic"/>
          <w:bCs/>
          <w:i/>
          <w:iCs/>
          <w:lang w:eastAsia="zh-CN"/>
        </w:rPr>
        <w:t>in vitro</w:t>
      </w:r>
      <w:r>
        <w:rPr>
          <w:bCs/>
          <w:lang w:eastAsia="zh-CN"/>
        </w:rPr>
        <w:t xml:space="preserve">. Scale bar, 1 µm. (b) Representative images showing </w:t>
      </w:r>
      <w:r>
        <w:rPr>
          <w:rFonts w:hint="eastAsia"/>
          <w:bCs/>
          <w:lang w:eastAsia="zh-CN"/>
        </w:rPr>
        <w:t>e</w:t>
      </w:r>
      <w:r>
        <w:rPr>
          <w:bCs/>
          <w:lang w:eastAsia="zh-CN"/>
        </w:rPr>
        <w:t xml:space="preserve">GFP-BMAL1 condensates at </w:t>
      </w:r>
      <w:r>
        <w:rPr>
          <w:rFonts w:hint="eastAsia"/>
          <w:bCs/>
          <w:lang w:eastAsia="zh-CN"/>
        </w:rPr>
        <w:t>different</w:t>
      </w:r>
      <w:r>
        <w:rPr>
          <w:bCs/>
          <w:lang w:eastAsia="zh-CN"/>
        </w:rPr>
        <w:t xml:space="preserve"> pH levels. Scale bars, 10 µm. (c) Representative images of eGFP-BMAL1-ΔN90, eGFP-BMAL1-Δ202-307, eGFP-BMAL1-Δ452-600, and </w:t>
      </w:r>
      <w:r>
        <w:rPr>
          <w:rFonts w:hint="eastAsia"/>
          <w:bCs/>
          <w:lang w:eastAsia="zh-CN"/>
        </w:rPr>
        <w:t>an</w:t>
      </w:r>
      <w:r>
        <w:rPr>
          <w:bCs/>
          <w:lang w:eastAsia="zh-CN"/>
        </w:rPr>
        <w:t xml:space="preserve"> </w:t>
      </w:r>
      <w:r>
        <w:rPr>
          <w:rFonts w:hint="eastAsia"/>
          <w:bCs/>
          <w:lang w:eastAsia="zh-CN"/>
        </w:rPr>
        <w:t>e</w:t>
      </w:r>
      <w:r>
        <w:rPr>
          <w:bCs/>
          <w:lang w:eastAsia="zh-CN"/>
        </w:rPr>
        <w:t>GFP</w:t>
      </w:r>
      <w:r>
        <w:rPr>
          <w:rFonts w:hint="eastAsia"/>
          <w:bCs/>
          <w:lang w:eastAsia="zh-CN"/>
        </w:rPr>
        <w:t xml:space="preserve"> </w:t>
      </w:r>
      <w:r>
        <w:rPr>
          <w:bCs/>
          <w:lang w:eastAsia="zh-CN"/>
        </w:rPr>
        <w:t>control overexpressed in U2OS</w:t>
      </w:r>
      <w:r>
        <w:rPr>
          <w:rFonts w:hint="eastAsia"/>
          <w:bCs/>
          <w:lang w:eastAsia="zh-CN"/>
        </w:rPr>
        <w:t xml:space="preserve"> cells </w:t>
      </w:r>
      <w:r>
        <w:rPr>
          <w:bCs/>
          <w:lang w:eastAsia="zh-CN"/>
        </w:rPr>
        <w:t>at ZT2. Scale bars, 5 µm. (d) FRAP analysis of opto-BMAL1-N90. Scale bar, 2 µm. (e) Time-resolved optoDroplet formation of BMAL1-N90. Scale bar, 2 μm. (f) Western blot analysis of purified FLAG-BMAL1-</w:t>
      </w:r>
      <w:r>
        <w:rPr>
          <w:rFonts w:hint="eastAsia"/>
          <w:bCs/>
          <w:lang w:eastAsia="zh-CN"/>
        </w:rPr>
        <w:t>Δ</w:t>
      </w:r>
      <w:r>
        <w:rPr>
          <w:bCs/>
          <w:lang w:eastAsia="zh-CN"/>
        </w:rPr>
        <w:t>N90 protein. Protein w</w:t>
      </w:r>
      <w:r>
        <w:rPr>
          <w:rFonts w:hint="eastAsia"/>
          <w:bCs/>
          <w:lang w:eastAsia="zh-CN"/>
        </w:rPr>
        <w:t>as</w:t>
      </w:r>
      <w:r>
        <w:rPr>
          <w:bCs/>
          <w:lang w:eastAsia="zh-CN"/>
        </w:rPr>
        <w:t xml:space="preserve"> incubated with or without λ-phosphatase (λ-PPase).</w:t>
      </w:r>
      <w:r>
        <w:rPr>
          <w:rFonts w:hint="eastAsia"/>
          <w:bCs/>
          <w:lang w:eastAsia="zh-CN"/>
        </w:rPr>
        <w:t xml:space="preserve"> </w:t>
      </w:r>
      <w:r>
        <w:rPr>
          <w:bCs/>
          <w:lang w:eastAsia="zh-CN"/>
        </w:rPr>
        <w:t>(g) Amino acid sequence of the BMAL1 N-terminal region (residues 1</w:t>
      </w:r>
      <w:r>
        <w:rPr>
          <w:rFonts w:hint="eastAsia"/>
          <w:bCs/>
          <w:lang w:eastAsia="zh-CN"/>
        </w:rPr>
        <w:t>-</w:t>
      </w:r>
      <w:r>
        <w:rPr>
          <w:bCs/>
          <w:lang w:eastAsia="zh-CN"/>
        </w:rPr>
        <w:t>90). The serine (S) residues highlighted in red indicate potential phosphorylation sites targeted for mutagenesis.</w:t>
      </w:r>
      <w:r>
        <w:rPr>
          <w:rFonts w:hint="eastAsia"/>
          <w:bCs/>
          <w:lang w:eastAsia="zh-CN"/>
        </w:rPr>
        <w:t xml:space="preserve"> (</w:t>
      </w:r>
      <w:r>
        <w:rPr>
          <w:bCs/>
          <w:lang w:eastAsia="zh-CN"/>
        </w:rPr>
        <w:t>h</w:t>
      </w:r>
      <w:r>
        <w:rPr>
          <w:rFonts w:hint="eastAsia"/>
          <w:bCs/>
          <w:lang w:eastAsia="zh-CN"/>
        </w:rPr>
        <w:t>) Representative images of</w:t>
      </w:r>
      <w:r>
        <w:rPr>
          <w:bCs/>
          <w:lang w:eastAsia="zh-CN"/>
        </w:rPr>
        <w:t xml:space="preserve"> BMAL1-N90STA</w:t>
      </w:r>
      <w:r>
        <w:rPr>
          <w:rFonts w:hint="eastAsia"/>
          <w:bCs/>
          <w:lang w:eastAsia="zh-CN"/>
        </w:rPr>
        <w:t xml:space="preserve"> and</w:t>
      </w:r>
      <w:r>
        <w:rPr>
          <w:bCs/>
          <w:lang w:eastAsia="zh-CN"/>
        </w:rPr>
        <w:t xml:space="preserve"> BMAL1-N90STD overexpressed in U2OS at ZT2</w:t>
      </w:r>
      <w:r>
        <w:rPr>
          <w:rFonts w:hint="eastAsia"/>
          <w:bCs/>
          <w:lang w:eastAsia="zh-CN"/>
        </w:rPr>
        <w:t xml:space="preserve">. Scale bars, </w:t>
      </w:r>
      <w:r>
        <w:rPr>
          <w:bCs/>
          <w:lang w:eastAsia="zh-CN"/>
        </w:rPr>
        <w:t xml:space="preserve">5 µm. </w:t>
      </w:r>
    </w:p>
    <w:p w14:paraId="29B5BD46">
      <w:pPr>
        <w:rPr>
          <w:bCs/>
          <w:lang w:eastAsia="zh-CN"/>
        </w:rPr>
      </w:pPr>
      <w:r>
        <w:rPr>
          <w:bCs/>
          <w:lang w:eastAsia="zh-CN"/>
        </w:rPr>
        <w:br w:type="page"/>
      </w:r>
    </w:p>
    <w:p w14:paraId="3C2AE538">
      <w:pPr>
        <w:pStyle w:val="144"/>
        <w:spacing w:before="0" w:line="480" w:lineRule="auto"/>
        <w:ind w:firstLine="0"/>
        <w:jc w:val="both"/>
        <w:rPr>
          <w:rFonts w:hint="default"/>
          <w:bCs/>
          <w:lang w:val="en-US" w:eastAsia="zh-CN"/>
        </w:rPr>
      </w:pPr>
      <w:r>
        <w:rPr>
          <w:rFonts w:hint="default"/>
          <w:bCs/>
          <w:lang w:val="en-US" w:eastAsia="zh-CN"/>
        </w:rPr>
        <w:drawing>
          <wp:inline distT="0" distB="0" distL="114300" distR="114300">
            <wp:extent cx="5911850" cy="7693660"/>
            <wp:effectExtent l="0" t="0" r="6350" b="2540"/>
            <wp:docPr id="1" name="图片 1"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3"/>
                    <pic:cNvPicPr>
                      <a:picLocks noChangeAspect="1"/>
                    </pic:cNvPicPr>
                  </pic:nvPicPr>
                  <pic:blipFill>
                    <a:blip r:embed="rId8"/>
                    <a:srcRect l="9067" t="5574" r="7079" b="17259"/>
                    <a:stretch>
                      <a:fillRect/>
                    </a:stretch>
                  </pic:blipFill>
                  <pic:spPr>
                    <a:xfrm>
                      <a:off x="0" y="0"/>
                      <a:ext cx="5911850" cy="7693660"/>
                    </a:xfrm>
                    <a:prstGeom prst="rect">
                      <a:avLst/>
                    </a:prstGeom>
                  </pic:spPr>
                </pic:pic>
              </a:graphicData>
            </a:graphic>
          </wp:inline>
        </w:drawing>
      </w:r>
      <w:bookmarkStart w:id="2" w:name="_GoBack"/>
      <w:bookmarkEnd w:id="2"/>
    </w:p>
    <w:p w14:paraId="54A8776D">
      <w:pPr>
        <w:pStyle w:val="144"/>
        <w:spacing w:before="0" w:line="480" w:lineRule="auto"/>
        <w:ind w:firstLine="0"/>
        <w:jc w:val="both"/>
        <w:outlineLvl w:val="1"/>
        <w:rPr>
          <w:rFonts w:eastAsia="Songti SC" w:cs="Times New Roman Regular"/>
          <w:lang w:eastAsia="zh-CN"/>
        </w:rPr>
      </w:pPr>
      <w:r>
        <w:rPr>
          <w:rFonts w:hint="eastAsia" w:ascii="Times New Roman Bold" w:hAnsi="Times New Roman Bold" w:cs="Times New Roman Bold"/>
          <w:b/>
          <w:lang w:eastAsia="zh-CN"/>
        </w:rPr>
        <w:t>Figure. S</w:t>
      </w:r>
      <w:r>
        <w:rPr>
          <w:rFonts w:hint="eastAsia" w:ascii="Times New Roman Bold" w:hAnsi="Times New Roman Bold" w:cs="Times New Roman Bold"/>
          <w:b/>
          <w:highlight w:val="none"/>
          <w:lang w:eastAsia="zh-CN"/>
        </w:rPr>
        <w:t>3. Association of BMAL1-N90 with transcriptional co-activators and DNA in nuclear condensates.</w:t>
      </w:r>
      <w:r>
        <w:rPr>
          <w:rFonts w:eastAsia="Songti SC" w:cs="Times New Roman Regular"/>
          <w:highlight w:val="none"/>
          <w:lang w:eastAsia="zh-CN"/>
        </w:rPr>
        <w:t xml:space="preserve"> (a) Representative immunofluorescence images showing </w:t>
      </w:r>
      <w:r>
        <w:rPr>
          <w:rFonts w:hint="eastAsia" w:eastAsia="Songti SC" w:cs="Times New Roman Regular"/>
          <w:highlight w:val="none"/>
          <w:lang w:eastAsia="zh-CN"/>
        </w:rPr>
        <w:t>the nuclear colocalization of eGFP-BMAL1 with</w:t>
      </w:r>
      <w:r>
        <w:rPr>
          <w:rFonts w:eastAsia="Songti SC" w:cs="Times New Roman Regular"/>
          <w:highlight w:val="none"/>
          <w:lang w:eastAsia="zh-CN"/>
        </w:rPr>
        <w:t xml:space="preserve"> BRD4, CDK9,</w:t>
      </w:r>
      <w:r>
        <w:rPr>
          <w:rFonts w:eastAsia="Songti SC" w:cs="Times New Roman Regular"/>
          <w:lang w:eastAsia="zh-CN"/>
        </w:rPr>
        <w:t xml:space="preserve"> RNAPII-S5p, RNAPII-S2p in U2OS cells </w:t>
      </w:r>
      <w:r>
        <w:rPr>
          <w:rFonts w:hint="eastAsia" w:eastAsia="Songti SC" w:cs="Times New Roman Regular"/>
          <w:lang w:eastAsia="zh-CN"/>
        </w:rPr>
        <w:t xml:space="preserve">at </w:t>
      </w:r>
      <w:r>
        <w:rPr>
          <w:rFonts w:eastAsia="Songti SC" w:cs="Times New Roman Regular"/>
          <w:lang w:eastAsia="zh-CN"/>
        </w:rPr>
        <w:t>ZT2. Scale bar, 5</w:t>
      </w:r>
      <w:r>
        <w:rPr>
          <w:rFonts w:hint="eastAsia" w:eastAsia="Songti SC" w:cs="Times New Roman Regular"/>
          <w:lang w:eastAsia="zh-CN"/>
        </w:rPr>
        <w:t xml:space="preserve"> </w:t>
      </w:r>
      <w:r>
        <w:rPr>
          <w:bCs/>
          <w:lang w:eastAsia="zh-CN"/>
        </w:rPr>
        <w:t xml:space="preserve">µm. (b, c) </w:t>
      </w:r>
      <w:r>
        <w:rPr>
          <w:rFonts w:hint="eastAsia" w:eastAsia="Songti SC" w:cs="Times New Roman Regular"/>
          <w:lang w:eastAsia="zh-CN"/>
        </w:rPr>
        <w:t xml:space="preserve">Representative immunofluorescence images showing the nuclear distribution of </w:t>
      </w:r>
      <w:r>
        <w:rPr>
          <w:rFonts w:hint="default" w:eastAsia="Songti SC" w:cs="Times New Roman Regular"/>
          <w:lang w:val="en-US" w:eastAsia="zh-CN"/>
        </w:rPr>
        <w:t xml:space="preserve"> </w:t>
      </w:r>
      <w:r>
        <w:rPr>
          <w:rFonts w:hint="eastAsia" w:eastAsia="Songti SC" w:cs="Times New Roman Regular"/>
          <w:lang w:eastAsia="zh-CN"/>
        </w:rPr>
        <w:t>opto-BMAL1-N90 alongside</w:t>
      </w:r>
      <w:r>
        <w:rPr>
          <w:rFonts w:hint="default" w:eastAsia="Songti SC" w:cs="Times New Roman Regular"/>
          <w:lang w:val="en-US" w:eastAsia="zh-CN"/>
        </w:rPr>
        <w:t xml:space="preserve"> </w:t>
      </w:r>
      <w:r>
        <w:rPr>
          <w:rFonts w:hint="eastAsia" w:eastAsia="Songti SC" w:cs="Times New Roman Regular"/>
          <w:lang w:eastAsia="zh-CN"/>
        </w:rPr>
        <w:t>CLOCK, MED1, and p300 in (</w:t>
      </w:r>
      <w:r>
        <w:rPr>
          <w:rFonts w:eastAsia="Songti SC" w:cs="Times New Roman Regular"/>
          <w:lang w:eastAsia="zh-CN"/>
        </w:rPr>
        <w:t>b</w:t>
      </w:r>
      <w:r>
        <w:rPr>
          <w:rFonts w:hint="eastAsia" w:eastAsia="Songti SC" w:cs="Times New Roman Regular"/>
          <w:lang w:eastAsia="zh-CN"/>
        </w:rPr>
        <w:t>), and RNAPII-CTD, RNAPII-S5p, RNAPII-S2p, and BRD4 in (</w:t>
      </w:r>
      <w:r>
        <w:rPr>
          <w:rFonts w:eastAsia="Songti SC" w:cs="Times New Roman Regular"/>
          <w:lang w:eastAsia="zh-CN"/>
        </w:rPr>
        <w:t>c</w:t>
      </w:r>
      <w:r>
        <w:rPr>
          <w:rFonts w:hint="eastAsia" w:eastAsia="Songti SC" w:cs="Times New Roman Regular"/>
          <w:lang w:eastAsia="zh-CN"/>
        </w:rPr>
        <w:t>) in U2OS cells at ZT2. Scale bars, 5 µm</w:t>
      </w:r>
      <w:r>
        <w:rPr>
          <w:bCs/>
          <w:lang w:eastAsia="zh-CN"/>
        </w:rPr>
        <w:t xml:space="preserve">. </w:t>
      </w:r>
      <w:r>
        <w:rPr>
          <w:rFonts w:eastAsia="Songti SC" w:cs="Times New Roman Regular"/>
          <w:lang w:eastAsia="zh-CN"/>
        </w:rPr>
        <w:t xml:space="preserve">(d) Fluorescence images of an </w:t>
      </w:r>
      <w:r>
        <w:rPr>
          <w:rFonts w:ascii="Times New Roman Italic" w:hAnsi="Times New Roman Italic" w:eastAsia="Songti SC" w:cs="Times New Roman Italic"/>
          <w:i/>
          <w:iCs/>
          <w:lang w:eastAsia="zh-CN"/>
        </w:rPr>
        <w:t>in vitro</w:t>
      </w:r>
      <w:r>
        <w:rPr>
          <w:rFonts w:eastAsia="Songti SC" w:cs="Times New Roman Regular"/>
          <w:lang w:eastAsia="zh-CN"/>
        </w:rPr>
        <w:t xml:space="preserve"> protein system. eGFP-BMAL1-N90 forms liquid-like droplets that effectively partition mCherry-CLOCK and eBFP-MED1 IDR protein. Scale bars,10 μm. </w:t>
      </w:r>
      <w:r>
        <w:rPr>
          <w:bCs/>
          <w:lang w:eastAsia="zh-CN"/>
        </w:rPr>
        <w:t xml:space="preserve">(e) </w:t>
      </w:r>
      <w:r>
        <w:rPr>
          <w:rFonts w:eastAsia="Songti SC" w:cs="Times New Roman Regular"/>
          <w:lang w:eastAsia="zh-CN"/>
        </w:rPr>
        <w:t xml:space="preserve">Representative fluorescence images of BMAL1-N90 droplets (green) in the presence of increasing concentrations of Cy3-labeled E-box DNA oligonucleotides (red). Scale bar, 1 μm. </w:t>
      </w:r>
    </w:p>
    <w:p w14:paraId="5DFA6185">
      <w:pPr>
        <w:rPr>
          <w:rFonts w:eastAsia="Songti SC" w:cs="Times New Roman Regular"/>
          <w:lang w:eastAsia="zh-CN"/>
        </w:rPr>
      </w:pPr>
      <w:r>
        <w:rPr>
          <w:rFonts w:eastAsia="Songti SC" w:cs="Times New Roman Regular"/>
          <w:lang w:eastAsia="zh-CN"/>
        </w:rPr>
        <w:br w:type="page"/>
      </w:r>
    </w:p>
    <w:p w14:paraId="697C0BBF">
      <w:pPr>
        <w:pStyle w:val="144"/>
        <w:spacing w:before="0" w:line="480" w:lineRule="auto"/>
        <w:ind w:firstLine="0"/>
        <w:outlineLvl w:val="1"/>
        <w:rPr>
          <w:rFonts w:ascii="Times New Roman Bold" w:hAnsi="Times New Roman Bold" w:cs="Times New Roman Bold"/>
          <w:b/>
          <w:lang w:eastAsia="zh-CN"/>
        </w:rPr>
      </w:pPr>
      <w:r>
        <w:rPr>
          <w:rFonts w:ascii="Times New Roman Bold" w:hAnsi="Times New Roman Bold" w:cs="Times New Roman Bold"/>
          <w:b/>
          <w:lang w:eastAsia="zh-CN"/>
        </w:rPr>
        <w:drawing>
          <wp:inline distT="0" distB="0" distL="114300" distR="114300">
            <wp:extent cx="5955030" cy="7087870"/>
            <wp:effectExtent l="0" t="0" r="13970" b="24130"/>
            <wp:docPr id="5" name="图片 5"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4"/>
                    <pic:cNvPicPr>
                      <a:picLocks noChangeAspect="1"/>
                    </pic:cNvPicPr>
                  </pic:nvPicPr>
                  <pic:blipFill>
                    <a:blip r:embed="rId9"/>
                    <a:srcRect l="7322" t="5834" r="6479" b="21604"/>
                    <a:stretch>
                      <a:fillRect/>
                    </a:stretch>
                  </pic:blipFill>
                  <pic:spPr>
                    <a:xfrm>
                      <a:off x="0" y="0"/>
                      <a:ext cx="5955030" cy="7087870"/>
                    </a:xfrm>
                    <a:prstGeom prst="rect">
                      <a:avLst/>
                    </a:prstGeom>
                  </pic:spPr>
                </pic:pic>
              </a:graphicData>
            </a:graphic>
          </wp:inline>
        </w:drawing>
      </w:r>
    </w:p>
    <w:p w14:paraId="56DB95D2">
      <w:pPr>
        <w:pStyle w:val="144"/>
        <w:spacing w:before="0" w:line="480" w:lineRule="auto"/>
        <w:ind w:firstLine="0"/>
        <w:jc w:val="both"/>
        <w:outlineLvl w:val="1"/>
        <w:rPr>
          <w:bCs/>
          <w:lang w:eastAsia="zh-CN"/>
        </w:rPr>
      </w:pPr>
      <w:r>
        <w:rPr>
          <w:rFonts w:ascii="Times New Roman Bold" w:hAnsi="Times New Roman Bold" w:cs="Times New Roman Bold"/>
          <w:b/>
          <w:highlight w:val="none"/>
          <w:lang w:eastAsia="zh-CN"/>
        </w:rPr>
        <w:t>Figure. S</w:t>
      </w:r>
      <w:r>
        <w:rPr>
          <w:rFonts w:hint="eastAsia" w:ascii="Times New Roman Bold" w:hAnsi="Times New Roman Bold" w:cs="Times New Roman Bold"/>
          <w:b/>
          <w:highlight w:val="none"/>
          <w:lang w:eastAsia="zh-CN"/>
        </w:rPr>
        <w:t>4</w:t>
      </w:r>
      <w:r>
        <w:rPr>
          <w:rFonts w:ascii="Times New Roman Bold" w:hAnsi="Times New Roman Bold" w:cs="Times New Roman Bold"/>
          <w:b/>
          <w:highlight w:val="none"/>
          <w:lang w:eastAsia="zh-CN"/>
        </w:rPr>
        <w:t>. RNA_</w:t>
      </w:r>
      <w:r>
        <w:rPr>
          <w:rFonts w:hint="eastAsia" w:ascii="Times New Roman Bold" w:hAnsi="Times New Roman Bold" w:cs="Times New Roman Bold"/>
          <w:b/>
          <w:highlight w:val="none"/>
          <w:lang w:eastAsia="zh-CN"/>
        </w:rPr>
        <w:t xml:space="preserve">seq anlysis and </w:t>
      </w:r>
      <w:r>
        <w:rPr>
          <w:rFonts w:ascii="Times New Roman Bold" w:hAnsi="Times New Roman Bold" w:cs="Times New Roman Bold"/>
          <w:b/>
          <w:highlight w:val="none"/>
          <w:lang w:eastAsia="zh-CN"/>
        </w:rPr>
        <w:t>Genome-wide H3K27ac occupancy analy</w:t>
      </w:r>
      <w:r>
        <w:rPr>
          <w:rFonts w:ascii="Times New Roman Bold" w:hAnsi="Times New Roman Bold" w:cs="Times New Roman Bold"/>
          <w:b/>
          <w:lang w:eastAsia="zh-CN"/>
        </w:rPr>
        <w:t xml:space="preserve">sis. </w:t>
      </w:r>
      <w:r>
        <w:rPr>
          <w:bCs/>
          <w:lang w:eastAsia="zh-CN"/>
        </w:rPr>
        <w:t xml:space="preserve">(a) Principal component analysis (PCA) of the bulk RNA-seq. (b) Scatter plots (top) and volcano plots (bottom) comparing global gene expression levels among the three groups. Significantly upregulated and downregulated genes are colored red and blue, respectively. Genes with no significant changes are shown in grey. Representative clock-related genes are labeled. (c) Heatmap displaying genes with reduced H3K27ac occupancy at ZT2 in </w:t>
      </w:r>
      <w:r>
        <w:rPr>
          <w:rFonts w:ascii="Times New Roman Italic" w:hAnsi="Times New Roman Italic" w:cs="Times New Roman Italic"/>
          <w:bCs/>
          <w:i/>
          <w:iCs/>
          <w:lang w:eastAsia="zh-CN"/>
        </w:rPr>
        <w:t>Bmal1</w:t>
      </w:r>
      <w:r>
        <w:rPr>
          <w:bCs/>
          <w:lang w:eastAsia="zh-CN"/>
        </w:rPr>
        <w:t xml:space="preserve">-KO and </w:t>
      </w:r>
      <w:r>
        <w:rPr>
          <w:rFonts w:ascii="Times New Roman Italic" w:hAnsi="Times New Roman Italic" w:cs="Times New Roman Italic"/>
          <w:bCs/>
          <w:i/>
          <w:iCs/>
          <w:lang w:eastAsia="zh-CN"/>
        </w:rPr>
        <w:t>Bmal1</w:t>
      </w:r>
      <w:r>
        <w:rPr>
          <w:bCs/>
          <w:lang w:eastAsia="zh-CN"/>
        </w:rPr>
        <w:t>-ΔN90 mutant cells compared to +WT cells. The color scale indicates Z-score normalized signal intensity (blue = low, red = high). Representative circadian and regulatory genes (e.g., NR1D2, RORB, TNF, SOX3) are labeled on the</w:t>
      </w:r>
      <w:r>
        <w:rPr>
          <w:rFonts w:hint="eastAsia"/>
          <w:bCs/>
          <w:lang w:eastAsia="zh-CN"/>
        </w:rPr>
        <w:t xml:space="preserve"> </w:t>
      </w:r>
      <w:r>
        <w:rPr>
          <w:bCs/>
          <w:lang w:eastAsia="zh-CN"/>
        </w:rPr>
        <w:t xml:space="preserve">right. (d) </w:t>
      </w:r>
      <w:r>
        <w:rPr>
          <w:rFonts w:hint="eastAsia"/>
          <w:bCs/>
          <w:lang w:eastAsia="zh-CN"/>
        </w:rPr>
        <w:t>Genomic annotation and classification of rhythmic H3K27ac regions</w:t>
      </w:r>
      <w:r>
        <w:rPr>
          <w:bCs/>
          <w:lang w:eastAsia="zh-CN"/>
        </w:rPr>
        <w:t xml:space="preserve">. The percentage of regions annotated is shown if greater than 0.05 %. (e) </w:t>
      </w:r>
      <w:r>
        <w:rPr>
          <w:rFonts w:hint="eastAsia"/>
          <w:bCs/>
          <w:lang w:eastAsia="zh-CN"/>
        </w:rPr>
        <w:t xml:space="preserve">Gene Ontology (GO) enrichment analysis of H3K27ac-associated rhythmic genes in </w:t>
      </w:r>
      <w:r>
        <w:rPr>
          <w:rFonts w:ascii="Times New Roman Italic" w:hAnsi="Times New Roman Italic" w:cs="Times New Roman Italic"/>
          <w:bCs/>
          <w:i/>
          <w:iCs/>
          <w:lang w:eastAsia="zh-CN"/>
        </w:rPr>
        <w:t>Bmal1</w:t>
      </w:r>
      <w:r>
        <w:rPr>
          <w:rFonts w:hint="eastAsia"/>
          <w:bCs/>
          <w:lang w:eastAsia="zh-CN"/>
        </w:rPr>
        <w:t>-KO cells rescued with BMAL1</w:t>
      </w:r>
      <w:r>
        <w:rPr>
          <w:bCs/>
          <w:lang w:eastAsia="zh-CN"/>
        </w:rPr>
        <w:t>-ΔN90 mutant</w:t>
      </w:r>
      <w:r>
        <w:rPr>
          <w:rFonts w:hint="eastAsia"/>
          <w:bCs/>
          <w:lang w:eastAsia="zh-CN"/>
        </w:rPr>
        <w:t xml:space="preserve">. Terms are categorized into Biological Process (blue), Cellular Component (purple), and Molecular Function (pink). The x-axis represents the number of genes enriched in each category. </w:t>
      </w:r>
    </w:p>
    <w:p w14:paraId="410F87A9">
      <w:pPr>
        <w:rPr>
          <w:bCs/>
          <w:lang w:eastAsia="zh-CN"/>
        </w:rPr>
      </w:pPr>
      <w:r>
        <w:rPr>
          <w:rFonts w:hint="eastAsia"/>
          <w:bCs/>
          <w:lang w:eastAsia="zh-CN"/>
        </w:rPr>
        <w:br w:type="page"/>
      </w:r>
    </w:p>
    <w:p w14:paraId="0BD4273A">
      <w:pPr>
        <w:pStyle w:val="144"/>
        <w:spacing w:before="0" w:line="480" w:lineRule="auto"/>
        <w:ind w:firstLine="0"/>
        <w:jc w:val="both"/>
        <w:outlineLvl w:val="1"/>
        <w:rPr>
          <w:rFonts w:ascii="Times New Roman Bold" w:hAnsi="Times New Roman Bold" w:cs="Times New Roman Bold"/>
          <w:b/>
          <w:lang w:eastAsia="zh-CN"/>
        </w:rPr>
      </w:pPr>
      <w:r>
        <w:rPr>
          <w:rFonts w:ascii="Times New Roman Bold" w:hAnsi="Times New Roman Bold" w:cs="Times New Roman Bold"/>
          <w:b/>
          <w:lang w:eastAsia="zh-CN"/>
        </w:rPr>
        <w:drawing>
          <wp:inline distT="0" distB="0" distL="114300" distR="114300">
            <wp:extent cx="5916930" cy="8037195"/>
            <wp:effectExtent l="0" t="0" r="1270" b="14605"/>
            <wp:docPr id="6" name="图片 6"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5"/>
                    <pic:cNvPicPr>
                      <a:picLocks noChangeAspect="1"/>
                    </pic:cNvPicPr>
                  </pic:nvPicPr>
                  <pic:blipFill>
                    <a:blip r:embed="rId10"/>
                    <a:srcRect l="6838" t="3150" r="8295" b="15306"/>
                    <a:stretch>
                      <a:fillRect/>
                    </a:stretch>
                  </pic:blipFill>
                  <pic:spPr>
                    <a:xfrm>
                      <a:off x="0" y="0"/>
                      <a:ext cx="5916930" cy="8037195"/>
                    </a:xfrm>
                    <a:prstGeom prst="rect">
                      <a:avLst/>
                    </a:prstGeom>
                  </pic:spPr>
                </pic:pic>
              </a:graphicData>
            </a:graphic>
          </wp:inline>
        </w:drawing>
      </w:r>
    </w:p>
    <w:p w14:paraId="64F1A4D3">
      <w:pPr>
        <w:pStyle w:val="144"/>
        <w:spacing w:before="0" w:line="480" w:lineRule="auto"/>
        <w:ind w:firstLine="0"/>
        <w:jc w:val="both"/>
        <w:outlineLvl w:val="1"/>
        <w:rPr>
          <w:rFonts w:eastAsia="Songti SC" w:cs="Times New Roman Regular"/>
          <w:lang w:eastAsia="zh-CN"/>
        </w:rPr>
      </w:pPr>
      <w:r>
        <w:rPr>
          <w:rFonts w:ascii="Times New Roman Bold" w:hAnsi="Times New Roman Bold" w:cs="Times New Roman Bold"/>
          <w:b/>
          <w:lang w:eastAsia="zh-CN"/>
        </w:rPr>
        <w:t xml:space="preserve">Figure. </w:t>
      </w:r>
      <w:r>
        <w:rPr>
          <w:rFonts w:ascii="Times New Roman Bold" w:hAnsi="Times New Roman Bold" w:eastAsia="Songti SC" w:cs="Times New Roman Bold"/>
          <w:b/>
          <w:bCs/>
          <w:lang w:eastAsia="zh-CN"/>
        </w:rPr>
        <w:t>S5. The phase separation ability</w:t>
      </w:r>
      <w:r>
        <w:rPr>
          <w:rFonts w:hint="eastAsia" w:ascii="Times New Roman Bold" w:hAnsi="Times New Roman Bold" w:eastAsia="Songti SC" w:cs="Times New Roman Bold"/>
          <w:b/>
          <w:bCs/>
          <w:lang w:eastAsia="zh-CN"/>
        </w:rPr>
        <w:t xml:space="preserve"> </w:t>
      </w:r>
      <w:r>
        <w:rPr>
          <w:rFonts w:ascii="Times New Roman Bold" w:hAnsi="Times New Roman Bold" w:eastAsia="Songti SC" w:cs="Times New Roman Bold"/>
          <w:b/>
          <w:bCs/>
          <w:lang w:eastAsia="zh-CN"/>
        </w:rPr>
        <w:t xml:space="preserve">of BMAL1 is essential for circadian rhythmicity in vitro and in vivo. </w:t>
      </w:r>
      <w:r>
        <w:rPr>
          <w:rFonts w:eastAsia="Songti SC"/>
          <w:lang w:eastAsia="zh-CN"/>
        </w:rPr>
        <w:t>(a)</w:t>
      </w:r>
      <w:r>
        <w:rPr>
          <w:rFonts w:ascii="Times New Roman Bold" w:hAnsi="Times New Roman Bold" w:eastAsia="Songti SC" w:cs="Times New Roman Bold"/>
          <w:b/>
          <w:bCs/>
          <w:lang w:eastAsia="zh-CN"/>
        </w:rPr>
        <w:t xml:space="preserve"> </w:t>
      </w:r>
      <w:r>
        <w:rPr>
          <w:rFonts w:eastAsia="Songti SC" w:cs="Times New Roman Regular"/>
          <w:lang w:eastAsia="zh-CN"/>
        </w:rPr>
        <w:t xml:space="preserve">Western blot </w:t>
      </w:r>
      <w:r>
        <w:rPr>
          <w:rFonts w:hint="eastAsia" w:eastAsia="Songti SC" w:cs="Times New Roman Regular"/>
          <w:lang w:eastAsia="zh-CN"/>
        </w:rPr>
        <w:t xml:space="preserve">validation of </w:t>
      </w:r>
      <w:r>
        <w:rPr>
          <w:rFonts w:ascii="Times New Roman Italic" w:hAnsi="Times New Roman Italic" w:eastAsia="Songti SC" w:cs="Times New Roman Italic"/>
          <w:i/>
          <w:iCs/>
          <w:lang w:eastAsia="zh-CN"/>
        </w:rPr>
        <w:t>Bmal1</w:t>
      </w:r>
      <w:r>
        <w:rPr>
          <w:rFonts w:hint="eastAsia" w:eastAsia="Songti SC" w:cs="Times New Roman Regular"/>
          <w:lang w:eastAsia="zh-CN"/>
        </w:rPr>
        <w:t xml:space="preserve"> knockout efficacy in U2OS cells. </w:t>
      </w:r>
      <w:r>
        <w:rPr>
          <w:rFonts w:eastAsia="Songti SC" w:cs="Times New Roman Regular"/>
          <w:lang w:eastAsia="zh-CN"/>
        </w:rPr>
        <w:t>(b) Western blot analysis of cell lysates from U2OS cells stably expressing FLAG-BMAL1-FL or the indicated deletion mutants (ΔN90, Δ202–307, Δ452–600). (c, d) Temporal mRNA expression profiles of five clock genes (</w:t>
      </w:r>
      <w:r>
        <w:rPr>
          <w:rFonts w:ascii="Times New Roman Italic" w:hAnsi="Times New Roman Italic" w:eastAsia="Songti SC" w:cs="Times New Roman Italic"/>
          <w:i/>
          <w:iCs/>
          <w:lang w:eastAsia="zh-CN"/>
        </w:rPr>
        <w:t>C</w:t>
      </w:r>
      <w:r>
        <w:rPr>
          <w:rFonts w:hint="default" w:ascii="Times New Roman Italic" w:hAnsi="Times New Roman Italic" w:eastAsia="Songti SC" w:cs="Times New Roman Italic"/>
          <w:i/>
          <w:iCs/>
          <w:lang w:val="en-US" w:eastAsia="zh-CN"/>
        </w:rPr>
        <w:t>RY</w:t>
      </w:r>
      <w:r>
        <w:rPr>
          <w:rFonts w:ascii="Times New Roman Italic" w:hAnsi="Times New Roman Italic" w:eastAsia="Songti SC" w:cs="Times New Roman Italic"/>
          <w:i/>
          <w:iCs/>
          <w:lang w:eastAsia="zh-CN"/>
        </w:rPr>
        <w:t>1</w:t>
      </w:r>
      <w:r>
        <w:rPr>
          <w:rFonts w:eastAsia="Songti SC" w:cs="Times New Roman Regular"/>
          <w:lang w:eastAsia="zh-CN"/>
        </w:rPr>
        <w:t xml:space="preserve">, </w:t>
      </w:r>
      <w:r>
        <w:rPr>
          <w:rFonts w:ascii="Times New Roman Italic" w:hAnsi="Times New Roman Italic" w:eastAsia="Songti SC" w:cs="Times New Roman Italic"/>
          <w:i/>
          <w:iCs/>
          <w:lang w:eastAsia="zh-CN"/>
        </w:rPr>
        <w:t>C</w:t>
      </w:r>
      <w:r>
        <w:rPr>
          <w:rFonts w:hint="default" w:ascii="Times New Roman Italic" w:hAnsi="Times New Roman Italic" w:eastAsia="Songti SC" w:cs="Times New Roman Italic"/>
          <w:i/>
          <w:iCs/>
          <w:lang w:val="en-US" w:eastAsia="zh-CN"/>
        </w:rPr>
        <w:t>RY</w:t>
      </w:r>
      <w:r>
        <w:rPr>
          <w:rFonts w:ascii="Times New Roman Italic" w:hAnsi="Times New Roman Italic" w:eastAsia="Songti SC" w:cs="Times New Roman Italic"/>
          <w:i/>
          <w:iCs/>
          <w:lang w:eastAsia="zh-CN"/>
        </w:rPr>
        <w:t>2</w:t>
      </w:r>
      <w:r>
        <w:rPr>
          <w:rFonts w:eastAsia="Songti SC" w:cs="Times New Roman Regular"/>
          <w:lang w:eastAsia="zh-CN"/>
        </w:rPr>
        <w:t xml:space="preserve">, </w:t>
      </w:r>
      <w:r>
        <w:rPr>
          <w:rFonts w:ascii="Times New Roman Italic" w:hAnsi="Times New Roman Italic" w:eastAsia="Songti SC" w:cs="Times New Roman Italic"/>
          <w:i/>
          <w:iCs/>
          <w:lang w:eastAsia="zh-CN"/>
        </w:rPr>
        <w:t>D</w:t>
      </w:r>
      <w:r>
        <w:rPr>
          <w:rFonts w:hint="default" w:ascii="Times New Roman Italic" w:hAnsi="Times New Roman Italic" w:eastAsia="Songti SC" w:cs="Times New Roman Italic"/>
          <w:i/>
          <w:iCs/>
          <w:lang w:val="en-US" w:eastAsia="zh-CN"/>
        </w:rPr>
        <w:t>BP</w:t>
      </w:r>
      <w:r>
        <w:rPr>
          <w:rFonts w:eastAsia="Songti SC" w:cs="Times New Roman Regular"/>
          <w:lang w:eastAsia="zh-CN"/>
        </w:rPr>
        <w:t xml:space="preserve">, </w:t>
      </w:r>
      <w:r>
        <w:rPr>
          <w:rFonts w:ascii="Times New Roman Italic" w:hAnsi="Times New Roman Italic" w:eastAsia="Songti SC" w:cs="Times New Roman Italic"/>
          <w:i/>
          <w:iCs/>
          <w:lang w:eastAsia="zh-CN"/>
        </w:rPr>
        <w:t>P</w:t>
      </w:r>
      <w:r>
        <w:rPr>
          <w:rFonts w:hint="default" w:ascii="Times New Roman Italic" w:hAnsi="Times New Roman Italic" w:eastAsia="Songti SC" w:cs="Times New Roman Italic"/>
          <w:i/>
          <w:iCs/>
          <w:lang w:val="en-US" w:eastAsia="zh-CN"/>
        </w:rPr>
        <w:t>ER</w:t>
      </w:r>
      <w:r>
        <w:rPr>
          <w:rFonts w:ascii="Times New Roman Italic" w:hAnsi="Times New Roman Italic" w:eastAsia="Songti SC" w:cs="Times New Roman Italic"/>
          <w:i/>
          <w:iCs/>
          <w:lang w:eastAsia="zh-CN"/>
        </w:rPr>
        <w:t>1, and C</w:t>
      </w:r>
      <w:r>
        <w:rPr>
          <w:rFonts w:hint="default" w:ascii="Times New Roman Italic" w:hAnsi="Times New Roman Italic" w:eastAsia="Songti SC" w:cs="Times New Roman Italic"/>
          <w:i/>
          <w:iCs/>
          <w:lang w:val="en-US" w:eastAsia="zh-CN"/>
        </w:rPr>
        <w:t>LOCK</w:t>
      </w:r>
      <w:r>
        <w:rPr>
          <w:rFonts w:eastAsia="Songti SC" w:cs="Times New Roman Regular"/>
          <w:lang w:eastAsia="zh-CN"/>
        </w:rPr>
        <w:t xml:space="preserve">) in U2OS cells. Transcript levels were normalized to </w:t>
      </w:r>
      <w:r>
        <w:rPr>
          <w:rFonts w:ascii="Times New Roman Italic" w:hAnsi="Times New Roman Italic" w:eastAsia="Songti SC" w:cs="Times New Roman Italic"/>
          <w:i/>
          <w:iCs/>
          <w:lang w:eastAsia="zh-CN"/>
        </w:rPr>
        <w:t>G</w:t>
      </w:r>
      <w:r>
        <w:rPr>
          <w:rFonts w:hint="default" w:ascii="Times New Roman Italic" w:hAnsi="Times New Roman Italic" w:eastAsia="Songti SC" w:cs="Times New Roman Italic"/>
          <w:i/>
          <w:iCs/>
          <w:lang w:val="en-US" w:eastAsia="zh-CN"/>
        </w:rPr>
        <w:t>APDH</w:t>
      </w:r>
      <w:r>
        <w:rPr>
          <w:rFonts w:eastAsia="Songti SC" w:cs="Times New Roman Regular"/>
          <w:lang w:eastAsia="zh-CN"/>
        </w:rPr>
        <w:t xml:space="preserve">. Comparison of Control (black), </w:t>
      </w:r>
      <w:r>
        <w:rPr>
          <w:rFonts w:ascii="Times New Roman Italic" w:hAnsi="Times New Roman Italic" w:eastAsia="Songti SC" w:cs="Times New Roman Italic"/>
          <w:i/>
          <w:iCs/>
          <w:lang w:eastAsia="zh-CN"/>
        </w:rPr>
        <w:t>Bmal1</w:t>
      </w:r>
      <w:r>
        <w:rPr>
          <w:rFonts w:eastAsia="Songti SC" w:cs="Times New Roman Regular"/>
          <w:lang w:eastAsia="zh-CN"/>
        </w:rPr>
        <w:t xml:space="preserve">-KO (grey), and KO cells rescued with </w:t>
      </w:r>
      <w:r>
        <w:rPr>
          <w:rFonts w:ascii="Times New Roman Italic" w:hAnsi="Times New Roman Italic" w:eastAsia="Songti SC" w:cs="Times New Roman Italic"/>
          <w:i/>
          <w:iCs/>
          <w:lang w:eastAsia="zh-CN"/>
        </w:rPr>
        <w:t>Bmal1</w:t>
      </w:r>
      <w:r>
        <w:rPr>
          <w:rFonts w:eastAsia="Songti SC" w:cs="Times New Roman Regular"/>
          <w:lang w:eastAsia="zh-CN"/>
        </w:rPr>
        <w:t xml:space="preserve">-FL (blue, WT) or </w:t>
      </w:r>
      <w:r>
        <w:rPr>
          <w:rFonts w:ascii="Times New Roman Italic" w:hAnsi="Times New Roman Italic" w:eastAsia="Songti SC" w:cs="Times New Roman Italic"/>
          <w:i/>
          <w:iCs/>
          <w:lang w:eastAsia="zh-CN"/>
        </w:rPr>
        <w:t>Bmal1</w:t>
      </w:r>
      <w:r>
        <w:rPr>
          <w:rFonts w:eastAsia="Songti SC" w:cs="Times New Roman Regular"/>
          <w:lang w:eastAsia="zh-CN"/>
        </w:rPr>
        <w:t xml:space="preserve">-ΔN90 (red). Data are presented as mean ± SD (n = 3). (e) Representative 24-hour activity profiles of mice with different BMAL1 genotypes. Blue traces represent the actual activity data, red dashed lines indicate the cosine wave fit. Key circadian parameters (Amplitude, Phase, and Mesor) derived from Cosinor analysis are inset for each group. (f) Representative gross morphology of control and SCN-specific </w:t>
      </w:r>
      <w:r>
        <w:rPr>
          <w:rFonts w:ascii="Times New Roman Italic" w:hAnsi="Times New Roman Italic" w:eastAsia="Songti SC" w:cs="Times New Roman Italic"/>
          <w:i/>
          <w:iCs/>
          <w:lang w:eastAsia="zh-CN"/>
        </w:rPr>
        <w:t>Bmal1</w:t>
      </w:r>
      <w:r>
        <w:rPr>
          <w:rFonts w:eastAsia="Songti SC" w:cs="Times New Roman Regular"/>
          <w:lang w:eastAsia="zh-CN"/>
        </w:rPr>
        <w:t xml:space="preserve"> knockout mice. (g) Tracking plots illustrating </w:t>
      </w:r>
      <w:r>
        <w:rPr>
          <w:rFonts w:hint="eastAsia" w:eastAsia="Songti SC" w:cs="Times New Roman Regular"/>
          <w:lang w:eastAsia="zh-CN"/>
        </w:rPr>
        <w:t>mice</w:t>
      </w:r>
      <w:r>
        <w:rPr>
          <w:rFonts w:eastAsia="Songti SC" w:cs="Times New Roman Regular"/>
          <w:lang w:eastAsia="zh-CN"/>
        </w:rPr>
        <w:t xml:space="preserve"> movement patterns</w:t>
      </w:r>
      <w:r>
        <w:rPr>
          <w:rFonts w:hint="eastAsia" w:eastAsia="Songti SC" w:cs="Times New Roman Regular"/>
          <w:lang w:eastAsia="zh-CN"/>
        </w:rPr>
        <w:t xml:space="preserve"> over a</w:t>
      </w:r>
      <w:r>
        <w:rPr>
          <w:rFonts w:eastAsia="Songti SC" w:cs="Times New Roman Regular"/>
          <w:lang w:eastAsia="zh-CN"/>
        </w:rPr>
        <w:t xml:space="preserve"> </w:t>
      </w:r>
      <w:r>
        <w:rPr>
          <w:rFonts w:hint="eastAsia" w:eastAsia="Songti SC" w:cs="Times New Roman Regular"/>
          <w:lang w:eastAsia="zh-CN"/>
        </w:rPr>
        <w:t>5</w:t>
      </w:r>
      <w:r>
        <w:rPr>
          <w:rFonts w:eastAsia="Songti SC" w:cs="Times New Roman Regular"/>
          <w:lang w:eastAsia="zh-CN"/>
        </w:rPr>
        <w:t xml:space="preserve">-minute session in the open field test. The color gradient (blue to red) represents the time spent or density of movement in each location, with red indicating high-frequency areas. </w:t>
      </w:r>
    </w:p>
    <w:p w14:paraId="1A0A16BF">
      <w:r>
        <w:rPr>
          <w:rFonts w:eastAsia="Songti SC" w:cs="Times New Roman Regular"/>
          <w:lang w:eastAsia="zh-CN"/>
        </w:rPr>
        <w:br w:type="page"/>
      </w:r>
    </w:p>
    <w:tbl>
      <w:tblPr>
        <w:tblStyle w:val="89"/>
        <w:tblpPr w:leftFromText="180" w:rightFromText="180" w:vertAnchor="page" w:horzAnchor="page" w:tblpXSpec="center" w:tblpY="1885"/>
        <w:tblOverlap w:val="never"/>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426"/>
        <w:gridCol w:w="976"/>
        <w:gridCol w:w="4047"/>
        <w:gridCol w:w="1162"/>
      </w:tblGrid>
      <w:tr w14:paraId="33C5C333">
        <w:trPr>
          <w:trHeight w:val="641" w:hRule="atLeast"/>
          <w:jc w:val="center"/>
        </w:trPr>
        <w:tc>
          <w:tcPr>
            <w:tcW w:w="1967" w:type="dxa"/>
            <w:tcBorders>
              <w:top w:val="single" w:color="000000" w:sz="12" w:space="0"/>
              <w:left w:val="nil"/>
              <w:bottom w:val="single" w:color="000000" w:sz="4" w:space="0"/>
              <w:right w:val="nil"/>
              <w:tl2br w:val="nil"/>
            </w:tcBorders>
            <w:shd w:val="clear" w:color="auto" w:fill="FFFFFF"/>
            <w:vAlign w:val="center"/>
          </w:tcPr>
          <w:p w14:paraId="101762EC">
            <w:pPr>
              <w:widowControl w:val="0"/>
              <w:jc w:val="both"/>
              <w:rPr>
                <w:color w:val="000000"/>
                <w:szCs w:val="24"/>
              </w:rPr>
            </w:pPr>
          </w:p>
          <w:p w14:paraId="6C3AC0C9">
            <w:pPr>
              <w:widowControl w:val="0"/>
              <w:jc w:val="both"/>
              <w:rPr>
                <w:color w:val="000000"/>
                <w:szCs w:val="24"/>
              </w:rPr>
            </w:pPr>
          </w:p>
        </w:tc>
        <w:tc>
          <w:tcPr>
            <w:tcW w:w="1426" w:type="dxa"/>
            <w:tcBorders>
              <w:top w:val="single" w:color="000000" w:sz="12" w:space="0"/>
              <w:left w:val="nil"/>
              <w:bottom w:val="single" w:color="000000" w:sz="4" w:space="0"/>
              <w:right w:val="nil"/>
            </w:tcBorders>
            <w:shd w:val="clear" w:color="auto" w:fill="FFFFFF"/>
            <w:vAlign w:val="center"/>
          </w:tcPr>
          <w:p w14:paraId="2502E30C">
            <w:pPr>
              <w:widowControl w:val="0"/>
              <w:jc w:val="center"/>
              <w:rPr>
                <w:color w:val="000000"/>
                <w:szCs w:val="24"/>
              </w:rPr>
            </w:pPr>
            <w:r>
              <w:rPr>
                <w:rFonts w:ascii="Times New Roman Italic" w:hAnsi="Times New Roman Italic" w:cs="Times New Roman Italic"/>
                <w:i/>
                <w:iCs/>
                <w:color w:val="000000"/>
                <w:szCs w:val="24"/>
              </w:rPr>
              <w:t>P</w:t>
            </w:r>
            <w:r>
              <w:rPr>
                <w:rFonts w:hint="eastAsia"/>
                <w:color w:val="000000"/>
                <w:szCs w:val="24"/>
              </w:rPr>
              <w:t>-value for rhythms</w:t>
            </w:r>
          </w:p>
        </w:tc>
        <w:tc>
          <w:tcPr>
            <w:tcW w:w="976" w:type="dxa"/>
            <w:tcBorders>
              <w:top w:val="single" w:color="000000" w:sz="12" w:space="0"/>
              <w:left w:val="nil"/>
              <w:bottom w:val="single" w:color="000000" w:sz="4" w:space="0"/>
              <w:right w:val="nil"/>
            </w:tcBorders>
            <w:shd w:val="clear" w:color="auto" w:fill="FFFFFF"/>
            <w:vAlign w:val="center"/>
          </w:tcPr>
          <w:p w14:paraId="7ACCF8EE">
            <w:pPr>
              <w:widowControl w:val="0"/>
              <w:jc w:val="center"/>
              <w:rPr>
                <w:color w:val="000000"/>
                <w:szCs w:val="24"/>
              </w:rPr>
            </w:pPr>
            <w:r>
              <w:rPr>
                <w:rFonts w:hint="eastAsia"/>
                <w:color w:val="000000"/>
                <w:szCs w:val="24"/>
              </w:rPr>
              <w:t>R</w:t>
            </w:r>
            <w:r>
              <w:rPr>
                <w:rFonts w:hint="eastAsia"/>
                <w:color w:val="000000"/>
                <w:szCs w:val="24"/>
                <w:vertAlign w:val="superscript"/>
                <w:lang w:eastAsia="zh-CN"/>
              </w:rPr>
              <w:t>2</w:t>
            </w:r>
          </w:p>
        </w:tc>
        <w:tc>
          <w:tcPr>
            <w:tcW w:w="4047" w:type="dxa"/>
            <w:tcBorders>
              <w:top w:val="single" w:color="000000" w:sz="12" w:space="0"/>
              <w:left w:val="nil"/>
              <w:bottom w:val="single" w:color="000000" w:sz="4" w:space="0"/>
              <w:right w:val="nil"/>
            </w:tcBorders>
            <w:shd w:val="clear" w:color="auto" w:fill="FFFFFF"/>
            <w:vAlign w:val="center"/>
          </w:tcPr>
          <w:p w14:paraId="2476BDCC">
            <w:pPr>
              <w:widowControl w:val="0"/>
              <w:jc w:val="center"/>
              <w:rPr>
                <w:color w:val="000000"/>
                <w:szCs w:val="24"/>
              </w:rPr>
            </w:pPr>
            <w:r>
              <w:rPr>
                <w:rFonts w:hint="eastAsia"/>
                <w:color w:val="000000"/>
                <w:szCs w:val="24"/>
              </w:rPr>
              <w:t>Function of fitted curve</w:t>
            </w:r>
          </w:p>
        </w:tc>
        <w:tc>
          <w:tcPr>
            <w:tcW w:w="1162" w:type="dxa"/>
            <w:tcBorders>
              <w:top w:val="single" w:color="000000" w:sz="12" w:space="0"/>
              <w:left w:val="nil"/>
              <w:bottom w:val="single" w:color="000000" w:sz="4" w:space="0"/>
              <w:right w:val="nil"/>
            </w:tcBorders>
            <w:shd w:val="clear" w:color="auto" w:fill="FFFFFF"/>
            <w:vAlign w:val="center"/>
          </w:tcPr>
          <w:p w14:paraId="7A5BEDFC">
            <w:pPr>
              <w:widowControl w:val="0"/>
              <w:jc w:val="center"/>
              <w:rPr>
                <w:color w:val="000000"/>
                <w:szCs w:val="24"/>
              </w:rPr>
            </w:pPr>
            <w:r>
              <w:rPr>
                <w:rFonts w:ascii="Times New Roman Italic" w:hAnsi="Times New Roman Italic" w:cs="Times New Roman Italic"/>
                <w:i/>
                <w:iCs/>
                <w:color w:val="000000"/>
                <w:szCs w:val="24"/>
              </w:rPr>
              <w:t>P</w:t>
            </w:r>
            <w:r>
              <w:rPr>
                <w:rFonts w:hint="eastAsia"/>
                <w:color w:val="000000"/>
                <w:szCs w:val="24"/>
              </w:rPr>
              <w:t>-value of fit</w:t>
            </w:r>
          </w:p>
        </w:tc>
      </w:tr>
      <w:tr w14:paraId="4B6A2823">
        <w:trPr>
          <w:trHeight w:val="627" w:hRule="atLeast"/>
          <w:jc w:val="center"/>
        </w:trPr>
        <w:tc>
          <w:tcPr>
            <w:tcW w:w="1967" w:type="dxa"/>
            <w:tcBorders>
              <w:top w:val="single" w:color="000000" w:sz="4" w:space="0"/>
              <w:left w:val="nil"/>
              <w:bottom w:val="nil"/>
              <w:right w:val="nil"/>
            </w:tcBorders>
            <w:shd w:val="clear" w:color="auto" w:fill="FFFFFF"/>
            <w:vAlign w:val="center"/>
          </w:tcPr>
          <w:p w14:paraId="44DE4FAC">
            <w:pPr>
              <w:widowControl w:val="0"/>
              <w:jc w:val="left"/>
              <w:rPr>
                <w:rFonts w:eastAsia="Kaiti SC"/>
                <w:color w:val="000000"/>
                <w:szCs w:val="24"/>
                <w:lang w:eastAsia="zh-CN"/>
              </w:rPr>
            </w:pPr>
            <w:r>
              <w:rPr>
                <w:color w:val="000000"/>
                <w:szCs w:val="24"/>
              </w:rPr>
              <w:t>C</w:t>
            </w:r>
            <w:r>
              <w:rPr>
                <w:rFonts w:hint="eastAsia"/>
                <w:color w:val="000000"/>
                <w:szCs w:val="24"/>
                <w:lang w:eastAsia="zh-CN"/>
              </w:rPr>
              <w:t>ontrol</w:t>
            </w:r>
          </w:p>
        </w:tc>
        <w:tc>
          <w:tcPr>
            <w:tcW w:w="1426" w:type="dxa"/>
            <w:tcBorders>
              <w:top w:val="single" w:color="000000" w:sz="4" w:space="0"/>
              <w:left w:val="nil"/>
              <w:bottom w:val="nil"/>
              <w:right w:val="nil"/>
            </w:tcBorders>
            <w:shd w:val="clear" w:color="auto" w:fill="FFFFFF"/>
            <w:vAlign w:val="center"/>
          </w:tcPr>
          <w:p w14:paraId="1FA352A7">
            <w:pPr>
              <w:widowControl w:val="0"/>
              <w:jc w:val="center"/>
              <w:rPr>
                <w:rFonts w:eastAsia="Kaiti SC"/>
                <w:color w:val="000000"/>
                <w:szCs w:val="24"/>
                <w:lang w:eastAsia="zh-CN"/>
              </w:rPr>
            </w:pPr>
            <w:r>
              <w:rPr>
                <w:rFonts w:hint="eastAsia"/>
                <w:color w:val="000000"/>
                <w:szCs w:val="24"/>
                <w:lang w:eastAsia="zh-CN"/>
              </w:rPr>
              <w:t>0.012</w:t>
            </w:r>
          </w:p>
        </w:tc>
        <w:tc>
          <w:tcPr>
            <w:tcW w:w="976" w:type="dxa"/>
            <w:tcBorders>
              <w:top w:val="single" w:color="000000" w:sz="4" w:space="0"/>
              <w:left w:val="nil"/>
              <w:bottom w:val="nil"/>
              <w:right w:val="nil"/>
            </w:tcBorders>
            <w:shd w:val="clear" w:color="auto" w:fill="FFFFFF"/>
            <w:vAlign w:val="center"/>
          </w:tcPr>
          <w:p w14:paraId="57A689FD">
            <w:pPr>
              <w:widowControl w:val="0"/>
              <w:jc w:val="center"/>
              <w:rPr>
                <w:color w:val="000000"/>
                <w:szCs w:val="24"/>
              </w:rPr>
            </w:pPr>
            <w:r>
              <w:rPr>
                <w:rFonts w:hint="eastAsia"/>
                <w:color w:val="000000"/>
                <w:szCs w:val="24"/>
              </w:rPr>
              <w:t>0.988</w:t>
            </w:r>
          </w:p>
        </w:tc>
        <w:tc>
          <w:tcPr>
            <w:tcW w:w="4047" w:type="dxa"/>
            <w:tcBorders>
              <w:top w:val="single" w:color="000000" w:sz="4" w:space="0"/>
              <w:left w:val="nil"/>
              <w:bottom w:val="nil"/>
              <w:right w:val="nil"/>
            </w:tcBorders>
            <w:shd w:val="clear" w:color="auto" w:fill="FFFFFF"/>
            <w:vAlign w:val="center"/>
          </w:tcPr>
          <w:p w14:paraId="2B088707">
            <w:pPr>
              <w:widowControl w:val="0"/>
              <w:tabs>
                <w:tab w:val="left" w:pos="530"/>
              </w:tabs>
              <w:jc w:val="center"/>
              <w:rPr>
                <w:rFonts w:eastAsia="Kaiti SC"/>
                <w:color w:val="000000"/>
                <w:szCs w:val="24"/>
                <w:lang w:eastAsia="zh-CN"/>
              </w:rPr>
            </w:pPr>
            <w:r>
              <w:rPr>
                <w:rFonts w:hint="eastAsia"/>
                <w:szCs w:val="24"/>
              </w:rPr>
              <w:t>98.18 + 36.91cos(2πt/15.01-6.01)</w:t>
            </w:r>
          </w:p>
        </w:tc>
        <w:tc>
          <w:tcPr>
            <w:tcW w:w="1162" w:type="dxa"/>
            <w:tcBorders>
              <w:top w:val="single" w:color="000000" w:sz="4" w:space="0"/>
              <w:left w:val="nil"/>
              <w:bottom w:val="nil"/>
              <w:right w:val="nil"/>
            </w:tcBorders>
            <w:shd w:val="clear" w:color="auto" w:fill="FFFFFF"/>
            <w:vAlign w:val="center"/>
          </w:tcPr>
          <w:p w14:paraId="0130E267">
            <w:pPr>
              <w:widowControl w:val="0"/>
              <w:jc w:val="center"/>
              <w:rPr>
                <w:rFonts w:eastAsia="Kaiti SC" w:cstheme="minorBidi"/>
                <w:kern w:val="2"/>
                <w:szCs w:val="24"/>
                <w:lang w:eastAsia="zh-CN"/>
              </w:rPr>
            </w:pPr>
            <w:r>
              <w:rPr>
                <w:rFonts w:hint="eastAsia" w:eastAsia="Kaiti SC" w:cstheme="minorBidi"/>
                <w:kern w:val="2"/>
                <w:szCs w:val="24"/>
                <w:lang w:eastAsia="zh-CN"/>
              </w:rPr>
              <w:t>0.00</w:t>
            </w:r>
            <w:r>
              <w:rPr>
                <w:rFonts w:hint="eastAsia" w:cstheme="minorBidi"/>
                <w:kern w:val="2"/>
                <w:szCs w:val="24"/>
                <w:lang w:eastAsia="zh-CN"/>
              </w:rPr>
              <w:t>1</w:t>
            </w:r>
          </w:p>
        </w:tc>
      </w:tr>
      <w:tr w14:paraId="4252D748">
        <w:trPr>
          <w:trHeight w:val="638" w:hRule="atLeast"/>
          <w:jc w:val="center"/>
        </w:trPr>
        <w:tc>
          <w:tcPr>
            <w:tcW w:w="1967" w:type="dxa"/>
            <w:tcBorders>
              <w:top w:val="nil"/>
              <w:left w:val="nil"/>
              <w:bottom w:val="nil"/>
              <w:right w:val="nil"/>
            </w:tcBorders>
            <w:shd w:val="clear" w:color="auto" w:fill="FFFFFF"/>
            <w:vAlign w:val="center"/>
          </w:tcPr>
          <w:p w14:paraId="4292B2B0">
            <w:pPr>
              <w:widowControl w:val="0"/>
              <w:jc w:val="left"/>
              <w:rPr>
                <w:rFonts w:eastAsia="Kaiti SC"/>
                <w:color w:val="000000"/>
                <w:szCs w:val="24"/>
                <w:lang w:eastAsia="zh-CN"/>
              </w:rPr>
            </w:pPr>
            <w:r>
              <w:rPr>
                <w:rFonts w:ascii="Times New Roman Italic" w:hAnsi="Times New Roman Italic" w:cs="Times New Roman Italic"/>
                <w:i/>
                <w:iCs/>
                <w:color w:val="000000"/>
                <w:szCs w:val="24"/>
              </w:rPr>
              <w:t>B</w:t>
            </w:r>
            <w:r>
              <w:rPr>
                <w:rFonts w:ascii="Times New Roman Italic" w:hAnsi="Times New Roman Italic" w:cs="Times New Roman Italic"/>
                <w:i/>
                <w:iCs/>
                <w:color w:val="000000"/>
                <w:szCs w:val="24"/>
                <w:lang w:eastAsia="zh-CN"/>
              </w:rPr>
              <w:t>mal1</w:t>
            </w:r>
            <w:r>
              <w:rPr>
                <w:rFonts w:hint="eastAsia"/>
                <w:color w:val="000000"/>
                <w:szCs w:val="24"/>
                <w:lang w:eastAsia="zh-CN"/>
              </w:rPr>
              <w:t>-</w:t>
            </w:r>
            <w:r>
              <w:rPr>
                <w:color w:val="000000"/>
                <w:szCs w:val="24"/>
                <w:lang w:eastAsia="zh-CN"/>
              </w:rPr>
              <w:t>KO</w:t>
            </w:r>
          </w:p>
        </w:tc>
        <w:tc>
          <w:tcPr>
            <w:tcW w:w="1426" w:type="dxa"/>
            <w:tcBorders>
              <w:top w:val="nil"/>
              <w:left w:val="nil"/>
              <w:bottom w:val="nil"/>
              <w:right w:val="nil"/>
            </w:tcBorders>
            <w:shd w:val="clear" w:color="auto" w:fill="FFFFFF"/>
            <w:vAlign w:val="center"/>
          </w:tcPr>
          <w:p w14:paraId="10DDE56E">
            <w:pPr>
              <w:widowControl w:val="0"/>
              <w:jc w:val="center"/>
              <w:rPr>
                <w:rFonts w:eastAsia="Kaiti SC"/>
                <w:color w:val="000000"/>
                <w:szCs w:val="24"/>
                <w:lang w:eastAsia="zh-CN"/>
              </w:rPr>
            </w:pPr>
            <w:r>
              <w:rPr>
                <w:rFonts w:hint="eastAsia"/>
                <w:color w:val="000000"/>
                <w:szCs w:val="24"/>
                <w:lang w:eastAsia="zh-CN"/>
              </w:rPr>
              <w:t>0.106</w:t>
            </w:r>
          </w:p>
        </w:tc>
        <w:tc>
          <w:tcPr>
            <w:tcW w:w="976" w:type="dxa"/>
            <w:tcBorders>
              <w:top w:val="nil"/>
              <w:left w:val="nil"/>
              <w:bottom w:val="nil"/>
              <w:right w:val="nil"/>
            </w:tcBorders>
            <w:shd w:val="clear" w:color="auto" w:fill="FFFFFF"/>
            <w:vAlign w:val="center"/>
          </w:tcPr>
          <w:p w14:paraId="2BB7581F">
            <w:pPr>
              <w:widowControl w:val="0"/>
              <w:jc w:val="center"/>
              <w:rPr>
                <w:rFonts w:eastAsia="Kaiti SC"/>
                <w:color w:val="000000"/>
                <w:szCs w:val="24"/>
                <w:lang w:eastAsia="zh-CN"/>
              </w:rPr>
            </w:pPr>
            <w:r>
              <w:rPr>
                <w:rFonts w:hint="eastAsia"/>
                <w:color w:val="000000"/>
                <w:szCs w:val="24"/>
              </w:rPr>
              <w:t>0.89</w:t>
            </w:r>
            <w:r>
              <w:rPr>
                <w:rFonts w:hint="eastAsia"/>
                <w:color w:val="000000"/>
                <w:szCs w:val="24"/>
                <w:lang w:eastAsia="zh-CN"/>
              </w:rPr>
              <w:t>4</w:t>
            </w:r>
          </w:p>
        </w:tc>
        <w:tc>
          <w:tcPr>
            <w:tcW w:w="4047" w:type="dxa"/>
            <w:tcBorders>
              <w:top w:val="nil"/>
              <w:left w:val="nil"/>
              <w:bottom w:val="nil"/>
              <w:right w:val="nil"/>
            </w:tcBorders>
            <w:shd w:val="clear" w:color="auto" w:fill="FFFFFF"/>
            <w:vAlign w:val="center"/>
          </w:tcPr>
          <w:p w14:paraId="33BC68B7">
            <w:pPr>
              <w:widowControl w:val="0"/>
              <w:jc w:val="center"/>
              <w:rPr>
                <w:color w:val="000000"/>
                <w:szCs w:val="24"/>
              </w:rPr>
            </w:pPr>
            <w:r>
              <w:rPr>
                <w:rFonts w:hint="eastAsia"/>
                <w:color w:val="000000"/>
                <w:szCs w:val="24"/>
              </w:rPr>
              <w:t>49.43 + 21.39cos(2πt/18.75-4.16)</w:t>
            </w:r>
          </w:p>
        </w:tc>
        <w:tc>
          <w:tcPr>
            <w:tcW w:w="1162" w:type="dxa"/>
            <w:tcBorders>
              <w:top w:val="nil"/>
              <w:left w:val="nil"/>
              <w:bottom w:val="nil"/>
              <w:right w:val="nil"/>
            </w:tcBorders>
            <w:shd w:val="clear" w:color="auto" w:fill="FFFFFF"/>
            <w:vAlign w:val="center"/>
          </w:tcPr>
          <w:p w14:paraId="5E0A0AF2">
            <w:pPr>
              <w:widowControl w:val="0"/>
              <w:jc w:val="center"/>
              <w:rPr>
                <w:rFonts w:eastAsia="Kaiti SC" w:cstheme="minorBidi"/>
                <w:kern w:val="2"/>
                <w:szCs w:val="24"/>
                <w:lang w:eastAsia="zh-CN"/>
              </w:rPr>
            </w:pPr>
            <w:r>
              <w:rPr>
                <w:rFonts w:hint="eastAsia" w:eastAsia="Kaiti SC" w:cstheme="minorBidi"/>
                <w:kern w:val="2"/>
                <w:szCs w:val="24"/>
                <w:lang w:eastAsia="zh-CN"/>
              </w:rPr>
              <w:t>0.015</w:t>
            </w:r>
          </w:p>
        </w:tc>
      </w:tr>
      <w:tr w14:paraId="47BF5289">
        <w:trPr>
          <w:trHeight w:val="641" w:hRule="atLeast"/>
          <w:jc w:val="center"/>
        </w:trPr>
        <w:tc>
          <w:tcPr>
            <w:tcW w:w="1967" w:type="dxa"/>
            <w:tcBorders>
              <w:top w:val="nil"/>
              <w:left w:val="nil"/>
              <w:bottom w:val="nil"/>
              <w:right w:val="nil"/>
            </w:tcBorders>
            <w:shd w:val="clear" w:color="auto" w:fill="FFFFFF"/>
            <w:vAlign w:val="center"/>
          </w:tcPr>
          <w:p w14:paraId="7F19B82C">
            <w:pPr>
              <w:widowControl w:val="0"/>
              <w:jc w:val="left"/>
              <w:rPr>
                <w:color w:val="000000"/>
                <w:szCs w:val="24"/>
              </w:rPr>
            </w:pPr>
            <w:r>
              <w:rPr>
                <w:color w:val="000000"/>
                <w:szCs w:val="24"/>
              </w:rPr>
              <w:t>+WT</w:t>
            </w:r>
          </w:p>
        </w:tc>
        <w:tc>
          <w:tcPr>
            <w:tcW w:w="1426" w:type="dxa"/>
            <w:tcBorders>
              <w:top w:val="nil"/>
              <w:left w:val="nil"/>
              <w:bottom w:val="nil"/>
              <w:right w:val="nil"/>
            </w:tcBorders>
            <w:shd w:val="clear" w:color="auto" w:fill="FFFFFF"/>
            <w:vAlign w:val="center"/>
          </w:tcPr>
          <w:p w14:paraId="18BB7A14">
            <w:pPr>
              <w:widowControl w:val="0"/>
              <w:jc w:val="center"/>
              <w:rPr>
                <w:color w:val="000000"/>
                <w:szCs w:val="24"/>
                <w:lang w:eastAsia="zh-CN"/>
              </w:rPr>
            </w:pPr>
            <w:r>
              <w:rPr>
                <w:rFonts w:hint="eastAsia"/>
                <w:color w:val="000000"/>
                <w:szCs w:val="24"/>
                <w:lang w:eastAsia="zh-CN"/>
              </w:rPr>
              <w:t>0.032</w:t>
            </w:r>
          </w:p>
        </w:tc>
        <w:tc>
          <w:tcPr>
            <w:tcW w:w="976" w:type="dxa"/>
            <w:tcBorders>
              <w:top w:val="nil"/>
              <w:left w:val="nil"/>
              <w:bottom w:val="nil"/>
              <w:right w:val="nil"/>
            </w:tcBorders>
            <w:shd w:val="clear" w:color="auto" w:fill="FFFFFF"/>
            <w:vAlign w:val="center"/>
          </w:tcPr>
          <w:p w14:paraId="6B47221C">
            <w:pPr>
              <w:widowControl w:val="0"/>
              <w:jc w:val="center"/>
              <w:rPr>
                <w:color w:val="000000"/>
                <w:szCs w:val="24"/>
              </w:rPr>
            </w:pPr>
            <w:r>
              <w:rPr>
                <w:rFonts w:hint="eastAsia"/>
                <w:color w:val="000000"/>
                <w:szCs w:val="24"/>
              </w:rPr>
              <w:t>0.968</w:t>
            </w:r>
          </w:p>
        </w:tc>
        <w:tc>
          <w:tcPr>
            <w:tcW w:w="4047" w:type="dxa"/>
            <w:tcBorders>
              <w:top w:val="nil"/>
              <w:left w:val="nil"/>
              <w:bottom w:val="nil"/>
              <w:right w:val="nil"/>
            </w:tcBorders>
            <w:shd w:val="clear" w:color="auto" w:fill="FFFFFF"/>
            <w:vAlign w:val="center"/>
          </w:tcPr>
          <w:p w14:paraId="22F48C00">
            <w:pPr>
              <w:widowControl w:val="0"/>
              <w:jc w:val="center"/>
              <w:rPr>
                <w:color w:val="000000"/>
                <w:szCs w:val="24"/>
              </w:rPr>
            </w:pPr>
            <w:r>
              <w:rPr>
                <w:rFonts w:hint="eastAsia"/>
                <w:color w:val="000000"/>
                <w:szCs w:val="24"/>
              </w:rPr>
              <w:t>90.82 + 25.19cos(2πt/21.19-3.21)</w:t>
            </w:r>
          </w:p>
        </w:tc>
        <w:tc>
          <w:tcPr>
            <w:tcW w:w="1162" w:type="dxa"/>
            <w:tcBorders>
              <w:top w:val="nil"/>
              <w:left w:val="nil"/>
              <w:bottom w:val="nil"/>
              <w:right w:val="nil"/>
            </w:tcBorders>
            <w:shd w:val="clear" w:color="auto" w:fill="FFFFFF"/>
            <w:vAlign w:val="center"/>
          </w:tcPr>
          <w:p w14:paraId="1AABB159">
            <w:pPr>
              <w:widowControl w:val="0"/>
              <w:jc w:val="center"/>
              <w:rPr>
                <w:rFonts w:eastAsia="Kaiti SC" w:cstheme="minorBidi"/>
                <w:kern w:val="2"/>
                <w:szCs w:val="24"/>
                <w:lang w:eastAsia="zh-CN"/>
              </w:rPr>
            </w:pPr>
            <w:r>
              <w:rPr>
                <w:rFonts w:hint="eastAsia" w:eastAsia="Kaiti SC" w:cstheme="minorBidi"/>
                <w:kern w:val="2"/>
                <w:szCs w:val="24"/>
                <w:lang w:eastAsia="zh-CN"/>
              </w:rPr>
              <w:t>0.002</w:t>
            </w:r>
          </w:p>
        </w:tc>
      </w:tr>
      <w:tr w14:paraId="49F6E9A8">
        <w:trPr>
          <w:trHeight w:val="771" w:hRule="atLeast"/>
          <w:jc w:val="center"/>
        </w:trPr>
        <w:tc>
          <w:tcPr>
            <w:tcW w:w="1967" w:type="dxa"/>
            <w:tcBorders>
              <w:top w:val="nil"/>
              <w:left w:val="nil"/>
              <w:bottom w:val="single" w:color="000000" w:sz="12" w:space="0"/>
              <w:right w:val="nil"/>
            </w:tcBorders>
            <w:shd w:val="clear" w:color="auto" w:fill="FFFFFF"/>
            <w:vAlign w:val="center"/>
          </w:tcPr>
          <w:p w14:paraId="11CE3C3F">
            <w:pPr>
              <w:widowControl w:val="0"/>
              <w:jc w:val="left"/>
              <w:rPr>
                <w:color w:val="000000"/>
                <w:szCs w:val="24"/>
              </w:rPr>
            </w:pPr>
            <w:r>
              <w:rPr>
                <w:color w:val="000000"/>
                <w:szCs w:val="24"/>
              </w:rPr>
              <w:t>+</w:t>
            </w:r>
            <w:r>
              <w:rPr>
                <w:rFonts w:ascii="Times New Roman Italic" w:hAnsi="Times New Roman Italic" w:cs="Times New Roman Italic"/>
                <w:i/>
                <w:iCs/>
                <w:color w:val="000000"/>
                <w:szCs w:val="24"/>
              </w:rPr>
              <w:t>Bmal1</w:t>
            </w:r>
            <w:r>
              <w:rPr>
                <w:color w:val="000000"/>
                <w:szCs w:val="24"/>
              </w:rPr>
              <w:t>-</w:t>
            </w:r>
            <w:r>
              <w:rPr>
                <w:rFonts w:eastAsia="Songti SC" w:cs="Times New Roman Regular"/>
                <w:sz w:val="32"/>
                <w:szCs w:val="22"/>
                <w:lang w:eastAsia="zh-CN"/>
              </w:rPr>
              <w:t>Δ</w:t>
            </w:r>
            <w:r>
              <w:rPr>
                <w:color w:val="000000"/>
                <w:szCs w:val="24"/>
              </w:rPr>
              <w:t>N90</w:t>
            </w:r>
          </w:p>
        </w:tc>
        <w:tc>
          <w:tcPr>
            <w:tcW w:w="1426" w:type="dxa"/>
            <w:tcBorders>
              <w:top w:val="nil"/>
              <w:left w:val="nil"/>
              <w:bottom w:val="single" w:color="000000" w:sz="12" w:space="0"/>
              <w:right w:val="nil"/>
            </w:tcBorders>
            <w:shd w:val="clear" w:color="auto" w:fill="FFFFFF"/>
            <w:vAlign w:val="center"/>
          </w:tcPr>
          <w:p w14:paraId="2FE9F4A2">
            <w:pPr>
              <w:widowControl w:val="0"/>
              <w:jc w:val="center"/>
              <w:rPr>
                <w:rFonts w:eastAsia="Kaiti SC"/>
                <w:color w:val="000000"/>
                <w:szCs w:val="24"/>
                <w:lang w:eastAsia="zh-CN"/>
              </w:rPr>
            </w:pPr>
            <w:r>
              <w:rPr>
                <w:rFonts w:hint="eastAsia"/>
                <w:color w:val="000000"/>
                <w:szCs w:val="24"/>
                <w:lang w:eastAsia="zh-CN"/>
              </w:rPr>
              <w:t>0.052</w:t>
            </w:r>
          </w:p>
        </w:tc>
        <w:tc>
          <w:tcPr>
            <w:tcW w:w="976" w:type="dxa"/>
            <w:tcBorders>
              <w:top w:val="nil"/>
              <w:left w:val="nil"/>
              <w:bottom w:val="single" w:color="000000" w:sz="12" w:space="0"/>
              <w:right w:val="nil"/>
            </w:tcBorders>
            <w:shd w:val="clear" w:color="auto" w:fill="FFFFFF"/>
            <w:vAlign w:val="center"/>
          </w:tcPr>
          <w:p w14:paraId="3D5ACA16">
            <w:pPr>
              <w:widowControl w:val="0"/>
              <w:jc w:val="center"/>
              <w:rPr>
                <w:color w:val="000000"/>
                <w:szCs w:val="24"/>
              </w:rPr>
            </w:pPr>
            <w:r>
              <w:rPr>
                <w:rFonts w:hint="eastAsia"/>
                <w:color w:val="000000"/>
                <w:szCs w:val="24"/>
              </w:rPr>
              <w:t>0.948</w:t>
            </w:r>
          </w:p>
        </w:tc>
        <w:tc>
          <w:tcPr>
            <w:tcW w:w="4047" w:type="dxa"/>
            <w:tcBorders>
              <w:top w:val="nil"/>
              <w:left w:val="nil"/>
              <w:bottom w:val="single" w:color="000000" w:sz="12" w:space="0"/>
              <w:right w:val="nil"/>
            </w:tcBorders>
            <w:shd w:val="clear" w:color="auto" w:fill="FFFFFF"/>
            <w:vAlign w:val="center"/>
          </w:tcPr>
          <w:p w14:paraId="5F0782A9">
            <w:pPr>
              <w:widowControl w:val="0"/>
              <w:jc w:val="center"/>
              <w:rPr>
                <w:color w:val="000000"/>
                <w:szCs w:val="24"/>
              </w:rPr>
            </w:pPr>
            <w:r>
              <w:rPr>
                <w:rFonts w:hint="eastAsia"/>
                <w:color w:val="000000"/>
                <w:szCs w:val="24"/>
              </w:rPr>
              <w:t>72.24 + 37.21cos(2πt/48.00-5.66)</w:t>
            </w:r>
          </w:p>
        </w:tc>
        <w:tc>
          <w:tcPr>
            <w:tcW w:w="1162" w:type="dxa"/>
            <w:tcBorders>
              <w:top w:val="nil"/>
              <w:left w:val="nil"/>
              <w:bottom w:val="single" w:color="000000" w:sz="12" w:space="0"/>
              <w:right w:val="nil"/>
            </w:tcBorders>
            <w:shd w:val="clear" w:color="auto" w:fill="FFFFFF"/>
            <w:vAlign w:val="center"/>
          </w:tcPr>
          <w:p w14:paraId="3E2C70FA">
            <w:pPr>
              <w:widowControl w:val="0"/>
              <w:jc w:val="center"/>
              <w:rPr>
                <w:color w:val="000000"/>
                <w:szCs w:val="24"/>
              </w:rPr>
            </w:pPr>
            <w:r>
              <w:rPr>
                <w:rFonts w:hint="eastAsia"/>
                <w:color w:val="000000"/>
                <w:szCs w:val="24"/>
              </w:rPr>
              <w:t>0.005</w:t>
            </w:r>
          </w:p>
        </w:tc>
      </w:tr>
    </w:tbl>
    <w:p w14:paraId="206EACC6"/>
    <w:p w14:paraId="50E6DA22">
      <w:pPr>
        <w:pStyle w:val="22"/>
        <w:rPr>
          <w:rFonts w:ascii="Times New Roman Bold" w:hAnsi="Times New Roman Bold" w:eastAsia="黑体" w:cs="Times New Roman Bold"/>
          <w:color w:val="000000"/>
          <w:sz w:val="28"/>
          <w:szCs w:val="28"/>
          <w:lang w:eastAsia="zh-CN"/>
        </w:rPr>
      </w:pPr>
      <w:r>
        <w:rPr>
          <w:rFonts w:ascii="Times New Roman Bold" w:hAnsi="Times New Roman Bold" w:cs="Times New Roman Bold"/>
          <w:sz w:val="28"/>
          <w:szCs w:val="28"/>
        </w:rPr>
        <w:t>T</w:t>
      </w:r>
      <w:r>
        <w:rPr>
          <w:rFonts w:ascii="Times New Roman Bold" w:hAnsi="Times New Roman Bold" w:cs="Times New Roman Bold"/>
          <w:sz w:val="28"/>
          <w:szCs w:val="28"/>
          <w:lang w:eastAsia="zh-CN"/>
        </w:rPr>
        <w:t>able</w:t>
      </w:r>
      <w:r>
        <w:rPr>
          <w:rFonts w:ascii="Times New Roman Bold" w:hAnsi="Times New Roman Bold" w:cs="Times New Roman Bold"/>
          <w:sz w:val="28"/>
          <w:szCs w:val="28"/>
        </w:rPr>
        <w:t xml:space="preserve"> S1.</w:t>
      </w:r>
      <w:r>
        <w:rPr>
          <w:rFonts w:ascii="Times New Roman Bold" w:hAnsi="Times New Roman Bold" w:cs="Times New Roman Bold"/>
          <w:sz w:val="28"/>
          <w:szCs w:val="28"/>
          <w:lang w:eastAsia="zh-CN"/>
        </w:rPr>
        <w:t xml:space="preserve"> Statistical parameters of cosinor analysis.</w:t>
      </w:r>
    </w:p>
    <w:p w14:paraId="434B18A7">
      <w:r>
        <w:br w:type="page"/>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4162"/>
        <w:gridCol w:w="4162"/>
      </w:tblGrid>
      <w:tr w14:paraId="061B02E1">
        <w:trPr>
          <w:trHeight w:val="492" w:hRule="atLeast"/>
          <w:jc w:val="center"/>
        </w:trPr>
        <w:tc>
          <w:tcPr>
            <w:tcW w:w="1174" w:type="dxa"/>
            <w:tcBorders>
              <w:top w:val="single" w:color="000000" w:sz="12" w:space="0"/>
              <w:left w:val="nil"/>
              <w:bottom w:val="single" w:color="000000" w:sz="4" w:space="0"/>
              <w:right w:val="nil"/>
            </w:tcBorders>
            <w:shd w:val="clear" w:color="auto" w:fill="FFFFFF"/>
            <w:vAlign w:val="center"/>
          </w:tcPr>
          <w:p w14:paraId="32FD9164">
            <w:pPr>
              <w:widowControl w:val="0"/>
              <w:spacing w:line="360" w:lineRule="auto"/>
              <w:ind w:firstLine="177" w:firstLineChars="74"/>
              <w:jc w:val="both"/>
              <w:rPr>
                <w:color w:val="000000"/>
                <w:szCs w:val="24"/>
              </w:rPr>
            </w:pPr>
            <w:r>
              <w:rPr>
                <w:rFonts w:hint="eastAsia"/>
                <w:color w:val="000000"/>
                <w:szCs w:val="24"/>
                <w:lang w:eastAsia="zh-CN"/>
              </w:rPr>
              <w:t>Gene</w:t>
            </w:r>
          </w:p>
        </w:tc>
        <w:tc>
          <w:tcPr>
            <w:tcW w:w="4162" w:type="dxa"/>
            <w:tcBorders>
              <w:top w:val="single" w:color="000000" w:sz="12" w:space="0"/>
              <w:left w:val="nil"/>
              <w:bottom w:val="single" w:color="000000" w:sz="4" w:space="0"/>
              <w:right w:val="nil"/>
            </w:tcBorders>
            <w:shd w:val="clear" w:color="auto" w:fill="FFFFFF"/>
            <w:vAlign w:val="center"/>
          </w:tcPr>
          <w:p w14:paraId="44BF712F">
            <w:pPr>
              <w:widowControl w:val="0"/>
              <w:spacing w:line="360" w:lineRule="auto"/>
              <w:ind w:firstLine="177" w:firstLineChars="74"/>
              <w:jc w:val="center"/>
              <w:rPr>
                <w:rFonts w:eastAsia="Kaiti SC"/>
                <w:color w:val="000000"/>
                <w:szCs w:val="24"/>
                <w:lang w:eastAsia="zh-CN"/>
              </w:rPr>
            </w:pPr>
            <w:r>
              <w:rPr>
                <w:rFonts w:hint="eastAsia"/>
                <w:color w:val="000000"/>
                <w:szCs w:val="24"/>
                <w:lang w:eastAsia="zh-CN"/>
              </w:rPr>
              <w:t>Forward Primer</w:t>
            </w:r>
          </w:p>
        </w:tc>
        <w:tc>
          <w:tcPr>
            <w:tcW w:w="4162" w:type="dxa"/>
            <w:tcBorders>
              <w:top w:val="single" w:color="000000" w:sz="12" w:space="0"/>
              <w:left w:val="nil"/>
              <w:bottom w:val="single" w:color="000000" w:sz="4" w:space="0"/>
              <w:right w:val="nil"/>
            </w:tcBorders>
            <w:shd w:val="clear" w:color="auto" w:fill="FFFFFF"/>
            <w:vAlign w:val="center"/>
          </w:tcPr>
          <w:p w14:paraId="7F65F954">
            <w:pPr>
              <w:widowControl w:val="0"/>
              <w:spacing w:line="360" w:lineRule="auto"/>
              <w:ind w:firstLine="177" w:firstLineChars="74"/>
              <w:jc w:val="center"/>
              <w:rPr>
                <w:rFonts w:eastAsia="Kaiti SC"/>
                <w:color w:val="000000"/>
                <w:szCs w:val="24"/>
                <w:lang w:eastAsia="zh-CN"/>
              </w:rPr>
            </w:pPr>
            <w:r>
              <w:rPr>
                <w:rFonts w:hint="eastAsia"/>
                <w:color w:val="000000"/>
                <w:szCs w:val="24"/>
                <w:lang w:eastAsia="zh-CN"/>
              </w:rPr>
              <w:t xml:space="preserve">Reverse </w:t>
            </w:r>
            <w:r>
              <w:rPr>
                <w:color w:val="000000"/>
                <w:szCs w:val="24"/>
                <w:lang w:eastAsia="zh-CN"/>
              </w:rPr>
              <w:t>P</w:t>
            </w:r>
            <w:r>
              <w:rPr>
                <w:rFonts w:hint="eastAsia"/>
                <w:color w:val="000000"/>
                <w:szCs w:val="24"/>
                <w:lang w:eastAsia="zh-CN"/>
              </w:rPr>
              <w:t>rimer</w:t>
            </w:r>
          </w:p>
        </w:tc>
      </w:tr>
      <w:tr w14:paraId="0648F295">
        <w:trPr>
          <w:trHeight w:val="629" w:hRule="atLeast"/>
          <w:jc w:val="center"/>
        </w:trPr>
        <w:tc>
          <w:tcPr>
            <w:tcW w:w="1174" w:type="dxa"/>
            <w:tcBorders>
              <w:top w:val="single" w:color="000000" w:sz="4" w:space="0"/>
              <w:left w:val="nil"/>
              <w:bottom w:val="nil"/>
              <w:right w:val="nil"/>
            </w:tcBorders>
            <w:shd w:val="clear" w:color="auto" w:fill="FFFFFF"/>
            <w:vAlign w:val="center"/>
          </w:tcPr>
          <w:p w14:paraId="554A32DA">
            <w:pPr>
              <w:widowControl w:val="0"/>
              <w:spacing w:line="360" w:lineRule="auto"/>
              <w:ind w:firstLine="155" w:firstLineChars="74"/>
              <w:jc w:val="left"/>
              <w:rPr>
                <w:rFonts w:ascii="Times New Roman Italic" w:hAnsi="Times New Roman Italic" w:eastAsia="Kaiti SC" w:cs="Times New Roman Italic"/>
                <w:i/>
                <w:iCs/>
                <w:color w:val="000000"/>
                <w:sz w:val="21"/>
                <w:szCs w:val="21"/>
                <w:lang w:eastAsia="zh-CN"/>
              </w:rPr>
            </w:pPr>
            <w:r>
              <w:rPr>
                <w:rFonts w:ascii="Times New Roman Italic" w:hAnsi="Times New Roman Italic" w:cs="Times New Roman Italic"/>
                <w:i/>
                <w:iCs/>
                <w:color w:val="000000"/>
                <w:sz w:val="21"/>
                <w:szCs w:val="21"/>
              </w:rPr>
              <w:t>NR1D1</w:t>
            </w:r>
          </w:p>
        </w:tc>
        <w:tc>
          <w:tcPr>
            <w:tcW w:w="4162" w:type="dxa"/>
            <w:tcBorders>
              <w:top w:val="single" w:color="000000" w:sz="4" w:space="0"/>
              <w:left w:val="nil"/>
              <w:bottom w:val="nil"/>
              <w:right w:val="nil"/>
            </w:tcBorders>
            <w:shd w:val="clear" w:color="auto" w:fill="FFFFFF"/>
            <w:vAlign w:val="center"/>
          </w:tcPr>
          <w:p w14:paraId="1A8DA91E">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GCAAGGGCTTTTTCCGTCG</w:t>
            </w:r>
          </w:p>
        </w:tc>
        <w:tc>
          <w:tcPr>
            <w:tcW w:w="4162" w:type="dxa"/>
            <w:tcBorders>
              <w:top w:val="single" w:color="000000" w:sz="4" w:space="0"/>
              <w:left w:val="nil"/>
              <w:bottom w:val="nil"/>
              <w:right w:val="nil"/>
            </w:tcBorders>
            <w:shd w:val="clear" w:color="auto" w:fill="FFFFFF"/>
            <w:vAlign w:val="center"/>
          </w:tcPr>
          <w:p w14:paraId="479DA828">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GCGGACGATGGAGCAATTCT</w:t>
            </w:r>
          </w:p>
        </w:tc>
      </w:tr>
      <w:tr w14:paraId="022623ED">
        <w:trPr>
          <w:trHeight w:val="566" w:hRule="atLeast"/>
          <w:jc w:val="center"/>
        </w:trPr>
        <w:tc>
          <w:tcPr>
            <w:tcW w:w="1174" w:type="dxa"/>
            <w:tcBorders>
              <w:top w:val="nil"/>
              <w:left w:val="nil"/>
              <w:bottom w:val="nil"/>
              <w:right w:val="nil"/>
            </w:tcBorders>
            <w:shd w:val="clear" w:color="auto" w:fill="FFFFFF"/>
            <w:vAlign w:val="center"/>
          </w:tcPr>
          <w:p w14:paraId="378EEEC2">
            <w:pPr>
              <w:widowControl w:val="0"/>
              <w:spacing w:line="360" w:lineRule="auto"/>
              <w:ind w:firstLine="155" w:firstLineChars="74"/>
              <w:jc w:val="left"/>
              <w:rPr>
                <w:rFonts w:ascii="Times New Roman Italic" w:hAnsi="Times New Roman Italic" w:cs="Times New Roman Italic"/>
                <w:i/>
                <w:iCs/>
                <w:color w:val="000000"/>
                <w:sz w:val="21"/>
                <w:szCs w:val="21"/>
              </w:rPr>
            </w:pPr>
            <w:r>
              <w:rPr>
                <w:rFonts w:ascii="Times New Roman Italic" w:hAnsi="Times New Roman Italic" w:cs="Times New Roman Italic"/>
                <w:i/>
                <w:iCs/>
                <w:color w:val="000000"/>
                <w:sz w:val="21"/>
                <w:szCs w:val="21"/>
              </w:rPr>
              <w:t>NR1D2</w:t>
            </w:r>
          </w:p>
        </w:tc>
        <w:tc>
          <w:tcPr>
            <w:tcW w:w="4162" w:type="dxa"/>
            <w:tcBorders>
              <w:top w:val="nil"/>
              <w:left w:val="nil"/>
              <w:bottom w:val="nil"/>
              <w:right w:val="nil"/>
            </w:tcBorders>
            <w:shd w:val="clear" w:color="auto" w:fill="FFFFFF"/>
            <w:vAlign w:val="center"/>
          </w:tcPr>
          <w:p w14:paraId="016A5DE6">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GTTACCTGTGCAACACTGGAGG</w:t>
            </w:r>
          </w:p>
        </w:tc>
        <w:tc>
          <w:tcPr>
            <w:tcW w:w="4162" w:type="dxa"/>
            <w:tcBorders>
              <w:top w:val="nil"/>
              <w:left w:val="nil"/>
              <w:bottom w:val="nil"/>
              <w:right w:val="nil"/>
            </w:tcBorders>
            <w:shd w:val="clear" w:color="auto" w:fill="FFFFFF"/>
            <w:vAlign w:val="center"/>
          </w:tcPr>
          <w:p w14:paraId="68A0F6BA">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ACTGCTGGAGTGAAGCTCATCG</w:t>
            </w:r>
          </w:p>
        </w:tc>
      </w:tr>
      <w:tr w14:paraId="7D733463">
        <w:trPr>
          <w:trHeight w:val="628" w:hRule="atLeast"/>
          <w:jc w:val="center"/>
        </w:trPr>
        <w:tc>
          <w:tcPr>
            <w:tcW w:w="1174" w:type="dxa"/>
            <w:tcBorders>
              <w:top w:val="nil"/>
              <w:left w:val="nil"/>
              <w:bottom w:val="nil"/>
              <w:right w:val="nil"/>
            </w:tcBorders>
            <w:shd w:val="clear" w:color="auto" w:fill="FFFFFF"/>
            <w:vAlign w:val="center"/>
          </w:tcPr>
          <w:p w14:paraId="0C3CFEB0">
            <w:pPr>
              <w:widowControl w:val="0"/>
              <w:spacing w:line="360" w:lineRule="auto"/>
              <w:ind w:firstLine="155" w:firstLineChars="74"/>
              <w:jc w:val="left"/>
              <w:rPr>
                <w:rFonts w:ascii="Times New Roman Italic" w:hAnsi="Times New Roman Italic" w:cs="Times New Roman Italic"/>
                <w:i/>
                <w:iCs/>
                <w:color w:val="000000"/>
                <w:sz w:val="21"/>
                <w:szCs w:val="21"/>
              </w:rPr>
            </w:pPr>
            <w:r>
              <w:rPr>
                <w:rFonts w:ascii="Times New Roman Italic" w:hAnsi="Times New Roman Italic" w:cs="Times New Roman Italic"/>
                <w:i/>
                <w:iCs/>
                <w:color w:val="000000"/>
                <w:sz w:val="21"/>
                <w:szCs w:val="21"/>
              </w:rPr>
              <w:t>PER2</w:t>
            </w:r>
          </w:p>
        </w:tc>
        <w:tc>
          <w:tcPr>
            <w:tcW w:w="4162" w:type="dxa"/>
            <w:tcBorders>
              <w:top w:val="nil"/>
              <w:left w:val="nil"/>
              <w:bottom w:val="nil"/>
              <w:right w:val="nil"/>
            </w:tcBorders>
            <w:shd w:val="clear" w:color="auto" w:fill="FFFFFF"/>
            <w:vAlign w:val="center"/>
          </w:tcPr>
          <w:p w14:paraId="1B035346">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AGCTGCTTGGACAGCGTCATCA</w:t>
            </w:r>
          </w:p>
        </w:tc>
        <w:tc>
          <w:tcPr>
            <w:tcW w:w="4162" w:type="dxa"/>
            <w:tcBorders>
              <w:top w:val="nil"/>
              <w:left w:val="nil"/>
              <w:bottom w:val="nil"/>
              <w:right w:val="nil"/>
            </w:tcBorders>
            <w:shd w:val="clear" w:color="auto" w:fill="FFFFFF"/>
            <w:vAlign w:val="center"/>
          </w:tcPr>
          <w:p w14:paraId="699E6AC7">
            <w:pPr>
              <w:widowControl w:val="0"/>
              <w:spacing w:line="360" w:lineRule="auto"/>
              <w:ind w:firstLine="155" w:firstLineChars="74"/>
              <w:jc w:val="center"/>
              <w:rPr>
                <w:color w:val="000000"/>
                <w:sz w:val="21"/>
                <w:szCs w:val="21"/>
              </w:rPr>
            </w:pPr>
            <w:r>
              <w:rPr>
                <w:rFonts w:hint="eastAsia"/>
                <w:color w:val="000000"/>
                <w:sz w:val="21"/>
                <w:szCs w:val="21"/>
              </w:rPr>
              <w:t>CCTTCCGCTTATCACTGGACCT</w:t>
            </w:r>
          </w:p>
        </w:tc>
      </w:tr>
      <w:tr w14:paraId="53490E04">
        <w:trPr>
          <w:trHeight w:val="603" w:hRule="atLeast"/>
          <w:jc w:val="center"/>
        </w:trPr>
        <w:tc>
          <w:tcPr>
            <w:tcW w:w="1174" w:type="dxa"/>
            <w:tcBorders>
              <w:top w:val="nil"/>
              <w:left w:val="nil"/>
              <w:bottom w:val="nil"/>
              <w:right w:val="nil"/>
            </w:tcBorders>
            <w:shd w:val="clear" w:color="auto" w:fill="FFFFFF"/>
            <w:vAlign w:val="center"/>
          </w:tcPr>
          <w:p w14:paraId="47ADA543">
            <w:pPr>
              <w:widowControl w:val="0"/>
              <w:spacing w:line="360" w:lineRule="auto"/>
              <w:ind w:firstLine="155" w:firstLineChars="74"/>
              <w:jc w:val="left"/>
              <w:rPr>
                <w:rFonts w:ascii="Times New Roman Italic" w:hAnsi="Times New Roman Italic" w:cs="Times New Roman Italic"/>
                <w:i/>
                <w:iCs/>
                <w:color w:val="000000"/>
                <w:sz w:val="21"/>
                <w:szCs w:val="21"/>
              </w:rPr>
            </w:pPr>
            <w:r>
              <w:rPr>
                <w:rFonts w:ascii="Times New Roman Italic" w:hAnsi="Times New Roman Italic" w:cs="Times New Roman Italic"/>
                <w:i/>
                <w:iCs/>
                <w:color w:val="000000"/>
                <w:sz w:val="21"/>
                <w:szCs w:val="21"/>
              </w:rPr>
              <w:t>PER3</w:t>
            </w:r>
          </w:p>
        </w:tc>
        <w:tc>
          <w:tcPr>
            <w:tcW w:w="4162" w:type="dxa"/>
            <w:tcBorders>
              <w:top w:val="nil"/>
              <w:left w:val="nil"/>
              <w:bottom w:val="nil"/>
              <w:right w:val="nil"/>
            </w:tcBorders>
            <w:shd w:val="clear" w:color="auto" w:fill="FFFFFF"/>
            <w:vAlign w:val="center"/>
          </w:tcPr>
          <w:p w14:paraId="6BA9D95F">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GGCAGATGATGTCCAAGCCTTAC</w:t>
            </w:r>
          </w:p>
        </w:tc>
        <w:tc>
          <w:tcPr>
            <w:tcW w:w="4162" w:type="dxa"/>
            <w:tcBorders>
              <w:top w:val="nil"/>
              <w:left w:val="nil"/>
              <w:bottom w:val="nil"/>
              <w:right w:val="nil"/>
            </w:tcBorders>
            <w:shd w:val="clear" w:color="auto" w:fill="FFFFFF"/>
            <w:vAlign w:val="center"/>
          </w:tcPr>
          <w:p w14:paraId="6E051023">
            <w:pPr>
              <w:widowControl w:val="0"/>
              <w:spacing w:line="360" w:lineRule="auto"/>
              <w:ind w:firstLine="155" w:firstLineChars="74"/>
              <w:jc w:val="center"/>
              <w:rPr>
                <w:color w:val="000000"/>
                <w:sz w:val="21"/>
                <w:szCs w:val="21"/>
              </w:rPr>
            </w:pPr>
            <w:r>
              <w:rPr>
                <w:rFonts w:eastAsia="Kaiti SC"/>
                <w:color w:val="000000"/>
                <w:kern w:val="2"/>
                <w:sz w:val="21"/>
                <w:szCs w:val="21"/>
                <w:lang w:eastAsia="zh-CN" w:bidi="ar"/>
              </w:rPr>
              <w:t>ATCGCCGTGGACAGGATCTGTG</w:t>
            </w:r>
          </w:p>
        </w:tc>
      </w:tr>
      <w:tr w14:paraId="129C4155">
        <w:trPr>
          <w:trHeight w:val="566" w:hRule="atLeast"/>
          <w:jc w:val="center"/>
        </w:trPr>
        <w:tc>
          <w:tcPr>
            <w:tcW w:w="1174" w:type="dxa"/>
            <w:tcBorders>
              <w:top w:val="nil"/>
              <w:left w:val="nil"/>
              <w:bottom w:val="nil"/>
              <w:right w:val="nil"/>
            </w:tcBorders>
            <w:shd w:val="clear" w:color="auto" w:fill="FFFFFF"/>
            <w:vAlign w:val="center"/>
          </w:tcPr>
          <w:p w14:paraId="34ABA0AC">
            <w:pPr>
              <w:widowControl w:val="0"/>
              <w:spacing w:line="360" w:lineRule="auto"/>
              <w:ind w:firstLine="155" w:firstLineChars="74"/>
              <w:jc w:val="left"/>
              <w:rPr>
                <w:rFonts w:ascii="Times New Roman Italic" w:hAnsi="Times New Roman Italic" w:eastAsia="Kaiti SC" w:cs="Times New Roman Italic"/>
                <w:i/>
                <w:iCs/>
                <w:color w:val="000000"/>
                <w:kern w:val="2"/>
                <w:sz w:val="21"/>
                <w:szCs w:val="21"/>
                <w:lang w:eastAsia="zh-CN" w:bidi="ar"/>
              </w:rPr>
            </w:pPr>
            <w:r>
              <w:rPr>
                <w:rFonts w:ascii="Times New Roman Italic" w:hAnsi="Times New Roman Italic" w:cs="Times New Roman Italic"/>
                <w:i/>
                <w:iCs/>
                <w:color w:val="000000"/>
                <w:kern w:val="2"/>
                <w:sz w:val="21"/>
                <w:szCs w:val="21"/>
                <w:lang w:eastAsia="zh-CN" w:bidi="ar"/>
              </w:rPr>
              <w:t>CRY1</w:t>
            </w:r>
          </w:p>
        </w:tc>
        <w:tc>
          <w:tcPr>
            <w:tcW w:w="4162" w:type="dxa"/>
            <w:tcBorders>
              <w:top w:val="nil"/>
              <w:left w:val="nil"/>
              <w:bottom w:val="nil"/>
              <w:right w:val="nil"/>
            </w:tcBorders>
            <w:shd w:val="clear" w:color="auto" w:fill="FFFFFF"/>
            <w:vAlign w:val="center"/>
          </w:tcPr>
          <w:p w14:paraId="373FAB92">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TGTGATTCGTGGACAACCAG</w:t>
            </w:r>
          </w:p>
        </w:tc>
        <w:tc>
          <w:tcPr>
            <w:tcW w:w="4162" w:type="dxa"/>
            <w:tcBorders>
              <w:top w:val="nil"/>
              <w:left w:val="nil"/>
              <w:bottom w:val="nil"/>
              <w:right w:val="nil"/>
            </w:tcBorders>
            <w:shd w:val="clear" w:color="auto" w:fill="FFFFFF"/>
            <w:vAlign w:val="center"/>
          </w:tcPr>
          <w:p w14:paraId="20A5C5A6">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TAGCTGCGTCTCGTTCCTTT</w:t>
            </w:r>
          </w:p>
        </w:tc>
      </w:tr>
      <w:tr w14:paraId="3EFB5591">
        <w:trPr>
          <w:trHeight w:val="640" w:hRule="atLeast"/>
          <w:jc w:val="center"/>
        </w:trPr>
        <w:tc>
          <w:tcPr>
            <w:tcW w:w="1174" w:type="dxa"/>
            <w:tcBorders>
              <w:top w:val="nil"/>
              <w:left w:val="nil"/>
              <w:bottom w:val="nil"/>
              <w:right w:val="nil"/>
            </w:tcBorders>
            <w:shd w:val="clear" w:color="auto" w:fill="FFFFFF"/>
            <w:vAlign w:val="center"/>
          </w:tcPr>
          <w:p w14:paraId="0F830D0F">
            <w:pPr>
              <w:widowControl w:val="0"/>
              <w:spacing w:line="360" w:lineRule="auto"/>
              <w:ind w:firstLine="155" w:firstLineChars="74"/>
              <w:jc w:val="left"/>
              <w:rPr>
                <w:rFonts w:ascii="Times New Roman Italic" w:hAnsi="Times New Roman Italic" w:eastAsia="Kaiti SC" w:cs="Times New Roman Italic"/>
                <w:i/>
                <w:iCs/>
                <w:color w:val="000000"/>
                <w:kern w:val="2"/>
                <w:sz w:val="21"/>
                <w:szCs w:val="21"/>
                <w:lang w:eastAsia="zh-CN" w:bidi="ar"/>
              </w:rPr>
            </w:pPr>
            <w:r>
              <w:rPr>
                <w:rFonts w:ascii="Times New Roman Italic" w:hAnsi="Times New Roman Italic" w:cs="Times New Roman Italic"/>
                <w:i/>
                <w:iCs/>
                <w:color w:val="000000"/>
                <w:kern w:val="2"/>
                <w:sz w:val="21"/>
                <w:szCs w:val="21"/>
                <w:lang w:eastAsia="zh-CN" w:bidi="ar"/>
              </w:rPr>
              <w:t>CRY2</w:t>
            </w:r>
          </w:p>
        </w:tc>
        <w:tc>
          <w:tcPr>
            <w:tcW w:w="4162" w:type="dxa"/>
            <w:tcBorders>
              <w:top w:val="nil"/>
              <w:left w:val="nil"/>
              <w:bottom w:val="nil"/>
              <w:right w:val="nil"/>
            </w:tcBorders>
            <w:shd w:val="clear" w:color="auto" w:fill="FFFFFF"/>
            <w:vAlign w:val="center"/>
          </w:tcPr>
          <w:p w14:paraId="3198AE40">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AGGAGAACCACGACGAGA</w:t>
            </w:r>
          </w:p>
        </w:tc>
        <w:tc>
          <w:tcPr>
            <w:tcW w:w="4162" w:type="dxa"/>
            <w:tcBorders>
              <w:top w:val="nil"/>
              <w:left w:val="nil"/>
              <w:bottom w:val="nil"/>
              <w:right w:val="nil"/>
            </w:tcBorders>
            <w:shd w:val="clear" w:color="auto" w:fill="FFFFFF"/>
            <w:vAlign w:val="center"/>
          </w:tcPr>
          <w:p w14:paraId="496190C3">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TCCGCTTCACCTTTTTATAC</w:t>
            </w:r>
          </w:p>
        </w:tc>
      </w:tr>
      <w:tr w14:paraId="2510A72E">
        <w:trPr>
          <w:trHeight w:val="578" w:hRule="atLeast"/>
          <w:jc w:val="center"/>
        </w:trPr>
        <w:tc>
          <w:tcPr>
            <w:tcW w:w="1174" w:type="dxa"/>
            <w:tcBorders>
              <w:top w:val="nil"/>
              <w:left w:val="nil"/>
              <w:bottom w:val="nil"/>
              <w:right w:val="nil"/>
            </w:tcBorders>
            <w:shd w:val="clear" w:color="auto" w:fill="FFFFFF"/>
            <w:vAlign w:val="center"/>
          </w:tcPr>
          <w:p w14:paraId="4B0E7584">
            <w:pPr>
              <w:widowControl w:val="0"/>
              <w:spacing w:line="360" w:lineRule="auto"/>
              <w:ind w:firstLine="155" w:firstLineChars="74"/>
              <w:jc w:val="left"/>
              <w:rPr>
                <w:rFonts w:ascii="Times New Roman Italic" w:hAnsi="Times New Roman Italic" w:eastAsia="Kaiti SC" w:cs="Times New Roman Italic"/>
                <w:i/>
                <w:iCs/>
                <w:color w:val="000000"/>
                <w:kern w:val="2"/>
                <w:sz w:val="21"/>
                <w:szCs w:val="21"/>
                <w:lang w:eastAsia="zh-CN" w:bidi="ar"/>
              </w:rPr>
            </w:pPr>
            <w:r>
              <w:rPr>
                <w:rFonts w:ascii="Times New Roman Italic" w:hAnsi="Times New Roman Italic" w:cs="Times New Roman Italic"/>
                <w:i/>
                <w:iCs/>
                <w:color w:val="000000"/>
                <w:kern w:val="2"/>
                <w:sz w:val="21"/>
                <w:szCs w:val="21"/>
                <w:lang w:eastAsia="zh-CN" w:bidi="ar"/>
              </w:rPr>
              <w:t>DBP</w:t>
            </w:r>
          </w:p>
        </w:tc>
        <w:tc>
          <w:tcPr>
            <w:tcW w:w="4162" w:type="dxa"/>
            <w:tcBorders>
              <w:top w:val="nil"/>
              <w:left w:val="nil"/>
              <w:bottom w:val="nil"/>
              <w:right w:val="nil"/>
            </w:tcBorders>
            <w:shd w:val="clear" w:color="auto" w:fill="FFFFFF"/>
            <w:vAlign w:val="center"/>
          </w:tcPr>
          <w:p w14:paraId="04BF1AA1">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CCACGAGACCTTTGACCCTC</w:t>
            </w:r>
          </w:p>
        </w:tc>
        <w:tc>
          <w:tcPr>
            <w:tcW w:w="4162" w:type="dxa"/>
            <w:tcBorders>
              <w:top w:val="nil"/>
              <w:left w:val="nil"/>
              <w:bottom w:val="nil"/>
              <w:right w:val="nil"/>
            </w:tcBorders>
            <w:shd w:val="clear" w:color="auto" w:fill="FFFFFF"/>
            <w:vAlign w:val="center"/>
          </w:tcPr>
          <w:p w14:paraId="326D4584">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GCCGGCTCCAGTATTTCTCA</w:t>
            </w:r>
          </w:p>
        </w:tc>
      </w:tr>
      <w:tr w14:paraId="5E638D3C">
        <w:trPr>
          <w:trHeight w:val="554" w:hRule="atLeast"/>
          <w:jc w:val="center"/>
        </w:trPr>
        <w:tc>
          <w:tcPr>
            <w:tcW w:w="1174" w:type="dxa"/>
            <w:tcBorders>
              <w:top w:val="nil"/>
              <w:left w:val="nil"/>
              <w:bottom w:val="nil"/>
              <w:right w:val="nil"/>
            </w:tcBorders>
            <w:shd w:val="clear" w:color="auto" w:fill="FFFFFF"/>
            <w:vAlign w:val="center"/>
          </w:tcPr>
          <w:p w14:paraId="0AEA5B78">
            <w:pPr>
              <w:widowControl w:val="0"/>
              <w:spacing w:line="360" w:lineRule="auto"/>
              <w:ind w:firstLine="155" w:firstLineChars="74"/>
              <w:jc w:val="left"/>
              <w:rPr>
                <w:rFonts w:ascii="Times New Roman Italic" w:hAnsi="Times New Roman Italic" w:eastAsia="Kaiti SC" w:cs="Times New Roman Italic"/>
                <w:i/>
                <w:iCs/>
                <w:color w:val="000000"/>
                <w:kern w:val="2"/>
                <w:sz w:val="21"/>
                <w:szCs w:val="21"/>
                <w:lang w:eastAsia="zh-CN" w:bidi="ar"/>
              </w:rPr>
            </w:pPr>
            <w:r>
              <w:rPr>
                <w:rFonts w:ascii="Times New Roman Italic" w:hAnsi="Times New Roman Italic" w:cs="Times New Roman Italic"/>
                <w:i/>
                <w:iCs/>
                <w:color w:val="000000"/>
                <w:kern w:val="2"/>
                <w:sz w:val="21"/>
                <w:szCs w:val="21"/>
                <w:lang w:eastAsia="zh-CN" w:bidi="ar"/>
              </w:rPr>
              <w:t>PER1</w:t>
            </w:r>
          </w:p>
        </w:tc>
        <w:tc>
          <w:tcPr>
            <w:tcW w:w="4162" w:type="dxa"/>
            <w:tcBorders>
              <w:top w:val="nil"/>
              <w:left w:val="nil"/>
              <w:bottom w:val="nil"/>
              <w:right w:val="nil"/>
            </w:tcBorders>
            <w:shd w:val="clear" w:color="auto" w:fill="FFFFFF"/>
            <w:vAlign w:val="center"/>
          </w:tcPr>
          <w:p w14:paraId="5BC3B035">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CTGCTACAGGCACGTTCAAG</w:t>
            </w:r>
          </w:p>
        </w:tc>
        <w:tc>
          <w:tcPr>
            <w:tcW w:w="4162" w:type="dxa"/>
            <w:tcBorders>
              <w:top w:val="nil"/>
              <w:left w:val="nil"/>
              <w:bottom w:val="nil"/>
              <w:right w:val="nil"/>
            </w:tcBorders>
            <w:shd w:val="clear" w:color="auto" w:fill="FFFFFF"/>
            <w:vAlign w:val="center"/>
          </w:tcPr>
          <w:p w14:paraId="7D4BC222">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CTCAGGGACCAAGGCTAGTG</w:t>
            </w:r>
          </w:p>
        </w:tc>
      </w:tr>
      <w:tr w14:paraId="51BA5B81">
        <w:trPr>
          <w:trHeight w:val="616" w:hRule="atLeast"/>
          <w:jc w:val="center"/>
        </w:trPr>
        <w:tc>
          <w:tcPr>
            <w:tcW w:w="1174" w:type="dxa"/>
            <w:tcBorders>
              <w:top w:val="nil"/>
              <w:left w:val="nil"/>
              <w:bottom w:val="single" w:color="000000" w:sz="12" w:space="0"/>
              <w:right w:val="nil"/>
            </w:tcBorders>
            <w:shd w:val="clear" w:color="auto" w:fill="FFFFFF"/>
            <w:vAlign w:val="center"/>
          </w:tcPr>
          <w:p w14:paraId="2C2E0C71">
            <w:pPr>
              <w:widowControl w:val="0"/>
              <w:spacing w:line="360" w:lineRule="auto"/>
              <w:ind w:firstLine="155" w:firstLineChars="74"/>
              <w:jc w:val="left"/>
              <w:rPr>
                <w:rFonts w:ascii="Times New Roman Italic" w:hAnsi="Times New Roman Italic" w:eastAsia="Kaiti SC" w:cs="Times New Roman Italic"/>
                <w:i/>
                <w:iCs/>
                <w:color w:val="000000"/>
                <w:kern w:val="2"/>
                <w:sz w:val="21"/>
                <w:szCs w:val="21"/>
                <w:lang w:eastAsia="zh-CN" w:bidi="ar"/>
              </w:rPr>
            </w:pPr>
            <w:r>
              <w:rPr>
                <w:rFonts w:ascii="Times New Roman Italic" w:hAnsi="Times New Roman Italic" w:cs="Times New Roman Italic"/>
                <w:i/>
                <w:iCs/>
                <w:color w:val="000000"/>
                <w:kern w:val="2"/>
                <w:sz w:val="21"/>
                <w:szCs w:val="21"/>
                <w:lang w:eastAsia="zh-CN" w:bidi="ar"/>
              </w:rPr>
              <w:t>CLOCK</w:t>
            </w:r>
          </w:p>
        </w:tc>
        <w:tc>
          <w:tcPr>
            <w:tcW w:w="4162" w:type="dxa"/>
            <w:tcBorders>
              <w:top w:val="nil"/>
              <w:left w:val="nil"/>
              <w:bottom w:val="single" w:color="000000" w:sz="12" w:space="0"/>
              <w:right w:val="nil"/>
            </w:tcBorders>
            <w:shd w:val="clear" w:color="auto" w:fill="FFFFFF"/>
            <w:vAlign w:val="center"/>
          </w:tcPr>
          <w:p w14:paraId="7DA01620">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CAGCCAGTGATGTCTCAAGC</w:t>
            </w:r>
          </w:p>
        </w:tc>
        <w:tc>
          <w:tcPr>
            <w:tcW w:w="4162" w:type="dxa"/>
            <w:tcBorders>
              <w:top w:val="nil"/>
              <w:left w:val="nil"/>
              <w:bottom w:val="single" w:color="000000" w:sz="12" w:space="0"/>
              <w:right w:val="nil"/>
            </w:tcBorders>
            <w:shd w:val="clear" w:color="auto" w:fill="FFFFFF"/>
            <w:vAlign w:val="center"/>
          </w:tcPr>
          <w:p w14:paraId="017DC9FB">
            <w:pPr>
              <w:widowControl w:val="0"/>
              <w:spacing w:line="360" w:lineRule="auto"/>
              <w:ind w:firstLine="155" w:firstLineChars="74"/>
              <w:jc w:val="center"/>
              <w:rPr>
                <w:rFonts w:eastAsia="Kaiti SC"/>
                <w:color w:val="000000"/>
                <w:kern w:val="2"/>
                <w:sz w:val="21"/>
                <w:szCs w:val="21"/>
                <w:lang w:eastAsia="zh-CN" w:bidi="ar"/>
              </w:rPr>
            </w:pPr>
            <w:r>
              <w:rPr>
                <w:rFonts w:eastAsia="Kaiti SC"/>
                <w:color w:val="000000"/>
                <w:kern w:val="2"/>
                <w:sz w:val="21"/>
                <w:szCs w:val="21"/>
                <w:lang w:eastAsia="zh-CN" w:bidi="ar"/>
              </w:rPr>
              <w:t>ATGCGTGTCCGTTGTTCC</w:t>
            </w:r>
          </w:p>
        </w:tc>
      </w:tr>
    </w:tbl>
    <w:p w14:paraId="75553BFA">
      <w:pPr>
        <w:rPr>
          <w:rFonts w:ascii="Times New Roman Bold" w:hAnsi="Times New Roman Bold" w:cs="Times New Roman Bold"/>
          <w:b/>
          <w:bCs/>
        </w:rPr>
      </w:pPr>
    </w:p>
    <w:p w14:paraId="61EAE280">
      <w:pPr>
        <w:pStyle w:val="22"/>
        <w:rPr>
          <w:rFonts w:ascii="Times New Roman Bold" w:hAnsi="Times New Roman Bold" w:eastAsia="黑体" w:cs="Times New Roman Bold"/>
          <w:sz w:val="28"/>
          <w:szCs w:val="40"/>
          <w:lang w:eastAsia="zh-CN"/>
        </w:rPr>
      </w:pPr>
      <w:r>
        <w:rPr>
          <w:rFonts w:ascii="Times New Roman Bold" w:hAnsi="Times New Roman Bold" w:cs="Times New Roman Bold"/>
          <w:sz w:val="28"/>
          <w:szCs w:val="40"/>
        </w:rPr>
        <w:t>T</w:t>
      </w:r>
      <w:r>
        <w:rPr>
          <w:rFonts w:ascii="Times New Roman Bold" w:hAnsi="Times New Roman Bold" w:cs="Times New Roman Bold"/>
          <w:sz w:val="28"/>
          <w:szCs w:val="40"/>
          <w:lang w:eastAsia="zh-CN"/>
        </w:rPr>
        <w:t>able</w:t>
      </w:r>
      <w:r>
        <w:rPr>
          <w:rFonts w:ascii="Times New Roman Bold" w:hAnsi="Times New Roman Bold" w:cs="Times New Roman Bold"/>
          <w:sz w:val="28"/>
          <w:szCs w:val="40"/>
        </w:rPr>
        <w:t xml:space="preserve"> S2. </w:t>
      </w:r>
      <w:r>
        <w:rPr>
          <w:rFonts w:ascii="Times New Roman Bold" w:hAnsi="Times New Roman Bold" w:cs="Times New Roman Bold"/>
          <w:sz w:val="28"/>
          <w:szCs w:val="40"/>
          <w:lang w:eastAsia="zh-CN"/>
        </w:rPr>
        <w:t>qPCR primer sequences used in this study.</w:t>
      </w:r>
    </w:p>
    <w:p w14:paraId="0B002BEF">
      <w:pPr>
        <w:rPr>
          <w:bCs/>
          <w:sz w:val="28"/>
          <w:szCs w:val="21"/>
        </w:rPr>
      </w:pPr>
    </w:p>
    <w:sectPr>
      <w:headerReference r:id="rId3" w:type="default"/>
      <w:footerReference r:id="rId4" w:type="default"/>
      <w:pgSz w:w="12240" w:h="15840"/>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Kaiti SC">
    <w:panose1 w:val="02010600040101010101"/>
    <w:charset w:val="86"/>
    <w:family w:val="auto"/>
    <w:pitch w:val="default"/>
    <w:sig w:usb0="80000287" w:usb1="280F3C52" w:usb2="00000016" w:usb3="00000000" w:csb0="0004001F" w:csb1="00000000"/>
  </w:font>
  <w:font w:name="Cambria">
    <w:altName w:val="苹方-简"/>
    <w:panose1 w:val="02040503050406030204"/>
    <w:charset w:val="00"/>
    <w:family w:val="roman"/>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Times">
    <w:altName w:val="Times New Roman"/>
    <w:panose1 w:val="020B0604020202020204"/>
    <w:charset w:val="00"/>
    <w:family w:val="roman"/>
    <w:pitch w:val="default"/>
    <w:sig w:usb0="00000000" w:usb1="00000000" w:usb2="00000009" w:usb3="00000000" w:csb0="000001FF" w:csb1="00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swiss"/>
    <w:pitch w:val="default"/>
    <w:sig w:usb0="E1002AFF" w:usb1="C000605B" w:usb2="00000029" w:usb3="00000000" w:csb0="200101FF" w:csb1="20280000"/>
  </w:font>
  <w:font w:name="Times New Roman Bold">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Songti SC">
    <w:panose1 w:val="02010800040101010101"/>
    <w:charset w:val="86"/>
    <w:family w:val="auto"/>
    <w:pitch w:val="default"/>
    <w:sig w:usb0="00000001" w:usb1="080F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9C187">
    <w:pPr>
      <w:pStyle w:val="55"/>
      <w:jc w:val="right"/>
    </w:pPr>
    <w:r>
      <w:fldChar w:fldCharType="begin"/>
    </w:r>
    <w:r>
      <w:instrText xml:space="preserve"> PAGE   \* MERGEFORMAT </w:instrText>
    </w:r>
    <w:r>
      <w:fldChar w:fldCharType="separate"/>
    </w:r>
    <w:r>
      <w:t>3</w:t>
    </w:r>
    <w:r>
      <w:fldChar w:fldCharType="end"/>
    </w:r>
  </w:p>
  <w:p w14:paraId="14223269">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0BF3D">
    <w:pPr>
      <w:jc w:val="right"/>
      <w:rPr>
        <w:sz w:val="20"/>
      </w:rPr>
    </w:pPr>
  </w:p>
  <w:p w14:paraId="19355B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bordersDoNotSurroundHeader w:val="1"/>
  <w:bordersDoNotSurroundFooter w:val="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nforcement="0"/>
  <w:defaultTabStop w:val="720"/>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5F74"/>
    <w:rsid w:val="000373C4"/>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A1BDE"/>
    <w:rsid w:val="001F0876"/>
    <w:rsid w:val="001F167C"/>
    <w:rsid w:val="001F5E91"/>
    <w:rsid w:val="002077B9"/>
    <w:rsid w:val="00262D72"/>
    <w:rsid w:val="00283E98"/>
    <w:rsid w:val="00294FBB"/>
    <w:rsid w:val="002B3205"/>
    <w:rsid w:val="002C030F"/>
    <w:rsid w:val="00331D75"/>
    <w:rsid w:val="00345504"/>
    <w:rsid w:val="00355362"/>
    <w:rsid w:val="00363E44"/>
    <w:rsid w:val="00395E86"/>
    <w:rsid w:val="003A2FD8"/>
    <w:rsid w:val="003B40E6"/>
    <w:rsid w:val="003E74FB"/>
    <w:rsid w:val="003F6E14"/>
    <w:rsid w:val="00405336"/>
    <w:rsid w:val="004571D5"/>
    <w:rsid w:val="00461D81"/>
    <w:rsid w:val="0046356B"/>
    <w:rsid w:val="00477182"/>
    <w:rsid w:val="004779CB"/>
    <w:rsid w:val="004E42D8"/>
    <w:rsid w:val="004E7BA2"/>
    <w:rsid w:val="004F7EDF"/>
    <w:rsid w:val="005001AC"/>
    <w:rsid w:val="00527D71"/>
    <w:rsid w:val="005520A8"/>
    <w:rsid w:val="005607DD"/>
    <w:rsid w:val="005A558C"/>
    <w:rsid w:val="005E28F8"/>
    <w:rsid w:val="005E6513"/>
    <w:rsid w:val="00605897"/>
    <w:rsid w:val="00651114"/>
    <w:rsid w:val="00664560"/>
    <w:rsid w:val="00670299"/>
    <w:rsid w:val="00691985"/>
    <w:rsid w:val="006A1B64"/>
    <w:rsid w:val="007108F5"/>
    <w:rsid w:val="00713E5B"/>
    <w:rsid w:val="007402FC"/>
    <w:rsid w:val="007411A1"/>
    <w:rsid w:val="00793072"/>
    <w:rsid w:val="00807D35"/>
    <w:rsid w:val="008218C4"/>
    <w:rsid w:val="00821F38"/>
    <w:rsid w:val="00867A98"/>
    <w:rsid w:val="00870867"/>
    <w:rsid w:val="00885C9B"/>
    <w:rsid w:val="008D5D2A"/>
    <w:rsid w:val="00914B63"/>
    <w:rsid w:val="009354F3"/>
    <w:rsid w:val="009447DC"/>
    <w:rsid w:val="00961BA5"/>
    <w:rsid w:val="009743A9"/>
    <w:rsid w:val="009A5287"/>
    <w:rsid w:val="009B0677"/>
    <w:rsid w:val="009B2AC5"/>
    <w:rsid w:val="009B7984"/>
    <w:rsid w:val="009F4BED"/>
    <w:rsid w:val="009F7D93"/>
    <w:rsid w:val="00A3403B"/>
    <w:rsid w:val="00A51A12"/>
    <w:rsid w:val="00A627D4"/>
    <w:rsid w:val="00A74DA2"/>
    <w:rsid w:val="00AA6365"/>
    <w:rsid w:val="00AB399E"/>
    <w:rsid w:val="00AC59D0"/>
    <w:rsid w:val="00AD16B1"/>
    <w:rsid w:val="00AD499C"/>
    <w:rsid w:val="00B36869"/>
    <w:rsid w:val="00B43B31"/>
    <w:rsid w:val="00B47CFA"/>
    <w:rsid w:val="00B57F00"/>
    <w:rsid w:val="00B77B2A"/>
    <w:rsid w:val="00B82C22"/>
    <w:rsid w:val="00B93DBA"/>
    <w:rsid w:val="00B9440A"/>
    <w:rsid w:val="00BB2D2A"/>
    <w:rsid w:val="00BC3E04"/>
    <w:rsid w:val="00BD58CF"/>
    <w:rsid w:val="00BF0C92"/>
    <w:rsid w:val="00C04CC1"/>
    <w:rsid w:val="00C4096C"/>
    <w:rsid w:val="00C50C6D"/>
    <w:rsid w:val="00C600D9"/>
    <w:rsid w:val="00C92B22"/>
    <w:rsid w:val="00CB5455"/>
    <w:rsid w:val="00CC1384"/>
    <w:rsid w:val="00CC743F"/>
    <w:rsid w:val="00CD3720"/>
    <w:rsid w:val="00CF1848"/>
    <w:rsid w:val="00CF5C2F"/>
    <w:rsid w:val="00D04BCF"/>
    <w:rsid w:val="00D143D9"/>
    <w:rsid w:val="00D5511B"/>
    <w:rsid w:val="00D766F1"/>
    <w:rsid w:val="00DB79BF"/>
    <w:rsid w:val="00E257C8"/>
    <w:rsid w:val="00E41512"/>
    <w:rsid w:val="00E4519A"/>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F04E3"/>
    <w:rsid w:val="1DEF6818"/>
    <w:rsid w:val="3BFB89A7"/>
    <w:rsid w:val="573D52CE"/>
    <w:rsid w:val="5F39A13B"/>
    <w:rsid w:val="5FB0C5E1"/>
    <w:rsid w:val="5FFBF6FB"/>
    <w:rsid w:val="5FFF4B99"/>
    <w:rsid w:val="673EEF21"/>
    <w:rsid w:val="739F753D"/>
    <w:rsid w:val="79DF1B21"/>
    <w:rsid w:val="97DECC6F"/>
    <w:rsid w:val="97F756B9"/>
    <w:rsid w:val="BF2FCA7C"/>
    <w:rsid w:val="DCBEAF2D"/>
    <w:rsid w:val="DDFFDC5D"/>
    <w:rsid w:val="DFDDBDC5"/>
    <w:rsid w:val="E5CFEB21"/>
    <w:rsid w:val="E5FFDD22"/>
    <w:rsid w:val="EDEE848F"/>
    <w:rsid w:val="F7CF62DE"/>
    <w:rsid w:val="FB2F14C1"/>
    <w:rsid w:val="FCFA61AA"/>
    <w:rsid w:val="FEAF6823"/>
    <w:rsid w:val="FFFF0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name="Normal Indent"/>
    <w:lsdException w:unhideWhenUsed="0" w:uiPriority="0" w:name="footnote text"/>
    <w:lsdException w:unhideWhenUsed="0" w:uiPriority="0" w:name="annotation text"/>
    <w:lsdException w:unhideWhenUsed="0" w:uiPriority="0" w:name="header"/>
    <w:lsdException w:unhideWhenUsed="0" w:uiPriority="0" w:name="footer"/>
    <w:lsdException w:unhideWhenUsed="0" w:uiPriority="0" w:name="index heading"/>
    <w:lsdException w:qFormat="1" w:unhideWhenUsed="0" w:uiPriority="0" w:name="caption"/>
    <w:lsdException w:unhideWhenUsed="0" w:uiPriority="0" w:name="table of figures"/>
    <w:lsdException w:unhideWhenUsed="0" w:uiPriority="0" w:name="envelope address"/>
    <w:lsdException w:unhideWhenUsed="0" w:uiPriority="0" w:name="envelope return"/>
    <w:lsdException w:uiPriority="0" w:name="footnote reference"/>
    <w:lsdException w:uiPriority="0" w:name="annotation reference"/>
    <w:lsdException w:uiPriority="0" w:name="line number"/>
    <w:lsdException w:unhideWhenUsed="0" w:uiPriority="0" w:name="page number"/>
    <w:lsdException w:uiPriority="0" w:name="endnote reference"/>
    <w:lsdException w:unhideWhenUsed="0" w:uiPriority="0" w:name="endnote text"/>
    <w:lsdException w:unhideWhenUsed="0" w:uiPriority="0" w:name="table of authorities"/>
    <w:lsdException w:unhideWhenUsed="0" w:uiPriority="0" w:name="macro"/>
    <w:lsdException w:unhideWhenUsed="0" w:uiPriority="0" w:name="toa heading"/>
    <w:lsdException w:unhideWhenUsed="0" w:uiPriority="0" w:name="List"/>
    <w:lsdException w:unhideWhenUsed="0" w:uiPriority="0" w:name="List Bullet"/>
    <w:lsdException w:unhideWhenUsed="0" w:uiPriority="0" w:name="List Number"/>
    <w:lsdException w:unhideWhenUsed="0" w:uiPriority="0" w:name="List 2"/>
    <w:lsdException w:unhideWhenUsed="0" w:uiPriority="0" w:name="List 3"/>
    <w:lsdException w:unhideWhenUsed="0" w:uiPriority="0" w:name="List 4"/>
    <w:lsdException w:unhideWhenUsed="0" w:uiPriority="0" w:name="List 5"/>
    <w:lsdException w:unhideWhenUsed="0" w:uiPriority="0" w:name="List Bullet 2"/>
    <w:lsdException w:unhideWhenUsed="0" w:uiPriority="0" w:name="List Bullet 3"/>
    <w:lsdException w:unhideWhenUsed="0" w:uiPriority="0" w:name="List Bullet 4"/>
    <w:lsdException w:unhideWhenUsed="0" w:uiPriority="0" w:name="List Bullet 5"/>
    <w:lsdException w:unhideWhenUsed="0" w:uiPriority="0" w:name="List Number 2"/>
    <w:lsdException w:unhideWhenUsed="0" w:uiPriority="0" w:name="List Number 3"/>
    <w:lsdException w:unhideWhenUsed="0" w:uiPriority="0" w:name="List Number 4"/>
    <w:lsdException w:unhideWhenUsed="0" w:uiPriority="0" w:name="List Number 5"/>
    <w:lsdException w:qFormat="1" w:unhideWhenUsed="0" w:uiPriority="0" w:name="Title"/>
    <w:lsdException w:unhideWhenUsed="0" w:uiPriority="0" w:name="Closing"/>
    <w:lsdException w:unhideWhenUsed="0" w:uiPriority="0" w:name="Signature"/>
    <w:lsdException w:uiPriority="1" w:name="Default Paragraph Font"/>
    <w:lsdException w:unhideWhenUsed="0" w:uiPriority="0" w:name="Body Text"/>
    <w:lsdException w:unhideWhenUsed="0" w:uiPriority="0" w:name="Body Text Indent"/>
    <w:lsdException w:unhideWhenUsed="0" w:uiPriority="0" w:name="List Continue"/>
    <w:lsdException w:unhideWhenUsed="0" w:uiPriority="0" w:name="List Continue 2"/>
    <w:lsdException w:unhideWhenUsed="0" w:uiPriority="0" w:name="List Continue 3"/>
    <w:lsdException w:unhideWhenUsed="0" w:uiPriority="0" w:name="List Continue 4"/>
    <w:lsdException w:unhideWhenUsed="0" w:uiPriority="0" w:name="List Continue 5"/>
    <w:lsdException w:unhideWhenUsed="0" w:uiPriority="0" w:name="Message Header"/>
    <w:lsdException w:qFormat="1" w:unhideWhenUsed="0" w:uiPriority="0" w:name="Subtitle"/>
    <w:lsdException w:unhideWhenUsed="0" w:uiPriority="0" w:name="Salutation"/>
    <w:lsdException w:unhideWhenUsed="0" w:uiPriority="0" w:name="Date"/>
    <w:lsdException w:unhideWhenUsed="0" w:uiPriority="0" w:name="Body Text First Indent"/>
    <w:lsdException w:unhideWhenUsed="0" w:uiPriority="0" w:name="Body Text First Indent 2"/>
    <w:lsdException w:unhideWhenUsed="0" w:uiPriority="0" w:name="Note Heading"/>
    <w:lsdException w:unhideWhenUsed="0" w:uiPriority="0" w:name="Body Text 2"/>
    <w:lsdException w:unhideWhenUsed="0" w:uiPriority="0" w:name="Body Text 3"/>
    <w:lsdException w:unhideWhenUsed="0" w:uiPriority="0" w:name="Body Text Indent 2"/>
    <w:lsdException w:unhideWhenUsed="0" w:uiPriority="0" w:name="Body Text Indent 3"/>
    <w:lsdException w:unhideWhenUsed="0" w:uiPriority="0" w:name="Block Text"/>
    <w:lsdException w:unhideWhenUsed="0" w:uiPriority="0" w:name="Hyperlink"/>
    <w:lsdException w:uiPriority="0" w:name="FollowedHyperlink"/>
    <w:lsdException w:qFormat="1" w:unhideWhenUsed="0" w:uiPriority="0" w:name="Strong"/>
    <w:lsdException w:qFormat="1" w:unhideWhenUsed="0" w:uiPriority="0" w:name="Emphasis"/>
    <w:lsdException w:unhideWhenUsed="0" w:uiPriority="0" w:name="Document Map"/>
    <w:lsdException w:unhideWhenUsed="0" w:uiPriority="0" w:name="Plain Text"/>
    <w:lsdException w:unhideWhenUsed="0" w:uiPriority="0" w:name="E-mail Signature"/>
    <w:lsdException w:unhideWhenUsed="0" w:uiPriority="0" w:name="Normal (Web)"/>
    <w:lsdException w:uiPriority="0" w:name="HTML Acronym"/>
    <w:lsdException w:unhideWhenUsed="0" w:uiPriority="0" w:name="HTML Address"/>
    <w:lsdException w:uiPriority="0" w:name="HTML Cite"/>
    <w:lsdException w:uiPriority="0" w:name="HTML Code"/>
    <w:lsdException w:uiPriority="0" w:name="HTML Definition"/>
    <w:lsdException w:uiPriority="0" w:name="HTML Keyboard"/>
    <w:lsdException w:unhideWhenUsed="0" w:uiPriority="0" w:name="HTML Preformatted"/>
    <w:lsdException w:uiPriority="0" w:name="HTML Sample"/>
    <w:lsdException w:uiPriority="0" w:name="HTML Typewriter"/>
    <w:lsdException w:uiPriority="0" w:name="HTML Variable"/>
    <w:lsdException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lang w:val="en-US" w:eastAsia="en-US" w:bidi="ar-SA"/>
    </w:rPr>
  </w:style>
  <w:style w:type="paragraph" w:styleId="3">
    <w:name w:val="heading 1"/>
    <w:basedOn w:val="1"/>
    <w:next w:val="1"/>
    <w:link w:val="95"/>
    <w:semiHidden/>
    <w:qFormat/>
    <w:uiPriority w:val="0"/>
    <w:pPr>
      <w:keepNext/>
      <w:spacing w:before="240" w:after="60"/>
      <w:outlineLvl w:val="0"/>
    </w:pPr>
    <w:rPr>
      <w:b/>
      <w:bCs/>
      <w:kern w:val="32"/>
      <w:szCs w:val="24"/>
    </w:rPr>
  </w:style>
  <w:style w:type="paragraph" w:styleId="4">
    <w:name w:val="heading 2"/>
    <w:basedOn w:val="1"/>
    <w:next w:val="1"/>
    <w:link w:val="96"/>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7"/>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8"/>
    <w:semiHidden/>
    <w:qFormat/>
    <w:uiPriority w:val="0"/>
    <w:pPr>
      <w:spacing w:before="240" w:after="60"/>
      <w:outlineLvl w:val="5"/>
    </w:pPr>
    <w:rPr>
      <w:rFonts w:ascii="Calibri" w:hAnsi="Calibri"/>
      <w:b/>
      <w:bCs/>
      <w:sz w:val="22"/>
      <w:szCs w:val="22"/>
    </w:rPr>
  </w:style>
  <w:style w:type="paragraph" w:styleId="9">
    <w:name w:val="heading 7"/>
    <w:basedOn w:val="1"/>
    <w:next w:val="1"/>
    <w:link w:val="99"/>
    <w:semiHidden/>
    <w:qFormat/>
    <w:uiPriority w:val="0"/>
    <w:pPr>
      <w:spacing w:before="240" w:after="60"/>
      <w:outlineLvl w:val="6"/>
    </w:pPr>
    <w:rPr>
      <w:rFonts w:ascii="Calibri" w:hAnsi="Calibri"/>
      <w:szCs w:val="24"/>
    </w:rPr>
  </w:style>
  <w:style w:type="paragraph" w:styleId="10">
    <w:name w:val="heading 8"/>
    <w:basedOn w:val="1"/>
    <w:next w:val="1"/>
    <w:link w:val="100"/>
    <w:semiHidden/>
    <w:qFormat/>
    <w:uiPriority w:val="0"/>
    <w:pPr>
      <w:spacing w:before="240" w:after="60"/>
      <w:outlineLvl w:val="7"/>
    </w:pPr>
    <w:rPr>
      <w:rFonts w:ascii="Calibri" w:hAnsi="Calibri"/>
      <w:i/>
      <w:iCs/>
      <w:szCs w:val="24"/>
    </w:rPr>
  </w:style>
  <w:style w:type="paragraph" w:styleId="11">
    <w:name w:val="heading 9"/>
    <w:basedOn w:val="1"/>
    <w:next w:val="1"/>
    <w:link w:val="101"/>
    <w:semiHidden/>
    <w:qFormat/>
    <w:uiPriority w:val="0"/>
    <w:pPr>
      <w:spacing w:before="240" w:after="60"/>
      <w:outlineLvl w:val="8"/>
    </w:pPr>
    <w:rPr>
      <w:rFonts w:ascii="Cambria" w:hAnsi="Cambria"/>
      <w:sz w:val="22"/>
      <w:szCs w:val="22"/>
    </w:rPr>
  </w:style>
  <w:style w:type="character" w:default="1" w:styleId="90">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31"/>
    <w:semiHidden/>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eastAsiaTheme="minorEastAsia"/>
      <w:lang w:val="en-US" w:eastAsia="en-US" w:bidi="ar-SA"/>
    </w:rPr>
  </w:style>
  <w:style w:type="paragraph" w:styleId="12">
    <w:name w:val="List 3"/>
    <w:basedOn w:val="1"/>
    <w:semiHidden/>
    <w:uiPriority w:val="0"/>
    <w:pPr>
      <w:ind w:left="1080" w:hanging="360"/>
      <w:contextualSpacing/>
    </w:pPr>
  </w:style>
  <w:style w:type="paragraph" w:styleId="13">
    <w:name w:val="toc 7"/>
    <w:basedOn w:val="1"/>
    <w:next w:val="1"/>
    <w:autoRedefine/>
    <w:semiHidden/>
    <w:uiPriority w:val="0"/>
    <w:pPr>
      <w:ind w:left="1440"/>
    </w:pPr>
  </w:style>
  <w:style w:type="paragraph" w:styleId="14">
    <w:name w:val="List Number 2"/>
    <w:basedOn w:val="1"/>
    <w:semiHidden/>
    <w:uiPriority w:val="0"/>
    <w:pPr>
      <w:numPr>
        <w:ilvl w:val="0"/>
        <w:numId w:val="1"/>
      </w:numPr>
      <w:contextualSpacing/>
    </w:pPr>
  </w:style>
  <w:style w:type="paragraph" w:styleId="15">
    <w:name w:val="table of authorities"/>
    <w:basedOn w:val="1"/>
    <w:next w:val="1"/>
    <w:semiHidden/>
    <w:uiPriority w:val="0"/>
    <w:pPr>
      <w:ind w:left="240" w:hanging="240"/>
    </w:pPr>
  </w:style>
  <w:style w:type="paragraph" w:styleId="16">
    <w:name w:val="Note Heading"/>
    <w:basedOn w:val="1"/>
    <w:next w:val="1"/>
    <w:link w:val="134"/>
    <w:semiHidden/>
    <w:uiPriority w:val="0"/>
  </w:style>
  <w:style w:type="paragraph" w:styleId="17">
    <w:name w:val="List Bullet 4"/>
    <w:basedOn w:val="1"/>
    <w:semiHidden/>
    <w:uiPriority w:val="0"/>
    <w:pPr>
      <w:numPr>
        <w:ilvl w:val="0"/>
        <w:numId w:val="2"/>
      </w:numPr>
      <w:contextualSpacing/>
    </w:pPr>
  </w:style>
  <w:style w:type="paragraph" w:styleId="18">
    <w:name w:val="index 8"/>
    <w:basedOn w:val="1"/>
    <w:next w:val="1"/>
    <w:autoRedefine/>
    <w:semiHidden/>
    <w:uiPriority w:val="0"/>
    <w:pPr>
      <w:ind w:left="1920" w:hanging="240"/>
    </w:pPr>
  </w:style>
  <w:style w:type="paragraph" w:styleId="19">
    <w:name w:val="E-mail Signature"/>
    <w:basedOn w:val="1"/>
    <w:link w:val="121"/>
    <w:semiHidden/>
    <w:uiPriority w:val="0"/>
  </w:style>
  <w:style w:type="paragraph" w:styleId="20">
    <w:name w:val="List Number"/>
    <w:basedOn w:val="1"/>
    <w:semiHidden/>
    <w:uiPriority w:val="0"/>
    <w:pPr>
      <w:numPr>
        <w:ilvl w:val="0"/>
        <w:numId w:val="3"/>
      </w:numPr>
      <w:contextualSpacing/>
    </w:pPr>
  </w:style>
  <w:style w:type="paragraph" w:styleId="21">
    <w:name w:val="Normal Indent"/>
    <w:basedOn w:val="1"/>
    <w:semiHidden/>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autoRedefine/>
    <w:semiHidden/>
    <w:uiPriority w:val="0"/>
    <w:pPr>
      <w:ind w:left="1200" w:hanging="240"/>
    </w:pPr>
  </w:style>
  <w:style w:type="paragraph" w:styleId="24">
    <w:name w:val="List Bullet"/>
    <w:basedOn w:val="1"/>
    <w:semiHidden/>
    <w:uiPriority w:val="0"/>
    <w:pPr>
      <w:numPr>
        <w:ilvl w:val="0"/>
        <w:numId w:val="4"/>
      </w:numPr>
      <w:contextualSpacing/>
    </w:pPr>
  </w:style>
  <w:style w:type="paragraph" w:styleId="25">
    <w:name w:val="envelope address"/>
    <w:basedOn w:val="1"/>
    <w:semiHidden/>
    <w:uiPriority w:val="0"/>
    <w:pPr>
      <w:framePr w:w="7920" w:h="1980" w:hRule="exact" w:hSpace="180" w:wrap="auto" w:vAnchor="margin" w:hAnchor="page" w:xAlign="center" w:yAlign="bottom"/>
      <w:ind w:left="2880"/>
    </w:pPr>
    <w:rPr>
      <w:rFonts w:ascii="Cambria" w:hAnsi="Cambria"/>
      <w:szCs w:val="24"/>
    </w:rPr>
  </w:style>
  <w:style w:type="paragraph" w:styleId="26">
    <w:name w:val="Document Map"/>
    <w:basedOn w:val="1"/>
    <w:link w:val="120"/>
    <w:semiHidden/>
    <w:uiPriority w:val="0"/>
    <w:rPr>
      <w:rFonts w:ascii="Tahoma" w:hAnsi="Tahoma" w:cs="Tahoma"/>
      <w:sz w:val="16"/>
      <w:szCs w:val="16"/>
    </w:rPr>
  </w:style>
  <w:style w:type="paragraph" w:styleId="27">
    <w:name w:val="toa heading"/>
    <w:basedOn w:val="1"/>
    <w:next w:val="1"/>
    <w:semiHidden/>
    <w:uiPriority w:val="0"/>
    <w:pPr>
      <w:spacing w:before="120"/>
    </w:pPr>
    <w:rPr>
      <w:rFonts w:ascii="Cambria" w:hAnsi="Cambria"/>
      <w:b/>
      <w:bCs/>
      <w:szCs w:val="24"/>
    </w:rPr>
  </w:style>
  <w:style w:type="paragraph" w:styleId="28">
    <w:name w:val="annotation text"/>
    <w:basedOn w:val="1"/>
    <w:link w:val="117"/>
    <w:semiHidden/>
    <w:uiPriority w:val="0"/>
    <w:rPr>
      <w:sz w:val="20"/>
    </w:rPr>
  </w:style>
  <w:style w:type="paragraph" w:styleId="29">
    <w:name w:val="index 6"/>
    <w:basedOn w:val="1"/>
    <w:next w:val="1"/>
    <w:autoRedefine/>
    <w:semiHidden/>
    <w:uiPriority w:val="0"/>
    <w:pPr>
      <w:ind w:left="1440" w:hanging="240"/>
    </w:pPr>
  </w:style>
  <w:style w:type="paragraph" w:styleId="30">
    <w:name w:val="Salutation"/>
    <w:basedOn w:val="1"/>
    <w:next w:val="1"/>
    <w:link w:val="138"/>
    <w:semiHidden/>
    <w:uiPriority w:val="0"/>
  </w:style>
  <w:style w:type="paragraph" w:styleId="31">
    <w:name w:val="Body Text 3"/>
    <w:basedOn w:val="1"/>
    <w:link w:val="110"/>
    <w:semiHidden/>
    <w:uiPriority w:val="0"/>
    <w:pPr>
      <w:spacing w:after="120"/>
    </w:pPr>
    <w:rPr>
      <w:sz w:val="16"/>
      <w:szCs w:val="16"/>
    </w:rPr>
  </w:style>
  <w:style w:type="paragraph" w:styleId="32">
    <w:name w:val="Closing"/>
    <w:basedOn w:val="1"/>
    <w:link w:val="116"/>
    <w:semiHidden/>
    <w:uiPriority w:val="0"/>
    <w:pPr>
      <w:ind w:left="4320"/>
    </w:pPr>
  </w:style>
  <w:style w:type="paragraph" w:styleId="33">
    <w:name w:val="List Bullet 3"/>
    <w:basedOn w:val="1"/>
    <w:semiHidden/>
    <w:uiPriority w:val="0"/>
    <w:pPr>
      <w:numPr>
        <w:ilvl w:val="0"/>
        <w:numId w:val="5"/>
      </w:numPr>
      <w:contextualSpacing/>
    </w:pPr>
  </w:style>
  <w:style w:type="paragraph" w:styleId="34">
    <w:name w:val="Body Text"/>
    <w:basedOn w:val="1"/>
    <w:link w:val="108"/>
    <w:semiHidden/>
    <w:uiPriority w:val="0"/>
    <w:pPr>
      <w:spacing w:after="120"/>
    </w:pPr>
  </w:style>
  <w:style w:type="paragraph" w:styleId="35">
    <w:name w:val="Body Text Indent"/>
    <w:basedOn w:val="1"/>
    <w:link w:val="112"/>
    <w:semiHidden/>
    <w:uiPriority w:val="0"/>
    <w:pPr>
      <w:spacing w:after="120"/>
      <w:ind w:left="360"/>
    </w:pPr>
  </w:style>
  <w:style w:type="paragraph" w:styleId="36">
    <w:name w:val="List Number 3"/>
    <w:basedOn w:val="1"/>
    <w:semiHidden/>
    <w:uiPriority w:val="0"/>
    <w:pPr>
      <w:numPr>
        <w:ilvl w:val="0"/>
        <w:numId w:val="6"/>
      </w:numPr>
      <w:contextualSpacing/>
    </w:pPr>
  </w:style>
  <w:style w:type="paragraph" w:styleId="37">
    <w:name w:val="List 2"/>
    <w:basedOn w:val="1"/>
    <w:semiHidden/>
    <w:uiPriority w:val="0"/>
    <w:pPr>
      <w:ind w:left="720" w:hanging="360"/>
      <w:contextualSpacing/>
    </w:pPr>
  </w:style>
  <w:style w:type="paragraph" w:styleId="38">
    <w:name w:val="List Continue"/>
    <w:basedOn w:val="1"/>
    <w:semiHidden/>
    <w:uiPriority w:val="0"/>
    <w:pPr>
      <w:spacing w:after="120"/>
      <w:ind w:left="360"/>
      <w:contextualSpacing/>
    </w:pPr>
  </w:style>
  <w:style w:type="paragraph" w:styleId="39">
    <w:name w:val="Block Text"/>
    <w:basedOn w:val="1"/>
    <w:semiHidden/>
    <w:uiPriority w:val="0"/>
    <w:pPr>
      <w:spacing w:after="120"/>
      <w:ind w:left="1440" w:right="1440"/>
    </w:pPr>
  </w:style>
  <w:style w:type="paragraph" w:styleId="40">
    <w:name w:val="List Bullet 2"/>
    <w:basedOn w:val="1"/>
    <w:semiHidden/>
    <w:uiPriority w:val="0"/>
    <w:pPr>
      <w:numPr>
        <w:ilvl w:val="0"/>
        <w:numId w:val="7"/>
      </w:numPr>
      <w:contextualSpacing/>
    </w:pPr>
  </w:style>
  <w:style w:type="paragraph" w:styleId="41">
    <w:name w:val="HTML Address"/>
    <w:basedOn w:val="1"/>
    <w:link w:val="126"/>
    <w:semiHidden/>
    <w:uiPriority w:val="0"/>
    <w:rPr>
      <w:i/>
      <w:iCs/>
    </w:rPr>
  </w:style>
  <w:style w:type="paragraph" w:styleId="42">
    <w:name w:val="index 4"/>
    <w:basedOn w:val="1"/>
    <w:next w:val="1"/>
    <w:autoRedefine/>
    <w:semiHidden/>
    <w:uiPriority w:val="0"/>
    <w:pPr>
      <w:ind w:left="960" w:hanging="240"/>
    </w:pPr>
  </w:style>
  <w:style w:type="paragraph" w:styleId="43">
    <w:name w:val="toc 5"/>
    <w:basedOn w:val="1"/>
    <w:next w:val="1"/>
    <w:autoRedefine/>
    <w:semiHidden/>
    <w:uiPriority w:val="0"/>
    <w:pPr>
      <w:ind w:left="960"/>
    </w:pPr>
  </w:style>
  <w:style w:type="paragraph" w:styleId="44">
    <w:name w:val="toc 3"/>
    <w:basedOn w:val="1"/>
    <w:next w:val="1"/>
    <w:autoRedefine/>
    <w:semiHidden/>
    <w:uiPriority w:val="0"/>
    <w:pPr>
      <w:ind w:left="480"/>
    </w:pPr>
  </w:style>
  <w:style w:type="paragraph" w:styleId="45">
    <w:name w:val="Plain Text"/>
    <w:basedOn w:val="1"/>
    <w:link w:val="135"/>
    <w:semiHidden/>
    <w:uiPriority w:val="0"/>
    <w:rPr>
      <w:rFonts w:ascii="Courier New" w:hAnsi="Courier New" w:cs="Courier New"/>
      <w:sz w:val="20"/>
    </w:rPr>
  </w:style>
  <w:style w:type="paragraph" w:styleId="46">
    <w:name w:val="List Bullet 5"/>
    <w:basedOn w:val="1"/>
    <w:semiHidden/>
    <w:uiPriority w:val="0"/>
    <w:pPr>
      <w:numPr>
        <w:ilvl w:val="0"/>
        <w:numId w:val="8"/>
      </w:numPr>
      <w:contextualSpacing/>
    </w:pPr>
  </w:style>
  <w:style w:type="paragraph" w:styleId="47">
    <w:name w:val="List Number 4"/>
    <w:basedOn w:val="1"/>
    <w:semiHidden/>
    <w:uiPriority w:val="0"/>
    <w:pPr>
      <w:numPr>
        <w:ilvl w:val="0"/>
        <w:numId w:val="9"/>
      </w:numPr>
      <w:contextualSpacing/>
    </w:pPr>
  </w:style>
  <w:style w:type="paragraph" w:styleId="48">
    <w:name w:val="toc 8"/>
    <w:basedOn w:val="1"/>
    <w:next w:val="1"/>
    <w:autoRedefine/>
    <w:semiHidden/>
    <w:uiPriority w:val="0"/>
    <w:pPr>
      <w:ind w:left="1680"/>
    </w:pPr>
  </w:style>
  <w:style w:type="paragraph" w:styleId="49">
    <w:name w:val="index 3"/>
    <w:basedOn w:val="1"/>
    <w:next w:val="1"/>
    <w:autoRedefine/>
    <w:semiHidden/>
    <w:uiPriority w:val="0"/>
    <w:pPr>
      <w:ind w:left="720" w:hanging="240"/>
    </w:pPr>
  </w:style>
  <w:style w:type="paragraph" w:styleId="50">
    <w:name w:val="Date"/>
    <w:basedOn w:val="1"/>
    <w:next w:val="1"/>
    <w:link w:val="119"/>
    <w:semiHidden/>
    <w:uiPriority w:val="0"/>
  </w:style>
  <w:style w:type="paragraph" w:styleId="51">
    <w:name w:val="Body Text Indent 2"/>
    <w:basedOn w:val="1"/>
    <w:link w:val="114"/>
    <w:semiHidden/>
    <w:uiPriority w:val="0"/>
    <w:pPr>
      <w:spacing w:after="120" w:line="480" w:lineRule="auto"/>
      <w:ind w:left="360"/>
    </w:pPr>
  </w:style>
  <w:style w:type="paragraph" w:styleId="52">
    <w:name w:val="endnote text"/>
    <w:basedOn w:val="1"/>
    <w:link w:val="122"/>
    <w:semiHidden/>
    <w:uiPriority w:val="0"/>
    <w:rPr>
      <w:sz w:val="20"/>
    </w:rPr>
  </w:style>
  <w:style w:type="paragraph" w:styleId="53">
    <w:name w:val="List Continue 5"/>
    <w:basedOn w:val="1"/>
    <w:semiHidden/>
    <w:uiPriority w:val="0"/>
    <w:pPr>
      <w:spacing w:after="120"/>
      <w:ind w:left="1800"/>
      <w:contextualSpacing/>
    </w:pPr>
  </w:style>
  <w:style w:type="paragraph" w:styleId="54">
    <w:name w:val="Balloon Text"/>
    <w:basedOn w:val="1"/>
    <w:link w:val="106"/>
    <w:semiHidden/>
    <w:uiPriority w:val="0"/>
    <w:rPr>
      <w:rFonts w:ascii="Tahoma" w:hAnsi="Tahoma" w:cs="Tahoma"/>
      <w:sz w:val="16"/>
      <w:szCs w:val="16"/>
    </w:rPr>
  </w:style>
  <w:style w:type="paragraph" w:styleId="55">
    <w:name w:val="footer"/>
    <w:basedOn w:val="1"/>
    <w:link w:val="123"/>
    <w:semiHidden/>
    <w:uiPriority w:val="0"/>
    <w:pPr>
      <w:tabs>
        <w:tab w:val="center" w:pos="4680"/>
        <w:tab w:val="right" w:pos="9360"/>
      </w:tabs>
    </w:pPr>
  </w:style>
  <w:style w:type="paragraph" w:styleId="56">
    <w:name w:val="envelope return"/>
    <w:basedOn w:val="1"/>
    <w:semiHidden/>
    <w:uiPriority w:val="0"/>
    <w:rPr>
      <w:rFonts w:ascii="Cambria" w:hAnsi="Cambria"/>
      <w:sz w:val="20"/>
    </w:rPr>
  </w:style>
  <w:style w:type="paragraph" w:styleId="57">
    <w:name w:val="header"/>
    <w:basedOn w:val="1"/>
    <w:link w:val="125"/>
    <w:semiHidden/>
    <w:uiPriority w:val="0"/>
    <w:pPr>
      <w:tabs>
        <w:tab w:val="center" w:pos="4680"/>
        <w:tab w:val="right" w:pos="9360"/>
      </w:tabs>
    </w:pPr>
  </w:style>
  <w:style w:type="paragraph" w:styleId="58">
    <w:name w:val="Signature"/>
    <w:basedOn w:val="1"/>
    <w:link w:val="139"/>
    <w:semiHidden/>
    <w:uiPriority w:val="0"/>
    <w:pPr>
      <w:ind w:left="4320"/>
    </w:pPr>
  </w:style>
  <w:style w:type="paragraph" w:styleId="59">
    <w:name w:val="toc 1"/>
    <w:basedOn w:val="1"/>
    <w:next w:val="1"/>
    <w:autoRedefine/>
    <w:semiHidden/>
    <w:uiPriority w:val="0"/>
  </w:style>
  <w:style w:type="paragraph" w:styleId="60">
    <w:name w:val="List Continue 4"/>
    <w:basedOn w:val="1"/>
    <w:semiHidden/>
    <w:uiPriority w:val="0"/>
    <w:pPr>
      <w:spacing w:after="120"/>
      <w:ind w:left="1440"/>
      <w:contextualSpacing/>
    </w:pPr>
  </w:style>
  <w:style w:type="paragraph" w:styleId="61">
    <w:name w:val="toc 4"/>
    <w:basedOn w:val="1"/>
    <w:next w:val="1"/>
    <w:autoRedefine/>
    <w:semiHidden/>
    <w:uiPriority w:val="0"/>
    <w:pPr>
      <w:ind w:left="720"/>
    </w:pPr>
  </w:style>
  <w:style w:type="paragraph" w:styleId="62">
    <w:name w:val="index heading"/>
    <w:basedOn w:val="1"/>
    <w:next w:val="63"/>
    <w:semiHidden/>
    <w:uiPriority w:val="0"/>
    <w:rPr>
      <w:rFonts w:ascii="Cambria" w:hAnsi="Cambria"/>
      <w:b/>
      <w:bCs/>
    </w:rPr>
  </w:style>
  <w:style w:type="paragraph" w:styleId="63">
    <w:name w:val="index 1"/>
    <w:basedOn w:val="1"/>
    <w:next w:val="1"/>
    <w:autoRedefine/>
    <w:semiHidden/>
    <w:uiPriority w:val="0"/>
    <w:pPr>
      <w:ind w:left="240" w:hanging="240"/>
    </w:pPr>
  </w:style>
  <w:style w:type="paragraph" w:styleId="64">
    <w:name w:val="Subtitle"/>
    <w:basedOn w:val="1"/>
    <w:next w:val="1"/>
    <w:link w:val="140"/>
    <w:semiHidden/>
    <w:qFormat/>
    <w:uiPriority w:val="0"/>
    <w:pPr>
      <w:spacing w:after="60"/>
      <w:jc w:val="center"/>
      <w:outlineLvl w:val="1"/>
    </w:pPr>
    <w:rPr>
      <w:rFonts w:ascii="Cambria" w:hAnsi="Cambria"/>
      <w:szCs w:val="24"/>
    </w:rPr>
  </w:style>
  <w:style w:type="paragraph" w:styleId="65">
    <w:name w:val="List Number 5"/>
    <w:basedOn w:val="1"/>
    <w:semiHidden/>
    <w:uiPriority w:val="0"/>
    <w:pPr>
      <w:numPr>
        <w:ilvl w:val="0"/>
        <w:numId w:val="10"/>
      </w:numPr>
      <w:contextualSpacing/>
    </w:pPr>
  </w:style>
  <w:style w:type="paragraph" w:styleId="66">
    <w:name w:val="List"/>
    <w:basedOn w:val="1"/>
    <w:semiHidden/>
    <w:uiPriority w:val="0"/>
    <w:pPr>
      <w:ind w:left="360" w:hanging="360"/>
      <w:contextualSpacing/>
    </w:pPr>
  </w:style>
  <w:style w:type="paragraph" w:styleId="67">
    <w:name w:val="footnote text"/>
    <w:basedOn w:val="1"/>
    <w:link w:val="124"/>
    <w:semiHidden/>
    <w:uiPriority w:val="0"/>
    <w:rPr>
      <w:sz w:val="20"/>
    </w:rPr>
  </w:style>
  <w:style w:type="paragraph" w:styleId="68">
    <w:name w:val="toc 6"/>
    <w:basedOn w:val="1"/>
    <w:next w:val="1"/>
    <w:autoRedefine/>
    <w:semiHidden/>
    <w:uiPriority w:val="0"/>
    <w:pPr>
      <w:ind w:left="1200"/>
    </w:pPr>
  </w:style>
  <w:style w:type="paragraph" w:styleId="69">
    <w:name w:val="List 5"/>
    <w:basedOn w:val="1"/>
    <w:semiHidden/>
    <w:uiPriority w:val="0"/>
    <w:pPr>
      <w:ind w:left="1800" w:hanging="360"/>
      <w:contextualSpacing/>
    </w:pPr>
  </w:style>
  <w:style w:type="paragraph" w:styleId="70">
    <w:name w:val="Body Text Indent 3"/>
    <w:basedOn w:val="1"/>
    <w:link w:val="115"/>
    <w:semiHidden/>
    <w:uiPriority w:val="0"/>
    <w:pPr>
      <w:spacing w:after="120"/>
      <w:ind w:left="360"/>
    </w:pPr>
    <w:rPr>
      <w:sz w:val="16"/>
      <w:szCs w:val="16"/>
    </w:rPr>
  </w:style>
  <w:style w:type="paragraph" w:styleId="71">
    <w:name w:val="index 7"/>
    <w:basedOn w:val="1"/>
    <w:next w:val="1"/>
    <w:autoRedefine/>
    <w:semiHidden/>
    <w:uiPriority w:val="0"/>
    <w:pPr>
      <w:ind w:left="1680" w:hanging="240"/>
    </w:pPr>
  </w:style>
  <w:style w:type="paragraph" w:styleId="72">
    <w:name w:val="index 9"/>
    <w:basedOn w:val="1"/>
    <w:next w:val="1"/>
    <w:autoRedefine/>
    <w:semiHidden/>
    <w:uiPriority w:val="0"/>
    <w:pPr>
      <w:ind w:left="2160" w:hanging="240"/>
    </w:pPr>
  </w:style>
  <w:style w:type="paragraph" w:styleId="73">
    <w:name w:val="table of figures"/>
    <w:basedOn w:val="1"/>
    <w:next w:val="1"/>
    <w:semiHidden/>
    <w:uiPriority w:val="0"/>
  </w:style>
  <w:style w:type="paragraph" w:styleId="74">
    <w:name w:val="toc 2"/>
    <w:basedOn w:val="1"/>
    <w:next w:val="1"/>
    <w:autoRedefine/>
    <w:semiHidden/>
    <w:uiPriority w:val="0"/>
    <w:pPr>
      <w:ind w:left="240"/>
    </w:pPr>
  </w:style>
  <w:style w:type="paragraph" w:styleId="75">
    <w:name w:val="toc 9"/>
    <w:basedOn w:val="1"/>
    <w:next w:val="1"/>
    <w:autoRedefine/>
    <w:semiHidden/>
    <w:uiPriority w:val="0"/>
    <w:pPr>
      <w:ind w:left="1920"/>
    </w:pPr>
  </w:style>
  <w:style w:type="paragraph" w:styleId="76">
    <w:name w:val="Body Text 2"/>
    <w:basedOn w:val="1"/>
    <w:link w:val="109"/>
    <w:semiHidden/>
    <w:uiPriority w:val="0"/>
    <w:pPr>
      <w:spacing w:after="120" w:line="480" w:lineRule="auto"/>
    </w:pPr>
  </w:style>
  <w:style w:type="paragraph" w:styleId="77">
    <w:name w:val="List 4"/>
    <w:basedOn w:val="1"/>
    <w:semiHidden/>
    <w:uiPriority w:val="0"/>
    <w:pPr>
      <w:ind w:left="1440" w:hanging="360"/>
      <w:contextualSpacing/>
    </w:pPr>
  </w:style>
  <w:style w:type="paragraph" w:styleId="78">
    <w:name w:val="List Continue 2"/>
    <w:basedOn w:val="1"/>
    <w:semiHidden/>
    <w:uiPriority w:val="0"/>
    <w:pPr>
      <w:spacing w:after="120"/>
      <w:ind w:left="720"/>
      <w:contextualSpacing/>
    </w:pPr>
  </w:style>
  <w:style w:type="paragraph" w:styleId="79">
    <w:name w:val="Message Header"/>
    <w:basedOn w:val="1"/>
    <w:link w:val="132"/>
    <w:semiHidden/>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Cs w:val="24"/>
    </w:rPr>
  </w:style>
  <w:style w:type="paragraph" w:styleId="80">
    <w:name w:val="HTML Preformatted"/>
    <w:basedOn w:val="1"/>
    <w:link w:val="127"/>
    <w:semiHidden/>
    <w:uiPriority w:val="0"/>
    <w:rPr>
      <w:rFonts w:ascii="Courier New" w:hAnsi="Courier New" w:cs="Courier New"/>
      <w:sz w:val="20"/>
    </w:rPr>
  </w:style>
  <w:style w:type="paragraph" w:styleId="81">
    <w:name w:val="Normal (Web)"/>
    <w:basedOn w:val="1"/>
    <w:semiHidden/>
    <w:uiPriority w:val="0"/>
    <w:rPr>
      <w:szCs w:val="24"/>
    </w:rPr>
  </w:style>
  <w:style w:type="paragraph" w:styleId="82">
    <w:name w:val="List Continue 3"/>
    <w:basedOn w:val="1"/>
    <w:semiHidden/>
    <w:uiPriority w:val="0"/>
    <w:pPr>
      <w:spacing w:after="120"/>
      <w:ind w:left="1080"/>
      <w:contextualSpacing/>
    </w:pPr>
  </w:style>
  <w:style w:type="paragraph" w:styleId="83">
    <w:name w:val="index 2"/>
    <w:basedOn w:val="1"/>
    <w:next w:val="1"/>
    <w:autoRedefine/>
    <w:semiHidden/>
    <w:uiPriority w:val="0"/>
    <w:pPr>
      <w:ind w:left="480" w:hanging="240"/>
    </w:pPr>
  </w:style>
  <w:style w:type="paragraph" w:styleId="84">
    <w:name w:val="Title"/>
    <w:basedOn w:val="1"/>
    <w:next w:val="1"/>
    <w:link w:val="141"/>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8"/>
    <w:semiHidden/>
    <w:uiPriority w:val="0"/>
    <w:rPr>
      <w:b/>
      <w:bCs/>
    </w:rPr>
  </w:style>
  <w:style w:type="paragraph" w:styleId="86">
    <w:name w:val="Body Text First Indent"/>
    <w:basedOn w:val="34"/>
    <w:link w:val="111"/>
    <w:semiHidden/>
    <w:uiPriority w:val="0"/>
    <w:pPr>
      <w:ind w:firstLine="210"/>
    </w:pPr>
  </w:style>
  <w:style w:type="paragraph" w:styleId="87">
    <w:name w:val="Body Text First Indent 2"/>
    <w:basedOn w:val="35"/>
    <w:link w:val="113"/>
    <w:semiHidden/>
    <w:uiPriority w:val="0"/>
    <w:pPr>
      <w:ind w:firstLine="210"/>
    </w:pPr>
  </w:style>
  <w:style w:type="table" w:styleId="89">
    <w:name w:val="Table Grid"/>
    <w:basedOn w:val="8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page number"/>
    <w:basedOn w:val="90"/>
    <w:semiHidden/>
    <w:uiPriority w:val="0"/>
  </w:style>
  <w:style w:type="character" w:styleId="92">
    <w:name w:val="FollowedHyperlink"/>
    <w:semiHidden/>
    <w:unhideWhenUsed/>
    <w:uiPriority w:val="0"/>
    <w:rPr>
      <w:color w:val="800080"/>
      <w:u w:val="single"/>
    </w:rPr>
  </w:style>
  <w:style w:type="character" w:styleId="93">
    <w:name w:val="Hyperlink"/>
    <w:semiHidden/>
    <w:uiPriority w:val="0"/>
    <w:rPr>
      <w:color w:val="0000FF"/>
      <w:u w:val="single"/>
    </w:rPr>
  </w:style>
  <w:style w:type="character" w:styleId="94">
    <w:name w:val="annotation reference"/>
    <w:semiHidden/>
    <w:unhideWhenUsed/>
    <w:uiPriority w:val="0"/>
    <w:rPr>
      <w:sz w:val="16"/>
      <w:szCs w:val="16"/>
    </w:rPr>
  </w:style>
  <w:style w:type="character" w:customStyle="1" w:styleId="95">
    <w:name w:val="标题 1 字符"/>
    <w:link w:val="3"/>
    <w:semiHidden/>
    <w:uiPriority w:val="0"/>
    <w:rPr>
      <w:b/>
      <w:bCs/>
      <w:kern w:val="32"/>
      <w:sz w:val="24"/>
      <w:szCs w:val="24"/>
    </w:rPr>
  </w:style>
  <w:style w:type="character" w:customStyle="1" w:styleId="96">
    <w:name w:val="标题 2 字符"/>
    <w:link w:val="4"/>
    <w:semiHidden/>
    <w:uiPriority w:val="0"/>
    <w:rPr>
      <w:rFonts w:ascii="Cambria" w:hAnsi="Cambria"/>
      <w:b/>
      <w:bCs/>
      <w:i/>
      <w:iCs/>
      <w:sz w:val="28"/>
      <w:szCs w:val="28"/>
    </w:rPr>
  </w:style>
  <w:style w:type="character" w:customStyle="1" w:styleId="97">
    <w:name w:val="标题 5 字符"/>
    <w:link w:val="7"/>
    <w:semiHidden/>
    <w:uiPriority w:val="0"/>
    <w:rPr>
      <w:rFonts w:ascii="Calibri" w:hAnsi="Calibri"/>
      <w:b/>
      <w:bCs/>
      <w:i/>
      <w:iCs/>
      <w:sz w:val="26"/>
      <w:szCs w:val="26"/>
    </w:rPr>
  </w:style>
  <w:style w:type="character" w:customStyle="1" w:styleId="98">
    <w:name w:val="标题 6 字符"/>
    <w:link w:val="8"/>
    <w:semiHidden/>
    <w:uiPriority w:val="0"/>
    <w:rPr>
      <w:rFonts w:ascii="Calibri" w:hAnsi="Calibri"/>
      <w:b/>
      <w:bCs/>
      <w:sz w:val="22"/>
      <w:szCs w:val="22"/>
    </w:rPr>
  </w:style>
  <w:style w:type="character" w:customStyle="1" w:styleId="99">
    <w:name w:val="标题 7 字符"/>
    <w:link w:val="9"/>
    <w:semiHidden/>
    <w:uiPriority w:val="0"/>
    <w:rPr>
      <w:rFonts w:ascii="Calibri" w:hAnsi="Calibri"/>
      <w:sz w:val="24"/>
      <w:szCs w:val="24"/>
    </w:rPr>
  </w:style>
  <w:style w:type="character" w:customStyle="1" w:styleId="100">
    <w:name w:val="标题 8 字符"/>
    <w:link w:val="10"/>
    <w:semiHidden/>
    <w:uiPriority w:val="0"/>
    <w:rPr>
      <w:rFonts w:ascii="Calibri" w:hAnsi="Calibri"/>
      <w:i/>
      <w:iCs/>
      <w:sz w:val="24"/>
      <w:szCs w:val="24"/>
    </w:rPr>
  </w:style>
  <w:style w:type="character" w:customStyle="1" w:styleId="101">
    <w:name w:val="标题 9 字符"/>
    <w:link w:val="11"/>
    <w:semiHidden/>
    <w:uiPriority w:val="0"/>
    <w:rPr>
      <w:rFonts w:ascii="Cambria" w:hAnsi="Cambria"/>
      <w:sz w:val="22"/>
      <w:szCs w:val="22"/>
    </w:rPr>
  </w:style>
  <w:style w:type="paragraph" w:customStyle="1" w:styleId="102">
    <w:name w:val="SM Heading"/>
    <w:basedOn w:val="3"/>
    <w:qFormat/>
    <w:uiPriority w:val="0"/>
  </w:style>
  <w:style w:type="paragraph" w:customStyle="1" w:styleId="103">
    <w:name w:val="SM Subheading"/>
    <w:basedOn w:val="1"/>
    <w:qFormat/>
    <w:uiPriority w:val="0"/>
    <w:rPr>
      <w:u w:val="words"/>
    </w:rPr>
  </w:style>
  <w:style w:type="paragraph" w:customStyle="1" w:styleId="104">
    <w:name w:val="SM Text"/>
    <w:basedOn w:val="1"/>
    <w:qFormat/>
    <w:uiPriority w:val="0"/>
    <w:pPr>
      <w:ind w:firstLine="480"/>
    </w:pPr>
  </w:style>
  <w:style w:type="paragraph" w:customStyle="1" w:styleId="105">
    <w:name w:val="SM caption"/>
    <w:basedOn w:val="104"/>
    <w:qFormat/>
    <w:uiPriority w:val="0"/>
    <w:pPr>
      <w:ind w:firstLine="0"/>
    </w:pPr>
  </w:style>
  <w:style w:type="character" w:customStyle="1" w:styleId="106">
    <w:name w:val="批注框文本 字符"/>
    <w:link w:val="54"/>
    <w:semiHidden/>
    <w:uiPriority w:val="0"/>
    <w:rPr>
      <w:rFonts w:ascii="Tahoma" w:hAnsi="Tahoma" w:cs="Tahoma"/>
      <w:sz w:val="16"/>
      <w:szCs w:val="16"/>
    </w:rPr>
  </w:style>
  <w:style w:type="paragraph" w:customStyle="1" w:styleId="107">
    <w:name w:val="书目1"/>
    <w:basedOn w:val="1"/>
    <w:next w:val="1"/>
    <w:semiHidden/>
    <w:uiPriority w:val="37"/>
  </w:style>
  <w:style w:type="character" w:customStyle="1" w:styleId="108">
    <w:name w:val="正文文本 字符"/>
    <w:link w:val="34"/>
    <w:semiHidden/>
    <w:uiPriority w:val="0"/>
    <w:rPr>
      <w:sz w:val="24"/>
    </w:rPr>
  </w:style>
  <w:style w:type="character" w:customStyle="1" w:styleId="109">
    <w:name w:val="正文文本 2 字符"/>
    <w:link w:val="76"/>
    <w:semiHidden/>
    <w:uiPriority w:val="0"/>
    <w:rPr>
      <w:sz w:val="24"/>
    </w:rPr>
  </w:style>
  <w:style w:type="character" w:customStyle="1" w:styleId="110">
    <w:name w:val="正文文本 3 字符"/>
    <w:link w:val="31"/>
    <w:semiHidden/>
    <w:uiPriority w:val="0"/>
    <w:rPr>
      <w:sz w:val="16"/>
      <w:szCs w:val="16"/>
    </w:rPr>
  </w:style>
  <w:style w:type="character" w:customStyle="1" w:styleId="111">
    <w:name w:val="正文文本首行缩进 字符"/>
    <w:link w:val="86"/>
    <w:semiHidden/>
    <w:uiPriority w:val="0"/>
    <w:rPr>
      <w:sz w:val="24"/>
    </w:rPr>
  </w:style>
  <w:style w:type="character" w:customStyle="1" w:styleId="112">
    <w:name w:val="正文文本缩进 字符"/>
    <w:link w:val="35"/>
    <w:semiHidden/>
    <w:uiPriority w:val="0"/>
    <w:rPr>
      <w:sz w:val="24"/>
    </w:rPr>
  </w:style>
  <w:style w:type="character" w:customStyle="1" w:styleId="113">
    <w:name w:val="正文文本首行缩进 2 字符"/>
    <w:link w:val="87"/>
    <w:semiHidden/>
    <w:uiPriority w:val="0"/>
    <w:rPr>
      <w:sz w:val="24"/>
    </w:rPr>
  </w:style>
  <w:style w:type="character" w:customStyle="1" w:styleId="114">
    <w:name w:val="正文文本缩进 2 字符"/>
    <w:link w:val="51"/>
    <w:semiHidden/>
    <w:uiPriority w:val="0"/>
    <w:rPr>
      <w:sz w:val="24"/>
    </w:rPr>
  </w:style>
  <w:style w:type="character" w:customStyle="1" w:styleId="115">
    <w:name w:val="正文文本缩进 3 字符"/>
    <w:link w:val="70"/>
    <w:semiHidden/>
    <w:uiPriority w:val="0"/>
    <w:rPr>
      <w:sz w:val="16"/>
      <w:szCs w:val="16"/>
    </w:rPr>
  </w:style>
  <w:style w:type="character" w:customStyle="1" w:styleId="116">
    <w:name w:val="结束语 字符"/>
    <w:link w:val="32"/>
    <w:semiHidden/>
    <w:uiPriority w:val="0"/>
    <w:rPr>
      <w:sz w:val="24"/>
    </w:rPr>
  </w:style>
  <w:style w:type="character" w:customStyle="1" w:styleId="117">
    <w:name w:val="批注文字 字符"/>
    <w:basedOn w:val="90"/>
    <w:link w:val="28"/>
    <w:semiHidden/>
    <w:uiPriority w:val="0"/>
  </w:style>
  <w:style w:type="character" w:customStyle="1" w:styleId="118">
    <w:name w:val="批注主题 字符"/>
    <w:link w:val="85"/>
    <w:semiHidden/>
    <w:uiPriority w:val="0"/>
    <w:rPr>
      <w:b/>
      <w:bCs/>
    </w:rPr>
  </w:style>
  <w:style w:type="character" w:customStyle="1" w:styleId="119">
    <w:name w:val="日期 字符"/>
    <w:link w:val="50"/>
    <w:semiHidden/>
    <w:uiPriority w:val="0"/>
    <w:rPr>
      <w:sz w:val="24"/>
    </w:rPr>
  </w:style>
  <w:style w:type="character" w:customStyle="1" w:styleId="120">
    <w:name w:val="文档结构图 字符"/>
    <w:link w:val="26"/>
    <w:semiHidden/>
    <w:uiPriority w:val="0"/>
    <w:rPr>
      <w:rFonts w:ascii="Tahoma" w:hAnsi="Tahoma" w:cs="Tahoma"/>
      <w:sz w:val="16"/>
      <w:szCs w:val="16"/>
    </w:rPr>
  </w:style>
  <w:style w:type="character" w:customStyle="1" w:styleId="121">
    <w:name w:val="电子邮件签名 字符"/>
    <w:link w:val="19"/>
    <w:semiHidden/>
    <w:uiPriority w:val="0"/>
    <w:rPr>
      <w:sz w:val="24"/>
    </w:rPr>
  </w:style>
  <w:style w:type="character" w:customStyle="1" w:styleId="122">
    <w:name w:val="尾注文本 字符"/>
    <w:basedOn w:val="90"/>
    <w:link w:val="52"/>
    <w:semiHidden/>
    <w:uiPriority w:val="0"/>
  </w:style>
  <w:style w:type="character" w:customStyle="1" w:styleId="123">
    <w:name w:val="页脚 字符"/>
    <w:link w:val="55"/>
    <w:semiHidden/>
    <w:uiPriority w:val="0"/>
    <w:rPr>
      <w:sz w:val="24"/>
    </w:rPr>
  </w:style>
  <w:style w:type="character" w:customStyle="1" w:styleId="124">
    <w:name w:val="脚注文本 字符"/>
    <w:basedOn w:val="90"/>
    <w:link w:val="67"/>
    <w:semiHidden/>
    <w:uiPriority w:val="0"/>
  </w:style>
  <w:style w:type="character" w:customStyle="1" w:styleId="125">
    <w:name w:val="页眉 字符"/>
    <w:link w:val="57"/>
    <w:semiHidden/>
    <w:uiPriority w:val="0"/>
    <w:rPr>
      <w:sz w:val="24"/>
    </w:rPr>
  </w:style>
  <w:style w:type="character" w:customStyle="1" w:styleId="126">
    <w:name w:val="HTML 地址 字符"/>
    <w:link w:val="41"/>
    <w:semiHidden/>
    <w:uiPriority w:val="0"/>
    <w:rPr>
      <w:i/>
      <w:iCs/>
      <w:sz w:val="24"/>
    </w:rPr>
  </w:style>
  <w:style w:type="character" w:customStyle="1" w:styleId="127">
    <w:name w:val="HTML 预设格式 字符"/>
    <w:link w:val="80"/>
    <w:semiHidden/>
    <w:uiPriority w:val="0"/>
    <w:rPr>
      <w:rFonts w:ascii="Courier New" w:hAnsi="Courier New" w:cs="Courier New"/>
    </w:rPr>
  </w:style>
  <w:style w:type="paragraph" w:styleId="128">
    <w:name w:val="Intense Quote"/>
    <w:basedOn w:val="1"/>
    <w:next w:val="1"/>
    <w:link w:val="129"/>
    <w:semiHidden/>
    <w:qFormat/>
    <w:uiPriority w:val="30"/>
    <w:pPr>
      <w:pBdr>
        <w:bottom w:val="single" w:color="4F81BD" w:sz="4" w:space="4"/>
      </w:pBdr>
      <w:spacing w:before="200" w:after="280"/>
      <w:ind w:left="936" w:right="936"/>
    </w:pPr>
    <w:rPr>
      <w:b/>
      <w:bCs/>
      <w:i/>
      <w:iCs/>
      <w:color w:val="4F81BD"/>
    </w:rPr>
  </w:style>
  <w:style w:type="character" w:customStyle="1" w:styleId="129">
    <w:name w:val="明显引用 字符"/>
    <w:link w:val="128"/>
    <w:semiHidden/>
    <w:uiPriority w:val="30"/>
    <w:rPr>
      <w:b/>
      <w:bCs/>
      <w:i/>
      <w:iCs/>
      <w:color w:val="4F81BD"/>
      <w:sz w:val="24"/>
    </w:rPr>
  </w:style>
  <w:style w:type="paragraph" w:styleId="130">
    <w:name w:val="List Paragraph"/>
    <w:basedOn w:val="1"/>
    <w:semiHidden/>
    <w:qFormat/>
    <w:uiPriority w:val="34"/>
    <w:pPr>
      <w:ind w:left="720"/>
    </w:pPr>
  </w:style>
  <w:style w:type="character" w:customStyle="1" w:styleId="131">
    <w:name w:val="宏文本 字符"/>
    <w:link w:val="2"/>
    <w:semiHidden/>
    <w:uiPriority w:val="0"/>
    <w:rPr>
      <w:rFonts w:ascii="Courier New" w:hAnsi="Courier New" w:cs="Courier New"/>
      <w:lang w:val="en-US" w:eastAsia="en-US" w:bidi="ar-SA"/>
    </w:rPr>
  </w:style>
  <w:style w:type="character" w:customStyle="1" w:styleId="132">
    <w:name w:val="信息标题 字符"/>
    <w:link w:val="79"/>
    <w:semiHidden/>
    <w:uiPriority w:val="0"/>
    <w:rPr>
      <w:rFonts w:ascii="Cambria" w:hAnsi="Cambria"/>
      <w:sz w:val="24"/>
      <w:szCs w:val="24"/>
      <w:shd w:val="pct20" w:color="auto" w:fill="auto"/>
    </w:rPr>
  </w:style>
  <w:style w:type="paragraph" w:styleId="133">
    <w:name w:val="No Spacing"/>
    <w:semiHidden/>
    <w:qFormat/>
    <w:uiPriority w:val="1"/>
    <w:rPr>
      <w:rFonts w:ascii="Times New Roman" w:hAnsi="Times New Roman" w:cs="Times New Roman" w:eastAsiaTheme="minorEastAsia"/>
      <w:sz w:val="24"/>
      <w:lang w:val="en-US" w:eastAsia="en-US" w:bidi="ar-SA"/>
    </w:rPr>
  </w:style>
  <w:style w:type="character" w:customStyle="1" w:styleId="134">
    <w:name w:val="注释标题 字符"/>
    <w:link w:val="16"/>
    <w:semiHidden/>
    <w:uiPriority w:val="0"/>
    <w:rPr>
      <w:sz w:val="24"/>
    </w:rPr>
  </w:style>
  <w:style w:type="character" w:customStyle="1" w:styleId="135">
    <w:name w:val="纯文本 字符"/>
    <w:link w:val="45"/>
    <w:semiHidden/>
    <w:uiPriority w:val="0"/>
    <w:rPr>
      <w:rFonts w:ascii="Courier New" w:hAnsi="Courier New" w:cs="Courier New"/>
    </w:rPr>
  </w:style>
  <w:style w:type="paragraph" w:styleId="136">
    <w:name w:val="Quote"/>
    <w:basedOn w:val="1"/>
    <w:next w:val="1"/>
    <w:link w:val="137"/>
    <w:semiHidden/>
    <w:qFormat/>
    <w:uiPriority w:val="29"/>
    <w:rPr>
      <w:i/>
      <w:iCs/>
      <w:color w:val="000000"/>
    </w:rPr>
  </w:style>
  <w:style w:type="character" w:customStyle="1" w:styleId="137">
    <w:name w:val="引用 字符"/>
    <w:link w:val="136"/>
    <w:semiHidden/>
    <w:uiPriority w:val="29"/>
    <w:rPr>
      <w:i/>
      <w:iCs/>
      <w:color w:val="000000"/>
      <w:sz w:val="24"/>
    </w:rPr>
  </w:style>
  <w:style w:type="character" w:customStyle="1" w:styleId="138">
    <w:name w:val="称呼 字符"/>
    <w:link w:val="30"/>
    <w:semiHidden/>
    <w:uiPriority w:val="0"/>
    <w:rPr>
      <w:sz w:val="24"/>
    </w:rPr>
  </w:style>
  <w:style w:type="character" w:customStyle="1" w:styleId="139">
    <w:name w:val="签名 字符"/>
    <w:link w:val="58"/>
    <w:semiHidden/>
    <w:uiPriority w:val="0"/>
    <w:rPr>
      <w:sz w:val="24"/>
    </w:rPr>
  </w:style>
  <w:style w:type="character" w:customStyle="1" w:styleId="140">
    <w:name w:val="副标题 字符"/>
    <w:link w:val="64"/>
    <w:semiHidden/>
    <w:uiPriority w:val="0"/>
    <w:rPr>
      <w:rFonts w:ascii="Cambria" w:hAnsi="Cambria"/>
      <w:sz w:val="24"/>
      <w:szCs w:val="24"/>
    </w:rPr>
  </w:style>
  <w:style w:type="character" w:customStyle="1" w:styleId="141">
    <w:name w:val="标题 字符"/>
    <w:link w:val="84"/>
    <w:semiHidden/>
    <w:uiPriority w:val="0"/>
    <w:rPr>
      <w:rFonts w:ascii="Cambria" w:hAnsi="Cambria"/>
      <w:b/>
      <w:bCs/>
      <w:kern w:val="28"/>
      <w:sz w:val="32"/>
      <w:szCs w:val="32"/>
    </w:rPr>
  </w:style>
  <w:style w:type="paragraph" w:customStyle="1" w:styleId="142">
    <w:name w:val="TOC 标题1"/>
    <w:basedOn w:val="3"/>
    <w:next w:val="1"/>
    <w:semiHidden/>
    <w:unhideWhenUsed/>
    <w:qFormat/>
    <w:uiPriority w:val="39"/>
    <w:pPr>
      <w:outlineLvl w:val="9"/>
    </w:pPr>
    <w:rPr>
      <w:rFonts w:ascii="Cambria" w:hAnsi="Cambria"/>
      <w:sz w:val="32"/>
      <w:szCs w:val="32"/>
    </w:rPr>
  </w:style>
  <w:style w:type="character" w:customStyle="1" w:styleId="143">
    <w:name w:val="未处理的提及1"/>
    <w:basedOn w:val="90"/>
    <w:semiHidden/>
    <w:unhideWhenUsed/>
    <w:uiPriority w:val="99"/>
    <w:rPr>
      <w:color w:val="808080"/>
      <w:shd w:val="clear" w:color="auto" w:fill="E6E6E6"/>
    </w:rPr>
  </w:style>
  <w:style w:type="paragraph" w:customStyle="1" w:styleId="144">
    <w:name w:val="Paragraph"/>
    <w:basedOn w:val="145"/>
    <w:qFormat/>
    <w:uiPriority w:val="0"/>
    <w:pPr>
      <w:ind w:firstLine="720"/>
    </w:pPr>
  </w:style>
  <w:style w:type="paragraph" w:customStyle="1" w:styleId="145">
    <w:name w:val="Base_Text"/>
    <w:qFormat/>
    <w:uiPriority w:val="0"/>
    <w:pPr>
      <w:spacing w:before="120"/>
    </w:pPr>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AAAS</Company>
  <Pages>12</Pages>
  <Words>905</Words>
  <Characters>5631</Characters>
  <Lines>152</Lines>
  <Paragraphs>79</Paragraphs>
  <TotalTime>1</TotalTime>
  <ScaleCrop>false</ScaleCrop>
  <LinksUpToDate>false</LinksUpToDate>
  <CharactersWithSpaces>6457</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2019-07-17T17:29:00Z</dcterms:created>
  <dc:creator>Brooks Hanson</dc:creator>
  <cp:lastModifiedBy>Yui</cp:lastModifiedBy>
  <cp:lastPrinted>2018-01-13T03:53:00Z</cp:lastPrinted>
  <dcterms:modified xsi:type="dcterms:W3CDTF">2026-04-09T10:20:41Z</dcterms:modified>
  <dc:title>Supporting Online Material for</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2F0DF8B4B8C7949F30C7B869D53C6F5D_43</vt:lpwstr>
  </property>
</Properties>
</file>