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DFE92" w14:textId="77777777" w:rsidR="00FB1285" w:rsidRDefault="00000000">
      <w:pPr>
        <w:spacing w:afterLines="50" w:after="156" w:line="360" w:lineRule="auto"/>
        <w:jc w:val="center"/>
        <w:rPr>
          <w:rFonts w:ascii="Times New Roman" w:eastAsia="宋体" w:hAnsi="Times New Roman" w:cs="Times New Roman"/>
          <w:b/>
          <w:bCs/>
          <w:sz w:val="32"/>
          <w:szCs w:val="28"/>
        </w:rPr>
      </w:pPr>
      <w:r>
        <w:rPr>
          <w:rFonts w:ascii="Times New Roman" w:eastAsia="宋体" w:hAnsi="Times New Roman" w:cs="Times New Roman"/>
          <w:b/>
          <w:bCs/>
          <w:sz w:val="32"/>
          <w:szCs w:val="28"/>
        </w:rPr>
        <w:t>Supplementary Materials</w:t>
      </w:r>
    </w:p>
    <w:p w14:paraId="5EFBCEF9" w14:textId="77777777" w:rsidR="00FB1285" w:rsidRDefault="00000000">
      <w:pPr>
        <w:spacing w:line="360" w:lineRule="auto"/>
        <w:rPr>
          <w:rFonts w:ascii="Times New Roman" w:eastAsia="宋体" w:hAnsi="Times New Roman" w:cs="Times New Roman"/>
          <w:b/>
          <w:bCs/>
          <w:sz w:val="24"/>
        </w:rPr>
      </w:pPr>
      <w:r>
        <w:rPr>
          <w:rFonts w:ascii="Times New Roman" w:eastAsia="宋体" w:hAnsi="Times New Roman" w:cs="Times New Roman"/>
          <w:b/>
          <w:bCs/>
          <w:sz w:val="24"/>
        </w:rPr>
        <w:t>ENO2 drives tumor cell-induced M2 macrophage polarization to promote colorectal cancer liver metastasis</w:t>
      </w:r>
    </w:p>
    <w:p w14:paraId="7D401F8A" w14:textId="77777777" w:rsidR="00FB1285" w:rsidRDefault="00000000">
      <w:pPr>
        <w:spacing w:beforeLines="50" w:before="156" w:line="360" w:lineRule="auto"/>
        <w:rPr>
          <w:rFonts w:ascii="Times New Roman" w:eastAsia="宋体" w:hAnsi="Times New Roman" w:cs="Times New Roman"/>
          <w:b/>
          <w:bCs/>
          <w:sz w:val="24"/>
        </w:rPr>
      </w:pPr>
      <w:r>
        <w:rPr>
          <w:rFonts w:ascii="Times New Roman" w:eastAsia="宋体" w:hAnsi="Times New Roman" w:cs="Times New Roman"/>
          <w:b/>
          <w:bCs/>
          <w:sz w:val="24"/>
        </w:rPr>
        <w:t>Running title: ENO2 drives colorectal cancer liver metastasis</w:t>
      </w:r>
    </w:p>
    <w:p w14:paraId="2006DF5B" w14:textId="77777777" w:rsidR="00FB1285" w:rsidRDefault="00000000">
      <w:pPr>
        <w:spacing w:beforeLines="50" w:before="156" w:afterLines="50" w:after="156" w:line="360" w:lineRule="auto"/>
        <w:rPr>
          <w:rFonts w:ascii="Times New Roman" w:eastAsia="宋体" w:hAnsi="Times New Roman" w:cs="Times New Roman"/>
          <w:sz w:val="24"/>
        </w:rPr>
      </w:pPr>
      <w:r>
        <w:rPr>
          <w:rFonts w:ascii="Times New Roman" w:eastAsia="宋体" w:hAnsi="Times New Roman" w:cs="Times New Roman"/>
          <w:sz w:val="24"/>
        </w:rPr>
        <w:t>Junwei Tang</w:t>
      </w:r>
      <w:r>
        <w:rPr>
          <w:rFonts w:ascii="Times New Roman" w:eastAsia="宋体" w:hAnsi="Times New Roman" w:cs="Times New Roman"/>
          <w:sz w:val="24"/>
          <w:vertAlign w:val="superscript"/>
        </w:rPr>
        <w:t>1,2#</w:t>
      </w:r>
      <w:r>
        <w:rPr>
          <w:rFonts w:ascii="Times New Roman" w:eastAsia="宋体" w:hAnsi="Times New Roman" w:cs="Times New Roman"/>
          <w:sz w:val="24"/>
        </w:rPr>
        <w:t>, Zhihao Chen</w:t>
      </w:r>
      <w:r>
        <w:rPr>
          <w:rFonts w:ascii="Times New Roman" w:eastAsia="宋体" w:hAnsi="Times New Roman" w:cs="Times New Roman"/>
          <w:sz w:val="24"/>
          <w:vertAlign w:val="superscript"/>
        </w:rPr>
        <w:t>1,2#</w:t>
      </w:r>
      <w:r>
        <w:rPr>
          <w:rFonts w:ascii="Times New Roman" w:eastAsia="宋体" w:hAnsi="Times New Roman" w:cs="Times New Roman"/>
          <w:sz w:val="24"/>
        </w:rPr>
        <w:t>, Dongsheng Zhang</w:t>
      </w:r>
      <w:r>
        <w:rPr>
          <w:rFonts w:ascii="Times New Roman" w:eastAsia="宋体" w:hAnsi="Times New Roman" w:cs="Times New Roman"/>
          <w:sz w:val="24"/>
          <w:vertAlign w:val="superscript"/>
        </w:rPr>
        <w:t>1,2#</w:t>
      </w:r>
      <w:r>
        <w:rPr>
          <w:rFonts w:ascii="Times New Roman" w:eastAsia="宋体" w:hAnsi="Times New Roman" w:cs="Times New Roman"/>
          <w:sz w:val="24"/>
        </w:rPr>
        <w:t>, Kangpeng Jin</w:t>
      </w:r>
      <w:r>
        <w:rPr>
          <w:rFonts w:ascii="Times New Roman" w:eastAsia="宋体" w:hAnsi="Times New Roman" w:cs="Times New Roman"/>
          <w:sz w:val="24"/>
          <w:vertAlign w:val="superscript"/>
        </w:rPr>
        <w:t>1,2#</w:t>
      </w:r>
      <w:r>
        <w:rPr>
          <w:rFonts w:ascii="Times New Roman" w:eastAsia="宋体" w:hAnsi="Times New Roman" w:cs="Times New Roman"/>
          <w:sz w:val="24"/>
        </w:rPr>
        <w:t>, Hengjie Xu</w:t>
      </w:r>
      <w:r>
        <w:rPr>
          <w:rFonts w:ascii="Times New Roman" w:eastAsia="宋体" w:hAnsi="Times New Roman" w:cs="Times New Roman"/>
          <w:sz w:val="24"/>
          <w:vertAlign w:val="superscript"/>
        </w:rPr>
        <w:t>1,2#</w:t>
      </w:r>
      <w:r>
        <w:rPr>
          <w:rFonts w:ascii="Times New Roman" w:eastAsia="宋体" w:hAnsi="Times New Roman" w:cs="Times New Roman"/>
          <w:sz w:val="24"/>
        </w:rPr>
        <w:t>, Chuanxin Tian</w:t>
      </w:r>
      <w:r>
        <w:rPr>
          <w:rFonts w:ascii="Times New Roman" w:eastAsia="宋体" w:hAnsi="Times New Roman" w:cs="Times New Roman"/>
          <w:sz w:val="24"/>
          <w:vertAlign w:val="superscript"/>
        </w:rPr>
        <w:t>1,2</w:t>
      </w:r>
      <w:r>
        <w:rPr>
          <w:rFonts w:ascii="Times New Roman" w:eastAsia="宋体" w:hAnsi="Times New Roman" w:cs="Times New Roman"/>
          <w:sz w:val="24"/>
        </w:rPr>
        <w:t>, Jinling Duan</w:t>
      </w:r>
      <w:r>
        <w:rPr>
          <w:rFonts w:ascii="Times New Roman" w:eastAsia="宋体" w:hAnsi="Times New Roman" w:cs="Times New Roman" w:hint="eastAsia"/>
          <w:sz w:val="24"/>
          <w:vertAlign w:val="superscript"/>
        </w:rPr>
        <w:t>3</w:t>
      </w:r>
      <w:r>
        <w:rPr>
          <w:rFonts w:ascii="Times New Roman" w:eastAsia="宋体" w:hAnsi="Times New Roman" w:cs="Times New Roman"/>
          <w:sz w:val="24"/>
          <w:vertAlign w:val="superscript"/>
        </w:rPr>
        <w:t>,</w:t>
      </w:r>
      <w:r>
        <w:rPr>
          <w:rFonts w:ascii="Times New Roman" w:eastAsia="宋体" w:hAnsi="Times New Roman" w:cs="Times New Roman" w:hint="eastAsia"/>
          <w:sz w:val="24"/>
          <w:vertAlign w:val="superscript"/>
        </w:rPr>
        <w:t>4</w:t>
      </w:r>
      <w:r>
        <w:rPr>
          <w:rFonts w:ascii="Times New Roman" w:eastAsia="宋体" w:hAnsi="Times New Roman" w:cs="Times New Roman"/>
          <w:sz w:val="24"/>
        </w:rPr>
        <w:t>, Sheng Yang</w:t>
      </w:r>
      <w:r>
        <w:rPr>
          <w:rFonts w:ascii="Times New Roman" w:eastAsia="宋体" w:hAnsi="Times New Roman" w:cs="Times New Roman"/>
          <w:sz w:val="24"/>
          <w:vertAlign w:val="superscript"/>
        </w:rPr>
        <w:t>1,2</w:t>
      </w:r>
      <w:r>
        <w:rPr>
          <w:rFonts w:ascii="Times New Roman" w:eastAsia="宋体" w:hAnsi="Times New Roman" w:cs="Times New Roman"/>
          <w:sz w:val="24"/>
        </w:rPr>
        <w:t>, Qingyang Sun</w:t>
      </w:r>
      <w:r>
        <w:rPr>
          <w:rFonts w:ascii="Times New Roman" w:eastAsia="宋体" w:hAnsi="Times New Roman" w:cs="Times New Roman"/>
          <w:sz w:val="24"/>
          <w:vertAlign w:val="superscript"/>
        </w:rPr>
        <w:t>1,2</w:t>
      </w:r>
      <w:r>
        <w:rPr>
          <w:rFonts w:ascii="Times New Roman" w:eastAsia="宋体" w:hAnsi="Times New Roman" w:cs="Times New Roman"/>
          <w:sz w:val="24"/>
        </w:rPr>
        <w:t>, Yifei Feng</w:t>
      </w:r>
      <w:r>
        <w:rPr>
          <w:rFonts w:ascii="Times New Roman" w:eastAsia="宋体" w:hAnsi="Times New Roman" w:cs="Times New Roman"/>
          <w:sz w:val="24"/>
          <w:vertAlign w:val="superscript"/>
        </w:rPr>
        <w:t>1,2</w:t>
      </w:r>
      <w:r>
        <w:rPr>
          <w:rFonts w:ascii="Times New Roman" w:eastAsia="宋体" w:hAnsi="Times New Roman" w:cs="Times New Roman"/>
          <w:sz w:val="24"/>
        </w:rPr>
        <w:t>, Xiaowei Wang</w:t>
      </w:r>
      <w:r>
        <w:rPr>
          <w:rFonts w:ascii="Times New Roman" w:eastAsia="宋体" w:hAnsi="Times New Roman" w:cs="Times New Roman"/>
          <w:sz w:val="24"/>
          <w:vertAlign w:val="superscript"/>
        </w:rPr>
        <w:t>1,2,</w:t>
      </w:r>
      <w:r>
        <w:rPr>
          <w:rFonts w:ascii="Times New Roman" w:eastAsia="宋体" w:hAnsi="Times New Roman" w:cs="Times New Roman" w:hint="eastAsia"/>
          <w:sz w:val="24"/>
          <w:vertAlign w:val="superscript"/>
        </w:rPr>
        <w:t>5</w:t>
      </w:r>
      <w:r>
        <w:rPr>
          <w:rFonts w:ascii="Times New Roman" w:eastAsia="宋体" w:hAnsi="Times New Roman" w:cs="Times New Roman"/>
          <w:sz w:val="24"/>
          <w:vertAlign w:val="superscript"/>
        </w:rPr>
        <w:t>*</w:t>
      </w:r>
      <w:r>
        <w:rPr>
          <w:rFonts w:ascii="Times New Roman" w:eastAsia="宋体" w:hAnsi="Times New Roman" w:cs="Times New Roman"/>
          <w:sz w:val="24"/>
        </w:rPr>
        <w:t>, Dan Xie</w:t>
      </w:r>
      <w:r>
        <w:rPr>
          <w:rFonts w:ascii="Times New Roman" w:eastAsia="宋体" w:hAnsi="Times New Roman" w:cs="Times New Roman" w:hint="eastAsia"/>
          <w:sz w:val="24"/>
          <w:vertAlign w:val="superscript"/>
        </w:rPr>
        <w:t>3</w:t>
      </w:r>
      <w:r>
        <w:rPr>
          <w:rFonts w:ascii="Times New Roman" w:eastAsia="宋体" w:hAnsi="Times New Roman" w:cs="Times New Roman"/>
          <w:sz w:val="24"/>
          <w:vertAlign w:val="superscript"/>
        </w:rPr>
        <w:t>,</w:t>
      </w:r>
      <w:r>
        <w:rPr>
          <w:rFonts w:ascii="Times New Roman" w:eastAsia="宋体" w:hAnsi="Times New Roman" w:cs="Times New Roman" w:hint="eastAsia"/>
          <w:sz w:val="24"/>
          <w:vertAlign w:val="superscript"/>
        </w:rPr>
        <w:t>4</w:t>
      </w:r>
      <w:r>
        <w:rPr>
          <w:rFonts w:ascii="Times New Roman" w:eastAsia="宋体" w:hAnsi="Times New Roman" w:cs="Times New Roman"/>
          <w:sz w:val="24"/>
          <w:vertAlign w:val="superscript"/>
        </w:rPr>
        <w:t>*</w:t>
      </w:r>
      <w:r>
        <w:rPr>
          <w:rFonts w:ascii="Times New Roman" w:eastAsia="宋体" w:hAnsi="Times New Roman" w:cs="Times New Roman"/>
          <w:sz w:val="24"/>
        </w:rPr>
        <w:t>, Yueming Sun</w:t>
      </w:r>
      <w:r>
        <w:rPr>
          <w:rFonts w:ascii="Times New Roman" w:eastAsia="宋体" w:hAnsi="Times New Roman" w:cs="Times New Roman"/>
          <w:sz w:val="24"/>
          <w:vertAlign w:val="superscript"/>
        </w:rPr>
        <w:t>1,2,3,6*</w:t>
      </w:r>
    </w:p>
    <w:p w14:paraId="42B36107" w14:textId="77777777" w:rsidR="00FB1285" w:rsidRDefault="00000000">
      <w:pPr>
        <w:spacing w:line="360" w:lineRule="auto"/>
        <w:rPr>
          <w:rFonts w:ascii="Times New Roman" w:eastAsia="宋体" w:hAnsi="Times New Roman" w:cs="Times New Roman"/>
          <w:sz w:val="24"/>
        </w:rPr>
      </w:pPr>
      <w:r>
        <w:rPr>
          <w:rFonts w:ascii="Times New Roman" w:eastAsia="宋体" w:hAnsi="Times New Roman" w:cs="Times New Roman"/>
          <w:sz w:val="24"/>
        </w:rPr>
        <w:t>1 Department of General Surgery, Institute of Colorectal Disease, The First Affiliated Hospital with Nanjing Medical University, Nanjing, China.</w:t>
      </w:r>
    </w:p>
    <w:p w14:paraId="769E2181" w14:textId="77777777" w:rsidR="00FB1285" w:rsidRDefault="00000000">
      <w:pPr>
        <w:spacing w:line="360" w:lineRule="auto"/>
        <w:rPr>
          <w:rFonts w:ascii="Times New Roman" w:eastAsia="宋体" w:hAnsi="Times New Roman" w:cs="Times New Roman"/>
          <w:sz w:val="24"/>
        </w:rPr>
      </w:pPr>
      <w:r>
        <w:rPr>
          <w:rFonts w:ascii="Times New Roman" w:eastAsia="宋体" w:hAnsi="Times New Roman" w:cs="Times New Roman"/>
          <w:sz w:val="24"/>
        </w:rPr>
        <w:t>2 Jiangsu Province Engineering Research Center of Colorectal Cancer Precision Medicine and Translational Medicine, Nanjing, China.</w:t>
      </w:r>
    </w:p>
    <w:p w14:paraId="2B785B82" w14:textId="77777777" w:rsidR="00FB1285" w:rsidRDefault="00000000">
      <w:pPr>
        <w:spacing w:line="360" w:lineRule="auto"/>
        <w:rPr>
          <w:rFonts w:ascii="Times New Roman" w:eastAsia="宋体" w:hAnsi="Times New Roman"/>
          <w:sz w:val="24"/>
        </w:rPr>
      </w:pPr>
      <w:r>
        <w:rPr>
          <w:rFonts w:ascii="Times New Roman" w:eastAsia="宋体" w:hAnsi="Times New Roman"/>
          <w:sz w:val="24"/>
        </w:rPr>
        <w:t>3 State Key Laboratory of Oncology in South China, Collaborative Innovation Center for Cancer Medicine, Sun Yat-sen University Cancer Center, Guangzhou, China.</w:t>
      </w:r>
    </w:p>
    <w:p w14:paraId="435B57A1" w14:textId="77777777" w:rsidR="00FB1285" w:rsidRDefault="00000000">
      <w:pPr>
        <w:spacing w:line="360" w:lineRule="auto"/>
        <w:rPr>
          <w:rFonts w:ascii="Times New Roman" w:eastAsia="宋体" w:hAnsi="Times New Roman"/>
          <w:sz w:val="24"/>
        </w:rPr>
      </w:pPr>
      <w:r>
        <w:rPr>
          <w:rFonts w:ascii="Times New Roman" w:eastAsia="宋体" w:hAnsi="Times New Roman"/>
          <w:sz w:val="24"/>
        </w:rPr>
        <w:t>4 Department of Pathology, Sun Yat-sen University Cancer Center, Guangzhou, China.</w:t>
      </w:r>
    </w:p>
    <w:p w14:paraId="223D8751" w14:textId="77777777" w:rsidR="00FB1285" w:rsidRDefault="00000000">
      <w:pPr>
        <w:spacing w:line="360" w:lineRule="auto"/>
        <w:rPr>
          <w:rFonts w:ascii="Times New Roman" w:eastAsia="宋体" w:hAnsi="Times New Roman"/>
          <w:sz w:val="24"/>
        </w:rPr>
      </w:pPr>
      <w:r>
        <w:rPr>
          <w:rFonts w:ascii="Times New Roman" w:eastAsia="宋体" w:hAnsi="Times New Roman"/>
          <w:sz w:val="24"/>
        </w:rPr>
        <w:t xml:space="preserve">5 </w:t>
      </w:r>
      <w:r>
        <w:rPr>
          <w:rFonts w:ascii="Times New Roman" w:eastAsia="宋体" w:hAnsi="Times New Roman" w:hint="eastAsia"/>
          <w:sz w:val="24"/>
        </w:rPr>
        <w:t>Collaborative Innovation Center for Cancer Personalized Medicine, Nanjing Medical University, Nanjing, China</w:t>
      </w:r>
      <w:r>
        <w:rPr>
          <w:rFonts w:ascii="Times New Roman" w:eastAsia="宋体" w:hAnsi="Times New Roman"/>
          <w:sz w:val="24"/>
        </w:rPr>
        <w:t>.</w:t>
      </w:r>
    </w:p>
    <w:p w14:paraId="2D7D015F" w14:textId="77777777" w:rsidR="00FB1285" w:rsidRDefault="00000000">
      <w:pPr>
        <w:spacing w:afterLines="50" w:after="156" w:line="360" w:lineRule="auto"/>
        <w:rPr>
          <w:rFonts w:ascii="Times New Roman" w:eastAsia="宋体" w:hAnsi="Times New Roman" w:cs="Times New Roman"/>
          <w:sz w:val="24"/>
        </w:rPr>
      </w:pPr>
      <w:r>
        <w:rPr>
          <w:rFonts w:ascii="Times New Roman" w:eastAsia="宋体" w:hAnsi="Times New Roman" w:cs="Times New Roman"/>
          <w:sz w:val="24"/>
        </w:rPr>
        <w:t>6 The Affiliated Shuyang Hospital of Xuzhou Medical University, Suqian, China.</w:t>
      </w:r>
    </w:p>
    <w:p w14:paraId="2FAA7646" w14:textId="77777777" w:rsidR="00FB1285" w:rsidRDefault="00000000">
      <w:pPr>
        <w:spacing w:line="360" w:lineRule="auto"/>
        <w:jc w:val="center"/>
        <w:rPr>
          <w:rFonts w:ascii="Times New Roman" w:eastAsia="宋体" w:hAnsi="Times New Roman" w:cs="Times New Roman"/>
          <w:sz w:val="24"/>
        </w:rPr>
      </w:pPr>
      <w:r>
        <w:rPr>
          <w:rFonts w:ascii="Times New Roman" w:eastAsia="宋体" w:hAnsi="Times New Roman" w:cs="Times New Roman"/>
          <w:sz w:val="24"/>
        </w:rPr>
        <w:t xml:space="preserve">Correspondence to: sunyueming@njmu.edu.cn, xiedan@sysucc.org.cn, </w:t>
      </w:r>
    </w:p>
    <w:p w14:paraId="39883053" w14:textId="77777777" w:rsidR="00FB1285" w:rsidRDefault="00000000">
      <w:pPr>
        <w:jc w:val="center"/>
        <w:rPr>
          <w:rStyle w:val="a9"/>
          <w:rFonts w:ascii="Times New Roman" w:eastAsia="宋体" w:hAnsi="Times New Roman" w:cs="Times New Roman"/>
          <w:color w:val="auto"/>
          <w:sz w:val="24"/>
          <w:u w:val="none"/>
        </w:rPr>
      </w:pPr>
      <w:r>
        <w:rPr>
          <w:rStyle w:val="a9"/>
          <w:rFonts w:ascii="Times New Roman" w:eastAsia="宋体" w:hAnsi="Times New Roman" w:cs="Times New Roman"/>
          <w:color w:val="auto"/>
          <w:sz w:val="24"/>
        </w:rPr>
        <w:t>wxw0213@njmu.edu.cn</w:t>
      </w:r>
    </w:p>
    <w:p w14:paraId="38B2B246" w14:textId="77777777" w:rsidR="00FB1285" w:rsidRDefault="00FB1285">
      <w:pPr>
        <w:jc w:val="center"/>
        <w:rPr>
          <w:rStyle w:val="a9"/>
          <w:rFonts w:ascii="Times New Roman" w:eastAsia="宋体" w:hAnsi="Times New Roman" w:cs="Times New Roman"/>
          <w:color w:val="auto"/>
          <w:sz w:val="24"/>
        </w:rPr>
      </w:pPr>
    </w:p>
    <w:p w14:paraId="3A6E0444" w14:textId="77777777" w:rsidR="00FB1285" w:rsidRDefault="00000000">
      <w:pPr>
        <w:kinsoku w:val="0"/>
        <w:autoSpaceDE w:val="0"/>
        <w:autoSpaceDN w:val="0"/>
        <w:adjustRightInd w:val="0"/>
        <w:snapToGrid w:val="0"/>
        <w:spacing w:before="70" w:line="189" w:lineRule="auto"/>
        <w:ind w:left="7"/>
        <w:jc w:val="left"/>
        <w:textAlignment w:val="baseline"/>
        <w:rPr>
          <w:rFonts w:ascii="Times New Roman" w:eastAsia="Times New Roman" w:hAnsi="Times New Roman" w:cs="Times New Roman"/>
          <w:snapToGrid w:val="0"/>
          <w:color w:val="000000"/>
          <w:kern w:val="0"/>
          <w:sz w:val="24"/>
          <w:szCs w:val="24"/>
          <w:lang w:eastAsia="en-US"/>
        </w:rPr>
      </w:pPr>
      <w:r>
        <w:rPr>
          <w:rFonts w:ascii="Times New Roman" w:eastAsia="Times New Roman" w:hAnsi="Times New Roman" w:cs="Times New Roman"/>
          <w:b/>
          <w:bCs/>
          <w:snapToGrid w:val="0"/>
          <w:color w:val="000000"/>
          <w:spacing w:val="-1"/>
          <w:kern w:val="0"/>
          <w:sz w:val="24"/>
          <w:szCs w:val="24"/>
          <w:lang w:eastAsia="en-US"/>
        </w:rPr>
        <w:t>This PDF file includes:</w:t>
      </w:r>
    </w:p>
    <w:p w14:paraId="29A68091" w14:textId="77777777" w:rsidR="00FB1285" w:rsidRDefault="00FB1285">
      <w:pPr>
        <w:widowControl/>
        <w:kinsoku w:val="0"/>
        <w:autoSpaceDE w:val="0"/>
        <w:autoSpaceDN w:val="0"/>
        <w:adjustRightInd w:val="0"/>
        <w:snapToGrid w:val="0"/>
        <w:spacing w:line="260" w:lineRule="auto"/>
        <w:jc w:val="left"/>
        <w:textAlignment w:val="baseline"/>
        <w:rPr>
          <w:rFonts w:ascii="Arial" w:eastAsia="Arial" w:hAnsi="Arial" w:cs="Arial"/>
          <w:snapToGrid w:val="0"/>
          <w:color w:val="000000"/>
          <w:kern w:val="0"/>
          <w:szCs w:val="21"/>
          <w:lang w:eastAsia="en-US"/>
        </w:rPr>
      </w:pPr>
    </w:p>
    <w:p w14:paraId="739F08AC" w14:textId="77777777" w:rsidR="00FB1285" w:rsidRDefault="00000000">
      <w:pPr>
        <w:kinsoku w:val="0"/>
        <w:autoSpaceDE w:val="0"/>
        <w:autoSpaceDN w:val="0"/>
        <w:adjustRightInd w:val="0"/>
        <w:snapToGrid w:val="0"/>
        <w:spacing w:before="70" w:line="192" w:lineRule="auto"/>
        <w:ind w:left="722"/>
        <w:jc w:val="left"/>
        <w:textAlignment w:val="baseline"/>
        <w:rPr>
          <w:rFonts w:ascii="Times New Roman" w:eastAsia="Times New Roman" w:hAnsi="Times New Roman" w:cs="Times New Roman"/>
          <w:snapToGrid w:val="0"/>
          <w:color w:val="000000"/>
          <w:spacing w:val="-3"/>
          <w:kern w:val="0"/>
          <w:sz w:val="24"/>
          <w:szCs w:val="24"/>
          <w:lang w:eastAsia="en-US"/>
        </w:rPr>
      </w:pPr>
      <w:r>
        <w:rPr>
          <w:rFonts w:ascii="Times New Roman" w:eastAsia="Times New Roman" w:hAnsi="Times New Roman" w:cs="Times New Roman"/>
          <w:snapToGrid w:val="0"/>
          <w:color w:val="000000"/>
          <w:spacing w:val="-3"/>
          <w:kern w:val="0"/>
          <w:sz w:val="24"/>
          <w:szCs w:val="24"/>
          <w:lang w:eastAsia="en-US"/>
        </w:rPr>
        <w:t xml:space="preserve">Materials and Methods </w:t>
      </w:r>
    </w:p>
    <w:p w14:paraId="371CB20F" w14:textId="77777777" w:rsidR="00FB1285" w:rsidRDefault="00000000">
      <w:pPr>
        <w:kinsoku w:val="0"/>
        <w:autoSpaceDE w:val="0"/>
        <w:autoSpaceDN w:val="0"/>
        <w:adjustRightInd w:val="0"/>
        <w:snapToGrid w:val="0"/>
        <w:spacing w:before="70" w:line="192" w:lineRule="auto"/>
        <w:ind w:left="722"/>
        <w:jc w:val="left"/>
        <w:textAlignment w:val="baseline"/>
        <w:rPr>
          <w:rFonts w:ascii="Times New Roman" w:eastAsia="Times New Roman" w:hAnsi="Times New Roman" w:cs="Times New Roman"/>
          <w:snapToGrid w:val="0"/>
          <w:color w:val="000000"/>
          <w:spacing w:val="-3"/>
          <w:kern w:val="0"/>
          <w:sz w:val="24"/>
          <w:szCs w:val="24"/>
          <w:lang w:eastAsia="en-US"/>
        </w:rPr>
      </w:pPr>
      <w:r>
        <w:rPr>
          <w:rFonts w:ascii="Times New Roman" w:eastAsia="Times New Roman" w:hAnsi="Times New Roman" w:cs="Times New Roman"/>
          <w:snapToGrid w:val="0"/>
          <w:color w:val="000000"/>
          <w:spacing w:val="-3"/>
          <w:kern w:val="0"/>
          <w:sz w:val="24"/>
          <w:szCs w:val="24"/>
          <w:lang w:eastAsia="en-US"/>
        </w:rPr>
        <w:t xml:space="preserve">Figures. S1 to S10 </w:t>
      </w:r>
    </w:p>
    <w:p w14:paraId="62E7C1CA" w14:textId="77777777" w:rsidR="00FB1285" w:rsidRDefault="00000000">
      <w:pPr>
        <w:kinsoku w:val="0"/>
        <w:autoSpaceDE w:val="0"/>
        <w:autoSpaceDN w:val="0"/>
        <w:adjustRightInd w:val="0"/>
        <w:snapToGrid w:val="0"/>
        <w:spacing w:before="70" w:line="192" w:lineRule="auto"/>
        <w:ind w:left="722"/>
        <w:jc w:val="left"/>
        <w:textAlignment w:val="baseline"/>
        <w:rPr>
          <w:rFonts w:ascii="Times New Roman" w:eastAsia="宋体" w:hAnsi="Times New Roman" w:cs="Times New Roman"/>
        </w:rPr>
      </w:pPr>
      <w:r>
        <w:rPr>
          <w:rFonts w:ascii="Times New Roman" w:eastAsia="Times New Roman" w:hAnsi="Times New Roman" w:cs="Times New Roman"/>
          <w:snapToGrid w:val="0"/>
          <w:color w:val="000000"/>
          <w:spacing w:val="-3"/>
          <w:kern w:val="0"/>
          <w:sz w:val="24"/>
          <w:szCs w:val="24"/>
          <w:lang w:eastAsia="en-US"/>
        </w:rPr>
        <w:t>Tables</w:t>
      </w:r>
      <w:r>
        <w:rPr>
          <w:rFonts w:ascii="Times New Roman" w:eastAsia="宋体" w:hAnsi="Times New Roman" w:cs="Times New Roman" w:hint="eastAsia"/>
          <w:snapToGrid w:val="0"/>
          <w:color w:val="000000"/>
          <w:spacing w:val="-3"/>
          <w:kern w:val="0"/>
          <w:sz w:val="24"/>
          <w:szCs w:val="24"/>
        </w:rPr>
        <w:t>.</w:t>
      </w:r>
      <w:r>
        <w:rPr>
          <w:rFonts w:ascii="Times New Roman" w:eastAsia="Times New Roman" w:hAnsi="Times New Roman" w:cs="Times New Roman"/>
          <w:snapToGrid w:val="0"/>
          <w:color w:val="000000"/>
          <w:spacing w:val="-3"/>
          <w:kern w:val="0"/>
          <w:sz w:val="24"/>
          <w:szCs w:val="24"/>
          <w:lang w:eastAsia="en-US"/>
        </w:rPr>
        <w:t xml:space="preserve"> S1 to S2</w:t>
      </w:r>
    </w:p>
    <w:p w14:paraId="70024223" w14:textId="77777777" w:rsidR="00FB1285" w:rsidRDefault="00FB1285">
      <w:pPr>
        <w:spacing w:line="360" w:lineRule="auto"/>
        <w:jc w:val="left"/>
        <w:rPr>
          <w:rFonts w:ascii="Times New Roman" w:eastAsia="宋体" w:hAnsi="Times New Roman" w:cs="Times New Roman"/>
        </w:rPr>
      </w:pPr>
    </w:p>
    <w:p w14:paraId="21B03E2A" w14:textId="77777777" w:rsidR="00FB1285" w:rsidRDefault="00FB1285">
      <w:pPr>
        <w:spacing w:line="360" w:lineRule="auto"/>
        <w:jc w:val="left"/>
        <w:rPr>
          <w:rFonts w:ascii="Times New Roman" w:eastAsia="宋体" w:hAnsi="Times New Roman" w:cs="Times New Roman"/>
        </w:rPr>
      </w:pPr>
    </w:p>
    <w:p w14:paraId="014D9812" w14:textId="77777777" w:rsidR="00FB1285" w:rsidRDefault="00FB1285">
      <w:pPr>
        <w:spacing w:line="360" w:lineRule="auto"/>
        <w:jc w:val="left"/>
        <w:rPr>
          <w:rFonts w:ascii="Times New Roman" w:eastAsia="宋体" w:hAnsi="Times New Roman" w:cs="Times New Roman"/>
        </w:rPr>
      </w:pPr>
    </w:p>
    <w:p w14:paraId="18CF909B" w14:textId="77777777" w:rsidR="00FB1285" w:rsidRDefault="00FB1285">
      <w:pPr>
        <w:spacing w:line="360" w:lineRule="auto"/>
        <w:jc w:val="left"/>
        <w:rPr>
          <w:rFonts w:ascii="Times New Roman" w:eastAsia="宋体" w:hAnsi="Times New Roman" w:cs="Times New Roman"/>
          <w:b/>
          <w:bCs/>
        </w:rPr>
      </w:pPr>
    </w:p>
    <w:p w14:paraId="6DEB4846" w14:textId="77777777" w:rsidR="00FB1285" w:rsidRDefault="00000000">
      <w:pPr>
        <w:spacing w:line="360" w:lineRule="auto"/>
        <w:rPr>
          <w:rFonts w:ascii="Times New Roman" w:eastAsia="宋体" w:hAnsi="Times New Roman" w:cs="Times New Roman"/>
          <w:b/>
          <w:bCs/>
          <w:sz w:val="24"/>
        </w:rPr>
      </w:pPr>
      <w:r>
        <w:rPr>
          <w:rFonts w:ascii="Times New Roman" w:eastAsia="宋体" w:hAnsi="Times New Roman" w:cs="Times New Roman"/>
          <w:b/>
          <w:bCs/>
          <w:sz w:val="24"/>
        </w:rPr>
        <w:t>Supplementary Materials and Methods</w:t>
      </w:r>
    </w:p>
    <w:p w14:paraId="76409316" w14:textId="77777777" w:rsidR="00FB1285" w:rsidRDefault="00000000">
      <w:pPr>
        <w:spacing w:beforeLines="50" w:before="156" w:line="360" w:lineRule="auto"/>
        <w:rPr>
          <w:rFonts w:ascii="Times New Roman" w:eastAsia="宋体" w:hAnsi="Times New Roman" w:cs="Times New Roman"/>
          <w:b/>
          <w:bCs/>
          <w:sz w:val="24"/>
        </w:rPr>
      </w:pPr>
      <w:r>
        <w:rPr>
          <w:rFonts w:ascii="Times New Roman" w:eastAsia="宋体" w:hAnsi="Times New Roman" w:cs="Times New Roman"/>
          <w:b/>
          <w:bCs/>
          <w:sz w:val="24"/>
        </w:rPr>
        <w:lastRenderedPageBreak/>
        <w:t>Mouse Models</w:t>
      </w:r>
    </w:p>
    <w:p w14:paraId="26579992" w14:textId="77777777" w:rsidR="00FB1285" w:rsidRDefault="00000000">
      <w:pPr>
        <w:spacing w:line="360" w:lineRule="auto"/>
        <w:ind w:firstLineChars="200" w:firstLine="480"/>
        <w:rPr>
          <w:rFonts w:ascii="Times New Roman" w:eastAsia="宋体" w:hAnsi="Times New Roman" w:cs="Times New Roman"/>
          <w:sz w:val="24"/>
        </w:rPr>
      </w:pPr>
      <w:r>
        <w:rPr>
          <w:rFonts w:ascii="Times New Roman" w:eastAsia="宋体" w:hAnsi="Times New Roman" w:cs="Times New Roman"/>
          <w:sz w:val="24"/>
        </w:rPr>
        <w:t>C57BL/6J mice (6 weeks) were used for tumorigenesis and metastasis assays. For subcutaneous models, 100 μL of CRC cell suspension (1×10⁴ cells/μL) was injected into the right flank</w:t>
      </w:r>
      <w:r>
        <w:t xml:space="preserve"> </w:t>
      </w:r>
      <w:r>
        <w:rPr>
          <w:rFonts w:ascii="Times New Roman" w:eastAsia="宋体" w:hAnsi="Times New Roman" w:cs="Times New Roman"/>
          <w:sz w:val="24"/>
        </w:rPr>
        <w:t xml:space="preserve">of each mouse. Tumor volume was monitored weekly (volume = length × width² × 0.5). </w:t>
      </w:r>
      <w:r>
        <w:rPr>
          <w:rFonts w:ascii="Times New Roman" w:eastAsia="宋体" w:hAnsi="Times New Roman" w:cs="Times New Roman" w:hint="eastAsia"/>
          <w:sz w:val="24"/>
        </w:rPr>
        <w:t>Each experimental group consisted of six biologically independent mice (n = 6). Statistical comparisons between two groups were performed using a two-tailed unpaired Student</w:t>
      </w:r>
      <w:r>
        <w:rPr>
          <w:rFonts w:ascii="Times New Roman" w:eastAsia="宋体" w:hAnsi="Times New Roman" w:cs="Times New Roman"/>
          <w:sz w:val="24"/>
        </w:rPr>
        <w:t>’</w:t>
      </w:r>
      <w:r>
        <w:rPr>
          <w:rFonts w:ascii="Times New Roman" w:eastAsia="宋体" w:hAnsi="Times New Roman" w:cs="Times New Roman" w:hint="eastAsia"/>
          <w:sz w:val="24"/>
        </w:rPr>
        <w:t xml:space="preserve">s t-test. </w:t>
      </w:r>
      <w:r>
        <w:rPr>
          <w:rFonts w:ascii="Times New Roman" w:eastAsia="宋体" w:hAnsi="Times New Roman" w:cs="Times New Roman"/>
          <w:sz w:val="24"/>
        </w:rPr>
        <w:t>For liver metastasis models, 100 μL of the same cell suspension was injected into the spleen subcapsular space. Mice were sacrificed at 3-4 weeks post-inoculation; tumors and livers were harvested for H&amp;E staining and flow cytometry.</w:t>
      </w:r>
      <w:r>
        <w:rPr>
          <w:rFonts w:hint="eastAsia"/>
        </w:rPr>
        <w:t xml:space="preserve"> </w:t>
      </w:r>
      <w:r>
        <w:rPr>
          <w:rFonts w:ascii="Times New Roman" w:eastAsia="宋体" w:hAnsi="Times New Roman" w:cs="Times New Roman" w:hint="eastAsia"/>
          <w:sz w:val="24"/>
        </w:rPr>
        <w:t>Each experimental group consisted of five mice (n = 5). Statistical comparisons between two groups were performed using a two-tailed unpaired Student</w:t>
      </w:r>
      <w:r>
        <w:rPr>
          <w:rFonts w:ascii="Times New Roman" w:eastAsia="宋体" w:hAnsi="Times New Roman" w:cs="Times New Roman"/>
          <w:sz w:val="24"/>
        </w:rPr>
        <w:t>’</w:t>
      </w:r>
      <w:r>
        <w:rPr>
          <w:rFonts w:ascii="Times New Roman" w:eastAsia="宋体" w:hAnsi="Times New Roman" w:cs="Times New Roman" w:hint="eastAsia"/>
          <w:sz w:val="24"/>
        </w:rPr>
        <w:t>s t-test.</w:t>
      </w:r>
      <w:r>
        <w:rPr>
          <w:rFonts w:ascii="Times New Roman" w:eastAsia="宋体" w:hAnsi="Times New Roman" w:cs="Times New Roman"/>
          <w:sz w:val="24"/>
        </w:rPr>
        <w:t xml:space="preserve"> All animal procedures were approved by the Institutional Animal Care and Use Committee of Nanjing Medical University (IACUC-2309022).</w:t>
      </w:r>
    </w:p>
    <w:p w14:paraId="09AB4325" w14:textId="77777777" w:rsidR="00FB1285" w:rsidRDefault="00000000">
      <w:pPr>
        <w:spacing w:line="360" w:lineRule="auto"/>
        <w:ind w:firstLineChars="200" w:firstLine="480"/>
        <w:rPr>
          <w:rFonts w:ascii="Times New Roman" w:eastAsia="宋体" w:hAnsi="Times New Roman" w:cs="Times New Roman"/>
          <w:sz w:val="24"/>
        </w:rPr>
      </w:pPr>
      <w:r>
        <w:rPr>
          <w:rFonts w:ascii="Times New Roman" w:eastAsia="宋体" w:hAnsi="Times New Roman" w:cs="Times New Roman"/>
          <w:sz w:val="24"/>
        </w:rPr>
        <w:t xml:space="preserve">Briefly describe the experimental methods used in the research as follows: </w:t>
      </w:r>
      <w:r>
        <w:rPr>
          <w:rFonts w:ascii="Cambria Math" w:eastAsia="宋体" w:hAnsi="Cambria Math" w:cs="Cambria Math"/>
          <w:sz w:val="24"/>
        </w:rPr>
        <w:t>①</w:t>
      </w:r>
      <w:r>
        <w:rPr>
          <w:rFonts w:ascii="Times New Roman" w:eastAsia="宋体" w:hAnsi="Times New Roman" w:cs="Times New Roman"/>
          <w:sz w:val="24"/>
        </w:rPr>
        <w:t xml:space="preserve"> Tumor quantification method (e.g., "After the mice were sacrificed, the tumor tissues were dissected, the weight of the tumor was measured with an electronic balance, the long and short diameters of the tumor were measured with a vernier caliper, and the tumor volume was calculated according to the formula V=πab²/6"); </w:t>
      </w:r>
      <w:r>
        <w:rPr>
          <w:rFonts w:ascii="Cambria Math" w:eastAsia="宋体" w:hAnsi="Cambria Math" w:cs="Cambria Math"/>
          <w:sz w:val="24"/>
        </w:rPr>
        <w:t>②</w:t>
      </w:r>
      <w:r>
        <w:rPr>
          <w:rFonts w:ascii="Times New Roman" w:eastAsia="宋体" w:hAnsi="Times New Roman" w:cs="Times New Roman"/>
          <w:sz w:val="24"/>
        </w:rPr>
        <w:t xml:space="preserve"> ENO2 gene knockout method (e.g., "CRISPR-Cas9 technology was used, the gRNA sequence was AGCCTCTACGGGCATCTATGAGG, and the plasmid vector was used. The method for verifying infection efficiency is detailed in the supplementary methods"); </w:t>
      </w:r>
      <w:r>
        <w:rPr>
          <w:rFonts w:ascii="Cambria Math" w:eastAsia="宋体" w:hAnsi="Cambria Math" w:cs="Cambria Math"/>
          <w:sz w:val="24"/>
        </w:rPr>
        <w:t>③</w:t>
      </w:r>
      <w:r>
        <w:rPr>
          <w:rFonts w:ascii="Times New Roman" w:eastAsia="宋体" w:hAnsi="Times New Roman" w:cs="Times New Roman"/>
          <w:sz w:val="24"/>
        </w:rPr>
        <w:t xml:space="preserve"> Quality control method for ENO2 gene knockout (e.g., "After knockout, Western blot was used to detect ENO2 protein expression, and qPCR was used to detect ENO2 mRNA expression); </w:t>
      </w:r>
      <w:r>
        <w:rPr>
          <w:rFonts w:ascii="Cambria Math" w:eastAsia="宋体" w:hAnsi="Cambria Math" w:cs="Cambria Math"/>
          <w:sz w:val="24"/>
        </w:rPr>
        <w:t>④</w:t>
      </w:r>
      <w:r>
        <w:rPr>
          <w:rFonts w:ascii="Times New Roman" w:eastAsia="宋体" w:hAnsi="Times New Roman" w:cs="Times New Roman"/>
          <w:sz w:val="24"/>
        </w:rPr>
        <w:t xml:space="preserve"> ENOblock usage method (e.g., "ENOblock (AP-III-a4, HY-15858) was dissolved in DMSO, injected intraperitoneally at a dose of 50mg/kg, 3 times a week for 4 consecutive weeks, and the control group was injected with the same volume of DMSO"); </w:t>
      </w:r>
      <w:r>
        <w:rPr>
          <w:rFonts w:ascii="Cambria Math" w:eastAsia="宋体" w:hAnsi="Cambria Math" w:cs="Cambria Math"/>
          <w:sz w:val="24"/>
        </w:rPr>
        <w:t>⑤</w:t>
      </w:r>
      <w:r>
        <w:rPr>
          <w:rFonts w:ascii="Times New Roman" w:eastAsia="宋体" w:hAnsi="Times New Roman" w:cs="Times New Roman"/>
          <w:sz w:val="24"/>
        </w:rPr>
        <w:t xml:space="preserve"> Immunofluorescence experimental method (e.g., "Tissue sections were dewaxed to water, blocked after antigen retrieval, incubated with primary antibody overnight, incubated with fluorescent secondary antibody for 1 hour, stained with DAPI for 5 minutes, observed and photographed under a fluorescence </w:t>
      </w:r>
      <w:r>
        <w:rPr>
          <w:rFonts w:ascii="Times New Roman" w:eastAsia="宋体" w:hAnsi="Times New Roman" w:cs="Times New Roman"/>
          <w:sz w:val="24"/>
        </w:rPr>
        <w:lastRenderedPageBreak/>
        <w:t xml:space="preserve">microscope"); </w:t>
      </w:r>
      <w:r>
        <w:rPr>
          <w:rFonts w:ascii="Cambria Math" w:eastAsia="宋体" w:hAnsi="Cambria Math" w:cs="Cambria Math"/>
          <w:sz w:val="24"/>
        </w:rPr>
        <w:t>⑥</w:t>
      </w:r>
      <w:r>
        <w:rPr>
          <w:rFonts w:ascii="Times New Roman" w:eastAsia="宋体" w:hAnsi="Times New Roman" w:cs="Times New Roman"/>
          <w:sz w:val="24"/>
        </w:rPr>
        <w:t xml:space="preserve"> Metastasis model construction (e.g., "Splenic injection model: HCT-116 cells in logarithmic growth phase were taken, adjusted to a concentration of 1×10⁶ cells/mL, the mice were anesthetized and laparotomized, 100μL of cell suspension was injected into the spleen, the incision was sutured, and liver metastases were detected 21 days after operation"); </w:t>
      </w:r>
      <w:r>
        <w:rPr>
          <w:rFonts w:ascii="Cambria Math" w:eastAsia="宋体" w:hAnsi="Cambria Math" w:cs="Cambria Math"/>
          <w:sz w:val="24"/>
        </w:rPr>
        <w:t>⑦</w:t>
      </w:r>
      <w:r>
        <w:rPr>
          <w:rFonts w:ascii="Times New Roman" w:eastAsia="宋体" w:hAnsi="Times New Roman" w:cs="Times New Roman"/>
          <w:sz w:val="24"/>
        </w:rPr>
        <w:t xml:space="preserve"> Pyrithioxin treatment and effect evaluation (e.g., "Pyrithioxin was intragastrically administered at a dose of 20mg/kg once a day for 21 consecutive days, and the effect was evaluated by Western blot to detect the expression of related proteins and IHC to detect the polarization of macrophages").</w:t>
      </w:r>
    </w:p>
    <w:p w14:paraId="0A3B9266" w14:textId="77777777" w:rsidR="00FB1285" w:rsidRDefault="00000000">
      <w:pPr>
        <w:spacing w:beforeLines="50" w:before="156" w:line="360" w:lineRule="auto"/>
        <w:rPr>
          <w:rFonts w:ascii="Times New Roman" w:eastAsia="宋体" w:hAnsi="Times New Roman" w:cs="Times New Roman"/>
          <w:b/>
          <w:bCs/>
          <w:sz w:val="24"/>
        </w:rPr>
      </w:pPr>
      <w:r>
        <w:rPr>
          <w:rFonts w:ascii="Times New Roman" w:eastAsia="宋体" w:hAnsi="Times New Roman" w:cs="Times New Roman"/>
          <w:b/>
          <w:bCs/>
          <w:sz w:val="24"/>
        </w:rPr>
        <w:t>Flow Cytometry</w:t>
      </w:r>
    </w:p>
    <w:p w14:paraId="2A6C101F" w14:textId="77777777" w:rsidR="00FB1285" w:rsidRDefault="00000000">
      <w:pPr>
        <w:spacing w:line="360" w:lineRule="auto"/>
        <w:ind w:firstLineChars="200" w:firstLine="480"/>
        <w:rPr>
          <w:rFonts w:ascii="Times New Roman" w:eastAsia="宋体" w:hAnsi="Times New Roman" w:cs="Times New Roman"/>
          <w:sz w:val="24"/>
        </w:rPr>
      </w:pPr>
      <w:r>
        <w:rPr>
          <w:rFonts w:ascii="Times New Roman" w:eastAsia="宋体" w:hAnsi="Times New Roman" w:cs="Times New Roman"/>
          <w:sz w:val="24"/>
        </w:rPr>
        <w:t>Single-cell suspensions were prepared from tumor tissues via enzymatic digestion with a trypsin-collagenase mixture (37°C, 30 min) and subsequent passage through a 70-μm strainer. Cells were first stained for surface markers with the specified antibodies on ice for 30 min in the dark. Following fixation and permeabilization with BD Cytofix/Cytoperm™ Solution as per the protocol, intracellular staining was performed on ice for 1 h in the dark. After being washed twice with staining buffer, the samples were then subjected to flow cytometry. Data were analyzed with FlowJo (v10.4).</w:t>
      </w:r>
      <w:r>
        <w:rPr>
          <w:rFonts w:ascii="Times New Roman" w:hAnsi="Times New Roman" w:cs="Times New Roman"/>
        </w:rPr>
        <w:t xml:space="preserve"> </w:t>
      </w:r>
      <w:r>
        <w:rPr>
          <w:rFonts w:ascii="Times New Roman" w:eastAsia="宋体" w:hAnsi="Times New Roman" w:cs="Times New Roman"/>
          <w:sz w:val="24"/>
        </w:rPr>
        <w:t xml:space="preserve">The blank control group was used to adjust the instrument parameters, and the isotype control group was used to set the threshold for non-specific binding.  Antibody details: APC anti-human CD206 (550889, BD Pharmingen), PE anti-human CD86 (560957, BD Pharmingen), BV510 anti-mouse CD45 (563891, BD Pharmingen), PE/Cy7 anti-mouse CD11b (101216, BD Pharmingen), and BV421 anti-mouse F4/80 (565411, BD Pharmingen), APC anti-mouse CD206 (141707, Biolegnd), PE anti-mouse CD206 (159203, Biolegnd). </w:t>
      </w:r>
    </w:p>
    <w:p w14:paraId="0EB35087" w14:textId="77777777" w:rsidR="00FB1285" w:rsidRDefault="00000000">
      <w:pPr>
        <w:spacing w:beforeLines="50" w:before="156" w:line="360" w:lineRule="auto"/>
        <w:rPr>
          <w:rFonts w:ascii="Times New Roman" w:eastAsia="宋体" w:hAnsi="Times New Roman" w:cs="Times New Roman"/>
          <w:b/>
          <w:bCs/>
          <w:sz w:val="24"/>
        </w:rPr>
      </w:pPr>
      <w:r>
        <w:rPr>
          <w:rFonts w:ascii="Times New Roman" w:eastAsia="宋体" w:hAnsi="Times New Roman" w:cs="Times New Roman"/>
          <w:b/>
          <w:bCs/>
          <w:sz w:val="24"/>
        </w:rPr>
        <w:t>Co-IP, Mass Spectrometry, and GST-Pull Down</w:t>
      </w:r>
    </w:p>
    <w:p w14:paraId="102507AA" w14:textId="77777777" w:rsidR="00FB1285" w:rsidRDefault="00000000">
      <w:pPr>
        <w:spacing w:line="360" w:lineRule="auto"/>
        <w:ind w:firstLineChars="200" w:firstLine="480"/>
        <w:rPr>
          <w:rFonts w:ascii="Times New Roman" w:eastAsia="宋体" w:hAnsi="Times New Roman" w:cs="Times New Roman"/>
          <w:sz w:val="24"/>
        </w:rPr>
      </w:pPr>
      <w:r>
        <w:rPr>
          <w:rFonts w:ascii="Times New Roman" w:eastAsia="宋体" w:hAnsi="Times New Roman" w:cs="Times New Roman"/>
          <w:sz w:val="24"/>
        </w:rPr>
        <w:t xml:space="preserve">Endogenous Co-IP was performed to detect native ENO2-MIF interactions in human colorectal cancer cell lines DLD-1 and HCT116. Cells were lysed in IP Lysis buffer with protease inhibitors, 1mL Pierce™ IP Lysis Buffer was added to every 1×10⁷ cells, lysed on ice for 30 minutes, centrifuged at 12000rpm for 15 minutes, and the supernatant was collected, followed by overnight immunoprecipitation (IP) at 4°C </w:t>
      </w:r>
      <w:r>
        <w:rPr>
          <w:rFonts w:ascii="Times New Roman" w:eastAsia="宋体" w:hAnsi="Times New Roman" w:cs="Times New Roman"/>
          <w:sz w:val="24"/>
        </w:rPr>
        <w:lastRenderedPageBreak/>
        <w:t>using antibodies against endogenous ENO2 (Abcam, Cat. No. ab53025, dilution ratio 1/500-1/1000) or MIF (Abcam, Cat. No. ab7207) . Immune complexes were captured with Protein A/G agarose beads, washed to remove non-specific binding, and analyzed by Western blotting. For exogenous validation, HEK293T cells were co-transfected with Flag-tagged ENO2 and Myc-tagged MIF plasmids using lipid-based reagents. After 48 hr, lysates were subjected to IP with anti-Flag or anti-Myc antibodies, then immunoblotted to confirm direct binding. The protein complex eluted from the Co-IP assay was separated by SDS-PAGE electrophoresis, and the gel was stained with Coomassie Brilliant Blue R-250 for 1 hour. The target protein bands were cut out with sterile scissors, destained with destaining solution (acetonitrile:50 mM ammonium bicarbonate = 1:1, volume ratio) until the gel was transparent. The gel pieces were dehydrated with 100% acetonitrile, dried in a vacuum dryer, and then digested with trypsin (20μg/mL) at 37℃ overnight. The peptide fragments were extracted with extraction solution, and dried by vacuum centrifugation. The mass spectrometry data were analyzed using MaxQuant software (version 1.6.17.0).</w:t>
      </w:r>
    </w:p>
    <w:p w14:paraId="77A3B635" w14:textId="77777777" w:rsidR="00FB1285" w:rsidRDefault="00000000">
      <w:pPr>
        <w:spacing w:line="360" w:lineRule="auto"/>
        <w:ind w:firstLineChars="200" w:firstLine="480"/>
        <w:rPr>
          <w:rFonts w:ascii="Times New Roman" w:eastAsia="宋体" w:hAnsi="Times New Roman" w:cs="Times New Roman"/>
          <w:sz w:val="24"/>
        </w:rPr>
      </w:pPr>
      <w:r>
        <w:rPr>
          <w:rFonts w:ascii="Times New Roman" w:eastAsia="宋体" w:hAnsi="Times New Roman" w:cs="Times New Roman"/>
          <w:sz w:val="24"/>
        </w:rPr>
        <w:t xml:space="preserve">The ENO2 gene and MIF gene were cloned into the pGEX-4T-1 vector (Addgene, USA) to construct GST-ENO2 and </w:t>
      </w:r>
      <w:r>
        <w:rPr>
          <w:rFonts w:ascii="Times New Roman" w:eastAsia="宋体" w:hAnsi="Times New Roman" w:cs="Times New Roman" w:hint="eastAsia"/>
          <w:sz w:val="24"/>
        </w:rPr>
        <w:t>Myc</w:t>
      </w:r>
      <w:r>
        <w:rPr>
          <w:rFonts w:ascii="Times New Roman" w:eastAsia="宋体" w:hAnsi="Times New Roman" w:cs="Times New Roman"/>
          <w:sz w:val="24"/>
        </w:rPr>
        <w:t xml:space="preserve">-MIF recombinant vectors in DLD-1 cells. The recombinant vectors were transformed into Escherichia coli BL21 (DE3) competent cells (TransGen Biotech, China). The cells were induced with 0.5 mM IPTG at 37℃ for 4 hours to express the recombinant proteins. The cells were collected, lysed by ultrasonic crushing, and the recombinant proteins were purified using Glutathione Sepharose 4B Beads according to the manufacturer's instructions. The purity of the recombinant proteins was verified by SDS-PAGE electrophoresis. 20μL of Glutathione Sepharose 4B Beads (pre-washed 3 times with PBS) was added to a 1.5 mL centrifuge tube, and 10μg of GST-ENO2 recombinant protein (or </w:t>
      </w:r>
      <w:r>
        <w:rPr>
          <w:rFonts w:ascii="Times New Roman" w:eastAsia="宋体" w:hAnsi="Times New Roman" w:cs="Times New Roman" w:hint="eastAsia"/>
          <w:sz w:val="24"/>
        </w:rPr>
        <w:t>Myc</w:t>
      </w:r>
      <w:r>
        <w:rPr>
          <w:rFonts w:ascii="Times New Roman" w:eastAsia="宋体" w:hAnsi="Times New Roman" w:cs="Times New Roman"/>
          <w:sz w:val="24"/>
        </w:rPr>
        <w:t xml:space="preserve">-MIF) was added. The tube was incubated at 4℃ with gentle shaking for 1 hour to allow the recombinant protein to bind to the beads. Then, 10μg of purified MIF protein (or ENO2 protein) was added, and incubated at 4℃ with gentle shaking overnight. The beads were washed 5 times with PBS (centrifuged at 3000 rpm, 4℃ for 5 minutes each time), and 50μL of 2×SDS Loading Buffer was added. The mixture was boiled at 95℃ for 10 minutes, and the </w:t>
      </w:r>
      <w:r>
        <w:rPr>
          <w:rFonts w:ascii="Times New Roman" w:eastAsia="宋体" w:hAnsi="Times New Roman" w:cs="Times New Roman"/>
          <w:sz w:val="24"/>
        </w:rPr>
        <w:lastRenderedPageBreak/>
        <w:t xml:space="preserve">eluate was collected for Western blot detection (GST Tag Antibody </w:t>
      </w:r>
      <w:r>
        <w:rPr>
          <w:rFonts w:ascii="Times New Roman" w:eastAsia="宋体" w:hAnsi="Times New Roman" w:cs="Times New Roman" w:hint="eastAsia"/>
          <w:sz w:val="24"/>
        </w:rPr>
        <w:t xml:space="preserve">and Myc Tag Antibody </w:t>
      </w:r>
      <w:r>
        <w:rPr>
          <w:rFonts w:ascii="Times New Roman" w:eastAsia="宋体" w:hAnsi="Times New Roman" w:cs="Times New Roman"/>
          <w:sz w:val="24"/>
        </w:rPr>
        <w:t>was used to detect the recombinant protein).</w:t>
      </w:r>
    </w:p>
    <w:p w14:paraId="5E920AF5" w14:textId="77777777" w:rsidR="00FB1285" w:rsidRDefault="00000000">
      <w:pPr>
        <w:spacing w:beforeLines="50" w:before="156" w:line="360" w:lineRule="auto"/>
        <w:rPr>
          <w:rFonts w:ascii="Times New Roman" w:eastAsia="宋体" w:hAnsi="Times New Roman" w:cs="Times New Roman"/>
          <w:b/>
          <w:bCs/>
          <w:sz w:val="24"/>
        </w:rPr>
      </w:pPr>
      <w:r>
        <w:rPr>
          <w:rFonts w:ascii="Times New Roman" w:eastAsia="宋体" w:hAnsi="Times New Roman" w:cs="Times New Roman"/>
          <w:b/>
          <w:bCs/>
          <w:sz w:val="24"/>
        </w:rPr>
        <w:t>Proximity Ligation Assay (PLA)</w:t>
      </w:r>
    </w:p>
    <w:p w14:paraId="23BB5503" w14:textId="77777777" w:rsidR="00FB1285" w:rsidRDefault="00000000">
      <w:pPr>
        <w:spacing w:beforeLines="50" w:before="156" w:line="360" w:lineRule="auto"/>
        <w:ind w:firstLineChars="200" w:firstLine="480"/>
        <w:rPr>
          <w:rFonts w:ascii="Times New Roman" w:eastAsia="宋体" w:hAnsi="Times New Roman" w:cs="Times New Roman"/>
          <w:sz w:val="24"/>
        </w:rPr>
      </w:pPr>
      <w:r>
        <w:rPr>
          <w:rFonts w:ascii="Times New Roman" w:eastAsia="宋体" w:hAnsi="Times New Roman" w:cs="Times New Roman"/>
          <w:sz w:val="24"/>
        </w:rPr>
        <w:t xml:space="preserve">HCT-116 </w:t>
      </w:r>
      <w:r>
        <w:rPr>
          <w:rFonts w:ascii="Times New Roman" w:eastAsia="宋体" w:hAnsi="Times New Roman" w:cs="Times New Roman" w:hint="eastAsia"/>
          <w:sz w:val="24"/>
        </w:rPr>
        <w:t xml:space="preserve">and DLD-1 </w:t>
      </w:r>
      <w:r>
        <w:rPr>
          <w:rFonts w:ascii="Times New Roman" w:eastAsia="宋体" w:hAnsi="Times New Roman" w:cs="Times New Roman"/>
          <w:sz w:val="24"/>
        </w:rPr>
        <w:t>cells were seeded onto sterile cover slips in 6-well plates at a density of 5×10⁴ cells/well, and cultured overnight until the cell confluency reached 50-60%.</w:t>
      </w:r>
      <w:r>
        <w:rPr>
          <w:rFonts w:ascii="Times New Roman" w:eastAsia="宋体" w:hAnsi="Times New Roman" w:cs="Times New Roman" w:hint="eastAsia"/>
          <w:sz w:val="24"/>
        </w:rPr>
        <w:t xml:space="preserve"> The cells were washed twice with PBS, fixed with 4% paraformaldehyde at room temperature for 15 minutes, and washed 3 times with PBS (5 minutes each). The cells were permeabilized with 0.2% Triton X-100 at room temperature for 10 minutes, and washed 3 times with PBS (5 minutes each). The cover slips were placed in a humid chamber, and 5% BSA was added to cover the cells. The cells were blocked at 37</w:t>
      </w:r>
      <w:r>
        <w:rPr>
          <w:rFonts w:ascii="Times New Roman" w:eastAsia="宋体" w:hAnsi="Times New Roman" w:cs="Times New Roman" w:hint="eastAsia"/>
          <w:sz w:val="24"/>
        </w:rPr>
        <w:t>℃</w:t>
      </w:r>
      <w:r>
        <w:rPr>
          <w:rFonts w:ascii="Times New Roman" w:eastAsia="宋体" w:hAnsi="Times New Roman" w:cs="Times New Roman" w:hint="eastAsia"/>
          <w:sz w:val="24"/>
        </w:rPr>
        <w:t xml:space="preserve"> for 1 hour. The blocking solution was discarded, and primary antibodies against ENO2 (rabbit anti-human, 1:200) and MIF (mouse anti-human, 1:200) were added. The cells were incubated at 4</w:t>
      </w:r>
      <w:r>
        <w:rPr>
          <w:rFonts w:ascii="Times New Roman" w:eastAsia="宋体" w:hAnsi="Times New Roman" w:cs="Times New Roman" w:hint="eastAsia"/>
          <w:sz w:val="24"/>
        </w:rPr>
        <w:t>℃</w:t>
      </w:r>
      <w:r>
        <w:rPr>
          <w:rFonts w:ascii="Times New Roman" w:eastAsia="宋体" w:hAnsi="Times New Roman" w:cs="Times New Roman" w:hint="eastAsia"/>
          <w:sz w:val="24"/>
        </w:rPr>
        <w:t xml:space="preserve"> overnight. The next day, the cells were washed 3 times with PBS (5 minutes each). Duolink In Situ PLA Probe Anti-Rabbit PLUS and Anti-Mouse MINUS were mixed at a ratio of 1:50 in Duolink In Situ Antibody Diluent. The mixture was added to the cover slips, and incubated at 37</w:t>
      </w:r>
      <w:r>
        <w:rPr>
          <w:rFonts w:ascii="Times New Roman" w:eastAsia="宋体" w:hAnsi="Times New Roman" w:cs="Times New Roman" w:hint="eastAsia"/>
          <w:sz w:val="24"/>
        </w:rPr>
        <w:t>℃</w:t>
      </w:r>
      <w:r>
        <w:rPr>
          <w:rFonts w:ascii="Times New Roman" w:eastAsia="宋体" w:hAnsi="Times New Roman" w:cs="Times New Roman" w:hint="eastAsia"/>
          <w:sz w:val="24"/>
        </w:rPr>
        <w:t xml:space="preserve"> in a humid chamber for 1 hour. The cells were washed 2 times with Duolink In Situ Wash Buffer A (5 minutes each). Duolink In Situ Ligation Solution was added to the cover slips, and incubated at 37</w:t>
      </w:r>
      <w:r>
        <w:rPr>
          <w:rFonts w:ascii="Times New Roman" w:eastAsia="宋体" w:hAnsi="Times New Roman" w:cs="Times New Roman" w:hint="eastAsia"/>
          <w:sz w:val="24"/>
        </w:rPr>
        <w:t>℃</w:t>
      </w:r>
      <w:r>
        <w:rPr>
          <w:rFonts w:ascii="Times New Roman" w:eastAsia="宋体" w:hAnsi="Times New Roman" w:cs="Times New Roman" w:hint="eastAsia"/>
          <w:sz w:val="24"/>
        </w:rPr>
        <w:t xml:space="preserve"> in a humid chamber for 30 minutes. The cells were washed 2 times with Duolink In Situ Wash Buffer A (5 minutes each). Then, Duolink In Situ Amplification Solution was added, and incubated at 37</w:t>
      </w:r>
      <w:r>
        <w:rPr>
          <w:rFonts w:ascii="Times New Roman" w:eastAsia="宋体" w:hAnsi="Times New Roman" w:cs="Times New Roman" w:hint="eastAsia"/>
          <w:sz w:val="24"/>
        </w:rPr>
        <w:t>℃</w:t>
      </w:r>
      <w:r>
        <w:rPr>
          <w:rFonts w:ascii="Times New Roman" w:eastAsia="宋体" w:hAnsi="Times New Roman" w:cs="Times New Roman" w:hint="eastAsia"/>
          <w:sz w:val="24"/>
        </w:rPr>
        <w:t xml:space="preserve"> in a humid chamber for 90 minutes. The cells were washed 2 times with Duolink In Situ Wash Buffer B (10 minutes each), and washed once with 0.01</w:t>
      </w:r>
      <w:r>
        <w:rPr>
          <w:rFonts w:ascii="Times New Roman" w:eastAsia="宋体" w:hAnsi="Times New Roman" w:cs="Times New Roman" w:hint="eastAsia"/>
          <w:sz w:val="24"/>
        </w:rPr>
        <w:t>×</w:t>
      </w:r>
      <w:r>
        <w:rPr>
          <w:rFonts w:ascii="Times New Roman" w:eastAsia="宋体" w:hAnsi="Times New Roman" w:cs="Times New Roman" w:hint="eastAsia"/>
          <w:sz w:val="24"/>
        </w:rPr>
        <w:t>Wash Buffer B (1 minute). The cover slips were mounted with Duolink In Situ Mounting Medium with DAPI. The cells were observed under a fluorescence microscope (excitation wavelength 594 nm for PLA signals, 358 nm for DAPI), and the number of positive PLA spots (red) per cell was counted using Image-Pro Plus 6.0 software. Three fields of view were selected for each sample, and the average number of positive spots was calculated.</w:t>
      </w:r>
    </w:p>
    <w:p w14:paraId="64B91F2B" w14:textId="77777777" w:rsidR="00FB1285" w:rsidRDefault="00000000">
      <w:pPr>
        <w:spacing w:beforeLines="50" w:before="156" w:line="360" w:lineRule="auto"/>
        <w:rPr>
          <w:rFonts w:ascii="Times New Roman" w:eastAsia="宋体" w:hAnsi="Times New Roman" w:cs="Times New Roman"/>
          <w:b/>
          <w:bCs/>
          <w:sz w:val="24"/>
        </w:rPr>
      </w:pPr>
      <w:r>
        <w:rPr>
          <w:rFonts w:ascii="Times New Roman" w:eastAsia="宋体" w:hAnsi="Times New Roman" w:cs="Times New Roman" w:hint="eastAsia"/>
          <w:b/>
          <w:bCs/>
          <w:sz w:val="24"/>
        </w:rPr>
        <w:t>ENO2 Knockdown (DLD-1 Cells) and Overexpression (HCT-116 Cells) Assays</w:t>
      </w:r>
    </w:p>
    <w:p w14:paraId="2CED8E9D" w14:textId="77777777" w:rsidR="00FB1285" w:rsidRDefault="00000000">
      <w:pPr>
        <w:spacing w:line="360" w:lineRule="auto"/>
        <w:ind w:firstLineChars="200" w:firstLine="480"/>
        <w:rPr>
          <w:rFonts w:ascii="Times New Roman" w:eastAsia="宋体" w:hAnsi="Times New Roman" w:cs="Times New Roman"/>
          <w:sz w:val="24"/>
        </w:rPr>
      </w:pPr>
      <w:r>
        <w:rPr>
          <w:rFonts w:ascii="Times New Roman" w:eastAsia="宋体" w:hAnsi="Times New Roman" w:cs="Times New Roman" w:hint="eastAsia"/>
          <w:sz w:val="24"/>
        </w:rPr>
        <w:lastRenderedPageBreak/>
        <w:t xml:space="preserve">CRC </w:t>
      </w:r>
      <w:r>
        <w:rPr>
          <w:rFonts w:ascii="Times New Roman" w:eastAsia="宋体" w:hAnsi="Times New Roman" w:cs="Times New Roman"/>
          <w:sz w:val="24"/>
        </w:rPr>
        <w:t>cells in logarithmic growth phase were seeded into 6-well plates at a density of 2×10⁵ cells/well, and cultured overnight until the cell confluency reached 70-80%</w:t>
      </w:r>
      <w:r>
        <w:rPr>
          <w:rFonts w:ascii="Times New Roman" w:eastAsia="宋体" w:hAnsi="Times New Roman" w:cs="Times New Roman" w:hint="eastAsia"/>
          <w:sz w:val="24"/>
        </w:rPr>
        <w:t>. ENO2 shRNA transfection was used for knockdown; the shRNA sequence was CGCCTGGCTAATAAGGCTTTA-Forward and TAAAGCCTTATTAGCCAGGCG-Reverse; pcDNA3.1-ENO2 vector transfection was used for overexpression, and the transfection reagent was Lipofectamine 3000. 48 hours after transfection, qPCR was used to detect mRNA expression, Western blot was used to detect protein expression. A blank control group, negative control group (transfected with irrelevant shRNA/empty vector were included.</w:t>
      </w:r>
    </w:p>
    <w:p w14:paraId="3084D648" w14:textId="77777777" w:rsidR="00FB1285" w:rsidRDefault="00000000">
      <w:pPr>
        <w:spacing w:beforeLines="50" w:before="156" w:line="360" w:lineRule="auto"/>
        <w:rPr>
          <w:rFonts w:ascii="Times New Roman" w:eastAsia="宋体" w:hAnsi="Times New Roman" w:cs="Times New Roman"/>
          <w:b/>
          <w:bCs/>
          <w:sz w:val="24"/>
        </w:rPr>
      </w:pPr>
      <w:r>
        <w:rPr>
          <w:rFonts w:ascii="Times New Roman" w:eastAsia="宋体" w:hAnsi="Times New Roman" w:cs="Times New Roman" w:hint="eastAsia"/>
          <w:b/>
          <w:bCs/>
          <w:sz w:val="24"/>
        </w:rPr>
        <w:t>Western Blotting</w:t>
      </w:r>
    </w:p>
    <w:p w14:paraId="731D594D" w14:textId="77777777" w:rsidR="00FB1285" w:rsidRDefault="00000000">
      <w:pPr>
        <w:spacing w:line="360" w:lineRule="auto"/>
        <w:ind w:firstLineChars="200" w:firstLine="480"/>
        <w:rPr>
          <w:rFonts w:ascii="Times New Roman" w:eastAsia="宋体" w:hAnsi="Times New Roman" w:cs="Times New Roman"/>
          <w:sz w:val="24"/>
        </w:rPr>
      </w:pPr>
      <w:r>
        <w:rPr>
          <w:rFonts w:ascii="Times New Roman" w:eastAsia="宋体" w:hAnsi="Times New Roman" w:cs="Times New Roman" w:hint="eastAsia"/>
          <w:sz w:val="24"/>
        </w:rPr>
        <w:t>Cells or tissues were collected, washed twice with PBS, and lysed with RIPA lysis buffer (containing 1% protease inhibitor and 1% phosphatase inhibitor) on ice for 30 minutes. The lysate was centrifuged at 12000 rpm, 4</w:t>
      </w:r>
      <w:r>
        <w:rPr>
          <w:rFonts w:ascii="Times New Roman" w:eastAsia="宋体" w:hAnsi="Times New Roman" w:cs="Times New Roman" w:hint="eastAsia"/>
          <w:sz w:val="24"/>
        </w:rPr>
        <w:t>℃</w:t>
      </w:r>
      <w:r>
        <w:rPr>
          <w:rFonts w:ascii="Times New Roman" w:eastAsia="宋体" w:hAnsi="Times New Roman" w:cs="Times New Roman" w:hint="eastAsia"/>
          <w:sz w:val="24"/>
        </w:rPr>
        <w:t xml:space="preserve"> for 15 minutes, and the supernatant was collected as total protein extract. BCA Protein Assay Kit was used to determine the protein concentration according to the manufacturer's instructions. The standard curve was drawn with BSA standard solution, and the protein concentration of each sample was calculated based on the standard curve. The protein samples were mixed with 4</w:t>
      </w:r>
      <w:r>
        <w:rPr>
          <w:rFonts w:ascii="Times New Roman" w:eastAsia="宋体" w:hAnsi="Times New Roman" w:cs="Times New Roman"/>
          <w:sz w:val="24"/>
        </w:rPr>
        <w:t>×</w:t>
      </w:r>
      <w:r>
        <w:rPr>
          <w:rFonts w:ascii="Times New Roman" w:eastAsia="宋体" w:hAnsi="Times New Roman" w:cs="Times New Roman" w:hint="eastAsia"/>
          <w:sz w:val="24"/>
        </w:rPr>
        <w:t xml:space="preserve"> SDS Loading Buffer at a ratio of 3:1, boiled at 95</w:t>
      </w:r>
      <w:r>
        <w:rPr>
          <w:rFonts w:ascii="Times New Roman" w:eastAsia="宋体" w:hAnsi="Times New Roman" w:cs="Times New Roman" w:hint="eastAsia"/>
          <w:sz w:val="24"/>
        </w:rPr>
        <w:t>℃</w:t>
      </w:r>
      <w:r>
        <w:rPr>
          <w:rFonts w:ascii="Times New Roman" w:eastAsia="宋体" w:hAnsi="Times New Roman" w:cs="Times New Roman" w:hint="eastAsia"/>
          <w:sz w:val="24"/>
        </w:rPr>
        <w:t xml:space="preserve"> for 10 minutes to denature the proteins. The denatured proteins (20</w:t>
      </w:r>
      <w:r>
        <w:rPr>
          <w:rFonts w:ascii="Times New Roman" w:eastAsia="宋体" w:hAnsi="Times New Roman" w:cs="Times New Roman" w:hint="eastAsia"/>
          <w:sz w:val="24"/>
        </w:rPr>
        <w:t>μ</w:t>
      </w:r>
      <w:r>
        <w:rPr>
          <w:rFonts w:ascii="Times New Roman" w:eastAsia="宋体" w:hAnsi="Times New Roman" w:cs="Times New Roman" w:hint="eastAsia"/>
          <w:sz w:val="24"/>
        </w:rPr>
        <w:t>g per sample) were loaded onto the SDS-PAGE gel (separating gel concentration 12%, stacking gel concentration 5%), and electrophoresis was performed at 80V for 30 minutes (stacking gel) and 120V for 90 minutes (separating gel). The proteins in the SDS-PAGE gel were transferred to PVDF membrane by wet transfer method (transfer buffer: 25 mM Tris, 192 mM glycine, 20% methanol). The transfer conditions were 300 mA, 90 minutes. After transfer, the PVDF membrane was rinsed with TBST for 5 minutes. The PVDF membrane was blocked with 5% skim milk at room temperature for 1 hour. After blocking, the membrane was incubated with primary antibody (dilution ratio 1:1000) at 4</w:t>
      </w:r>
      <w:r>
        <w:rPr>
          <w:rFonts w:ascii="Times New Roman" w:eastAsia="宋体" w:hAnsi="Times New Roman" w:cs="Times New Roman" w:hint="eastAsia"/>
          <w:sz w:val="24"/>
        </w:rPr>
        <w:t>℃</w:t>
      </w:r>
      <w:r>
        <w:rPr>
          <w:rFonts w:ascii="Times New Roman" w:eastAsia="宋体" w:hAnsi="Times New Roman" w:cs="Times New Roman" w:hint="eastAsia"/>
          <w:sz w:val="24"/>
        </w:rPr>
        <w:t xml:space="preserve"> overnight. The next day, the membrane was washed 3 times with TBST (10 minutes each), and incubated with HRP-conjugated secondary antibody (dilution ratio 1:5000) at room temperature for 1 </w:t>
      </w:r>
      <w:r>
        <w:rPr>
          <w:rFonts w:ascii="Times New Roman" w:eastAsia="宋体" w:hAnsi="Times New Roman" w:cs="Times New Roman" w:hint="eastAsia"/>
          <w:sz w:val="24"/>
        </w:rPr>
        <w:lastRenderedPageBreak/>
        <w:t xml:space="preserve">hour. The membrane was washed 3 times with TBST (10 minutes each). ECL chemiluminescent substrate was added to the PVDF membrane, and the chemiluminescent signal was detected by a chemiluminescent imaging system. ImageJ software was used to quantify the gray value of the protein bands. Western blot analyses were performed in triplicate, and </w:t>
      </w:r>
      <w:r>
        <w:rPr>
          <w:rFonts w:ascii="Times New Roman" w:eastAsia="宋体" w:hAnsi="Times New Roman" w:cs="Times New Roman"/>
          <w:sz w:val="24"/>
        </w:rPr>
        <w:t>β</w:t>
      </w:r>
      <w:r>
        <w:rPr>
          <w:rFonts w:ascii="Times New Roman" w:eastAsia="宋体" w:hAnsi="Times New Roman" w:cs="Times New Roman" w:hint="eastAsia"/>
          <w:sz w:val="24"/>
        </w:rPr>
        <w:t xml:space="preserve">-actin was used as an internal loading control to calculate the relative expression levels of target proteins. </w:t>
      </w:r>
    </w:p>
    <w:p w14:paraId="47F7D44F" w14:textId="77777777" w:rsidR="00FB1285" w:rsidRDefault="00000000">
      <w:pPr>
        <w:spacing w:line="360" w:lineRule="auto"/>
        <w:rPr>
          <w:rFonts w:ascii="Times New Roman" w:eastAsia="宋体" w:hAnsi="Times New Roman" w:cs="Times New Roman"/>
          <w:b/>
          <w:bCs/>
          <w:sz w:val="24"/>
        </w:rPr>
      </w:pPr>
      <w:r>
        <w:rPr>
          <w:rFonts w:ascii="Times New Roman" w:eastAsia="宋体" w:hAnsi="Times New Roman" w:cs="Times New Roman"/>
          <w:b/>
          <w:bCs/>
          <w:sz w:val="24"/>
        </w:rPr>
        <w:t>Single-Cell Preparation</w:t>
      </w:r>
    </w:p>
    <w:p w14:paraId="0998C5ED" w14:textId="77777777" w:rsidR="00FB1285" w:rsidRDefault="00000000">
      <w:pPr>
        <w:spacing w:afterLines="50" w:after="156" w:line="360" w:lineRule="auto"/>
        <w:ind w:firstLineChars="200" w:firstLine="480"/>
        <w:rPr>
          <w:rFonts w:ascii="Times New Roman" w:eastAsia="宋体" w:hAnsi="Times New Roman" w:cs="Times New Roman"/>
          <w:sz w:val="24"/>
        </w:rPr>
      </w:pPr>
      <w:r>
        <w:rPr>
          <w:rFonts w:ascii="Times New Roman" w:eastAsia="宋体" w:hAnsi="Times New Roman" w:cs="Times New Roman"/>
          <w:sz w:val="24"/>
        </w:rPr>
        <w:t>The collected 15 tissues were stored in the sCelLiveTM Tissue Preservation Solution (Singleron Biotechnologies, Nanjing, China) and then transported to the Singleron lab on ice as soon as possible post-surgical resection of human CRC tissues. The specimens were dissociated into single cell suspension with a Singleron PythoNTM Automated Tissue Dissociator (Singleron Biotechnologies) with sCelLiveTM Tissue Dissociation Mix (Singleron Biotechnologies). The sample was stained with trypan blue (Sigma, Shanghai, China) and microscopically evaluated for cell viability.</w:t>
      </w:r>
    </w:p>
    <w:p w14:paraId="44EDC5CD" w14:textId="77777777" w:rsidR="00FB1285" w:rsidRDefault="00000000">
      <w:pPr>
        <w:spacing w:line="360" w:lineRule="auto"/>
        <w:rPr>
          <w:rFonts w:ascii="Times New Roman" w:eastAsia="宋体" w:hAnsi="Times New Roman" w:cs="Times New Roman"/>
          <w:b/>
          <w:bCs/>
          <w:sz w:val="24"/>
        </w:rPr>
      </w:pPr>
      <w:r>
        <w:rPr>
          <w:rFonts w:ascii="Times New Roman" w:eastAsia="宋体" w:hAnsi="Times New Roman" w:cs="Times New Roman"/>
          <w:b/>
          <w:bCs/>
          <w:sz w:val="24"/>
        </w:rPr>
        <w:t>Single-Cell RNA Sequencing (scRNA-seq) and primary analysis</w:t>
      </w:r>
    </w:p>
    <w:p w14:paraId="70CA25DB" w14:textId="77777777" w:rsidR="00FB1285" w:rsidRDefault="00000000">
      <w:pPr>
        <w:spacing w:line="360" w:lineRule="auto"/>
        <w:ind w:firstLineChars="200" w:firstLine="480"/>
        <w:rPr>
          <w:rFonts w:ascii="Times New Roman" w:eastAsia="宋体" w:hAnsi="Times New Roman" w:cs="Times New Roman"/>
          <w:sz w:val="24"/>
        </w:rPr>
      </w:pPr>
      <w:r>
        <w:rPr>
          <w:rFonts w:ascii="Times New Roman" w:eastAsia="宋体" w:hAnsi="Times New Roman" w:cs="Times New Roman"/>
          <w:sz w:val="24"/>
        </w:rPr>
        <w:t>Single-cell suspensions at 1.0 × 10</w:t>
      </w:r>
      <w:r>
        <w:rPr>
          <w:rFonts w:ascii="Times New Roman" w:eastAsia="宋体" w:hAnsi="Times New Roman" w:cs="Times New Roman"/>
          <w:sz w:val="24"/>
          <w:vertAlign w:val="superscript"/>
        </w:rPr>
        <w:t>5</w:t>
      </w:r>
      <w:r>
        <w:rPr>
          <w:rFonts w:ascii="Times New Roman" w:eastAsia="宋体" w:hAnsi="Times New Roman" w:cs="Times New Roman"/>
          <w:sz w:val="24"/>
        </w:rPr>
        <w:t xml:space="preserve"> cells/mL in concentration in PBS (HyClone, Shanghai, China) were prepared and loaded onto microfluidic devices and scRNA-seq libraries were constructed according to Singleron GEXSCOPE</w:t>
      </w:r>
      <w:r>
        <w:rPr>
          <w:rFonts w:ascii="Times New Roman" w:eastAsia="宋体" w:hAnsi="Times New Roman" w:cs="Times New Roman"/>
          <w:sz w:val="24"/>
          <w:vertAlign w:val="superscript"/>
        </w:rPr>
        <w:t>®</w:t>
      </w:r>
      <w:r>
        <w:rPr>
          <w:rFonts w:ascii="Times New Roman" w:eastAsia="宋体" w:hAnsi="Times New Roman" w:cs="Times New Roman"/>
          <w:sz w:val="24"/>
        </w:rPr>
        <w:t xml:space="preserve"> protocol by GEXSCOPE</w:t>
      </w:r>
      <w:r>
        <w:rPr>
          <w:rFonts w:ascii="Times New Roman" w:eastAsia="宋体" w:hAnsi="Times New Roman" w:cs="Times New Roman"/>
          <w:sz w:val="24"/>
          <w:vertAlign w:val="superscript"/>
        </w:rPr>
        <w:t>®</w:t>
      </w:r>
      <w:r>
        <w:rPr>
          <w:rFonts w:ascii="Times New Roman" w:eastAsia="宋体" w:hAnsi="Times New Roman" w:cs="Times New Roman"/>
          <w:sz w:val="24"/>
        </w:rPr>
        <w:t xml:space="preserve"> Single-Cell RNA Library Kit (Singleron Biotechnologies) and Singleron Matrix</w:t>
      </w:r>
      <w:r>
        <w:rPr>
          <w:rFonts w:ascii="Times New Roman" w:eastAsia="宋体" w:hAnsi="Times New Roman" w:cs="Times New Roman"/>
          <w:sz w:val="24"/>
          <w:vertAlign w:val="superscript"/>
        </w:rPr>
        <w:t>®</w:t>
      </w:r>
      <w:r>
        <w:rPr>
          <w:rFonts w:ascii="Times New Roman" w:eastAsia="宋体" w:hAnsi="Times New Roman" w:cs="Times New Roman"/>
          <w:sz w:val="24"/>
        </w:rPr>
        <w:t xml:space="preserve"> Automated single-cell processing system (Singleron Biotechnologies). Individual libraries were diluted to 4 ng/µL and pooled for sequencing. Pools were sequenced on Illumina novaseq</w:t>
      </w:r>
      <w:r>
        <w:rPr>
          <w:rFonts w:ascii="Times New Roman" w:eastAsia="宋体" w:hAnsi="Times New Roman" w:cs="Times New Roman" w:hint="eastAsia"/>
          <w:sz w:val="24"/>
        </w:rPr>
        <w:t xml:space="preserve"> </w:t>
      </w:r>
      <w:r>
        <w:rPr>
          <w:rFonts w:ascii="Times New Roman" w:eastAsia="宋体" w:hAnsi="Times New Roman" w:cs="Times New Roman"/>
          <w:sz w:val="24"/>
        </w:rPr>
        <w:t>6000 with 150 bp paired end reads.</w:t>
      </w:r>
    </w:p>
    <w:p w14:paraId="161B4157" w14:textId="77777777" w:rsidR="00FB1285" w:rsidRDefault="00000000">
      <w:pPr>
        <w:spacing w:afterLines="50" w:after="156" w:line="360" w:lineRule="auto"/>
        <w:ind w:firstLineChars="200" w:firstLine="480"/>
        <w:rPr>
          <w:rFonts w:ascii="Times New Roman" w:eastAsia="宋体" w:hAnsi="Times New Roman" w:cs="Times New Roman"/>
          <w:b/>
          <w:bCs/>
          <w:sz w:val="24"/>
        </w:rPr>
      </w:pPr>
      <w:r>
        <w:rPr>
          <w:rFonts w:ascii="Times New Roman" w:eastAsia="宋体" w:hAnsi="Times New Roman" w:cs="Times New Roman"/>
          <w:sz w:val="24"/>
        </w:rPr>
        <w:t xml:space="preserve">Raw reads were processed to generate gene expression profiles using CeleScope v1.5.2 (Singleron Biotechnologies) with default parameters. Briefly, Barcodes and UMIs were extracted from R1 reads and corrected. Adapter sequences and poly A tails were trimmed from R2 reads and the trimmed R2 reads were aligned against the GRCh38 (hg38) transcriptome using STAR (v2.6.1b). Uniquely mapped reads were then assigned to exons with FeatureCounts (v2.0.1). Successfully Assigned Reads with </w:t>
      </w:r>
      <w:r>
        <w:rPr>
          <w:rFonts w:ascii="Times New Roman" w:eastAsia="宋体" w:hAnsi="Times New Roman" w:cs="Times New Roman"/>
          <w:sz w:val="24"/>
        </w:rPr>
        <w:lastRenderedPageBreak/>
        <w:t>the same cell barcode, UMI and gene were grouped together to generate the gene expression matrix for further analysis.</w:t>
      </w:r>
    </w:p>
    <w:p w14:paraId="2EA666F8" w14:textId="77777777" w:rsidR="00FB1285" w:rsidRDefault="00000000">
      <w:pPr>
        <w:spacing w:line="360" w:lineRule="auto"/>
        <w:rPr>
          <w:rFonts w:ascii="Times New Roman" w:eastAsia="宋体" w:hAnsi="Times New Roman" w:cs="Times New Roman"/>
          <w:b/>
          <w:bCs/>
          <w:sz w:val="24"/>
        </w:rPr>
      </w:pPr>
      <w:r>
        <w:rPr>
          <w:rFonts w:ascii="Times New Roman" w:eastAsia="宋体" w:hAnsi="Times New Roman" w:cs="Times New Roman"/>
          <w:b/>
          <w:bCs/>
          <w:sz w:val="24"/>
        </w:rPr>
        <w:t>Functional Gene Module Analysis (Hotspot)</w:t>
      </w:r>
    </w:p>
    <w:p w14:paraId="40C9130F" w14:textId="77777777" w:rsidR="00FB1285" w:rsidRDefault="00000000">
      <w:pPr>
        <w:spacing w:line="360" w:lineRule="auto"/>
        <w:ind w:firstLineChars="200" w:firstLine="480"/>
        <w:rPr>
          <w:rFonts w:ascii="Times New Roman" w:eastAsia="宋体" w:hAnsi="Times New Roman" w:cs="Times New Roman"/>
          <w:sz w:val="24"/>
        </w:rPr>
      </w:pPr>
      <w:r>
        <w:rPr>
          <w:rFonts w:ascii="Times New Roman" w:eastAsia="宋体" w:hAnsi="Times New Roman" w:cs="Times New Roman"/>
          <w:sz w:val="24"/>
        </w:rPr>
        <w:t>Hotspot was used to identify functional gene modules which illustrate heterogeneity within cancer cell subpopulations. Briefly, we used the ‘danb’ model and selected the top 500 genes with highest autocorrelation zscore for module identification. Modules were then identified using the create_modules function, with min_gene_threshold =15 and fdr_threshold = 0.05. Module scores were calculated by using calculate_module_scores function.</w:t>
      </w:r>
    </w:p>
    <w:p w14:paraId="7CECED8E" w14:textId="77777777" w:rsidR="00FB1285" w:rsidRDefault="00000000">
      <w:pPr>
        <w:spacing w:beforeLines="50" w:before="156" w:line="360" w:lineRule="auto"/>
        <w:rPr>
          <w:rFonts w:ascii="Times New Roman" w:eastAsia="宋体" w:hAnsi="Times New Roman" w:cs="Times New Roman"/>
          <w:b/>
          <w:bCs/>
          <w:sz w:val="24"/>
        </w:rPr>
      </w:pPr>
      <w:r>
        <w:rPr>
          <w:rFonts w:ascii="Times New Roman" w:eastAsia="宋体" w:hAnsi="Times New Roman" w:cs="Times New Roman"/>
          <w:b/>
          <w:bCs/>
          <w:sz w:val="24"/>
        </w:rPr>
        <w:t>Quality control, dimension-reduction and clustering (Seurat)</w:t>
      </w:r>
    </w:p>
    <w:p w14:paraId="286248E3" w14:textId="77777777" w:rsidR="00FB1285" w:rsidRDefault="00000000">
      <w:pPr>
        <w:spacing w:afterLines="50" w:after="156" w:line="360" w:lineRule="auto"/>
        <w:ind w:firstLineChars="200" w:firstLine="480"/>
        <w:rPr>
          <w:rFonts w:ascii="Times New Roman" w:eastAsia="宋体" w:hAnsi="Times New Roman" w:cs="Times New Roman"/>
          <w:sz w:val="24"/>
        </w:rPr>
      </w:pPr>
      <w:r>
        <w:rPr>
          <w:rFonts w:ascii="Times New Roman" w:eastAsia="宋体" w:hAnsi="Times New Roman" w:cs="Times New Roman"/>
          <w:sz w:val="24"/>
        </w:rPr>
        <w:t xml:space="preserve">Seurat v3.1.2 was used for quality control, dimensionality reduction and clustering. For each sample dataset, we filtered expression matrix by the following criteria: 1) cells with gene count less than 200 or with top 2% gene count were excluded; 2) cells with top 2% UMI count were excluded; 3) cells with mitochondrial content </w:t>
      </w:r>
      <w:r>
        <w:rPr>
          <w:rFonts w:ascii="Times New Roman" w:eastAsia="宋体" w:hAnsi="Times New Roman" w:cs="Times New Roman" w:hint="eastAsia"/>
          <w:sz w:val="24"/>
        </w:rPr>
        <w:t xml:space="preserve">&gt; </w:t>
      </w:r>
      <w:r>
        <w:rPr>
          <w:rFonts w:ascii="Times New Roman" w:eastAsia="宋体" w:hAnsi="Times New Roman" w:cs="Times New Roman"/>
          <w:sz w:val="24"/>
        </w:rPr>
        <w:t>50% were excluded; 4) genes expressed in less than 5 cells were excluded. Gene expression matrix was normalized and scaled using functions NormalizeData and ScaleData. Top 2000 variable genes were selected by FindVariableFeatures for PCA analysis. Cells were separated into several clusters by FindClusters. Cell clusters were visualized using t-Distributed Stochastic Neighbor Embedding (t-SNE) or Uniform Manifold Approximation and Projection (UMAP) with Seurat functions RunTSNE and RunUMAP.</w:t>
      </w:r>
    </w:p>
    <w:p w14:paraId="5D93004F" w14:textId="77777777" w:rsidR="00FB1285" w:rsidRDefault="00000000">
      <w:pPr>
        <w:spacing w:line="360" w:lineRule="auto"/>
        <w:rPr>
          <w:rFonts w:ascii="Times New Roman" w:eastAsia="宋体" w:hAnsi="Times New Roman" w:cs="Times New Roman"/>
          <w:b/>
          <w:bCs/>
          <w:sz w:val="24"/>
        </w:rPr>
      </w:pPr>
      <w:r>
        <w:rPr>
          <w:rFonts w:ascii="Times New Roman" w:eastAsia="宋体" w:hAnsi="Times New Roman" w:cs="Times New Roman"/>
          <w:b/>
          <w:bCs/>
          <w:sz w:val="24"/>
        </w:rPr>
        <w:t>Batch Effect removal</w:t>
      </w:r>
    </w:p>
    <w:p w14:paraId="6B7FBA5A" w14:textId="77777777" w:rsidR="00FB1285" w:rsidRDefault="00000000">
      <w:pPr>
        <w:spacing w:afterLines="50" w:after="156" w:line="360" w:lineRule="auto"/>
        <w:ind w:firstLineChars="200" w:firstLine="480"/>
        <w:rPr>
          <w:rFonts w:ascii="Times New Roman" w:eastAsia="宋体" w:hAnsi="Times New Roman" w:cs="Times New Roman"/>
          <w:sz w:val="24"/>
        </w:rPr>
      </w:pPr>
      <w:r>
        <w:rPr>
          <w:rFonts w:ascii="Times New Roman" w:eastAsia="宋体" w:hAnsi="Times New Roman" w:cs="Times New Roman"/>
          <w:sz w:val="24"/>
        </w:rPr>
        <w:t>Harmony: Batch effect between samples was removed by Harmony v1.0 using the top 20 principal components from PCA. CCA: Seurat’s CCA-based alignment was performed to obtain the batch-corrected space, and integration anchors were identified using top 20 principal components from PCA.</w:t>
      </w:r>
    </w:p>
    <w:p w14:paraId="1E1CFEDE" w14:textId="77777777" w:rsidR="00FB1285" w:rsidRDefault="00000000">
      <w:pPr>
        <w:spacing w:line="360" w:lineRule="auto"/>
        <w:rPr>
          <w:rFonts w:ascii="Times New Roman" w:eastAsia="宋体" w:hAnsi="Times New Roman" w:cs="Times New Roman"/>
          <w:b/>
          <w:bCs/>
          <w:sz w:val="24"/>
        </w:rPr>
      </w:pPr>
      <w:r>
        <w:rPr>
          <w:rFonts w:ascii="Times New Roman" w:eastAsia="宋体" w:hAnsi="Times New Roman" w:cs="Times New Roman"/>
          <w:b/>
          <w:bCs/>
          <w:sz w:val="24"/>
        </w:rPr>
        <w:t>Differentially expressed genes (DEGs) analysis (Seurat)</w:t>
      </w:r>
    </w:p>
    <w:p w14:paraId="596A3AFA" w14:textId="77777777" w:rsidR="00FB1285" w:rsidRDefault="00000000">
      <w:pPr>
        <w:spacing w:afterLines="50" w:after="156" w:line="360" w:lineRule="auto"/>
        <w:ind w:firstLineChars="200" w:firstLine="480"/>
        <w:rPr>
          <w:rFonts w:ascii="Times New Roman" w:eastAsia="宋体" w:hAnsi="Times New Roman" w:cs="Times New Roman"/>
          <w:sz w:val="24"/>
        </w:rPr>
      </w:pPr>
      <w:r>
        <w:rPr>
          <w:rFonts w:ascii="Times New Roman" w:eastAsia="宋体" w:hAnsi="Times New Roman" w:cs="Times New Roman"/>
          <w:sz w:val="24"/>
        </w:rPr>
        <w:t xml:space="preserve">To identify differentially expressed genes (DEGs), we used the Seurat </w:t>
      </w:r>
      <w:r>
        <w:rPr>
          <w:rFonts w:ascii="Times New Roman" w:eastAsia="宋体" w:hAnsi="Times New Roman" w:cs="Times New Roman"/>
          <w:sz w:val="24"/>
        </w:rPr>
        <w:lastRenderedPageBreak/>
        <w:t>FindMarkers function based on Wilcoxon rank sum test with default parameters, and selected the genes expressed in more than 10% of the cells in both of the compared groups of cells and with an average log (Fold Change) value greater than 0.25 as DEGs. Adjusted p value was calculated by Bonferroni Correction and the value 0.05 was used as the criterion to evaluate the statistical significance.</w:t>
      </w:r>
    </w:p>
    <w:p w14:paraId="5B6568BA" w14:textId="77777777" w:rsidR="00FB1285" w:rsidRDefault="00000000">
      <w:pPr>
        <w:spacing w:line="360" w:lineRule="auto"/>
        <w:rPr>
          <w:rFonts w:ascii="Times New Roman" w:eastAsia="宋体" w:hAnsi="Times New Roman" w:cs="Times New Roman"/>
          <w:b/>
          <w:bCs/>
          <w:sz w:val="24"/>
        </w:rPr>
      </w:pPr>
      <w:r>
        <w:rPr>
          <w:rFonts w:ascii="Times New Roman" w:eastAsia="宋体" w:hAnsi="Times New Roman" w:cs="Times New Roman"/>
          <w:b/>
          <w:bCs/>
          <w:sz w:val="24"/>
        </w:rPr>
        <w:t>Pathway enrichment analysis</w:t>
      </w:r>
    </w:p>
    <w:p w14:paraId="5C6F9497" w14:textId="77777777" w:rsidR="00FB1285" w:rsidRDefault="00000000">
      <w:pPr>
        <w:spacing w:afterLines="50" w:after="156" w:line="360" w:lineRule="auto"/>
        <w:ind w:firstLineChars="200" w:firstLine="480"/>
        <w:rPr>
          <w:rFonts w:ascii="Times New Roman" w:eastAsia="宋体" w:hAnsi="Times New Roman" w:cs="Times New Roman"/>
          <w:sz w:val="24"/>
        </w:rPr>
      </w:pPr>
      <w:r>
        <w:rPr>
          <w:rFonts w:ascii="Times New Roman" w:eastAsia="宋体" w:hAnsi="Times New Roman" w:cs="Times New Roman"/>
          <w:sz w:val="24"/>
        </w:rPr>
        <w:t>To investigate the potential functions of cancer cells, Gene Ontology (GO) and Kyoto Encyclopedia of Genes and Genomes (KEGG) analysis were used with the “clusterProfiler” R package v 4.0.2. Pathways with p_adj value less than 0.05 were considered as significantly enriched. Selected significant pathways were plotted as bar plots. GSEA was performed on DEGs in cancer cell clusters. For GSVA pathway enrichment analysis, the average gene expression of each cell type was used as input data (ref). Gene Ontology gene sets including molecular function (MF), biological process (BP), and cellular component (CC) categories were used as reference. Protein-protein interactions (PPI) of DEGs in xxx clusters were predicted based on known interactions of genes with relevant GO terms in the StringDB (1.22.0).</w:t>
      </w:r>
    </w:p>
    <w:p w14:paraId="3FA449B6" w14:textId="77777777" w:rsidR="00FB1285" w:rsidRDefault="00000000">
      <w:pPr>
        <w:spacing w:line="360" w:lineRule="auto"/>
        <w:rPr>
          <w:rFonts w:ascii="Times New Roman" w:eastAsia="宋体" w:hAnsi="Times New Roman" w:cs="Times New Roman"/>
          <w:b/>
          <w:bCs/>
          <w:sz w:val="24"/>
        </w:rPr>
      </w:pPr>
      <w:r>
        <w:rPr>
          <w:rFonts w:ascii="Times New Roman" w:eastAsia="宋体" w:hAnsi="Times New Roman" w:cs="Times New Roman"/>
          <w:b/>
          <w:bCs/>
          <w:sz w:val="24"/>
        </w:rPr>
        <w:t>Cell-type recognition with Cell-ID</w:t>
      </w:r>
    </w:p>
    <w:p w14:paraId="1CAC9154" w14:textId="77777777" w:rsidR="00FB1285" w:rsidRDefault="00000000">
      <w:pPr>
        <w:spacing w:line="360" w:lineRule="auto"/>
        <w:ind w:firstLineChars="200" w:firstLine="480"/>
        <w:rPr>
          <w:rFonts w:ascii="Times New Roman" w:eastAsia="宋体" w:hAnsi="Times New Roman" w:cs="Times New Roman"/>
          <w:sz w:val="24"/>
        </w:rPr>
      </w:pPr>
      <w:r>
        <w:rPr>
          <w:rFonts w:ascii="Times New Roman" w:eastAsia="宋体" w:hAnsi="Times New Roman" w:cs="Times New Roman"/>
          <w:sz w:val="24"/>
        </w:rPr>
        <w:t xml:space="preserve">Cell-ID is </w:t>
      </w:r>
      <w:r>
        <w:rPr>
          <w:rFonts w:ascii="Times New Roman" w:eastAsia="宋体" w:hAnsi="Times New Roman" w:cs="Times New Roman" w:hint="eastAsia"/>
          <w:sz w:val="24"/>
        </w:rPr>
        <w:t xml:space="preserve">a </w:t>
      </w:r>
      <w:r>
        <w:rPr>
          <w:rFonts w:ascii="Times New Roman" w:eastAsia="宋体" w:hAnsi="Times New Roman" w:cs="Times New Roman"/>
          <w:sz w:val="24"/>
        </w:rPr>
        <w:t>multivariate approach that extracts gene signatures for each individual cell and perform</w:t>
      </w:r>
      <w:r>
        <w:rPr>
          <w:rFonts w:ascii="Times New Roman" w:eastAsia="宋体" w:hAnsi="Times New Roman" w:cs="Times New Roman" w:hint="eastAsia"/>
          <w:sz w:val="24"/>
        </w:rPr>
        <w:t>s</w:t>
      </w:r>
      <w:r>
        <w:rPr>
          <w:rFonts w:ascii="Times New Roman" w:eastAsia="宋体" w:hAnsi="Times New Roman" w:cs="Times New Roman"/>
          <w:sz w:val="24"/>
        </w:rPr>
        <w:t xml:space="preserve"> cell identity recognition using hypergeometric tests (HGT). Dimensionality reduction was performed on normalized gene expression matrix through multiple correspondence analysis, where both cells and genes were projected in the same low dimensional space. Then a gene ranking was calculated for each cell to obtain most featured gene sets of that cell. HGT were performed on these gene sets against brain reference from SynEcoSys database, which contains all cell-type's featured genes. Identity of each cell was determined as the cell-type has the minimal HGT p value. For cluster annotation, Frequency of each cell-type was calculated in each cluster, and cell-type with highest frequency was chosen as cluster’s identity.</w:t>
      </w:r>
    </w:p>
    <w:p w14:paraId="234FFE90" w14:textId="77777777" w:rsidR="00FB1285" w:rsidRDefault="00000000">
      <w:pPr>
        <w:spacing w:afterLines="50" w:after="156" w:line="360" w:lineRule="auto"/>
        <w:ind w:firstLineChars="200" w:firstLine="480"/>
        <w:rPr>
          <w:rFonts w:ascii="Times New Roman" w:eastAsia="宋体" w:hAnsi="Times New Roman" w:cs="Times New Roman"/>
          <w:sz w:val="24"/>
        </w:rPr>
      </w:pPr>
      <w:r>
        <w:rPr>
          <w:rFonts w:ascii="Times New Roman" w:eastAsia="宋体" w:hAnsi="Times New Roman" w:cs="Times New Roman"/>
          <w:sz w:val="24"/>
        </w:rPr>
        <w:t xml:space="preserve">The cell type identification of each cluster was determined according to the expression of canonical markers from the reference database SynEcoSysTM (Singleron </w:t>
      </w:r>
      <w:r>
        <w:rPr>
          <w:rFonts w:ascii="Times New Roman" w:eastAsia="宋体" w:hAnsi="Times New Roman" w:cs="Times New Roman"/>
          <w:sz w:val="24"/>
        </w:rPr>
        <w:lastRenderedPageBreak/>
        <w:t>Biotechnology). SynEcoSysTM contains collections of canonical cell type markers for single-cell seq data, from CellMakerDB, PanglaoDB and recently published literatures. The canonical markers and their corresponding cell types were listed in Supplementary Table 1.</w:t>
      </w:r>
    </w:p>
    <w:p w14:paraId="4EE592E2" w14:textId="77777777" w:rsidR="00FB1285" w:rsidRDefault="00000000">
      <w:pPr>
        <w:spacing w:line="360" w:lineRule="auto"/>
        <w:rPr>
          <w:rFonts w:ascii="Times New Roman" w:eastAsia="宋体" w:hAnsi="Times New Roman" w:cs="Times New Roman"/>
          <w:b/>
          <w:bCs/>
          <w:sz w:val="24"/>
        </w:rPr>
      </w:pPr>
      <w:r>
        <w:rPr>
          <w:rFonts w:ascii="Times New Roman" w:eastAsia="宋体" w:hAnsi="Times New Roman" w:cs="Times New Roman"/>
          <w:b/>
          <w:bCs/>
          <w:sz w:val="24"/>
        </w:rPr>
        <w:t>Single-cell entropy analysis</w:t>
      </w:r>
    </w:p>
    <w:p w14:paraId="5840C742" w14:textId="77777777" w:rsidR="00FB1285" w:rsidRDefault="00000000">
      <w:pPr>
        <w:spacing w:line="360" w:lineRule="auto"/>
        <w:ind w:firstLineChars="200" w:firstLine="480"/>
        <w:rPr>
          <w:rFonts w:ascii="Times New Roman" w:eastAsia="宋体" w:hAnsi="Times New Roman" w:cs="Times New Roman"/>
          <w:sz w:val="24"/>
        </w:rPr>
      </w:pPr>
      <w:r>
        <w:rPr>
          <w:rFonts w:ascii="Times New Roman" w:eastAsia="宋体" w:hAnsi="Times New Roman" w:cs="Times New Roman"/>
          <w:sz w:val="24"/>
        </w:rPr>
        <w:t>SLICE (version 0.99.0) was used to evaluate the stemness of cells by the entropy of gene expression based on single-cell expression profiles. After removing ribosomal genes, a SLICE object was created to perform bootstrap calculation of single-cell gene entropy values by getEntropy function.</w:t>
      </w:r>
    </w:p>
    <w:p w14:paraId="4829230A" w14:textId="77777777" w:rsidR="00FB1285" w:rsidRDefault="00000000">
      <w:pPr>
        <w:spacing w:beforeLines="50" w:before="156" w:line="360" w:lineRule="auto"/>
        <w:rPr>
          <w:rFonts w:ascii="Times New Roman" w:eastAsia="宋体" w:hAnsi="Times New Roman" w:cs="Times New Roman"/>
          <w:b/>
          <w:bCs/>
          <w:sz w:val="24"/>
        </w:rPr>
      </w:pPr>
      <w:r>
        <w:rPr>
          <w:rFonts w:ascii="Times New Roman" w:eastAsia="宋体" w:hAnsi="Times New Roman" w:cs="Times New Roman"/>
          <w:b/>
          <w:bCs/>
          <w:sz w:val="24"/>
        </w:rPr>
        <w:t>UCell Gene Set Scoring</w:t>
      </w:r>
    </w:p>
    <w:p w14:paraId="6D321E55" w14:textId="77777777" w:rsidR="00FB1285" w:rsidRDefault="00000000">
      <w:pPr>
        <w:spacing w:afterLines="50" w:after="156" w:line="360" w:lineRule="auto"/>
        <w:ind w:firstLineChars="200" w:firstLine="480"/>
        <w:rPr>
          <w:rFonts w:ascii="Times New Roman" w:eastAsia="宋体" w:hAnsi="Times New Roman" w:cs="Times New Roman"/>
          <w:sz w:val="24"/>
        </w:rPr>
      </w:pPr>
      <w:r>
        <w:rPr>
          <w:rFonts w:ascii="Times New Roman" w:eastAsia="宋体" w:hAnsi="Times New Roman" w:cs="Times New Roman"/>
          <w:sz w:val="24"/>
        </w:rPr>
        <w:t>Gene set scoring was performed using the R package UCell v1.1.0. UCell scores are based on the Mann-Whitney U statistic by ranking query genes in order of their expression levels in individual cells. Because UCell is a rank-based scoring method, it is suitable to be used in large datasets containing multiple samples and batches.</w:t>
      </w:r>
    </w:p>
    <w:p w14:paraId="36C28BB4" w14:textId="77777777" w:rsidR="00FB1285" w:rsidRDefault="00000000">
      <w:pPr>
        <w:spacing w:line="360" w:lineRule="auto"/>
        <w:rPr>
          <w:rFonts w:ascii="Times New Roman" w:eastAsia="宋体" w:hAnsi="Times New Roman" w:cs="Times New Roman"/>
          <w:b/>
          <w:bCs/>
          <w:sz w:val="24"/>
        </w:rPr>
      </w:pPr>
      <w:r>
        <w:rPr>
          <w:rFonts w:ascii="Times New Roman" w:eastAsia="宋体" w:hAnsi="Times New Roman" w:cs="Times New Roman"/>
          <w:b/>
          <w:bCs/>
          <w:sz w:val="24"/>
        </w:rPr>
        <w:t>scRNA-seq based CNA detection</w:t>
      </w:r>
    </w:p>
    <w:p w14:paraId="607656B9" w14:textId="77777777" w:rsidR="00FB1285" w:rsidRDefault="00000000">
      <w:pPr>
        <w:spacing w:afterLines="50" w:after="156" w:line="360" w:lineRule="auto"/>
        <w:ind w:firstLineChars="200" w:firstLine="480"/>
        <w:rPr>
          <w:rFonts w:ascii="Times New Roman" w:eastAsia="宋体" w:hAnsi="Times New Roman" w:cs="Times New Roman"/>
          <w:sz w:val="24"/>
        </w:rPr>
      </w:pPr>
      <w:r>
        <w:rPr>
          <w:rFonts w:ascii="Times New Roman" w:eastAsia="宋体" w:hAnsi="Times New Roman" w:cs="Times New Roman"/>
          <w:sz w:val="24"/>
        </w:rPr>
        <w:t>The InferCNV package was used to detect the CNAs in cancer cells. Macrophage cells were used as baselines to estimate the CNAs of malignant cells. Genes expressed in more than 20 cells were sorted based on their loci on each chromosome. The relative expression values were centered to 1, using 1.5 standard deviation from the residual-normalized expression values as the floor and ceiling. A slide window size of 101 genes was used to smoothen the relative expression on each chromosome, to remove the effect of gene-specific expression. The inferred CNAs on each short or long arm or full length of the chromosomes were visualized with heatmaps generated by R pheatmap function. The clonal relationships of malignant cell clusters in each sample were determined by the accumulation of CNAs. UPhyloplot2 software was used to draw clonality trees of malignant cell clusters. The CNA events were manually labeled on the branches.</w:t>
      </w:r>
    </w:p>
    <w:p w14:paraId="36E9EB59" w14:textId="77777777" w:rsidR="00FB1285" w:rsidRDefault="00000000">
      <w:pPr>
        <w:spacing w:line="360" w:lineRule="auto"/>
        <w:rPr>
          <w:rFonts w:ascii="Times New Roman" w:eastAsia="宋体" w:hAnsi="Times New Roman" w:cs="Times New Roman"/>
          <w:b/>
          <w:bCs/>
          <w:sz w:val="24"/>
        </w:rPr>
      </w:pPr>
      <w:r>
        <w:rPr>
          <w:rFonts w:ascii="Times New Roman" w:eastAsia="宋体" w:hAnsi="Times New Roman" w:cs="Times New Roman"/>
          <w:b/>
          <w:bCs/>
          <w:sz w:val="24"/>
        </w:rPr>
        <w:t>Prognostic survival analysis</w:t>
      </w:r>
    </w:p>
    <w:p w14:paraId="46F67DA3" w14:textId="77777777" w:rsidR="00FB1285" w:rsidRDefault="00000000">
      <w:pPr>
        <w:spacing w:afterLines="50" w:after="156" w:line="360" w:lineRule="auto"/>
        <w:ind w:firstLineChars="200" w:firstLine="480"/>
        <w:rPr>
          <w:rFonts w:ascii="Times New Roman" w:eastAsia="宋体" w:hAnsi="Times New Roman" w:cs="Times New Roman"/>
          <w:sz w:val="24"/>
        </w:rPr>
      </w:pPr>
      <w:r>
        <w:rPr>
          <w:rFonts w:ascii="Times New Roman" w:eastAsia="宋体" w:hAnsi="Times New Roman" w:cs="Times New Roman"/>
          <w:sz w:val="24"/>
        </w:rPr>
        <w:t xml:space="preserve">Bulk RNA-seq transcriptome data and clinic information were obtained from </w:t>
      </w:r>
      <w:r>
        <w:rPr>
          <w:rFonts w:ascii="Times New Roman" w:eastAsia="宋体" w:hAnsi="Times New Roman" w:cs="Times New Roman"/>
          <w:sz w:val="24"/>
        </w:rPr>
        <w:lastRenderedPageBreak/>
        <w:t>TCGA database. To evaluate relationship between the target gene and clinical factors, the samples were assigned into two groups (High expression and Low expression) using median expression value as the cutoff. Differences in overall survival and progression-free interval between high and low groups were compared using Kaplan-Meier curves, with p-values calculated via log-rank test, using the Survival package in R.</w:t>
      </w:r>
    </w:p>
    <w:p w14:paraId="793EBAEA" w14:textId="77777777" w:rsidR="00FB1285" w:rsidRDefault="00000000">
      <w:pPr>
        <w:spacing w:line="360" w:lineRule="auto"/>
        <w:rPr>
          <w:rFonts w:ascii="Times New Roman" w:eastAsia="宋体" w:hAnsi="Times New Roman" w:cs="Times New Roman"/>
          <w:b/>
          <w:bCs/>
          <w:sz w:val="24"/>
        </w:rPr>
      </w:pPr>
      <w:r>
        <w:rPr>
          <w:rFonts w:ascii="Times New Roman" w:eastAsia="宋体" w:hAnsi="Times New Roman" w:cs="Times New Roman"/>
          <w:b/>
          <w:bCs/>
          <w:sz w:val="24"/>
        </w:rPr>
        <w:t>Cell-cell interaction analysis: CellPhoneDB</w:t>
      </w:r>
    </w:p>
    <w:p w14:paraId="7695A801" w14:textId="77777777" w:rsidR="00FB1285" w:rsidRDefault="00000000">
      <w:pPr>
        <w:spacing w:afterLines="50" w:after="156" w:line="360" w:lineRule="auto"/>
        <w:ind w:firstLineChars="200" w:firstLine="480"/>
        <w:rPr>
          <w:rFonts w:ascii="Times New Roman" w:eastAsia="宋体" w:hAnsi="Times New Roman" w:cs="Times New Roman"/>
          <w:sz w:val="24"/>
        </w:rPr>
      </w:pPr>
      <w:r>
        <w:rPr>
          <w:rFonts w:ascii="Times New Roman" w:eastAsia="宋体" w:hAnsi="Times New Roman" w:cs="Times New Roman"/>
          <w:sz w:val="24"/>
        </w:rPr>
        <w:t>Cell-cell interaction (CCI) between cancer cells and macrophages were predicted based on known ligand–receptor pairs by Cell</w:t>
      </w:r>
      <w:r>
        <w:rPr>
          <w:rFonts w:ascii="Times New Roman" w:eastAsia="宋体" w:hAnsi="Times New Roman" w:cs="Times New Roman" w:hint="eastAsia"/>
          <w:sz w:val="24"/>
        </w:rPr>
        <w:t>P</w:t>
      </w:r>
      <w:r>
        <w:rPr>
          <w:rFonts w:ascii="Times New Roman" w:eastAsia="宋体" w:hAnsi="Times New Roman" w:cs="Times New Roman"/>
          <w:sz w:val="24"/>
        </w:rPr>
        <w:t>hone DB (v2.1.0). Permutation number for calculating the null distribution of average ligand-receptor pair expression in randomized cell identities was set to 1000. Individual ligand or receptor expression was thresholded by a cutoff based on the average log gene expression distribution for all genes across each cell type. Predicted interaction pairs with p value &lt;0.05 and of average log expression &gt; 0.1 were considered as significant and visualized by heatmap_plot and dot_plot in CellphoneDB.</w:t>
      </w:r>
    </w:p>
    <w:p w14:paraId="665B1816" w14:textId="77777777" w:rsidR="00FB1285" w:rsidRDefault="00000000">
      <w:pPr>
        <w:spacing w:line="360" w:lineRule="auto"/>
        <w:rPr>
          <w:rFonts w:ascii="Times New Roman" w:eastAsia="宋体" w:hAnsi="Times New Roman" w:cs="Times New Roman"/>
          <w:b/>
          <w:bCs/>
          <w:sz w:val="24"/>
        </w:rPr>
      </w:pPr>
      <w:r>
        <w:rPr>
          <w:rFonts w:ascii="Times New Roman" w:eastAsia="宋体" w:hAnsi="Times New Roman" w:cs="Times New Roman"/>
          <w:b/>
          <w:bCs/>
          <w:sz w:val="24"/>
        </w:rPr>
        <w:t>Cell-cell Interaction analysis (CellChat)</w:t>
      </w:r>
    </w:p>
    <w:p w14:paraId="4FB7E938" w14:textId="77777777" w:rsidR="00FB1285" w:rsidRDefault="00000000">
      <w:pPr>
        <w:spacing w:afterLines="50" w:after="156" w:line="360" w:lineRule="auto"/>
        <w:ind w:firstLineChars="200" w:firstLine="480"/>
        <w:rPr>
          <w:rFonts w:ascii="Times New Roman" w:eastAsia="宋体" w:hAnsi="Times New Roman" w:cs="Times New Roman"/>
          <w:sz w:val="24"/>
        </w:rPr>
      </w:pPr>
      <w:r>
        <w:rPr>
          <w:rFonts w:ascii="Times New Roman" w:eastAsia="宋体" w:hAnsi="Times New Roman" w:cs="Times New Roman"/>
          <w:sz w:val="24"/>
        </w:rPr>
        <w:t>CellChat (version 1.6.1) was used to analyze the intercellular communication networks from scRNA-seq data. A CellChat object was created using the R package process. Cell information was added into the meta slot of the object. The ligand-receptor interaction database was set, and the matching receptor inference calculation was performed.</w:t>
      </w:r>
    </w:p>
    <w:p w14:paraId="5D7AF264" w14:textId="77777777" w:rsidR="00FB1285" w:rsidRDefault="00000000">
      <w:pPr>
        <w:spacing w:line="360" w:lineRule="auto"/>
        <w:rPr>
          <w:rFonts w:ascii="Times New Roman" w:eastAsia="宋体" w:hAnsi="Times New Roman" w:cs="Times New Roman"/>
          <w:b/>
          <w:bCs/>
          <w:sz w:val="24"/>
        </w:rPr>
      </w:pPr>
      <w:r>
        <w:rPr>
          <w:rFonts w:ascii="Times New Roman" w:eastAsia="宋体" w:hAnsi="Times New Roman" w:cs="Times New Roman"/>
          <w:b/>
          <w:bCs/>
          <w:sz w:val="24"/>
        </w:rPr>
        <w:t>Virtual Screening to Identify ENO2/MIF Interaction Inhibitors</w:t>
      </w:r>
    </w:p>
    <w:p w14:paraId="50B1D97E" w14:textId="77777777" w:rsidR="00FB1285" w:rsidRDefault="00000000">
      <w:pPr>
        <w:spacing w:afterLines="50" w:after="156" w:line="360" w:lineRule="auto"/>
        <w:ind w:firstLineChars="200" w:firstLine="480"/>
        <w:rPr>
          <w:rFonts w:ascii="Times New Roman" w:eastAsia="宋体" w:hAnsi="Times New Roman" w:cs="Times New Roman"/>
          <w:sz w:val="24"/>
        </w:rPr>
      </w:pPr>
      <w:r>
        <w:rPr>
          <w:rFonts w:ascii="Times New Roman" w:eastAsia="宋体" w:hAnsi="Times New Roman" w:cs="Times New Roman"/>
          <w:sz w:val="24"/>
        </w:rPr>
        <w:t xml:space="preserve">Structure-based virtual screening was performed to identify FDA-approved small molecules capable of disrupting the ENO2/MIF protein–protein interaction. The crystal structure of the ENO2/MIF complex was prepared using the Protein Preparation Wizard in the Schrödinger Suite, including bond order assignment, protonation state optimization at physiological pH, hydrogen-bond network refinement, removal of nonessential water molecules, and restrained energy minimization with the OPLS4 force field. A library of FDA-approved compounds was processed using LigPrep to generate energy-minimized three-dimensional conformations with appropriate </w:t>
      </w:r>
      <w:r>
        <w:rPr>
          <w:rFonts w:ascii="Times New Roman" w:eastAsia="宋体" w:hAnsi="Times New Roman" w:cs="Times New Roman"/>
          <w:sz w:val="24"/>
        </w:rPr>
        <w:lastRenderedPageBreak/>
        <w:t>ionization states and stereoisomers. Drug-likeness and pharmacokinetic properties were evaluated using QikProp, and compounds were prioritized based on Lipinski’s rule of five. Potential ligand-binding pockets at the ENO2/MIF interface were identified using SiteMap, and a receptor grid encompassing the interfacial region was generated for molecular docking. Virtual screening was conducted using the Glide module with a hierarchical workflow comprising high-throughput virtual screening (HTVS), standard precision (SP), and extra precision (XP) docking. Docking scores were used to rank compounds based on predicted binding affinity. Top-ranked ligand–protein complexes were further subjected to MM-GBSA binding free energy calculations to estimate the stability of ligand binding at the ENO2/MIF interface, with lower ΔG_bind values indicating stronger predicted interactions.</w:t>
      </w:r>
    </w:p>
    <w:p w14:paraId="51F19794" w14:textId="77777777" w:rsidR="00FB1285" w:rsidRDefault="00000000">
      <w:pPr>
        <w:spacing w:line="360" w:lineRule="auto"/>
        <w:rPr>
          <w:rFonts w:ascii="Times New Roman" w:eastAsia="宋体" w:hAnsi="Times New Roman" w:cs="Times New Roman"/>
          <w:b/>
          <w:bCs/>
          <w:sz w:val="24"/>
        </w:rPr>
      </w:pPr>
      <w:r>
        <w:rPr>
          <w:rFonts w:ascii="Times New Roman" w:eastAsia="宋体" w:hAnsi="Times New Roman" w:cs="Times New Roman"/>
          <w:b/>
          <w:bCs/>
          <w:sz w:val="24"/>
        </w:rPr>
        <w:t>Spatial Transcriptomic analysis</w:t>
      </w:r>
    </w:p>
    <w:p w14:paraId="3C50FCAE" w14:textId="77777777" w:rsidR="00FB1285" w:rsidRDefault="00000000">
      <w:pPr>
        <w:spacing w:afterLines="50" w:after="156" w:line="360" w:lineRule="auto"/>
        <w:ind w:firstLineChars="200" w:firstLine="480"/>
        <w:rPr>
          <w:rFonts w:ascii="Times New Roman" w:eastAsia="宋体" w:hAnsi="Times New Roman" w:cs="Times New Roman"/>
          <w:sz w:val="24"/>
        </w:rPr>
      </w:pPr>
      <w:r>
        <w:rPr>
          <w:rFonts w:ascii="Times New Roman" w:eastAsia="宋体" w:hAnsi="Times New Roman" w:cs="Times New Roman"/>
          <w:sz w:val="24"/>
        </w:rPr>
        <w:t>Using the dataset in "Spatiotemporal Immune Landscape of Colorectal Cancer Liver Metastasis at Single-Cell Level" (Cancer Discovery, 2022; available at </w:t>
      </w:r>
      <w:hyperlink r:id="rId4" w:tgtFrame="https://chat.deepseek.com/a/chat/s/_blank" w:history="1">
        <w:r w:rsidR="00FB1285">
          <w:rPr>
            <w:rFonts w:ascii="Times New Roman" w:eastAsia="宋体" w:hAnsi="Times New Roman" w:cs="Times New Roman"/>
            <w:sz w:val="24"/>
          </w:rPr>
          <w:t>http://www.cancerdiversity.asia/scCRLM</w:t>
        </w:r>
      </w:hyperlink>
      <w:r>
        <w:rPr>
          <w:rFonts w:ascii="Times New Roman" w:eastAsia="宋体" w:hAnsi="Times New Roman" w:cs="Times New Roman" w:hint="eastAsia"/>
          <w:sz w:val="24"/>
        </w:rPr>
        <w:t>)</w:t>
      </w:r>
      <w:r>
        <w:rPr>
          <w:rFonts w:ascii="Times New Roman" w:eastAsia="宋体" w:hAnsi="Times New Roman" w:cs="Times New Roman"/>
          <w:sz w:val="24"/>
        </w:rPr>
        <w:t>, we employed RCTD (Robust Cell Type Decomposition) for cell type deconvolution of the 10x Visium spatial transcriptomic data. Initially, a reference atlas was constructed based on single-cell RNA sequencing data, encompassing gene expression counts for each cell and its annotated cell type. Subsequently, the spot expression profile of each spatial sample was aligned with this reference atlas, and RCTD was utilized to infer the compositional proportion of each cell type within each spot. By running run.RCTD() with doublet_mode set to "full", the predicted weights for each type of cell at each spatial location were ultimately output. Spearman correlation analysis was further performed to evaluate the spatial co-localization of specific cell populations (e.g., ENO2</w:t>
      </w:r>
      <w:r>
        <w:rPr>
          <w:rFonts w:ascii="Times New Roman" w:eastAsia="宋体" w:hAnsi="Times New Roman" w:cs="Times New Roman"/>
          <w:sz w:val="24"/>
          <w:vertAlign w:val="superscript"/>
        </w:rPr>
        <w:t>+</w:t>
      </w:r>
      <w:r>
        <w:rPr>
          <w:rFonts w:ascii="Times New Roman" w:eastAsia="宋体" w:hAnsi="Times New Roman" w:cs="Times New Roman"/>
          <w:sz w:val="24"/>
        </w:rPr>
        <w:t xml:space="preserve"> cancer cells and M2 macrophages) across all captured spots in each liver metastasis sample.</w:t>
      </w:r>
      <w:r>
        <w:rPr>
          <w:rFonts w:ascii="Times New Roman" w:eastAsia="宋体" w:hAnsi="Times New Roman" w:cs="Times New Roman" w:hint="eastAsia"/>
          <w:sz w:val="24"/>
        </w:rPr>
        <w:t xml:space="preserve"> </w:t>
      </w:r>
    </w:p>
    <w:p w14:paraId="09FA78FB" w14:textId="77777777" w:rsidR="00FB1285" w:rsidRDefault="00000000">
      <w:pPr>
        <w:widowControl/>
        <w:jc w:val="left"/>
        <w:rPr>
          <w:rFonts w:ascii="Times New Roman" w:eastAsia="宋体" w:hAnsi="Times New Roman" w:cs="Times New Roman"/>
          <w:sz w:val="24"/>
        </w:rPr>
      </w:pPr>
      <w:r>
        <w:rPr>
          <w:rFonts w:ascii="Times New Roman" w:eastAsia="宋体" w:hAnsi="Times New Roman" w:cs="Times New Roman"/>
          <w:sz w:val="24"/>
        </w:rPr>
        <w:br w:type="page"/>
      </w:r>
    </w:p>
    <w:p w14:paraId="68FFD986" w14:textId="77777777" w:rsidR="00FB1285" w:rsidRDefault="00000000">
      <w:pPr>
        <w:kinsoku w:val="0"/>
        <w:autoSpaceDE w:val="0"/>
        <w:autoSpaceDN w:val="0"/>
        <w:adjustRightInd w:val="0"/>
        <w:snapToGrid w:val="0"/>
        <w:jc w:val="left"/>
        <w:textAlignment w:val="baseline"/>
        <w:outlineLvl w:val="0"/>
        <w:rPr>
          <w:rFonts w:ascii="Times New Roman" w:eastAsia="Times New Roman" w:hAnsi="Times New Roman" w:cs="Times New Roman"/>
          <w:snapToGrid w:val="0"/>
          <w:color w:val="000000"/>
          <w:kern w:val="0"/>
          <w:sz w:val="24"/>
          <w:szCs w:val="24"/>
          <w:lang w:eastAsia="en-US"/>
        </w:rPr>
      </w:pPr>
      <w:r>
        <w:rPr>
          <w:rFonts w:ascii="Times New Roman" w:eastAsia="Times New Roman" w:hAnsi="Times New Roman" w:cs="Times New Roman"/>
          <w:b/>
          <w:bCs/>
          <w:snapToGrid w:val="0"/>
          <w:color w:val="000000"/>
          <w:spacing w:val="-2"/>
          <w:kern w:val="0"/>
          <w:sz w:val="24"/>
          <w:szCs w:val="24"/>
          <w:lang w:eastAsia="en-US"/>
        </w:rPr>
        <w:lastRenderedPageBreak/>
        <w:t>Figure.</w:t>
      </w:r>
      <w:r>
        <w:rPr>
          <w:rFonts w:ascii="Times New Roman" w:eastAsia="Times New Roman" w:hAnsi="Times New Roman" w:cs="Times New Roman"/>
          <w:b/>
          <w:bCs/>
          <w:snapToGrid w:val="0"/>
          <w:color w:val="000000"/>
          <w:spacing w:val="14"/>
          <w:kern w:val="0"/>
          <w:sz w:val="24"/>
          <w:szCs w:val="24"/>
          <w:lang w:eastAsia="en-US"/>
        </w:rPr>
        <w:t xml:space="preserve"> </w:t>
      </w:r>
      <w:r>
        <w:rPr>
          <w:rFonts w:ascii="Times New Roman" w:eastAsia="Times New Roman" w:hAnsi="Times New Roman" w:cs="Times New Roman"/>
          <w:b/>
          <w:bCs/>
          <w:snapToGrid w:val="0"/>
          <w:color w:val="000000"/>
          <w:spacing w:val="-2"/>
          <w:kern w:val="0"/>
          <w:sz w:val="24"/>
          <w:szCs w:val="24"/>
          <w:lang w:eastAsia="en-US"/>
        </w:rPr>
        <w:t>S1.</w:t>
      </w:r>
    </w:p>
    <w:p w14:paraId="3A48C731" w14:textId="7598F0F0" w:rsidR="00FB1285" w:rsidRDefault="00F45BD1">
      <w:pPr>
        <w:spacing w:line="360" w:lineRule="auto"/>
        <w:rPr>
          <w:rFonts w:ascii="Times New Roman" w:eastAsia="宋体" w:hAnsi="Times New Roman" w:cs="Times New Roman"/>
          <w:sz w:val="24"/>
        </w:rPr>
      </w:pPr>
      <w:r>
        <w:rPr>
          <w:rFonts w:ascii="Times New Roman" w:eastAsia="宋体" w:hAnsi="Times New Roman" w:cs="Times New Roman"/>
          <w:noProof/>
          <w:sz w:val="24"/>
        </w:rPr>
        <w:drawing>
          <wp:inline distT="0" distB="0" distL="0" distR="0" wp14:anchorId="07602F56" wp14:editId="793E6808">
            <wp:extent cx="5274310" cy="7483475"/>
            <wp:effectExtent l="0" t="0" r="2540" b="3175"/>
            <wp:docPr id="7862607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260784" name="图片 786260784"/>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7483475"/>
                    </a:xfrm>
                    <a:prstGeom prst="rect">
                      <a:avLst/>
                    </a:prstGeom>
                  </pic:spPr>
                </pic:pic>
              </a:graphicData>
            </a:graphic>
          </wp:inline>
        </w:drawing>
      </w:r>
    </w:p>
    <w:p w14:paraId="150E70A7" w14:textId="77777777" w:rsidR="00FB1285" w:rsidRDefault="00000000">
      <w:pPr>
        <w:spacing w:line="360" w:lineRule="auto"/>
        <w:rPr>
          <w:rFonts w:ascii="Times New Roman" w:eastAsia="宋体" w:hAnsi="Times New Roman" w:cs="Times New Roman"/>
          <w:sz w:val="24"/>
        </w:rPr>
      </w:pPr>
      <w:r>
        <w:rPr>
          <w:rFonts w:ascii="Times New Roman" w:eastAsia="宋体" w:hAnsi="Times New Roman" w:cs="Times New Roman"/>
          <w:sz w:val="24"/>
        </w:rPr>
        <w:t>a. Enrichment analysis on the epithelial cells.</w:t>
      </w:r>
    </w:p>
    <w:p w14:paraId="660485F1" w14:textId="77777777" w:rsidR="00FB1285" w:rsidRDefault="00000000">
      <w:pPr>
        <w:spacing w:line="360" w:lineRule="auto"/>
        <w:rPr>
          <w:rFonts w:ascii="Times New Roman" w:eastAsia="宋体" w:hAnsi="Times New Roman" w:cs="Times New Roman"/>
          <w:sz w:val="24"/>
        </w:rPr>
      </w:pPr>
      <w:r>
        <w:rPr>
          <w:rFonts w:ascii="Times New Roman" w:eastAsia="宋体" w:hAnsi="Times New Roman" w:cs="Times New Roman"/>
          <w:sz w:val="24"/>
        </w:rPr>
        <w:t>b. The CNVs distribution of each group of cancer cells.</w:t>
      </w:r>
    </w:p>
    <w:p w14:paraId="56934F22" w14:textId="77777777" w:rsidR="00FB1285" w:rsidRDefault="00000000">
      <w:pPr>
        <w:spacing w:line="360" w:lineRule="auto"/>
        <w:rPr>
          <w:rFonts w:ascii="Times New Roman" w:eastAsia="宋体" w:hAnsi="Times New Roman" w:cs="Times New Roman"/>
          <w:sz w:val="24"/>
        </w:rPr>
      </w:pPr>
      <w:r>
        <w:rPr>
          <w:rFonts w:ascii="Times New Roman" w:eastAsia="宋体" w:hAnsi="Times New Roman" w:cs="Times New Roman"/>
          <w:sz w:val="24"/>
        </w:rPr>
        <w:t>c. Enrichment analysis on the cancer cells in the metastatic site.</w:t>
      </w:r>
    </w:p>
    <w:p w14:paraId="6C4FAA5C" w14:textId="77777777" w:rsidR="00FB1285" w:rsidRDefault="00000000">
      <w:pPr>
        <w:widowControl/>
        <w:jc w:val="left"/>
        <w:rPr>
          <w:rFonts w:ascii="Times New Roman" w:eastAsia="宋体" w:hAnsi="Times New Roman" w:cs="Times New Roman"/>
          <w:sz w:val="24"/>
        </w:rPr>
      </w:pPr>
      <w:r>
        <w:rPr>
          <w:rFonts w:ascii="Times New Roman" w:eastAsia="宋体" w:hAnsi="Times New Roman" w:cs="Times New Roman"/>
          <w:sz w:val="24"/>
        </w:rPr>
        <w:br w:type="page"/>
      </w:r>
    </w:p>
    <w:p w14:paraId="4747718D" w14:textId="77777777" w:rsidR="00FB1285" w:rsidRDefault="00000000">
      <w:pPr>
        <w:kinsoku w:val="0"/>
        <w:autoSpaceDE w:val="0"/>
        <w:autoSpaceDN w:val="0"/>
        <w:adjustRightInd w:val="0"/>
        <w:snapToGrid w:val="0"/>
        <w:jc w:val="left"/>
        <w:textAlignment w:val="baseline"/>
        <w:outlineLvl w:val="0"/>
        <w:rPr>
          <w:rFonts w:ascii="Times New Roman" w:eastAsia="Times New Roman" w:hAnsi="Times New Roman" w:cs="Times New Roman"/>
          <w:snapToGrid w:val="0"/>
          <w:color w:val="000000"/>
          <w:kern w:val="0"/>
          <w:sz w:val="24"/>
          <w:szCs w:val="24"/>
          <w:lang w:eastAsia="en-US"/>
        </w:rPr>
      </w:pPr>
      <w:r>
        <w:rPr>
          <w:rFonts w:ascii="Times New Roman" w:eastAsia="Times New Roman" w:hAnsi="Times New Roman" w:cs="Times New Roman"/>
          <w:b/>
          <w:bCs/>
          <w:snapToGrid w:val="0"/>
          <w:color w:val="000000"/>
          <w:spacing w:val="-2"/>
          <w:kern w:val="0"/>
          <w:sz w:val="24"/>
          <w:szCs w:val="24"/>
          <w:lang w:eastAsia="en-US"/>
        </w:rPr>
        <w:lastRenderedPageBreak/>
        <w:t>Figure.</w:t>
      </w:r>
      <w:r>
        <w:rPr>
          <w:rFonts w:ascii="Times New Roman" w:eastAsia="Times New Roman" w:hAnsi="Times New Roman" w:cs="Times New Roman"/>
          <w:b/>
          <w:bCs/>
          <w:snapToGrid w:val="0"/>
          <w:color w:val="000000"/>
          <w:spacing w:val="14"/>
          <w:kern w:val="0"/>
          <w:sz w:val="24"/>
          <w:szCs w:val="24"/>
          <w:lang w:eastAsia="en-US"/>
        </w:rPr>
        <w:t xml:space="preserve"> </w:t>
      </w:r>
      <w:r>
        <w:rPr>
          <w:rFonts w:ascii="Times New Roman" w:eastAsia="Times New Roman" w:hAnsi="Times New Roman" w:cs="Times New Roman"/>
          <w:b/>
          <w:bCs/>
          <w:snapToGrid w:val="0"/>
          <w:color w:val="000000"/>
          <w:spacing w:val="-2"/>
          <w:kern w:val="0"/>
          <w:sz w:val="24"/>
          <w:szCs w:val="24"/>
          <w:lang w:eastAsia="en-US"/>
        </w:rPr>
        <w:t>S</w:t>
      </w:r>
      <w:r>
        <w:rPr>
          <w:rFonts w:ascii="Times New Roman" w:eastAsia="宋体" w:hAnsi="Times New Roman" w:cs="Times New Roman" w:hint="eastAsia"/>
          <w:b/>
          <w:bCs/>
          <w:snapToGrid w:val="0"/>
          <w:color w:val="000000"/>
          <w:spacing w:val="-2"/>
          <w:kern w:val="0"/>
          <w:sz w:val="24"/>
          <w:szCs w:val="24"/>
        </w:rPr>
        <w:t>2</w:t>
      </w:r>
      <w:r>
        <w:rPr>
          <w:rFonts w:ascii="Times New Roman" w:eastAsia="Times New Roman" w:hAnsi="Times New Roman" w:cs="Times New Roman"/>
          <w:b/>
          <w:bCs/>
          <w:snapToGrid w:val="0"/>
          <w:color w:val="000000"/>
          <w:spacing w:val="-2"/>
          <w:kern w:val="0"/>
          <w:sz w:val="24"/>
          <w:szCs w:val="24"/>
          <w:lang w:eastAsia="en-US"/>
        </w:rPr>
        <w:t>.</w:t>
      </w:r>
    </w:p>
    <w:p w14:paraId="1ADBF7E1" w14:textId="77777777" w:rsidR="00FB1285" w:rsidRDefault="00000000">
      <w:pPr>
        <w:widowControl/>
        <w:jc w:val="center"/>
        <w:rPr>
          <w:rFonts w:ascii="Times New Roman" w:eastAsia="宋体" w:hAnsi="Times New Roman" w:cs="Times New Roman"/>
          <w:sz w:val="24"/>
        </w:rPr>
      </w:pPr>
      <w:r>
        <w:rPr>
          <w:rFonts w:ascii="Times New Roman" w:eastAsia="宋体" w:hAnsi="Times New Roman" w:cs="Times New Roman" w:hint="eastAsia"/>
          <w:noProof/>
          <w:sz w:val="24"/>
        </w:rPr>
        <w:drawing>
          <wp:inline distT="0" distB="0" distL="114300" distR="114300" wp14:anchorId="21C3C292" wp14:editId="6E0C267D">
            <wp:extent cx="5269865" cy="4888230"/>
            <wp:effectExtent l="0" t="0" r="635" b="1270"/>
            <wp:docPr id="3" name="图片 3" descr="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 S2"/>
                    <pic:cNvPicPr>
                      <a:picLocks noChangeAspect="1"/>
                    </pic:cNvPicPr>
                  </pic:nvPicPr>
                  <pic:blipFill>
                    <a:blip r:embed="rId6"/>
                    <a:stretch>
                      <a:fillRect/>
                    </a:stretch>
                  </pic:blipFill>
                  <pic:spPr>
                    <a:xfrm>
                      <a:off x="0" y="0"/>
                      <a:ext cx="5269865" cy="4888230"/>
                    </a:xfrm>
                    <a:prstGeom prst="rect">
                      <a:avLst/>
                    </a:prstGeom>
                  </pic:spPr>
                </pic:pic>
              </a:graphicData>
            </a:graphic>
          </wp:inline>
        </w:drawing>
      </w:r>
    </w:p>
    <w:p w14:paraId="03C13B6C" w14:textId="77777777" w:rsidR="00FB1285" w:rsidRDefault="00000000">
      <w:pPr>
        <w:widowControl/>
        <w:jc w:val="left"/>
        <w:rPr>
          <w:rFonts w:ascii="Times New Roman" w:eastAsia="宋体" w:hAnsi="Times New Roman" w:cs="Times New Roman"/>
          <w:sz w:val="24"/>
        </w:rPr>
      </w:pPr>
      <w:r>
        <w:rPr>
          <w:rFonts w:ascii="Times New Roman" w:eastAsia="宋体" w:hAnsi="Times New Roman" w:cs="Times New Roman"/>
          <w:sz w:val="24"/>
        </w:rPr>
        <w:t>Module Score analysis of cancer cells.</w:t>
      </w:r>
    </w:p>
    <w:p w14:paraId="2711590E" w14:textId="77777777" w:rsidR="00FB1285" w:rsidRDefault="00000000">
      <w:pPr>
        <w:widowControl/>
        <w:jc w:val="left"/>
        <w:rPr>
          <w:rFonts w:ascii="Times New Roman" w:eastAsia="宋体" w:hAnsi="Times New Roman" w:cs="Times New Roman"/>
          <w:sz w:val="24"/>
        </w:rPr>
      </w:pPr>
      <w:r>
        <w:rPr>
          <w:rFonts w:ascii="Times New Roman" w:eastAsia="宋体" w:hAnsi="Times New Roman" w:cs="Times New Roman"/>
          <w:sz w:val="24"/>
        </w:rPr>
        <w:br w:type="page"/>
      </w:r>
    </w:p>
    <w:p w14:paraId="5F92381D" w14:textId="77777777" w:rsidR="00FB1285" w:rsidRDefault="00000000">
      <w:pPr>
        <w:kinsoku w:val="0"/>
        <w:autoSpaceDE w:val="0"/>
        <w:autoSpaceDN w:val="0"/>
        <w:adjustRightInd w:val="0"/>
        <w:snapToGrid w:val="0"/>
        <w:jc w:val="left"/>
        <w:textAlignment w:val="baseline"/>
        <w:outlineLvl w:val="0"/>
        <w:rPr>
          <w:rFonts w:ascii="Times New Roman" w:eastAsia="Times New Roman" w:hAnsi="Times New Roman" w:cs="Times New Roman"/>
          <w:snapToGrid w:val="0"/>
          <w:color w:val="000000"/>
          <w:kern w:val="0"/>
          <w:sz w:val="24"/>
          <w:szCs w:val="24"/>
          <w:lang w:eastAsia="en-US"/>
        </w:rPr>
      </w:pPr>
      <w:r>
        <w:rPr>
          <w:rFonts w:ascii="Times New Roman" w:eastAsia="Times New Roman" w:hAnsi="Times New Roman" w:cs="Times New Roman"/>
          <w:b/>
          <w:bCs/>
          <w:snapToGrid w:val="0"/>
          <w:color w:val="000000"/>
          <w:spacing w:val="-2"/>
          <w:kern w:val="0"/>
          <w:sz w:val="24"/>
          <w:szCs w:val="24"/>
          <w:lang w:eastAsia="en-US"/>
        </w:rPr>
        <w:lastRenderedPageBreak/>
        <w:t>Figure.</w:t>
      </w:r>
      <w:r>
        <w:rPr>
          <w:rFonts w:ascii="Times New Roman" w:eastAsia="Times New Roman" w:hAnsi="Times New Roman" w:cs="Times New Roman"/>
          <w:b/>
          <w:bCs/>
          <w:snapToGrid w:val="0"/>
          <w:color w:val="000000"/>
          <w:spacing w:val="14"/>
          <w:kern w:val="0"/>
          <w:sz w:val="24"/>
          <w:szCs w:val="24"/>
          <w:lang w:eastAsia="en-US"/>
        </w:rPr>
        <w:t xml:space="preserve"> </w:t>
      </w:r>
      <w:r>
        <w:rPr>
          <w:rFonts w:ascii="Times New Roman" w:eastAsia="Times New Roman" w:hAnsi="Times New Roman" w:cs="Times New Roman"/>
          <w:b/>
          <w:bCs/>
          <w:snapToGrid w:val="0"/>
          <w:color w:val="000000"/>
          <w:spacing w:val="-2"/>
          <w:kern w:val="0"/>
          <w:sz w:val="24"/>
          <w:szCs w:val="24"/>
          <w:lang w:eastAsia="en-US"/>
        </w:rPr>
        <w:t>S</w:t>
      </w:r>
      <w:r>
        <w:rPr>
          <w:rFonts w:ascii="Times New Roman" w:eastAsia="宋体" w:hAnsi="Times New Roman" w:cs="Times New Roman" w:hint="eastAsia"/>
          <w:b/>
          <w:bCs/>
          <w:snapToGrid w:val="0"/>
          <w:color w:val="000000"/>
          <w:spacing w:val="-2"/>
          <w:kern w:val="0"/>
          <w:sz w:val="24"/>
          <w:szCs w:val="24"/>
        </w:rPr>
        <w:t>3</w:t>
      </w:r>
      <w:r>
        <w:rPr>
          <w:rFonts w:ascii="Times New Roman" w:eastAsia="Times New Roman" w:hAnsi="Times New Roman" w:cs="Times New Roman"/>
          <w:b/>
          <w:bCs/>
          <w:snapToGrid w:val="0"/>
          <w:color w:val="000000"/>
          <w:spacing w:val="-2"/>
          <w:kern w:val="0"/>
          <w:sz w:val="24"/>
          <w:szCs w:val="24"/>
          <w:lang w:eastAsia="en-US"/>
        </w:rPr>
        <w:t>.</w:t>
      </w:r>
    </w:p>
    <w:p w14:paraId="077F9C10"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noProof/>
          <w:sz w:val="24"/>
        </w:rPr>
        <w:drawing>
          <wp:inline distT="0" distB="0" distL="0" distR="0" wp14:anchorId="632D863D" wp14:editId="6483C3AD">
            <wp:extent cx="5270500" cy="6200140"/>
            <wp:effectExtent l="0" t="0" r="6350" b="0"/>
            <wp:docPr id="178827899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278995" name="图片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270500" cy="6200140"/>
                    </a:xfrm>
                    <a:prstGeom prst="rect">
                      <a:avLst/>
                    </a:prstGeom>
                    <a:noFill/>
                    <a:ln>
                      <a:noFill/>
                    </a:ln>
                  </pic:spPr>
                </pic:pic>
              </a:graphicData>
            </a:graphic>
          </wp:inline>
        </w:drawing>
      </w:r>
    </w:p>
    <w:p w14:paraId="4592B807" w14:textId="77777777" w:rsidR="00FB1285" w:rsidRDefault="00000000">
      <w:pPr>
        <w:spacing w:line="360" w:lineRule="auto"/>
        <w:rPr>
          <w:rFonts w:ascii="Times New Roman" w:eastAsia="宋体" w:hAnsi="Times New Roman" w:cs="Times New Roman"/>
          <w:sz w:val="24"/>
        </w:rPr>
      </w:pPr>
      <w:r>
        <w:rPr>
          <w:rFonts w:ascii="Times New Roman" w:eastAsia="宋体" w:hAnsi="Times New Roman" w:cs="Times New Roman"/>
          <w:sz w:val="24"/>
        </w:rPr>
        <w:t>a-b. UMAP plot of cell clusters from the primary site in both metastatic and non-metastatic patients.</w:t>
      </w:r>
    </w:p>
    <w:p w14:paraId="28AAB072" w14:textId="77777777" w:rsidR="00FB1285" w:rsidRDefault="00000000">
      <w:pPr>
        <w:spacing w:line="360" w:lineRule="auto"/>
        <w:rPr>
          <w:rFonts w:ascii="Times New Roman" w:eastAsia="宋体" w:hAnsi="Times New Roman" w:cs="Times New Roman"/>
          <w:sz w:val="24"/>
        </w:rPr>
      </w:pPr>
      <w:r>
        <w:rPr>
          <w:rFonts w:ascii="Times New Roman" w:eastAsia="宋体" w:hAnsi="Times New Roman" w:cs="Times New Roman"/>
          <w:sz w:val="24"/>
        </w:rPr>
        <w:t>c. The marker genes of differential</w:t>
      </w:r>
      <w:r>
        <w:rPr>
          <w:rFonts w:ascii="Times New Roman" w:eastAsia="宋体" w:hAnsi="Times New Roman" w:cs="Times New Roman" w:hint="eastAsia"/>
          <w:sz w:val="24"/>
        </w:rPr>
        <w:t>l</w:t>
      </w:r>
      <w:r>
        <w:rPr>
          <w:rFonts w:ascii="Times New Roman" w:eastAsia="宋体" w:hAnsi="Times New Roman" w:cs="Times New Roman"/>
          <w:sz w:val="24"/>
        </w:rPr>
        <w:t>y expressed genes in different cells.</w:t>
      </w:r>
    </w:p>
    <w:p w14:paraId="373FDF54" w14:textId="77777777" w:rsidR="00FB1285" w:rsidRDefault="00000000">
      <w:pPr>
        <w:spacing w:line="360" w:lineRule="auto"/>
        <w:rPr>
          <w:rFonts w:ascii="Times New Roman" w:eastAsia="宋体" w:hAnsi="Times New Roman" w:cs="Times New Roman"/>
          <w:sz w:val="24"/>
        </w:rPr>
      </w:pPr>
      <w:r>
        <w:rPr>
          <w:rFonts w:ascii="Times New Roman" w:eastAsia="宋体" w:hAnsi="Times New Roman" w:cs="Times New Roman"/>
          <w:sz w:val="24"/>
        </w:rPr>
        <w:t>d. The proportions of each cell types.</w:t>
      </w:r>
    </w:p>
    <w:p w14:paraId="28677228" w14:textId="77777777" w:rsidR="00FB1285" w:rsidRDefault="00000000">
      <w:pPr>
        <w:widowControl/>
        <w:jc w:val="left"/>
        <w:rPr>
          <w:rFonts w:ascii="Times New Roman" w:eastAsia="宋体" w:hAnsi="Times New Roman" w:cs="Times New Roman"/>
          <w:sz w:val="24"/>
        </w:rPr>
      </w:pPr>
      <w:r>
        <w:rPr>
          <w:rFonts w:ascii="Times New Roman" w:eastAsia="宋体" w:hAnsi="Times New Roman" w:cs="Times New Roman"/>
          <w:sz w:val="24"/>
        </w:rPr>
        <w:br w:type="page"/>
      </w:r>
    </w:p>
    <w:p w14:paraId="23933DCD" w14:textId="77777777" w:rsidR="00FB1285" w:rsidRDefault="00000000">
      <w:pPr>
        <w:kinsoku w:val="0"/>
        <w:autoSpaceDE w:val="0"/>
        <w:autoSpaceDN w:val="0"/>
        <w:adjustRightInd w:val="0"/>
        <w:snapToGrid w:val="0"/>
        <w:jc w:val="left"/>
        <w:textAlignment w:val="baseline"/>
        <w:outlineLvl w:val="0"/>
        <w:rPr>
          <w:rFonts w:ascii="Times New Roman" w:eastAsia="Times New Roman" w:hAnsi="Times New Roman" w:cs="Times New Roman"/>
          <w:snapToGrid w:val="0"/>
          <w:color w:val="000000"/>
          <w:kern w:val="0"/>
          <w:sz w:val="24"/>
          <w:szCs w:val="24"/>
          <w:lang w:eastAsia="en-US"/>
        </w:rPr>
      </w:pPr>
      <w:r>
        <w:rPr>
          <w:rFonts w:ascii="Times New Roman" w:eastAsia="Times New Roman" w:hAnsi="Times New Roman" w:cs="Times New Roman"/>
          <w:b/>
          <w:bCs/>
          <w:snapToGrid w:val="0"/>
          <w:color w:val="000000"/>
          <w:spacing w:val="-2"/>
          <w:kern w:val="0"/>
          <w:sz w:val="24"/>
          <w:szCs w:val="24"/>
          <w:lang w:eastAsia="en-US"/>
        </w:rPr>
        <w:lastRenderedPageBreak/>
        <w:t>Figure.</w:t>
      </w:r>
      <w:r>
        <w:rPr>
          <w:rFonts w:ascii="Times New Roman" w:eastAsia="Times New Roman" w:hAnsi="Times New Roman" w:cs="Times New Roman"/>
          <w:b/>
          <w:bCs/>
          <w:snapToGrid w:val="0"/>
          <w:color w:val="000000"/>
          <w:spacing w:val="14"/>
          <w:kern w:val="0"/>
          <w:sz w:val="24"/>
          <w:szCs w:val="24"/>
          <w:lang w:eastAsia="en-US"/>
        </w:rPr>
        <w:t xml:space="preserve"> </w:t>
      </w:r>
      <w:r>
        <w:rPr>
          <w:rFonts w:ascii="Times New Roman" w:eastAsia="Times New Roman" w:hAnsi="Times New Roman" w:cs="Times New Roman"/>
          <w:b/>
          <w:bCs/>
          <w:snapToGrid w:val="0"/>
          <w:color w:val="000000"/>
          <w:spacing w:val="-2"/>
          <w:kern w:val="0"/>
          <w:sz w:val="24"/>
          <w:szCs w:val="24"/>
          <w:lang w:eastAsia="en-US"/>
        </w:rPr>
        <w:t>S</w:t>
      </w:r>
      <w:r>
        <w:rPr>
          <w:rFonts w:ascii="Times New Roman" w:eastAsia="宋体" w:hAnsi="Times New Roman" w:cs="Times New Roman" w:hint="eastAsia"/>
          <w:b/>
          <w:bCs/>
          <w:snapToGrid w:val="0"/>
          <w:color w:val="000000"/>
          <w:spacing w:val="-2"/>
          <w:kern w:val="0"/>
          <w:sz w:val="24"/>
          <w:szCs w:val="24"/>
        </w:rPr>
        <w:t>4</w:t>
      </w:r>
      <w:r>
        <w:rPr>
          <w:rFonts w:ascii="Times New Roman" w:eastAsia="Times New Roman" w:hAnsi="Times New Roman" w:cs="Times New Roman"/>
          <w:b/>
          <w:bCs/>
          <w:snapToGrid w:val="0"/>
          <w:color w:val="000000"/>
          <w:spacing w:val="-2"/>
          <w:kern w:val="0"/>
          <w:sz w:val="24"/>
          <w:szCs w:val="24"/>
          <w:lang w:eastAsia="en-US"/>
        </w:rPr>
        <w:t>.</w:t>
      </w:r>
    </w:p>
    <w:p w14:paraId="62B6B012" w14:textId="77777777" w:rsidR="00FB1285" w:rsidRDefault="00000000">
      <w:pPr>
        <w:widowControl/>
        <w:jc w:val="center"/>
        <w:rPr>
          <w:rFonts w:ascii="Times New Roman" w:eastAsia="宋体" w:hAnsi="Times New Roman" w:cs="Times New Roman"/>
          <w:sz w:val="24"/>
        </w:rPr>
      </w:pPr>
      <w:r>
        <w:rPr>
          <w:rFonts w:ascii="Times New Roman" w:eastAsia="宋体" w:hAnsi="Times New Roman" w:cs="Times New Roman" w:hint="eastAsia"/>
          <w:noProof/>
          <w:sz w:val="24"/>
        </w:rPr>
        <w:drawing>
          <wp:inline distT="0" distB="0" distL="114300" distR="114300" wp14:anchorId="2DF6A4CE" wp14:editId="6A1D4E52">
            <wp:extent cx="5271135" cy="5616575"/>
            <wp:effectExtent l="0" t="0" r="12065" b="9525"/>
            <wp:docPr id="5" name="图片 5" descr="Figure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 S4"/>
                    <pic:cNvPicPr>
                      <a:picLocks noChangeAspect="1"/>
                    </pic:cNvPicPr>
                  </pic:nvPicPr>
                  <pic:blipFill>
                    <a:blip r:embed="rId8"/>
                    <a:stretch>
                      <a:fillRect/>
                    </a:stretch>
                  </pic:blipFill>
                  <pic:spPr>
                    <a:xfrm>
                      <a:off x="0" y="0"/>
                      <a:ext cx="5271135" cy="5616575"/>
                    </a:xfrm>
                    <a:prstGeom prst="rect">
                      <a:avLst/>
                    </a:prstGeom>
                  </pic:spPr>
                </pic:pic>
              </a:graphicData>
            </a:graphic>
          </wp:inline>
        </w:drawing>
      </w:r>
    </w:p>
    <w:p w14:paraId="158D9123" w14:textId="77777777" w:rsidR="00FB1285" w:rsidRDefault="00000000">
      <w:pPr>
        <w:spacing w:line="360" w:lineRule="auto"/>
        <w:rPr>
          <w:rFonts w:ascii="Times New Roman" w:eastAsia="宋体" w:hAnsi="Times New Roman" w:cs="Times New Roman"/>
          <w:sz w:val="24"/>
        </w:rPr>
      </w:pPr>
      <w:r>
        <w:rPr>
          <w:rFonts w:ascii="Times New Roman" w:eastAsia="宋体" w:hAnsi="Times New Roman" w:cs="Times New Roman"/>
          <w:sz w:val="24"/>
        </w:rPr>
        <w:t>a-b. Gene enrichment analysis of the 10 genes in module 11 gene set.</w:t>
      </w:r>
    </w:p>
    <w:p w14:paraId="7305A316" w14:textId="77777777" w:rsidR="00FB1285" w:rsidRDefault="00000000">
      <w:pPr>
        <w:spacing w:line="360" w:lineRule="auto"/>
        <w:rPr>
          <w:rFonts w:ascii="Times New Roman" w:eastAsia="宋体" w:hAnsi="Times New Roman" w:cs="Times New Roman"/>
          <w:sz w:val="24"/>
        </w:rPr>
      </w:pPr>
      <w:r>
        <w:rPr>
          <w:rFonts w:ascii="Times New Roman" w:eastAsia="宋体" w:hAnsi="Times New Roman" w:cs="Times New Roman"/>
          <w:sz w:val="24"/>
        </w:rPr>
        <w:t>c-d. Expression of ENO2 in tissue microarrays of Nanjing and Guangzhou cohorts</w:t>
      </w:r>
    </w:p>
    <w:p w14:paraId="3A4E65C0" w14:textId="77777777" w:rsidR="00FB1285" w:rsidRDefault="00000000">
      <w:pPr>
        <w:widowControl/>
        <w:jc w:val="left"/>
        <w:rPr>
          <w:rFonts w:ascii="Times New Roman" w:eastAsia="宋体" w:hAnsi="Times New Roman" w:cs="Times New Roman"/>
          <w:sz w:val="24"/>
        </w:rPr>
      </w:pPr>
      <w:r>
        <w:rPr>
          <w:rFonts w:ascii="Times New Roman" w:eastAsia="宋体" w:hAnsi="Times New Roman" w:cs="Times New Roman"/>
          <w:sz w:val="24"/>
        </w:rPr>
        <w:br w:type="page"/>
      </w:r>
    </w:p>
    <w:p w14:paraId="6CA239CF" w14:textId="77777777" w:rsidR="00FB1285" w:rsidRDefault="00000000">
      <w:pPr>
        <w:kinsoku w:val="0"/>
        <w:autoSpaceDE w:val="0"/>
        <w:autoSpaceDN w:val="0"/>
        <w:adjustRightInd w:val="0"/>
        <w:snapToGrid w:val="0"/>
        <w:jc w:val="left"/>
        <w:textAlignment w:val="baseline"/>
        <w:outlineLvl w:val="0"/>
        <w:rPr>
          <w:rFonts w:ascii="Times New Roman" w:eastAsia="Times New Roman" w:hAnsi="Times New Roman" w:cs="Times New Roman"/>
          <w:snapToGrid w:val="0"/>
          <w:color w:val="000000"/>
          <w:kern w:val="0"/>
          <w:sz w:val="24"/>
          <w:szCs w:val="24"/>
          <w:lang w:eastAsia="en-US"/>
        </w:rPr>
      </w:pPr>
      <w:r>
        <w:rPr>
          <w:rFonts w:ascii="Times New Roman" w:eastAsia="Times New Roman" w:hAnsi="Times New Roman" w:cs="Times New Roman"/>
          <w:b/>
          <w:bCs/>
          <w:snapToGrid w:val="0"/>
          <w:color w:val="000000"/>
          <w:spacing w:val="-2"/>
          <w:kern w:val="0"/>
          <w:sz w:val="24"/>
          <w:szCs w:val="24"/>
          <w:lang w:eastAsia="en-US"/>
        </w:rPr>
        <w:lastRenderedPageBreak/>
        <w:t>Figure.</w:t>
      </w:r>
      <w:r>
        <w:rPr>
          <w:rFonts w:ascii="Times New Roman" w:eastAsia="Times New Roman" w:hAnsi="Times New Roman" w:cs="Times New Roman"/>
          <w:b/>
          <w:bCs/>
          <w:snapToGrid w:val="0"/>
          <w:color w:val="000000"/>
          <w:spacing w:val="14"/>
          <w:kern w:val="0"/>
          <w:sz w:val="24"/>
          <w:szCs w:val="24"/>
          <w:lang w:eastAsia="en-US"/>
        </w:rPr>
        <w:t xml:space="preserve"> </w:t>
      </w:r>
      <w:r>
        <w:rPr>
          <w:rFonts w:ascii="Times New Roman" w:eastAsia="Times New Roman" w:hAnsi="Times New Roman" w:cs="Times New Roman"/>
          <w:b/>
          <w:bCs/>
          <w:snapToGrid w:val="0"/>
          <w:color w:val="000000"/>
          <w:spacing w:val="-2"/>
          <w:kern w:val="0"/>
          <w:sz w:val="24"/>
          <w:szCs w:val="24"/>
          <w:lang w:eastAsia="en-US"/>
        </w:rPr>
        <w:t>S</w:t>
      </w:r>
      <w:r>
        <w:rPr>
          <w:rFonts w:ascii="Times New Roman" w:eastAsia="宋体" w:hAnsi="Times New Roman" w:cs="Times New Roman" w:hint="eastAsia"/>
          <w:b/>
          <w:bCs/>
          <w:snapToGrid w:val="0"/>
          <w:color w:val="000000"/>
          <w:spacing w:val="-2"/>
          <w:kern w:val="0"/>
          <w:sz w:val="24"/>
          <w:szCs w:val="24"/>
        </w:rPr>
        <w:t>5</w:t>
      </w:r>
      <w:r>
        <w:rPr>
          <w:rFonts w:ascii="Times New Roman" w:eastAsia="Times New Roman" w:hAnsi="Times New Roman" w:cs="Times New Roman"/>
          <w:b/>
          <w:bCs/>
          <w:snapToGrid w:val="0"/>
          <w:color w:val="000000"/>
          <w:spacing w:val="-2"/>
          <w:kern w:val="0"/>
          <w:sz w:val="24"/>
          <w:szCs w:val="24"/>
          <w:lang w:eastAsia="en-US"/>
        </w:rPr>
        <w:t>.</w:t>
      </w:r>
    </w:p>
    <w:p w14:paraId="2690A9D8" w14:textId="77777777" w:rsidR="00FB1285" w:rsidRDefault="00000000">
      <w:pPr>
        <w:widowControl/>
        <w:jc w:val="left"/>
        <w:rPr>
          <w:rFonts w:ascii="Times New Roman" w:eastAsia="宋体" w:hAnsi="Times New Roman" w:cs="Times New Roman"/>
          <w:sz w:val="24"/>
        </w:rPr>
      </w:pPr>
      <w:r>
        <w:rPr>
          <w:rFonts w:ascii="Times New Roman" w:eastAsia="宋体" w:hAnsi="Times New Roman" w:cs="Times New Roman" w:hint="eastAsia"/>
          <w:noProof/>
          <w:sz w:val="24"/>
        </w:rPr>
        <w:drawing>
          <wp:inline distT="0" distB="0" distL="114300" distR="114300" wp14:anchorId="015297AE" wp14:editId="5891934D">
            <wp:extent cx="5269230" cy="1941195"/>
            <wp:effectExtent l="0" t="0" r="1270" b="1905"/>
            <wp:docPr id="6" name="图片 6" descr="Figure S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ure S5(1)"/>
                    <pic:cNvPicPr>
                      <a:picLocks noChangeAspect="1"/>
                    </pic:cNvPicPr>
                  </pic:nvPicPr>
                  <pic:blipFill>
                    <a:blip r:embed="rId9"/>
                    <a:stretch>
                      <a:fillRect/>
                    </a:stretch>
                  </pic:blipFill>
                  <pic:spPr>
                    <a:xfrm>
                      <a:off x="0" y="0"/>
                      <a:ext cx="5269230" cy="1941195"/>
                    </a:xfrm>
                    <a:prstGeom prst="rect">
                      <a:avLst/>
                    </a:prstGeom>
                  </pic:spPr>
                </pic:pic>
              </a:graphicData>
            </a:graphic>
          </wp:inline>
        </w:drawing>
      </w:r>
    </w:p>
    <w:p w14:paraId="16D08FD3" w14:textId="77777777" w:rsidR="00FB1285" w:rsidRDefault="00000000">
      <w:pPr>
        <w:widowControl/>
        <w:spacing w:line="360" w:lineRule="auto"/>
        <w:jc w:val="left"/>
        <w:rPr>
          <w:rFonts w:ascii="Times New Roman" w:eastAsia="宋体" w:hAnsi="Times New Roman" w:cs="Times New Roman"/>
          <w:sz w:val="24"/>
        </w:rPr>
      </w:pPr>
      <w:r>
        <w:rPr>
          <w:rFonts w:ascii="Times New Roman" w:eastAsia="宋体" w:hAnsi="Times New Roman" w:cs="Times New Roman"/>
          <w:sz w:val="24"/>
        </w:rPr>
        <w:t>a-c. Expression levels of ENO2 in metastatic lesions, primary lesions, and normal tissues in the GSE41258 dataset and TNMplot tool</w:t>
      </w:r>
    </w:p>
    <w:p w14:paraId="5A2A48A6" w14:textId="77777777" w:rsidR="00FB1285" w:rsidRDefault="00000000">
      <w:pPr>
        <w:widowControl/>
        <w:jc w:val="left"/>
        <w:rPr>
          <w:rFonts w:ascii="Times New Roman" w:eastAsia="宋体" w:hAnsi="Times New Roman" w:cs="Times New Roman"/>
          <w:sz w:val="24"/>
        </w:rPr>
      </w:pPr>
      <w:r>
        <w:rPr>
          <w:rFonts w:ascii="Times New Roman" w:eastAsia="宋体" w:hAnsi="Times New Roman" w:cs="Times New Roman"/>
          <w:sz w:val="24"/>
        </w:rPr>
        <w:br w:type="page"/>
      </w:r>
    </w:p>
    <w:p w14:paraId="2331EE95" w14:textId="77777777" w:rsidR="00FB1285" w:rsidRDefault="00000000">
      <w:pPr>
        <w:kinsoku w:val="0"/>
        <w:autoSpaceDE w:val="0"/>
        <w:autoSpaceDN w:val="0"/>
        <w:adjustRightInd w:val="0"/>
        <w:snapToGrid w:val="0"/>
        <w:jc w:val="left"/>
        <w:textAlignment w:val="baseline"/>
        <w:outlineLvl w:val="0"/>
        <w:rPr>
          <w:rFonts w:ascii="Times New Roman" w:eastAsia="Times New Roman" w:hAnsi="Times New Roman" w:cs="Times New Roman"/>
          <w:snapToGrid w:val="0"/>
          <w:color w:val="000000"/>
          <w:kern w:val="0"/>
          <w:sz w:val="24"/>
          <w:szCs w:val="24"/>
          <w:lang w:eastAsia="en-US"/>
        </w:rPr>
      </w:pPr>
      <w:r>
        <w:rPr>
          <w:rFonts w:ascii="Times New Roman" w:eastAsia="Times New Roman" w:hAnsi="Times New Roman" w:cs="Times New Roman"/>
          <w:b/>
          <w:bCs/>
          <w:snapToGrid w:val="0"/>
          <w:color w:val="000000"/>
          <w:spacing w:val="-2"/>
          <w:kern w:val="0"/>
          <w:sz w:val="24"/>
          <w:szCs w:val="24"/>
          <w:lang w:eastAsia="en-US"/>
        </w:rPr>
        <w:lastRenderedPageBreak/>
        <w:t>Figure.</w:t>
      </w:r>
      <w:r>
        <w:rPr>
          <w:rFonts w:ascii="Times New Roman" w:eastAsia="Times New Roman" w:hAnsi="Times New Roman" w:cs="Times New Roman"/>
          <w:b/>
          <w:bCs/>
          <w:snapToGrid w:val="0"/>
          <w:color w:val="000000"/>
          <w:spacing w:val="14"/>
          <w:kern w:val="0"/>
          <w:sz w:val="24"/>
          <w:szCs w:val="24"/>
          <w:lang w:eastAsia="en-US"/>
        </w:rPr>
        <w:t xml:space="preserve"> </w:t>
      </w:r>
      <w:r>
        <w:rPr>
          <w:rFonts w:ascii="Times New Roman" w:eastAsia="Times New Roman" w:hAnsi="Times New Roman" w:cs="Times New Roman"/>
          <w:b/>
          <w:bCs/>
          <w:snapToGrid w:val="0"/>
          <w:color w:val="000000"/>
          <w:spacing w:val="-2"/>
          <w:kern w:val="0"/>
          <w:sz w:val="24"/>
          <w:szCs w:val="24"/>
          <w:lang w:eastAsia="en-US"/>
        </w:rPr>
        <w:t>S</w:t>
      </w:r>
      <w:r>
        <w:rPr>
          <w:rFonts w:ascii="Times New Roman" w:eastAsia="宋体" w:hAnsi="Times New Roman" w:cs="Times New Roman" w:hint="eastAsia"/>
          <w:b/>
          <w:bCs/>
          <w:snapToGrid w:val="0"/>
          <w:color w:val="000000"/>
          <w:spacing w:val="-2"/>
          <w:kern w:val="0"/>
          <w:sz w:val="24"/>
          <w:szCs w:val="24"/>
        </w:rPr>
        <w:t>6</w:t>
      </w:r>
      <w:r>
        <w:rPr>
          <w:rFonts w:ascii="Times New Roman" w:eastAsia="Times New Roman" w:hAnsi="Times New Roman" w:cs="Times New Roman"/>
          <w:b/>
          <w:bCs/>
          <w:snapToGrid w:val="0"/>
          <w:color w:val="000000"/>
          <w:spacing w:val="-2"/>
          <w:kern w:val="0"/>
          <w:sz w:val="24"/>
          <w:szCs w:val="24"/>
          <w:lang w:eastAsia="en-US"/>
        </w:rPr>
        <w:t>.</w:t>
      </w:r>
    </w:p>
    <w:p w14:paraId="4D9AA1A5" w14:textId="77777777" w:rsidR="00FB1285" w:rsidRDefault="00000000">
      <w:pPr>
        <w:spacing w:line="360" w:lineRule="auto"/>
        <w:rPr>
          <w:rFonts w:ascii="Times New Roman" w:eastAsia="宋体" w:hAnsi="Times New Roman" w:cs="Times New Roman"/>
          <w:sz w:val="24"/>
        </w:rPr>
      </w:pPr>
      <w:r>
        <w:rPr>
          <w:rFonts w:ascii="Times New Roman" w:eastAsia="宋体" w:hAnsi="Times New Roman" w:cs="Times New Roman" w:hint="eastAsia"/>
          <w:noProof/>
          <w:sz w:val="24"/>
        </w:rPr>
        <w:drawing>
          <wp:inline distT="0" distB="0" distL="114300" distR="114300" wp14:anchorId="63CCC770" wp14:editId="420C1085">
            <wp:extent cx="5274310" cy="6177915"/>
            <wp:effectExtent l="0" t="0" r="8890" b="6985"/>
            <wp:docPr id="7" name="图片 7" descr="Figure 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igure S6"/>
                    <pic:cNvPicPr>
                      <a:picLocks noChangeAspect="1"/>
                    </pic:cNvPicPr>
                  </pic:nvPicPr>
                  <pic:blipFill>
                    <a:blip r:embed="rId10"/>
                    <a:stretch>
                      <a:fillRect/>
                    </a:stretch>
                  </pic:blipFill>
                  <pic:spPr>
                    <a:xfrm>
                      <a:off x="0" y="0"/>
                      <a:ext cx="5274310" cy="6177915"/>
                    </a:xfrm>
                    <a:prstGeom prst="rect">
                      <a:avLst/>
                    </a:prstGeom>
                  </pic:spPr>
                </pic:pic>
              </a:graphicData>
            </a:graphic>
          </wp:inline>
        </w:drawing>
      </w:r>
    </w:p>
    <w:p w14:paraId="403816C6" w14:textId="77777777" w:rsidR="00FB1285" w:rsidRDefault="00000000">
      <w:pPr>
        <w:spacing w:line="360" w:lineRule="auto"/>
        <w:rPr>
          <w:rFonts w:ascii="Times New Roman" w:eastAsia="宋体" w:hAnsi="Times New Roman" w:cs="Times New Roman"/>
          <w:sz w:val="24"/>
        </w:rPr>
      </w:pPr>
      <w:r>
        <w:rPr>
          <w:rFonts w:ascii="Times New Roman" w:eastAsia="宋体" w:hAnsi="Times New Roman" w:cs="Times New Roman"/>
          <w:sz w:val="24"/>
        </w:rPr>
        <w:t>a-b. Cellchat analysis between ENO2</w:t>
      </w:r>
      <w:r>
        <w:rPr>
          <w:rFonts w:ascii="Times New Roman" w:eastAsia="宋体" w:hAnsi="Times New Roman" w:cs="Times New Roman"/>
          <w:sz w:val="24"/>
          <w:vertAlign w:val="superscript"/>
        </w:rPr>
        <w:t>+</w:t>
      </w:r>
      <w:r>
        <w:rPr>
          <w:rFonts w:ascii="Times New Roman" w:eastAsia="宋体" w:hAnsi="Times New Roman" w:cs="Times New Roman"/>
          <w:sz w:val="24"/>
        </w:rPr>
        <w:t>/ENO2</w:t>
      </w:r>
      <w:r>
        <w:rPr>
          <w:rFonts w:ascii="Times New Roman" w:eastAsia="宋体" w:hAnsi="Times New Roman" w:cs="Times New Roman"/>
          <w:sz w:val="24"/>
          <w:vertAlign w:val="superscript"/>
        </w:rPr>
        <w:t>-</w:t>
      </w:r>
      <w:r>
        <w:rPr>
          <w:rFonts w:ascii="Times New Roman" w:eastAsia="宋体" w:hAnsi="Times New Roman" w:cs="Times New Roman"/>
          <w:sz w:val="24"/>
        </w:rPr>
        <w:t xml:space="preserve"> cancer cells and multiple cell types.</w:t>
      </w:r>
    </w:p>
    <w:p w14:paraId="42CE8FFB" w14:textId="77777777" w:rsidR="00FB1285" w:rsidRDefault="00000000">
      <w:pPr>
        <w:spacing w:line="360" w:lineRule="auto"/>
        <w:rPr>
          <w:rFonts w:ascii="Times New Roman" w:eastAsia="宋体" w:hAnsi="Times New Roman" w:cs="Times New Roman"/>
          <w:sz w:val="24"/>
        </w:rPr>
      </w:pPr>
      <w:r>
        <w:rPr>
          <w:rFonts w:ascii="Times New Roman" w:eastAsia="宋体" w:hAnsi="Times New Roman" w:cs="Times New Roman"/>
          <w:sz w:val="24"/>
        </w:rPr>
        <w:t>c-d. Active signaling pathways in ENO2</w:t>
      </w:r>
      <w:r>
        <w:rPr>
          <w:rFonts w:ascii="Times New Roman" w:eastAsia="宋体" w:hAnsi="Times New Roman" w:cs="Times New Roman"/>
          <w:sz w:val="24"/>
          <w:vertAlign w:val="superscript"/>
        </w:rPr>
        <w:t>+</w:t>
      </w:r>
      <w:r>
        <w:rPr>
          <w:rFonts w:ascii="Times New Roman" w:eastAsia="宋体" w:hAnsi="Times New Roman" w:cs="Times New Roman"/>
          <w:sz w:val="24"/>
        </w:rPr>
        <w:t xml:space="preserve"> and ENO2</w:t>
      </w:r>
      <w:r>
        <w:rPr>
          <w:rFonts w:ascii="Times New Roman" w:eastAsia="宋体" w:hAnsi="Times New Roman" w:cs="Times New Roman"/>
          <w:sz w:val="24"/>
          <w:vertAlign w:val="superscript"/>
        </w:rPr>
        <w:t>-</w:t>
      </w:r>
      <w:r>
        <w:rPr>
          <w:rFonts w:ascii="Times New Roman" w:eastAsia="宋体" w:hAnsi="Times New Roman" w:cs="Times New Roman"/>
          <w:sz w:val="24"/>
        </w:rPr>
        <w:t xml:space="preserve"> cancer cells.</w:t>
      </w:r>
    </w:p>
    <w:p w14:paraId="09767929" w14:textId="77777777" w:rsidR="00FB1285" w:rsidRDefault="00000000">
      <w:pPr>
        <w:spacing w:line="360" w:lineRule="auto"/>
        <w:rPr>
          <w:rFonts w:ascii="Times New Roman" w:eastAsia="宋体" w:hAnsi="Times New Roman" w:cs="Times New Roman"/>
          <w:sz w:val="24"/>
        </w:rPr>
      </w:pPr>
      <w:r>
        <w:rPr>
          <w:rFonts w:ascii="Times New Roman" w:eastAsia="宋体" w:hAnsi="Times New Roman" w:cs="Times New Roman"/>
          <w:sz w:val="24"/>
        </w:rPr>
        <w:t>e-f. MIF signaling pathway network between ENO2</w:t>
      </w:r>
      <w:r>
        <w:rPr>
          <w:rFonts w:ascii="Times New Roman" w:eastAsia="宋体" w:hAnsi="Times New Roman" w:cs="Times New Roman"/>
          <w:sz w:val="24"/>
          <w:vertAlign w:val="superscript"/>
        </w:rPr>
        <w:t>+</w:t>
      </w:r>
      <w:r>
        <w:rPr>
          <w:rFonts w:ascii="Times New Roman" w:eastAsia="宋体" w:hAnsi="Times New Roman" w:cs="Times New Roman"/>
          <w:sz w:val="24"/>
        </w:rPr>
        <w:t>/ENO2</w:t>
      </w:r>
      <w:r>
        <w:rPr>
          <w:rFonts w:ascii="Times New Roman" w:eastAsia="宋体" w:hAnsi="Times New Roman" w:cs="Times New Roman"/>
          <w:sz w:val="24"/>
          <w:vertAlign w:val="superscript"/>
        </w:rPr>
        <w:t>-</w:t>
      </w:r>
      <w:r>
        <w:rPr>
          <w:rFonts w:ascii="Times New Roman" w:eastAsia="宋体" w:hAnsi="Times New Roman" w:cs="Times New Roman"/>
          <w:sz w:val="24"/>
        </w:rPr>
        <w:t xml:space="preserve"> cancer cells and multiple cell types, especially macrophages.</w:t>
      </w:r>
    </w:p>
    <w:p w14:paraId="2112DFBB" w14:textId="77777777" w:rsidR="00FB1285" w:rsidRDefault="00000000">
      <w:pPr>
        <w:widowControl/>
        <w:jc w:val="left"/>
        <w:rPr>
          <w:rFonts w:ascii="Times New Roman" w:eastAsia="宋体" w:hAnsi="Times New Roman" w:cs="Times New Roman"/>
          <w:sz w:val="24"/>
        </w:rPr>
      </w:pPr>
      <w:r>
        <w:rPr>
          <w:rFonts w:ascii="Times New Roman" w:eastAsia="宋体" w:hAnsi="Times New Roman" w:cs="Times New Roman"/>
          <w:sz w:val="24"/>
        </w:rPr>
        <w:br w:type="page"/>
      </w:r>
    </w:p>
    <w:p w14:paraId="6C1DC77F" w14:textId="77777777" w:rsidR="00FB1285" w:rsidRDefault="00000000">
      <w:pPr>
        <w:kinsoku w:val="0"/>
        <w:autoSpaceDE w:val="0"/>
        <w:autoSpaceDN w:val="0"/>
        <w:adjustRightInd w:val="0"/>
        <w:snapToGrid w:val="0"/>
        <w:jc w:val="left"/>
        <w:textAlignment w:val="baseline"/>
        <w:outlineLvl w:val="0"/>
        <w:rPr>
          <w:rFonts w:ascii="Times New Roman" w:eastAsia="Times New Roman" w:hAnsi="Times New Roman" w:cs="Times New Roman"/>
          <w:snapToGrid w:val="0"/>
          <w:color w:val="000000"/>
          <w:kern w:val="0"/>
          <w:sz w:val="24"/>
          <w:szCs w:val="24"/>
          <w:lang w:eastAsia="en-US"/>
        </w:rPr>
      </w:pPr>
      <w:r>
        <w:rPr>
          <w:rFonts w:ascii="Times New Roman" w:eastAsia="Times New Roman" w:hAnsi="Times New Roman" w:cs="Times New Roman"/>
          <w:b/>
          <w:bCs/>
          <w:snapToGrid w:val="0"/>
          <w:color w:val="000000"/>
          <w:spacing w:val="-2"/>
          <w:kern w:val="0"/>
          <w:sz w:val="24"/>
          <w:szCs w:val="24"/>
          <w:lang w:eastAsia="en-US"/>
        </w:rPr>
        <w:lastRenderedPageBreak/>
        <w:t>Figure.</w:t>
      </w:r>
      <w:r>
        <w:rPr>
          <w:rFonts w:ascii="Times New Roman" w:eastAsia="Times New Roman" w:hAnsi="Times New Roman" w:cs="Times New Roman"/>
          <w:b/>
          <w:bCs/>
          <w:snapToGrid w:val="0"/>
          <w:color w:val="000000"/>
          <w:spacing w:val="14"/>
          <w:kern w:val="0"/>
          <w:sz w:val="24"/>
          <w:szCs w:val="24"/>
          <w:lang w:eastAsia="en-US"/>
        </w:rPr>
        <w:t xml:space="preserve"> </w:t>
      </w:r>
      <w:r>
        <w:rPr>
          <w:rFonts w:ascii="Times New Roman" w:eastAsia="Times New Roman" w:hAnsi="Times New Roman" w:cs="Times New Roman"/>
          <w:b/>
          <w:bCs/>
          <w:snapToGrid w:val="0"/>
          <w:color w:val="000000"/>
          <w:spacing w:val="-2"/>
          <w:kern w:val="0"/>
          <w:sz w:val="24"/>
          <w:szCs w:val="24"/>
          <w:lang w:eastAsia="en-US"/>
        </w:rPr>
        <w:t>S</w:t>
      </w:r>
      <w:r>
        <w:rPr>
          <w:rFonts w:ascii="Times New Roman" w:eastAsia="宋体" w:hAnsi="Times New Roman" w:cs="Times New Roman" w:hint="eastAsia"/>
          <w:b/>
          <w:bCs/>
          <w:snapToGrid w:val="0"/>
          <w:color w:val="000000"/>
          <w:spacing w:val="-2"/>
          <w:kern w:val="0"/>
          <w:sz w:val="24"/>
          <w:szCs w:val="24"/>
        </w:rPr>
        <w:t>7</w:t>
      </w:r>
      <w:r>
        <w:rPr>
          <w:rFonts w:ascii="Times New Roman" w:eastAsia="Times New Roman" w:hAnsi="Times New Roman" w:cs="Times New Roman"/>
          <w:b/>
          <w:bCs/>
          <w:snapToGrid w:val="0"/>
          <w:color w:val="000000"/>
          <w:spacing w:val="-2"/>
          <w:kern w:val="0"/>
          <w:sz w:val="24"/>
          <w:szCs w:val="24"/>
          <w:lang w:eastAsia="en-US"/>
        </w:rPr>
        <w:t>.</w:t>
      </w:r>
    </w:p>
    <w:p w14:paraId="4D7B46AD" w14:textId="1C46B640" w:rsidR="00FB1285" w:rsidRDefault="0026698D">
      <w:pPr>
        <w:spacing w:line="360" w:lineRule="auto"/>
        <w:rPr>
          <w:rFonts w:ascii="Times New Roman" w:eastAsia="宋体" w:hAnsi="Times New Roman" w:cs="Times New Roman"/>
          <w:sz w:val="24"/>
        </w:rPr>
      </w:pPr>
      <w:r>
        <w:rPr>
          <w:rFonts w:ascii="Times New Roman" w:eastAsia="宋体" w:hAnsi="Times New Roman" w:cs="Times New Roman"/>
          <w:noProof/>
          <w:sz w:val="24"/>
        </w:rPr>
        <w:drawing>
          <wp:inline distT="0" distB="0" distL="0" distR="0" wp14:anchorId="5FCA86EC" wp14:editId="1829AE42">
            <wp:extent cx="3700272" cy="4867656"/>
            <wp:effectExtent l="0" t="0" r="0" b="9525"/>
            <wp:docPr id="9662758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275857" name="图片 96627585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00272" cy="4867656"/>
                    </a:xfrm>
                    <a:prstGeom prst="rect">
                      <a:avLst/>
                    </a:prstGeom>
                  </pic:spPr>
                </pic:pic>
              </a:graphicData>
            </a:graphic>
          </wp:inline>
        </w:drawing>
      </w:r>
    </w:p>
    <w:p w14:paraId="0D533849" w14:textId="77777777" w:rsidR="00FB1285" w:rsidRDefault="00000000">
      <w:pPr>
        <w:spacing w:line="360" w:lineRule="auto"/>
        <w:rPr>
          <w:rFonts w:ascii="Times New Roman" w:eastAsia="宋体" w:hAnsi="Times New Roman" w:cs="Times New Roman"/>
          <w:sz w:val="24"/>
        </w:rPr>
      </w:pPr>
      <w:r>
        <w:rPr>
          <w:rFonts w:ascii="Times New Roman" w:eastAsia="宋体" w:hAnsi="Times New Roman" w:cs="Times New Roman"/>
          <w:sz w:val="24"/>
        </w:rPr>
        <w:t>a. ENO2 can directly bind MIF proteins.</w:t>
      </w:r>
    </w:p>
    <w:p w14:paraId="4CA30F67" w14:textId="77777777" w:rsidR="00FB1285" w:rsidRDefault="00000000">
      <w:pPr>
        <w:spacing w:line="360" w:lineRule="auto"/>
        <w:rPr>
          <w:rFonts w:ascii="Times New Roman" w:eastAsia="宋体" w:hAnsi="Times New Roman" w:cs="Times New Roman"/>
          <w:sz w:val="24"/>
        </w:rPr>
      </w:pPr>
      <w:r>
        <w:rPr>
          <w:rFonts w:ascii="Times New Roman" w:eastAsia="宋体" w:hAnsi="Times New Roman" w:cs="Times New Roman"/>
          <w:sz w:val="24"/>
        </w:rPr>
        <w:t>b-c. Knockdown of ENO2 inhibited MIF expression.</w:t>
      </w:r>
    </w:p>
    <w:p w14:paraId="2692B5D1" w14:textId="77777777" w:rsidR="00FB1285" w:rsidRDefault="00000000">
      <w:pPr>
        <w:widowControl/>
        <w:jc w:val="left"/>
        <w:rPr>
          <w:rFonts w:ascii="Times New Roman" w:eastAsia="宋体" w:hAnsi="Times New Roman" w:cs="Times New Roman"/>
          <w:sz w:val="24"/>
        </w:rPr>
      </w:pPr>
      <w:r>
        <w:rPr>
          <w:rFonts w:ascii="Times New Roman" w:eastAsia="宋体" w:hAnsi="Times New Roman" w:cs="Times New Roman"/>
          <w:sz w:val="24"/>
        </w:rPr>
        <w:br w:type="page"/>
      </w:r>
    </w:p>
    <w:p w14:paraId="6555CCC5" w14:textId="77777777" w:rsidR="00FB1285" w:rsidRDefault="00000000">
      <w:pPr>
        <w:kinsoku w:val="0"/>
        <w:autoSpaceDE w:val="0"/>
        <w:autoSpaceDN w:val="0"/>
        <w:adjustRightInd w:val="0"/>
        <w:snapToGrid w:val="0"/>
        <w:jc w:val="left"/>
        <w:textAlignment w:val="baseline"/>
        <w:outlineLvl w:val="0"/>
        <w:rPr>
          <w:rFonts w:ascii="Times New Roman" w:eastAsia="Times New Roman" w:hAnsi="Times New Roman" w:cs="Times New Roman"/>
          <w:snapToGrid w:val="0"/>
          <w:color w:val="000000"/>
          <w:kern w:val="0"/>
          <w:sz w:val="24"/>
          <w:szCs w:val="24"/>
          <w:lang w:eastAsia="en-US"/>
        </w:rPr>
      </w:pPr>
      <w:r>
        <w:rPr>
          <w:rFonts w:ascii="Times New Roman" w:eastAsia="Times New Roman" w:hAnsi="Times New Roman" w:cs="Times New Roman"/>
          <w:b/>
          <w:bCs/>
          <w:snapToGrid w:val="0"/>
          <w:color w:val="000000"/>
          <w:spacing w:val="-2"/>
          <w:kern w:val="0"/>
          <w:sz w:val="24"/>
          <w:szCs w:val="24"/>
          <w:lang w:eastAsia="en-US"/>
        </w:rPr>
        <w:lastRenderedPageBreak/>
        <w:t>Figure.</w:t>
      </w:r>
      <w:r>
        <w:rPr>
          <w:rFonts w:ascii="Times New Roman" w:eastAsia="Times New Roman" w:hAnsi="Times New Roman" w:cs="Times New Roman"/>
          <w:b/>
          <w:bCs/>
          <w:snapToGrid w:val="0"/>
          <w:color w:val="000000"/>
          <w:spacing w:val="14"/>
          <w:kern w:val="0"/>
          <w:sz w:val="24"/>
          <w:szCs w:val="24"/>
          <w:lang w:eastAsia="en-US"/>
        </w:rPr>
        <w:t xml:space="preserve"> </w:t>
      </w:r>
      <w:r>
        <w:rPr>
          <w:rFonts w:ascii="Times New Roman" w:eastAsia="Times New Roman" w:hAnsi="Times New Roman" w:cs="Times New Roman"/>
          <w:b/>
          <w:bCs/>
          <w:snapToGrid w:val="0"/>
          <w:color w:val="000000"/>
          <w:spacing w:val="-2"/>
          <w:kern w:val="0"/>
          <w:sz w:val="24"/>
          <w:szCs w:val="24"/>
          <w:lang w:eastAsia="en-US"/>
        </w:rPr>
        <w:t>S</w:t>
      </w:r>
      <w:r>
        <w:rPr>
          <w:rFonts w:ascii="Times New Roman" w:eastAsia="宋体" w:hAnsi="Times New Roman" w:cs="Times New Roman" w:hint="eastAsia"/>
          <w:b/>
          <w:bCs/>
          <w:snapToGrid w:val="0"/>
          <w:color w:val="000000"/>
          <w:spacing w:val="-2"/>
          <w:kern w:val="0"/>
          <w:sz w:val="24"/>
          <w:szCs w:val="24"/>
        </w:rPr>
        <w:t>8</w:t>
      </w:r>
      <w:r>
        <w:rPr>
          <w:rFonts w:ascii="Times New Roman" w:eastAsia="Times New Roman" w:hAnsi="Times New Roman" w:cs="Times New Roman"/>
          <w:b/>
          <w:bCs/>
          <w:snapToGrid w:val="0"/>
          <w:color w:val="000000"/>
          <w:spacing w:val="-2"/>
          <w:kern w:val="0"/>
          <w:sz w:val="24"/>
          <w:szCs w:val="24"/>
          <w:lang w:eastAsia="en-US"/>
        </w:rPr>
        <w:t>.</w:t>
      </w:r>
    </w:p>
    <w:p w14:paraId="279D8419" w14:textId="77777777" w:rsidR="00FB1285" w:rsidRDefault="00000000">
      <w:pPr>
        <w:widowControl/>
        <w:jc w:val="center"/>
        <w:rPr>
          <w:rFonts w:ascii="Times New Roman" w:eastAsia="宋体" w:hAnsi="Times New Roman" w:cs="Times New Roman"/>
          <w:sz w:val="24"/>
        </w:rPr>
      </w:pPr>
      <w:r>
        <w:rPr>
          <w:rFonts w:ascii="Times New Roman" w:eastAsia="宋体" w:hAnsi="Times New Roman" w:cs="Times New Roman" w:hint="eastAsia"/>
          <w:noProof/>
          <w:sz w:val="24"/>
        </w:rPr>
        <w:drawing>
          <wp:inline distT="0" distB="0" distL="114300" distR="114300" wp14:anchorId="1075A5EF" wp14:editId="0C6B6C3D">
            <wp:extent cx="3869055" cy="2058035"/>
            <wp:effectExtent l="0" t="0" r="4445" b="12065"/>
            <wp:docPr id="9" name="图片 9" descr="Figure S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igure S8"/>
                    <pic:cNvPicPr>
                      <a:picLocks noChangeAspect="1"/>
                    </pic:cNvPicPr>
                  </pic:nvPicPr>
                  <pic:blipFill>
                    <a:blip r:embed="rId12"/>
                    <a:stretch>
                      <a:fillRect/>
                    </a:stretch>
                  </pic:blipFill>
                  <pic:spPr>
                    <a:xfrm>
                      <a:off x="0" y="0"/>
                      <a:ext cx="3869055" cy="2058035"/>
                    </a:xfrm>
                    <a:prstGeom prst="rect">
                      <a:avLst/>
                    </a:prstGeom>
                  </pic:spPr>
                </pic:pic>
              </a:graphicData>
            </a:graphic>
          </wp:inline>
        </w:drawing>
      </w:r>
    </w:p>
    <w:p w14:paraId="60E18773" w14:textId="77777777" w:rsidR="00FB1285" w:rsidRDefault="00000000">
      <w:pPr>
        <w:widowControl/>
        <w:rPr>
          <w:rFonts w:ascii="Times New Roman" w:eastAsia="宋体" w:hAnsi="Times New Roman" w:cs="Times New Roman"/>
          <w:sz w:val="24"/>
        </w:rPr>
      </w:pPr>
      <w:r>
        <w:rPr>
          <w:rFonts w:ascii="Times New Roman" w:eastAsia="宋体" w:hAnsi="Times New Roman" w:cs="Times New Roman"/>
          <w:sz w:val="24"/>
        </w:rPr>
        <w:t>Proteasome inhibitor reverses ENO2 knockdown induced decrease in MIF expression.</w:t>
      </w:r>
    </w:p>
    <w:p w14:paraId="471634D9" w14:textId="77777777" w:rsidR="00FB1285" w:rsidRDefault="00000000">
      <w:pPr>
        <w:widowControl/>
        <w:jc w:val="left"/>
        <w:rPr>
          <w:rFonts w:ascii="Times New Roman" w:eastAsia="宋体" w:hAnsi="Times New Roman" w:cs="Times New Roman"/>
          <w:sz w:val="24"/>
        </w:rPr>
      </w:pPr>
      <w:r>
        <w:rPr>
          <w:rFonts w:ascii="Times New Roman" w:eastAsia="宋体" w:hAnsi="Times New Roman" w:cs="Times New Roman"/>
          <w:sz w:val="24"/>
        </w:rPr>
        <w:br w:type="page"/>
      </w:r>
    </w:p>
    <w:p w14:paraId="39F63C27" w14:textId="77777777" w:rsidR="00FB1285" w:rsidRDefault="00000000">
      <w:pPr>
        <w:kinsoku w:val="0"/>
        <w:autoSpaceDE w:val="0"/>
        <w:autoSpaceDN w:val="0"/>
        <w:adjustRightInd w:val="0"/>
        <w:snapToGrid w:val="0"/>
        <w:jc w:val="left"/>
        <w:textAlignment w:val="baseline"/>
        <w:outlineLvl w:val="0"/>
        <w:rPr>
          <w:rFonts w:ascii="Times New Roman" w:eastAsia="Times New Roman" w:hAnsi="Times New Roman" w:cs="Times New Roman"/>
          <w:snapToGrid w:val="0"/>
          <w:color w:val="000000"/>
          <w:kern w:val="0"/>
          <w:sz w:val="24"/>
          <w:szCs w:val="24"/>
          <w:lang w:eastAsia="en-US"/>
        </w:rPr>
      </w:pPr>
      <w:r>
        <w:rPr>
          <w:rFonts w:ascii="Times New Roman" w:eastAsia="Times New Roman" w:hAnsi="Times New Roman" w:cs="Times New Roman"/>
          <w:b/>
          <w:bCs/>
          <w:snapToGrid w:val="0"/>
          <w:color w:val="000000"/>
          <w:spacing w:val="-2"/>
          <w:kern w:val="0"/>
          <w:sz w:val="24"/>
          <w:szCs w:val="24"/>
          <w:lang w:eastAsia="en-US"/>
        </w:rPr>
        <w:lastRenderedPageBreak/>
        <w:t>Figure.</w:t>
      </w:r>
      <w:r>
        <w:rPr>
          <w:rFonts w:ascii="Times New Roman" w:eastAsia="Times New Roman" w:hAnsi="Times New Roman" w:cs="Times New Roman"/>
          <w:b/>
          <w:bCs/>
          <w:snapToGrid w:val="0"/>
          <w:color w:val="000000"/>
          <w:spacing w:val="14"/>
          <w:kern w:val="0"/>
          <w:sz w:val="24"/>
          <w:szCs w:val="24"/>
          <w:lang w:eastAsia="en-US"/>
        </w:rPr>
        <w:t xml:space="preserve"> </w:t>
      </w:r>
      <w:r>
        <w:rPr>
          <w:rFonts w:ascii="Times New Roman" w:eastAsia="Times New Roman" w:hAnsi="Times New Roman" w:cs="Times New Roman"/>
          <w:b/>
          <w:bCs/>
          <w:snapToGrid w:val="0"/>
          <w:color w:val="000000"/>
          <w:spacing w:val="-2"/>
          <w:kern w:val="0"/>
          <w:sz w:val="24"/>
          <w:szCs w:val="24"/>
          <w:lang w:eastAsia="en-US"/>
        </w:rPr>
        <w:t>S</w:t>
      </w:r>
      <w:r>
        <w:rPr>
          <w:rFonts w:ascii="Times New Roman" w:eastAsia="宋体" w:hAnsi="Times New Roman" w:cs="Times New Roman" w:hint="eastAsia"/>
          <w:b/>
          <w:bCs/>
          <w:snapToGrid w:val="0"/>
          <w:color w:val="000000"/>
          <w:spacing w:val="-2"/>
          <w:kern w:val="0"/>
          <w:sz w:val="24"/>
          <w:szCs w:val="24"/>
        </w:rPr>
        <w:t>9</w:t>
      </w:r>
      <w:r>
        <w:rPr>
          <w:rFonts w:ascii="Times New Roman" w:eastAsia="Times New Roman" w:hAnsi="Times New Roman" w:cs="Times New Roman"/>
          <w:b/>
          <w:bCs/>
          <w:snapToGrid w:val="0"/>
          <w:color w:val="000000"/>
          <w:spacing w:val="-2"/>
          <w:kern w:val="0"/>
          <w:sz w:val="24"/>
          <w:szCs w:val="24"/>
          <w:lang w:eastAsia="en-US"/>
        </w:rPr>
        <w:t>.</w:t>
      </w:r>
    </w:p>
    <w:p w14:paraId="366E7D69" w14:textId="77777777" w:rsidR="00FB1285" w:rsidRDefault="00000000">
      <w:pPr>
        <w:widowControl/>
        <w:rPr>
          <w:rFonts w:ascii="Times New Roman" w:eastAsia="宋体" w:hAnsi="Times New Roman" w:cs="Times New Roman"/>
          <w:sz w:val="24"/>
        </w:rPr>
      </w:pPr>
      <w:r>
        <w:rPr>
          <w:rFonts w:ascii="Times New Roman" w:eastAsia="宋体" w:hAnsi="Times New Roman" w:cs="Times New Roman" w:hint="eastAsia"/>
          <w:noProof/>
          <w:sz w:val="24"/>
        </w:rPr>
        <w:drawing>
          <wp:inline distT="0" distB="0" distL="114300" distR="114300" wp14:anchorId="10240C4C" wp14:editId="51F8728F">
            <wp:extent cx="5273675" cy="5461635"/>
            <wp:effectExtent l="0" t="0" r="9525" b="12065"/>
            <wp:docPr id="15" name="图片 15" descr="Figure S9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igure S9_v2"/>
                    <pic:cNvPicPr>
                      <a:picLocks noChangeAspect="1"/>
                    </pic:cNvPicPr>
                  </pic:nvPicPr>
                  <pic:blipFill>
                    <a:blip r:embed="rId13"/>
                    <a:stretch>
                      <a:fillRect/>
                    </a:stretch>
                  </pic:blipFill>
                  <pic:spPr>
                    <a:xfrm>
                      <a:off x="0" y="0"/>
                      <a:ext cx="5273675" cy="5461635"/>
                    </a:xfrm>
                    <a:prstGeom prst="rect">
                      <a:avLst/>
                    </a:prstGeom>
                  </pic:spPr>
                </pic:pic>
              </a:graphicData>
            </a:graphic>
          </wp:inline>
        </w:drawing>
      </w:r>
    </w:p>
    <w:p w14:paraId="47CDE56F" w14:textId="77777777" w:rsidR="00FB1285" w:rsidRDefault="00000000">
      <w:pPr>
        <w:widowControl/>
        <w:rPr>
          <w:rFonts w:ascii="Times New Roman" w:eastAsia="宋体" w:hAnsi="Times New Roman" w:cs="Times New Roman"/>
          <w:sz w:val="24"/>
        </w:rPr>
      </w:pPr>
      <w:r>
        <w:rPr>
          <w:rFonts w:ascii="Times New Roman" w:eastAsia="宋体" w:hAnsi="Times New Roman" w:cs="Times New Roman" w:hint="eastAsia"/>
          <w:sz w:val="24"/>
        </w:rPr>
        <w:t>a.</w:t>
      </w:r>
      <w:r>
        <w:rPr>
          <w:rFonts w:ascii="Times New Roman" w:eastAsia="宋体" w:hAnsi="Times New Roman" w:cs="Times New Roman"/>
          <w:sz w:val="24"/>
        </w:rPr>
        <w:t xml:space="preserve"> Spatial </w:t>
      </w:r>
      <w:r>
        <w:rPr>
          <w:rFonts w:ascii="Times New Roman" w:eastAsia="宋体" w:hAnsi="Times New Roman" w:cs="Times New Roman" w:hint="eastAsia"/>
          <w:sz w:val="24"/>
        </w:rPr>
        <w:t xml:space="preserve">feature </w:t>
      </w:r>
      <w:r>
        <w:rPr>
          <w:rFonts w:ascii="Times New Roman" w:eastAsia="宋体" w:hAnsi="Times New Roman" w:cs="Times New Roman"/>
          <w:sz w:val="24"/>
        </w:rPr>
        <w:t>plots showing the deconvoluted proportions of ENO2</w:t>
      </w:r>
      <w:r>
        <w:rPr>
          <w:rFonts w:ascii="Times New Roman" w:eastAsia="宋体" w:hAnsi="Times New Roman" w:cs="Times New Roman"/>
          <w:sz w:val="24"/>
          <w:vertAlign w:val="superscript"/>
        </w:rPr>
        <w:t>+</w:t>
      </w:r>
      <w:r>
        <w:rPr>
          <w:rFonts w:ascii="Times New Roman" w:eastAsia="宋体" w:hAnsi="Times New Roman" w:cs="Times New Roman"/>
          <w:sz w:val="24"/>
        </w:rPr>
        <w:t xml:space="preserve"> cancer cells  and M2 macrophages across three representative liver metastasis samples (ST_liver1, ST_liver2, and ST_liver3). The color scale indicates the predicted cell type weights per spot. </w:t>
      </w:r>
    </w:p>
    <w:p w14:paraId="40E7A752" w14:textId="77777777" w:rsidR="00FB1285" w:rsidRDefault="00000000">
      <w:pPr>
        <w:widowControl/>
        <w:rPr>
          <w:rFonts w:ascii="Times New Roman" w:eastAsia="宋体" w:hAnsi="Times New Roman" w:cs="Times New Roman"/>
          <w:sz w:val="24"/>
        </w:rPr>
      </w:pPr>
      <w:r>
        <w:rPr>
          <w:rFonts w:ascii="Times New Roman" w:eastAsia="宋体" w:hAnsi="Times New Roman" w:cs="Times New Roman" w:hint="eastAsia"/>
          <w:sz w:val="24"/>
        </w:rPr>
        <w:t>b.</w:t>
      </w:r>
      <w:r>
        <w:rPr>
          <w:rFonts w:ascii="Times New Roman" w:eastAsia="宋体" w:hAnsi="Times New Roman" w:cs="Times New Roman"/>
          <w:sz w:val="24"/>
        </w:rPr>
        <w:t xml:space="preserve"> Scatter plots illustrating the correlation between the abundance of ENO2</w:t>
      </w:r>
      <w:r>
        <w:rPr>
          <w:rFonts w:ascii="Times New Roman" w:eastAsia="宋体" w:hAnsi="Times New Roman" w:cs="Times New Roman"/>
          <w:sz w:val="24"/>
          <w:vertAlign w:val="superscript"/>
        </w:rPr>
        <w:t>+</w:t>
      </w:r>
      <w:r>
        <w:rPr>
          <w:rFonts w:ascii="Times New Roman" w:eastAsia="宋体" w:hAnsi="Times New Roman" w:cs="Times New Roman"/>
          <w:sz w:val="24"/>
        </w:rPr>
        <w:t xml:space="preserve"> cancer cells and M2 macrophages in four spatial transcriptomic samples (ST_liver1 to ST_liver4). Spearman’s rank correlation coefficient (rho) and P-values are indicated.</w:t>
      </w:r>
    </w:p>
    <w:p w14:paraId="120AC005" w14:textId="77777777" w:rsidR="00FB1285" w:rsidRDefault="00FB1285">
      <w:pPr>
        <w:widowControl/>
        <w:rPr>
          <w:rFonts w:ascii="Times New Roman" w:eastAsia="宋体" w:hAnsi="Times New Roman" w:cs="Times New Roman"/>
          <w:sz w:val="24"/>
        </w:rPr>
      </w:pPr>
    </w:p>
    <w:p w14:paraId="41754161" w14:textId="77777777" w:rsidR="00FB1285" w:rsidRDefault="00000000">
      <w:pPr>
        <w:widowControl/>
        <w:jc w:val="left"/>
        <w:rPr>
          <w:rFonts w:ascii="Times New Roman" w:eastAsia="宋体" w:hAnsi="Times New Roman" w:cs="Times New Roman"/>
          <w:sz w:val="24"/>
        </w:rPr>
      </w:pPr>
      <w:r>
        <w:rPr>
          <w:rFonts w:ascii="Times New Roman" w:eastAsia="宋体" w:hAnsi="Times New Roman" w:cs="Times New Roman"/>
          <w:sz w:val="24"/>
        </w:rPr>
        <w:br w:type="page"/>
      </w:r>
    </w:p>
    <w:p w14:paraId="4A59FD9B" w14:textId="77777777" w:rsidR="00FB1285" w:rsidRDefault="00000000">
      <w:pPr>
        <w:kinsoku w:val="0"/>
        <w:autoSpaceDE w:val="0"/>
        <w:autoSpaceDN w:val="0"/>
        <w:adjustRightInd w:val="0"/>
        <w:snapToGrid w:val="0"/>
        <w:jc w:val="left"/>
        <w:textAlignment w:val="baseline"/>
        <w:outlineLvl w:val="0"/>
        <w:rPr>
          <w:rFonts w:ascii="Times New Roman" w:eastAsia="Times New Roman" w:hAnsi="Times New Roman" w:cs="Times New Roman"/>
          <w:snapToGrid w:val="0"/>
          <w:color w:val="000000"/>
          <w:kern w:val="0"/>
          <w:sz w:val="24"/>
          <w:szCs w:val="24"/>
          <w:lang w:eastAsia="en-US"/>
        </w:rPr>
      </w:pPr>
      <w:r>
        <w:rPr>
          <w:rFonts w:ascii="Times New Roman" w:eastAsia="Times New Roman" w:hAnsi="Times New Roman" w:cs="Times New Roman"/>
          <w:b/>
          <w:bCs/>
          <w:snapToGrid w:val="0"/>
          <w:color w:val="000000"/>
          <w:spacing w:val="-2"/>
          <w:kern w:val="0"/>
          <w:sz w:val="24"/>
          <w:szCs w:val="24"/>
          <w:lang w:eastAsia="en-US"/>
        </w:rPr>
        <w:lastRenderedPageBreak/>
        <w:t>Figure.</w:t>
      </w:r>
      <w:r>
        <w:rPr>
          <w:rFonts w:ascii="Times New Roman" w:eastAsia="Times New Roman" w:hAnsi="Times New Roman" w:cs="Times New Roman"/>
          <w:b/>
          <w:bCs/>
          <w:snapToGrid w:val="0"/>
          <w:color w:val="000000"/>
          <w:spacing w:val="14"/>
          <w:kern w:val="0"/>
          <w:sz w:val="24"/>
          <w:szCs w:val="24"/>
          <w:lang w:eastAsia="en-US"/>
        </w:rPr>
        <w:t xml:space="preserve"> </w:t>
      </w:r>
      <w:r>
        <w:rPr>
          <w:rFonts w:ascii="Times New Roman" w:eastAsia="Times New Roman" w:hAnsi="Times New Roman" w:cs="Times New Roman"/>
          <w:b/>
          <w:bCs/>
          <w:snapToGrid w:val="0"/>
          <w:color w:val="000000"/>
          <w:spacing w:val="-2"/>
          <w:kern w:val="0"/>
          <w:sz w:val="24"/>
          <w:szCs w:val="24"/>
          <w:lang w:eastAsia="en-US"/>
        </w:rPr>
        <w:t>S</w:t>
      </w:r>
      <w:r>
        <w:rPr>
          <w:rFonts w:ascii="Times New Roman" w:eastAsia="宋体" w:hAnsi="Times New Roman" w:cs="Times New Roman" w:hint="eastAsia"/>
          <w:b/>
          <w:bCs/>
          <w:snapToGrid w:val="0"/>
          <w:color w:val="000000"/>
          <w:spacing w:val="-2"/>
          <w:kern w:val="0"/>
          <w:sz w:val="24"/>
          <w:szCs w:val="24"/>
        </w:rPr>
        <w:t>10</w:t>
      </w:r>
      <w:r>
        <w:rPr>
          <w:rFonts w:ascii="Times New Roman" w:eastAsia="Times New Roman" w:hAnsi="Times New Roman" w:cs="Times New Roman"/>
          <w:b/>
          <w:bCs/>
          <w:snapToGrid w:val="0"/>
          <w:color w:val="000000"/>
          <w:spacing w:val="-2"/>
          <w:kern w:val="0"/>
          <w:sz w:val="24"/>
          <w:szCs w:val="24"/>
          <w:lang w:eastAsia="en-US"/>
        </w:rPr>
        <w:t>.</w:t>
      </w:r>
    </w:p>
    <w:p w14:paraId="7962F534" w14:textId="77777777" w:rsidR="00FB1285" w:rsidRDefault="00000000">
      <w:pPr>
        <w:widowControl/>
        <w:rPr>
          <w:rFonts w:ascii="Times New Roman" w:eastAsia="宋体" w:hAnsi="Times New Roman" w:cs="Times New Roman"/>
          <w:sz w:val="24"/>
        </w:rPr>
      </w:pPr>
      <w:r>
        <w:rPr>
          <w:rFonts w:ascii="Times New Roman" w:eastAsia="宋体" w:hAnsi="Times New Roman" w:cs="Times New Roman" w:hint="eastAsia"/>
          <w:noProof/>
          <w:sz w:val="24"/>
        </w:rPr>
        <w:drawing>
          <wp:inline distT="0" distB="0" distL="114300" distR="114300" wp14:anchorId="434FC592" wp14:editId="665B41E9">
            <wp:extent cx="5270500" cy="3909060"/>
            <wp:effectExtent l="0" t="0" r="0" b="2540"/>
            <wp:docPr id="14" name="图片 14" descr="Figure 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Figure S10"/>
                    <pic:cNvPicPr>
                      <a:picLocks noChangeAspect="1"/>
                    </pic:cNvPicPr>
                  </pic:nvPicPr>
                  <pic:blipFill>
                    <a:blip r:embed="rId14"/>
                    <a:stretch>
                      <a:fillRect/>
                    </a:stretch>
                  </pic:blipFill>
                  <pic:spPr>
                    <a:xfrm>
                      <a:off x="0" y="0"/>
                      <a:ext cx="5270500" cy="3909060"/>
                    </a:xfrm>
                    <a:prstGeom prst="rect">
                      <a:avLst/>
                    </a:prstGeom>
                  </pic:spPr>
                </pic:pic>
              </a:graphicData>
            </a:graphic>
          </wp:inline>
        </w:drawing>
      </w:r>
    </w:p>
    <w:p w14:paraId="6465BA2F" w14:textId="77777777" w:rsidR="00FB1285" w:rsidRDefault="00000000">
      <w:pPr>
        <w:widowControl/>
        <w:spacing w:line="360" w:lineRule="auto"/>
        <w:rPr>
          <w:rFonts w:ascii="Times New Roman" w:eastAsia="宋体" w:hAnsi="Times New Roman" w:cs="Times New Roman"/>
          <w:sz w:val="24"/>
        </w:rPr>
      </w:pPr>
      <w:r>
        <w:rPr>
          <w:rFonts w:ascii="Times New Roman" w:eastAsia="宋体" w:hAnsi="Times New Roman" w:cs="Times New Roman"/>
          <w:sz w:val="24"/>
        </w:rPr>
        <w:t>a. Schematic diagram of in vitro co-culture system.</w:t>
      </w:r>
      <w:r>
        <w:rPr>
          <w:rFonts w:ascii="Times New Roman" w:eastAsia="宋体" w:hAnsi="Times New Roman" w:cs="Times New Roman" w:hint="eastAsia"/>
          <w:sz w:val="24"/>
        </w:rPr>
        <w:t xml:space="preserve"> (Created with BioRender.com).</w:t>
      </w:r>
    </w:p>
    <w:p w14:paraId="2DA4854D" w14:textId="77777777" w:rsidR="00FB1285" w:rsidRDefault="00000000">
      <w:pPr>
        <w:widowControl/>
        <w:spacing w:line="360" w:lineRule="auto"/>
        <w:rPr>
          <w:rFonts w:ascii="Times New Roman" w:eastAsia="宋体" w:hAnsi="Times New Roman" w:cs="Times New Roman"/>
          <w:sz w:val="24"/>
        </w:rPr>
      </w:pPr>
      <w:r>
        <w:rPr>
          <w:rFonts w:ascii="Times New Roman" w:eastAsia="宋体" w:hAnsi="Times New Roman" w:cs="Times New Roman"/>
          <w:sz w:val="24"/>
        </w:rPr>
        <w:t>b-c. Bar plot displaying changes in the proportion of M1 and M2 macrophages in co-culture systems (b) and xenograft tumors (c).</w:t>
      </w:r>
    </w:p>
    <w:p w14:paraId="1B9AA7DA" w14:textId="77777777" w:rsidR="00FB1285" w:rsidRDefault="00000000">
      <w:pPr>
        <w:widowControl/>
        <w:spacing w:line="360" w:lineRule="auto"/>
        <w:rPr>
          <w:rFonts w:ascii="Times New Roman" w:eastAsia="宋体" w:hAnsi="Times New Roman" w:cs="Times New Roman"/>
          <w:sz w:val="24"/>
        </w:rPr>
      </w:pPr>
      <w:r>
        <w:rPr>
          <w:rFonts w:ascii="Times New Roman" w:eastAsia="宋体" w:hAnsi="Times New Roman" w:cs="Times New Roman"/>
          <w:sz w:val="24"/>
        </w:rPr>
        <w:t>d-e. Bar plot of the ratio of M1/M2 after intervention in ENO2 expression in human derived organoid models.</w:t>
      </w:r>
    </w:p>
    <w:p w14:paraId="1726179C" w14:textId="77777777" w:rsidR="00FB1285" w:rsidRDefault="00000000">
      <w:pPr>
        <w:widowControl/>
        <w:spacing w:line="360" w:lineRule="auto"/>
        <w:rPr>
          <w:rFonts w:ascii="Times New Roman" w:eastAsia="宋体" w:hAnsi="Times New Roman" w:cs="Times New Roman"/>
          <w:sz w:val="24"/>
        </w:rPr>
        <w:sectPr w:rsidR="00FB1285">
          <w:pgSz w:w="11906" w:h="16838"/>
          <w:pgMar w:top="1440" w:right="1800" w:bottom="1440" w:left="1800" w:header="851" w:footer="992" w:gutter="0"/>
          <w:cols w:space="425"/>
          <w:docGrid w:type="lines" w:linePitch="312"/>
        </w:sectPr>
      </w:pPr>
      <w:r>
        <w:rPr>
          <w:rFonts w:ascii="Times New Roman" w:eastAsia="宋体" w:hAnsi="Times New Roman" w:cs="Times New Roman"/>
          <w:sz w:val="24"/>
        </w:rPr>
        <w:t>f-g. Under the intervention of ENO2 expression and response experimental system, validate the expression level of CD206 using immunohistochemistry.</w:t>
      </w:r>
    </w:p>
    <w:p w14:paraId="2B64851A" w14:textId="77777777" w:rsidR="00FB1285" w:rsidRDefault="00000000">
      <w:pPr>
        <w:kinsoku w:val="0"/>
        <w:autoSpaceDE w:val="0"/>
        <w:autoSpaceDN w:val="0"/>
        <w:adjustRightInd w:val="0"/>
        <w:snapToGrid w:val="0"/>
        <w:spacing w:before="69" w:line="188" w:lineRule="auto"/>
        <w:ind w:left="8"/>
        <w:jc w:val="left"/>
        <w:textAlignment w:val="baseline"/>
        <w:outlineLvl w:val="0"/>
        <w:rPr>
          <w:rFonts w:ascii="Times New Roman" w:eastAsia="Times New Roman" w:hAnsi="Times New Roman" w:cs="Times New Roman"/>
          <w:snapToGrid w:val="0"/>
          <w:color w:val="000000"/>
          <w:kern w:val="0"/>
          <w:sz w:val="24"/>
          <w:szCs w:val="24"/>
          <w:lang w:eastAsia="en-US"/>
        </w:rPr>
      </w:pPr>
      <w:r>
        <w:rPr>
          <w:rFonts w:ascii="Times New Roman" w:eastAsia="Times New Roman" w:hAnsi="Times New Roman" w:cs="Times New Roman"/>
          <w:b/>
          <w:bCs/>
          <w:snapToGrid w:val="0"/>
          <w:color w:val="000000"/>
          <w:spacing w:val="-3"/>
          <w:kern w:val="0"/>
          <w:sz w:val="24"/>
          <w:szCs w:val="24"/>
          <w:lang w:eastAsia="en-US"/>
        </w:rPr>
        <w:lastRenderedPageBreak/>
        <w:t>Table</w:t>
      </w:r>
      <w:r>
        <w:rPr>
          <w:rFonts w:ascii="Times New Roman" w:eastAsia="Times New Roman" w:hAnsi="Times New Roman" w:cs="Times New Roman"/>
          <w:b/>
          <w:bCs/>
          <w:snapToGrid w:val="0"/>
          <w:color w:val="000000"/>
          <w:spacing w:val="14"/>
          <w:kern w:val="0"/>
          <w:sz w:val="24"/>
          <w:szCs w:val="24"/>
          <w:lang w:eastAsia="en-US"/>
        </w:rPr>
        <w:t xml:space="preserve"> </w:t>
      </w:r>
      <w:r>
        <w:rPr>
          <w:rFonts w:ascii="Times New Roman" w:eastAsia="Times New Roman" w:hAnsi="Times New Roman" w:cs="Times New Roman"/>
          <w:b/>
          <w:bCs/>
          <w:snapToGrid w:val="0"/>
          <w:color w:val="000000"/>
          <w:spacing w:val="-3"/>
          <w:kern w:val="0"/>
          <w:sz w:val="24"/>
          <w:szCs w:val="24"/>
          <w:lang w:eastAsia="en-US"/>
        </w:rPr>
        <w:t>S1.</w:t>
      </w:r>
    </w:p>
    <w:p w14:paraId="4A531095"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Markers for each cell types.</w:t>
      </w:r>
    </w:p>
    <w:tbl>
      <w:tblPr>
        <w:tblStyle w:val="a8"/>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563"/>
        <w:gridCol w:w="4945"/>
      </w:tblGrid>
      <w:tr w:rsidR="00FB1285" w14:paraId="59D836A4" w14:textId="77777777">
        <w:tc>
          <w:tcPr>
            <w:tcW w:w="1985" w:type="dxa"/>
            <w:tcBorders>
              <w:top w:val="single" w:sz="8" w:space="0" w:color="auto"/>
              <w:bottom w:val="single" w:sz="8" w:space="0" w:color="auto"/>
            </w:tcBorders>
          </w:tcPr>
          <w:p w14:paraId="6FB011AC" w14:textId="77777777" w:rsidR="00FB1285" w:rsidRDefault="00000000">
            <w:pPr>
              <w:jc w:val="left"/>
              <w:rPr>
                <w:rFonts w:ascii="Times New Roman" w:eastAsia="宋体" w:hAnsi="Times New Roman" w:cs="Times New Roman"/>
                <w:sz w:val="24"/>
              </w:rPr>
            </w:pPr>
            <w:r>
              <w:rPr>
                <w:rFonts w:ascii="Times New Roman" w:eastAsia="宋体" w:hAnsi="Times New Roman" w:cs="Times New Roman"/>
                <w:sz w:val="24"/>
              </w:rPr>
              <w:t>Project</w:t>
            </w:r>
          </w:p>
        </w:tc>
        <w:tc>
          <w:tcPr>
            <w:tcW w:w="2563" w:type="dxa"/>
            <w:tcBorders>
              <w:top w:val="single" w:sz="8" w:space="0" w:color="auto"/>
              <w:bottom w:val="single" w:sz="8" w:space="0" w:color="auto"/>
            </w:tcBorders>
          </w:tcPr>
          <w:p w14:paraId="50A2E2C1" w14:textId="77777777" w:rsidR="00FB1285" w:rsidRDefault="00000000">
            <w:pPr>
              <w:jc w:val="left"/>
              <w:rPr>
                <w:rFonts w:ascii="Times New Roman" w:eastAsia="宋体" w:hAnsi="Times New Roman" w:cs="Times New Roman"/>
                <w:sz w:val="24"/>
              </w:rPr>
            </w:pPr>
            <w:r>
              <w:rPr>
                <w:rFonts w:ascii="Times New Roman" w:eastAsia="宋体" w:hAnsi="Times New Roman" w:cs="Times New Roman"/>
                <w:sz w:val="24"/>
              </w:rPr>
              <w:t>Cell types</w:t>
            </w:r>
          </w:p>
        </w:tc>
        <w:tc>
          <w:tcPr>
            <w:tcW w:w="4945" w:type="dxa"/>
            <w:tcBorders>
              <w:top w:val="single" w:sz="8" w:space="0" w:color="auto"/>
              <w:bottom w:val="single" w:sz="8" w:space="0" w:color="auto"/>
            </w:tcBorders>
          </w:tcPr>
          <w:p w14:paraId="13E1D5EA" w14:textId="77777777" w:rsidR="00FB1285" w:rsidRDefault="00000000">
            <w:pPr>
              <w:jc w:val="left"/>
              <w:rPr>
                <w:rFonts w:ascii="Times New Roman" w:eastAsia="宋体" w:hAnsi="Times New Roman" w:cs="Times New Roman"/>
                <w:sz w:val="24"/>
              </w:rPr>
            </w:pPr>
            <w:r>
              <w:rPr>
                <w:rFonts w:ascii="Times New Roman" w:eastAsia="宋体" w:hAnsi="Times New Roman" w:cs="Times New Roman"/>
                <w:sz w:val="24"/>
              </w:rPr>
              <w:t>Markers</w:t>
            </w:r>
          </w:p>
        </w:tc>
      </w:tr>
      <w:tr w:rsidR="00FB1285" w14:paraId="6C407481" w14:textId="77777777">
        <w:tc>
          <w:tcPr>
            <w:tcW w:w="1985" w:type="dxa"/>
            <w:vMerge w:val="restart"/>
            <w:tcBorders>
              <w:top w:val="single" w:sz="8" w:space="0" w:color="auto"/>
            </w:tcBorders>
          </w:tcPr>
          <w:p w14:paraId="56B51A1A" w14:textId="77777777" w:rsidR="00FB1285" w:rsidRDefault="00000000">
            <w:pPr>
              <w:jc w:val="left"/>
              <w:rPr>
                <w:rFonts w:ascii="Times New Roman" w:eastAsia="宋体" w:hAnsi="Times New Roman" w:cs="Times New Roman"/>
                <w:sz w:val="24"/>
              </w:rPr>
            </w:pPr>
            <w:r>
              <w:rPr>
                <w:rFonts w:ascii="Times New Roman" w:eastAsia="宋体" w:hAnsi="Times New Roman" w:cs="Times New Roman"/>
                <w:sz w:val="24"/>
              </w:rPr>
              <w:t>CRC_M and CRC_nM</w:t>
            </w:r>
          </w:p>
        </w:tc>
        <w:tc>
          <w:tcPr>
            <w:tcW w:w="2563" w:type="dxa"/>
            <w:tcBorders>
              <w:top w:val="single" w:sz="8" w:space="0" w:color="auto"/>
            </w:tcBorders>
            <w:vAlign w:val="center"/>
          </w:tcPr>
          <w:p w14:paraId="7CB74031" w14:textId="77777777" w:rsidR="00FB1285" w:rsidRDefault="00000000">
            <w:pPr>
              <w:jc w:val="left"/>
              <w:rPr>
                <w:rFonts w:ascii="Times New Roman" w:eastAsia="宋体" w:hAnsi="Times New Roman" w:cs="Times New Roman"/>
                <w:sz w:val="24"/>
              </w:rPr>
            </w:pPr>
            <w:r>
              <w:rPr>
                <w:rFonts w:ascii="Times New Roman" w:hAnsi="Times New Roman" w:cs="Times New Roman"/>
              </w:rPr>
              <w:t>T cells</w:t>
            </w:r>
          </w:p>
        </w:tc>
        <w:tc>
          <w:tcPr>
            <w:tcW w:w="4945" w:type="dxa"/>
            <w:tcBorders>
              <w:top w:val="single" w:sz="8" w:space="0" w:color="auto"/>
            </w:tcBorders>
            <w:vAlign w:val="center"/>
          </w:tcPr>
          <w:p w14:paraId="1D269575" w14:textId="77777777" w:rsidR="00FB1285" w:rsidRDefault="00000000">
            <w:pPr>
              <w:jc w:val="left"/>
              <w:rPr>
                <w:rFonts w:ascii="Times New Roman" w:eastAsia="宋体" w:hAnsi="Times New Roman" w:cs="Times New Roman"/>
                <w:sz w:val="24"/>
              </w:rPr>
            </w:pPr>
            <w:r>
              <w:rPr>
                <w:rFonts w:ascii="Times New Roman" w:hAnsi="Times New Roman" w:cs="Times New Roman"/>
              </w:rPr>
              <w:t>CCL5, CD3D, CD2, TRAC, TRBC2</w:t>
            </w:r>
          </w:p>
        </w:tc>
      </w:tr>
      <w:tr w:rsidR="00FB1285" w14:paraId="2C743E5A" w14:textId="77777777">
        <w:tc>
          <w:tcPr>
            <w:tcW w:w="1985" w:type="dxa"/>
            <w:vMerge/>
          </w:tcPr>
          <w:p w14:paraId="7FC2723E" w14:textId="77777777" w:rsidR="00FB1285" w:rsidRDefault="00FB1285">
            <w:pPr>
              <w:jc w:val="left"/>
              <w:rPr>
                <w:rFonts w:ascii="Times New Roman" w:eastAsia="宋体" w:hAnsi="Times New Roman" w:cs="Times New Roman"/>
                <w:sz w:val="24"/>
              </w:rPr>
            </w:pPr>
          </w:p>
        </w:tc>
        <w:tc>
          <w:tcPr>
            <w:tcW w:w="2563" w:type="dxa"/>
            <w:vAlign w:val="center"/>
          </w:tcPr>
          <w:p w14:paraId="61A5BE9D" w14:textId="77777777" w:rsidR="00FB1285" w:rsidRDefault="00000000">
            <w:pPr>
              <w:jc w:val="left"/>
              <w:rPr>
                <w:rFonts w:ascii="Times New Roman" w:eastAsia="宋体" w:hAnsi="Times New Roman" w:cs="Times New Roman"/>
                <w:sz w:val="24"/>
              </w:rPr>
            </w:pPr>
            <w:r>
              <w:rPr>
                <w:rFonts w:ascii="Times New Roman" w:hAnsi="Times New Roman" w:cs="Times New Roman"/>
              </w:rPr>
              <w:t>B cells</w:t>
            </w:r>
          </w:p>
        </w:tc>
        <w:tc>
          <w:tcPr>
            <w:tcW w:w="4945" w:type="dxa"/>
            <w:vAlign w:val="center"/>
          </w:tcPr>
          <w:p w14:paraId="2E8E843F" w14:textId="77777777" w:rsidR="00FB1285" w:rsidRDefault="00000000">
            <w:pPr>
              <w:jc w:val="left"/>
              <w:rPr>
                <w:rFonts w:ascii="Times New Roman" w:eastAsia="宋体" w:hAnsi="Times New Roman" w:cs="Times New Roman"/>
                <w:sz w:val="24"/>
              </w:rPr>
            </w:pPr>
            <w:r>
              <w:rPr>
                <w:rFonts w:ascii="Times New Roman" w:hAnsi="Times New Roman" w:cs="Times New Roman"/>
              </w:rPr>
              <w:t>CD79A, CD79B, MS4A1</w:t>
            </w:r>
          </w:p>
        </w:tc>
      </w:tr>
      <w:tr w:rsidR="00FB1285" w14:paraId="33943CB5" w14:textId="77777777">
        <w:tc>
          <w:tcPr>
            <w:tcW w:w="1985" w:type="dxa"/>
            <w:vMerge/>
          </w:tcPr>
          <w:p w14:paraId="0288D7E5" w14:textId="77777777" w:rsidR="00FB1285" w:rsidRDefault="00FB1285">
            <w:pPr>
              <w:jc w:val="left"/>
              <w:rPr>
                <w:rFonts w:ascii="Times New Roman" w:eastAsia="宋体" w:hAnsi="Times New Roman" w:cs="Times New Roman"/>
                <w:sz w:val="24"/>
              </w:rPr>
            </w:pPr>
          </w:p>
        </w:tc>
        <w:tc>
          <w:tcPr>
            <w:tcW w:w="2563" w:type="dxa"/>
            <w:vAlign w:val="center"/>
          </w:tcPr>
          <w:p w14:paraId="56CF0D75" w14:textId="77777777" w:rsidR="00FB1285" w:rsidRDefault="00000000">
            <w:pPr>
              <w:jc w:val="left"/>
              <w:rPr>
                <w:rFonts w:ascii="Times New Roman" w:eastAsia="宋体" w:hAnsi="Times New Roman" w:cs="Times New Roman"/>
                <w:sz w:val="24"/>
              </w:rPr>
            </w:pPr>
            <w:r>
              <w:rPr>
                <w:rFonts w:ascii="Times New Roman" w:hAnsi="Times New Roman" w:cs="Times New Roman"/>
              </w:rPr>
              <w:t>Plasma cells</w:t>
            </w:r>
          </w:p>
        </w:tc>
        <w:tc>
          <w:tcPr>
            <w:tcW w:w="4945" w:type="dxa"/>
            <w:vAlign w:val="center"/>
          </w:tcPr>
          <w:p w14:paraId="60443438" w14:textId="77777777" w:rsidR="00FB1285" w:rsidRDefault="00000000">
            <w:pPr>
              <w:jc w:val="left"/>
              <w:rPr>
                <w:rFonts w:ascii="Times New Roman" w:eastAsia="宋体" w:hAnsi="Times New Roman" w:cs="Times New Roman"/>
                <w:sz w:val="24"/>
              </w:rPr>
            </w:pPr>
            <w:r>
              <w:rPr>
                <w:rFonts w:ascii="Times New Roman" w:hAnsi="Times New Roman" w:cs="Times New Roman"/>
              </w:rPr>
              <w:t>CD79A, MZB1, JCHAIN, IGHA1</w:t>
            </w:r>
          </w:p>
        </w:tc>
      </w:tr>
      <w:tr w:rsidR="00FB1285" w14:paraId="45CEF0B1" w14:textId="77777777">
        <w:tc>
          <w:tcPr>
            <w:tcW w:w="1985" w:type="dxa"/>
            <w:vMerge/>
          </w:tcPr>
          <w:p w14:paraId="58E9C8F7" w14:textId="77777777" w:rsidR="00FB1285" w:rsidRDefault="00FB1285">
            <w:pPr>
              <w:jc w:val="left"/>
              <w:rPr>
                <w:rFonts w:ascii="Times New Roman" w:eastAsia="宋体" w:hAnsi="Times New Roman" w:cs="Times New Roman"/>
                <w:sz w:val="24"/>
              </w:rPr>
            </w:pPr>
          </w:p>
        </w:tc>
        <w:tc>
          <w:tcPr>
            <w:tcW w:w="2563" w:type="dxa"/>
            <w:vAlign w:val="center"/>
          </w:tcPr>
          <w:p w14:paraId="1BCF8413" w14:textId="77777777" w:rsidR="00FB1285" w:rsidRDefault="00000000">
            <w:pPr>
              <w:jc w:val="left"/>
              <w:rPr>
                <w:rFonts w:ascii="Times New Roman" w:eastAsia="宋体" w:hAnsi="Times New Roman" w:cs="Times New Roman"/>
                <w:sz w:val="24"/>
              </w:rPr>
            </w:pPr>
            <w:r>
              <w:rPr>
                <w:rFonts w:ascii="Times New Roman" w:hAnsi="Times New Roman" w:cs="Times New Roman"/>
              </w:rPr>
              <w:t>Mononuclear phagocytes</w:t>
            </w:r>
          </w:p>
        </w:tc>
        <w:tc>
          <w:tcPr>
            <w:tcW w:w="4945" w:type="dxa"/>
            <w:vAlign w:val="center"/>
          </w:tcPr>
          <w:p w14:paraId="030A864D" w14:textId="77777777" w:rsidR="00FB1285" w:rsidRDefault="00000000">
            <w:pPr>
              <w:jc w:val="left"/>
              <w:rPr>
                <w:rFonts w:ascii="Times New Roman" w:eastAsia="宋体" w:hAnsi="Times New Roman" w:cs="Times New Roman"/>
                <w:sz w:val="24"/>
              </w:rPr>
            </w:pPr>
            <w:r>
              <w:rPr>
                <w:rFonts w:ascii="Times New Roman" w:hAnsi="Times New Roman" w:cs="Times New Roman"/>
              </w:rPr>
              <w:t>LYZ, C1QA, VCAN, CD14, CD1C</w:t>
            </w:r>
          </w:p>
        </w:tc>
      </w:tr>
      <w:tr w:rsidR="00FB1285" w14:paraId="5D49ACEC" w14:textId="77777777">
        <w:tc>
          <w:tcPr>
            <w:tcW w:w="1985" w:type="dxa"/>
            <w:vMerge/>
          </w:tcPr>
          <w:p w14:paraId="2EF4A366" w14:textId="77777777" w:rsidR="00FB1285" w:rsidRDefault="00FB1285">
            <w:pPr>
              <w:jc w:val="left"/>
              <w:rPr>
                <w:rFonts w:ascii="Times New Roman" w:eastAsia="宋体" w:hAnsi="Times New Roman" w:cs="Times New Roman"/>
                <w:sz w:val="24"/>
              </w:rPr>
            </w:pPr>
          </w:p>
        </w:tc>
        <w:tc>
          <w:tcPr>
            <w:tcW w:w="2563" w:type="dxa"/>
            <w:vAlign w:val="center"/>
          </w:tcPr>
          <w:p w14:paraId="7A2D5C83" w14:textId="77777777" w:rsidR="00FB1285" w:rsidRDefault="00000000">
            <w:pPr>
              <w:jc w:val="left"/>
              <w:rPr>
                <w:rFonts w:ascii="Times New Roman" w:eastAsia="宋体" w:hAnsi="Times New Roman" w:cs="Times New Roman"/>
                <w:sz w:val="24"/>
              </w:rPr>
            </w:pPr>
            <w:r>
              <w:rPr>
                <w:rFonts w:ascii="Times New Roman" w:hAnsi="Times New Roman" w:cs="Times New Roman"/>
              </w:rPr>
              <w:t>Fibroblasts</w:t>
            </w:r>
          </w:p>
        </w:tc>
        <w:tc>
          <w:tcPr>
            <w:tcW w:w="4945" w:type="dxa"/>
            <w:vAlign w:val="center"/>
          </w:tcPr>
          <w:p w14:paraId="39431356" w14:textId="77777777" w:rsidR="00FB1285" w:rsidRDefault="00000000">
            <w:pPr>
              <w:jc w:val="left"/>
              <w:rPr>
                <w:rFonts w:ascii="Times New Roman" w:eastAsia="宋体" w:hAnsi="Times New Roman" w:cs="Times New Roman"/>
                <w:sz w:val="24"/>
              </w:rPr>
            </w:pPr>
            <w:r>
              <w:rPr>
                <w:rFonts w:ascii="Times New Roman" w:hAnsi="Times New Roman" w:cs="Times New Roman"/>
              </w:rPr>
              <w:t>DCN, LUM, COL1A1</w:t>
            </w:r>
          </w:p>
        </w:tc>
      </w:tr>
      <w:tr w:rsidR="00FB1285" w14:paraId="7DBDDC40" w14:textId="77777777">
        <w:tc>
          <w:tcPr>
            <w:tcW w:w="1985" w:type="dxa"/>
            <w:vMerge/>
          </w:tcPr>
          <w:p w14:paraId="6E7BBC0A" w14:textId="77777777" w:rsidR="00FB1285" w:rsidRDefault="00FB1285">
            <w:pPr>
              <w:jc w:val="left"/>
              <w:rPr>
                <w:rFonts w:ascii="Times New Roman" w:eastAsia="宋体" w:hAnsi="Times New Roman" w:cs="Times New Roman"/>
                <w:sz w:val="24"/>
              </w:rPr>
            </w:pPr>
          </w:p>
        </w:tc>
        <w:tc>
          <w:tcPr>
            <w:tcW w:w="2563" w:type="dxa"/>
            <w:vAlign w:val="center"/>
          </w:tcPr>
          <w:p w14:paraId="1BE9B177" w14:textId="77777777" w:rsidR="00FB1285" w:rsidRDefault="00000000">
            <w:pPr>
              <w:jc w:val="left"/>
              <w:rPr>
                <w:rFonts w:ascii="Times New Roman" w:eastAsia="宋体" w:hAnsi="Times New Roman" w:cs="Times New Roman"/>
                <w:sz w:val="24"/>
              </w:rPr>
            </w:pPr>
            <w:r>
              <w:rPr>
                <w:rFonts w:ascii="Times New Roman" w:hAnsi="Times New Roman" w:cs="Times New Roman"/>
              </w:rPr>
              <w:t>Mural cells</w:t>
            </w:r>
          </w:p>
        </w:tc>
        <w:tc>
          <w:tcPr>
            <w:tcW w:w="4945" w:type="dxa"/>
            <w:vAlign w:val="center"/>
          </w:tcPr>
          <w:p w14:paraId="6F49D002" w14:textId="77777777" w:rsidR="00FB1285" w:rsidRDefault="00000000">
            <w:pPr>
              <w:jc w:val="left"/>
              <w:rPr>
                <w:rFonts w:ascii="Times New Roman" w:eastAsia="宋体" w:hAnsi="Times New Roman" w:cs="Times New Roman"/>
                <w:sz w:val="24"/>
              </w:rPr>
            </w:pPr>
            <w:r>
              <w:rPr>
                <w:rFonts w:ascii="Times New Roman" w:hAnsi="Times New Roman" w:cs="Times New Roman"/>
              </w:rPr>
              <w:t>RGS5, PDGFRB, ACTA2, MYH11, MYLK</w:t>
            </w:r>
          </w:p>
        </w:tc>
      </w:tr>
      <w:tr w:rsidR="00FB1285" w14:paraId="4A33C6D9" w14:textId="77777777">
        <w:tc>
          <w:tcPr>
            <w:tcW w:w="1985" w:type="dxa"/>
            <w:vMerge/>
          </w:tcPr>
          <w:p w14:paraId="77B78972" w14:textId="77777777" w:rsidR="00FB1285" w:rsidRDefault="00FB1285">
            <w:pPr>
              <w:jc w:val="left"/>
              <w:rPr>
                <w:rFonts w:ascii="Times New Roman" w:eastAsia="宋体" w:hAnsi="Times New Roman" w:cs="Times New Roman"/>
                <w:sz w:val="24"/>
              </w:rPr>
            </w:pPr>
          </w:p>
        </w:tc>
        <w:tc>
          <w:tcPr>
            <w:tcW w:w="2563" w:type="dxa"/>
            <w:vAlign w:val="center"/>
          </w:tcPr>
          <w:p w14:paraId="5720C08A" w14:textId="77777777" w:rsidR="00FB1285" w:rsidRDefault="00000000">
            <w:pPr>
              <w:jc w:val="left"/>
              <w:rPr>
                <w:rFonts w:ascii="Times New Roman" w:eastAsia="宋体" w:hAnsi="Times New Roman" w:cs="Times New Roman"/>
                <w:sz w:val="24"/>
              </w:rPr>
            </w:pPr>
            <w:r>
              <w:rPr>
                <w:rFonts w:ascii="Times New Roman" w:hAnsi="Times New Roman" w:cs="Times New Roman"/>
              </w:rPr>
              <w:t>Endothelial cells</w:t>
            </w:r>
          </w:p>
        </w:tc>
        <w:tc>
          <w:tcPr>
            <w:tcW w:w="4945" w:type="dxa"/>
            <w:vAlign w:val="center"/>
          </w:tcPr>
          <w:p w14:paraId="1E875E27" w14:textId="77777777" w:rsidR="00FB1285" w:rsidRDefault="00000000">
            <w:pPr>
              <w:jc w:val="left"/>
              <w:rPr>
                <w:rFonts w:ascii="Times New Roman" w:eastAsia="宋体" w:hAnsi="Times New Roman" w:cs="Times New Roman"/>
                <w:sz w:val="24"/>
              </w:rPr>
            </w:pPr>
            <w:r>
              <w:rPr>
                <w:rFonts w:ascii="Times New Roman" w:hAnsi="Times New Roman" w:cs="Times New Roman"/>
              </w:rPr>
              <w:t>PECAM1, ENG, VWF, PLVAP</w:t>
            </w:r>
          </w:p>
        </w:tc>
      </w:tr>
      <w:tr w:rsidR="00FB1285" w14:paraId="53EFCEE8" w14:textId="77777777">
        <w:tc>
          <w:tcPr>
            <w:tcW w:w="1985" w:type="dxa"/>
            <w:vMerge/>
          </w:tcPr>
          <w:p w14:paraId="3F605404" w14:textId="77777777" w:rsidR="00FB1285" w:rsidRDefault="00FB1285">
            <w:pPr>
              <w:jc w:val="left"/>
              <w:rPr>
                <w:rFonts w:ascii="Times New Roman" w:eastAsia="宋体" w:hAnsi="Times New Roman" w:cs="Times New Roman"/>
                <w:sz w:val="24"/>
              </w:rPr>
            </w:pPr>
          </w:p>
        </w:tc>
        <w:tc>
          <w:tcPr>
            <w:tcW w:w="2563" w:type="dxa"/>
            <w:vAlign w:val="center"/>
          </w:tcPr>
          <w:p w14:paraId="6D83E77B" w14:textId="77777777" w:rsidR="00FB1285" w:rsidRDefault="00000000">
            <w:pPr>
              <w:jc w:val="left"/>
              <w:rPr>
                <w:rFonts w:ascii="Times New Roman" w:eastAsia="宋体" w:hAnsi="Times New Roman" w:cs="Times New Roman"/>
                <w:sz w:val="24"/>
              </w:rPr>
            </w:pPr>
            <w:r>
              <w:rPr>
                <w:rFonts w:ascii="Times New Roman" w:hAnsi="Times New Roman" w:cs="Times New Roman"/>
              </w:rPr>
              <w:t>Epithelial cells</w:t>
            </w:r>
          </w:p>
        </w:tc>
        <w:tc>
          <w:tcPr>
            <w:tcW w:w="4945" w:type="dxa"/>
            <w:vAlign w:val="center"/>
          </w:tcPr>
          <w:p w14:paraId="78544534" w14:textId="77777777" w:rsidR="00FB1285" w:rsidRDefault="00000000">
            <w:pPr>
              <w:jc w:val="left"/>
              <w:rPr>
                <w:rFonts w:ascii="Times New Roman" w:eastAsia="宋体" w:hAnsi="Times New Roman" w:cs="Times New Roman"/>
                <w:sz w:val="24"/>
              </w:rPr>
            </w:pPr>
            <w:r>
              <w:rPr>
                <w:rFonts w:ascii="Times New Roman" w:hAnsi="Times New Roman" w:cs="Times New Roman"/>
              </w:rPr>
              <w:t>EPCAM, KRT18, KRT8, CD24</w:t>
            </w:r>
          </w:p>
        </w:tc>
      </w:tr>
      <w:tr w:rsidR="00FB1285" w14:paraId="6C6CE58C" w14:textId="77777777">
        <w:tc>
          <w:tcPr>
            <w:tcW w:w="1985" w:type="dxa"/>
            <w:vMerge/>
          </w:tcPr>
          <w:p w14:paraId="31E16D3A" w14:textId="77777777" w:rsidR="00FB1285" w:rsidRDefault="00FB1285">
            <w:pPr>
              <w:jc w:val="left"/>
              <w:rPr>
                <w:rFonts w:ascii="Times New Roman" w:eastAsia="宋体" w:hAnsi="Times New Roman" w:cs="Times New Roman"/>
                <w:sz w:val="24"/>
              </w:rPr>
            </w:pPr>
          </w:p>
        </w:tc>
        <w:tc>
          <w:tcPr>
            <w:tcW w:w="2563" w:type="dxa"/>
            <w:vAlign w:val="center"/>
          </w:tcPr>
          <w:p w14:paraId="302826D5" w14:textId="77777777" w:rsidR="00FB1285" w:rsidRDefault="00000000">
            <w:pPr>
              <w:jc w:val="left"/>
              <w:rPr>
                <w:rFonts w:ascii="Times New Roman" w:eastAsia="宋体" w:hAnsi="Times New Roman" w:cs="Times New Roman"/>
                <w:sz w:val="24"/>
              </w:rPr>
            </w:pPr>
            <w:r>
              <w:rPr>
                <w:rFonts w:ascii="Times New Roman" w:hAnsi="Times New Roman" w:cs="Times New Roman"/>
              </w:rPr>
              <w:t>Mast cells</w:t>
            </w:r>
          </w:p>
        </w:tc>
        <w:tc>
          <w:tcPr>
            <w:tcW w:w="4945" w:type="dxa"/>
            <w:vAlign w:val="center"/>
          </w:tcPr>
          <w:p w14:paraId="0F668E47" w14:textId="77777777" w:rsidR="00FB1285" w:rsidRDefault="00000000">
            <w:pPr>
              <w:jc w:val="left"/>
              <w:rPr>
                <w:rFonts w:ascii="Times New Roman" w:eastAsia="宋体" w:hAnsi="Times New Roman" w:cs="Times New Roman"/>
                <w:sz w:val="24"/>
              </w:rPr>
            </w:pPr>
            <w:r>
              <w:rPr>
                <w:rFonts w:ascii="Times New Roman" w:hAnsi="Times New Roman" w:cs="Times New Roman"/>
              </w:rPr>
              <w:t>TPSAB1, TPSB2, CPA3</w:t>
            </w:r>
          </w:p>
        </w:tc>
      </w:tr>
      <w:tr w:rsidR="00FB1285" w14:paraId="7F6889E9" w14:textId="77777777">
        <w:tc>
          <w:tcPr>
            <w:tcW w:w="1985" w:type="dxa"/>
            <w:vMerge w:val="restart"/>
          </w:tcPr>
          <w:p w14:paraId="28AF2F10" w14:textId="77777777" w:rsidR="00FB1285" w:rsidRDefault="00000000">
            <w:pPr>
              <w:jc w:val="left"/>
              <w:rPr>
                <w:rFonts w:ascii="Times New Roman" w:eastAsia="宋体" w:hAnsi="Times New Roman" w:cs="Times New Roman"/>
                <w:sz w:val="24"/>
              </w:rPr>
            </w:pPr>
            <w:r>
              <w:rPr>
                <w:rFonts w:ascii="Times New Roman" w:eastAsia="宋体" w:hAnsi="Times New Roman" w:cs="Times New Roman"/>
                <w:sz w:val="24"/>
              </w:rPr>
              <w:t>Adjacent_CRC, CRC_M and LM</w:t>
            </w:r>
          </w:p>
        </w:tc>
        <w:tc>
          <w:tcPr>
            <w:tcW w:w="2563" w:type="dxa"/>
            <w:vAlign w:val="center"/>
          </w:tcPr>
          <w:p w14:paraId="63AD2E62" w14:textId="77777777" w:rsidR="00FB1285" w:rsidRDefault="00000000">
            <w:pPr>
              <w:jc w:val="left"/>
              <w:rPr>
                <w:rFonts w:ascii="Times New Roman" w:hAnsi="Times New Roman" w:cs="Times New Roman"/>
              </w:rPr>
            </w:pPr>
            <w:r>
              <w:rPr>
                <w:rFonts w:ascii="Times New Roman" w:hAnsi="Times New Roman" w:cs="Times New Roman"/>
              </w:rPr>
              <w:t>T cells</w:t>
            </w:r>
          </w:p>
        </w:tc>
        <w:tc>
          <w:tcPr>
            <w:tcW w:w="4945" w:type="dxa"/>
            <w:vAlign w:val="center"/>
          </w:tcPr>
          <w:p w14:paraId="05D960F0" w14:textId="77777777" w:rsidR="00FB1285" w:rsidRDefault="00000000">
            <w:pPr>
              <w:jc w:val="left"/>
              <w:rPr>
                <w:rFonts w:ascii="Times New Roman" w:hAnsi="Times New Roman" w:cs="Times New Roman"/>
              </w:rPr>
            </w:pPr>
            <w:r>
              <w:rPr>
                <w:rFonts w:ascii="Times New Roman" w:hAnsi="Times New Roman" w:cs="Times New Roman"/>
              </w:rPr>
              <w:t>CCL5, CD3D, CD2, TRAC, TRBC2</w:t>
            </w:r>
          </w:p>
        </w:tc>
      </w:tr>
      <w:tr w:rsidR="00FB1285" w14:paraId="0C6F7FCD" w14:textId="77777777">
        <w:tc>
          <w:tcPr>
            <w:tcW w:w="1985" w:type="dxa"/>
            <w:vMerge/>
          </w:tcPr>
          <w:p w14:paraId="687FAEB9" w14:textId="77777777" w:rsidR="00FB1285" w:rsidRDefault="00FB1285">
            <w:pPr>
              <w:jc w:val="left"/>
              <w:rPr>
                <w:rFonts w:ascii="Times New Roman" w:eastAsia="宋体" w:hAnsi="Times New Roman" w:cs="Times New Roman"/>
                <w:sz w:val="24"/>
              </w:rPr>
            </w:pPr>
          </w:p>
        </w:tc>
        <w:tc>
          <w:tcPr>
            <w:tcW w:w="2563" w:type="dxa"/>
            <w:vAlign w:val="center"/>
          </w:tcPr>
          <w:p w14:paraId="055ECB73" w14:textId="77777777" w:rsidR="00FB1285" w:rsidRDefault="00000000">
            <w:pPr>
              <w:jc w:val="left"/>
              <w:rPr>
                <w:rFonts w:ascii="Times New Roman" w:hAnsi="Times New Roman" w:cs="Times New Roman"/>
              </w:rPr>
            </w:pPr>
            <w:r>
              <w:rPr>
                <w:rFonts w:ascii="Times New Roman" w:hAnsi="Times New Roman" w:cs="Times New Roman"/>
              </w:rPr>
              <w:t>B cells</w:t>
            </w:r>
          </w:p>
        </w:tc>
        <w:tc>
          <w:tcPr>
            <w:tcW w:w="4945" w:type="dxa"/>
            <w:vAlign w:val="center"/>
          </w:tcPr>
          <w:p w14:paraId="20AF9EE5" w14:textId="77777777" w:rsidR="00FB1285" w:rsidRDefault="00000000">
            <w:pPr>
              <w:jc w:val="left"/>
              <w:rPr>
                <w:rFonts w:ascii="Times New Roman" w:hAnsi="Times New Roman" w:cs="Times New Roman"/>
              </w:rPr>
            </w:pPr>
            <w:r>
              <w:rPr>
                <w:rFonts w:ascii="Times New Roman" w:hAnsi="Times New Roman" w:cs="Times New Roman"/>
              </w:rPr>
              <w:t>CD79A, CD79B, MS4A1</w:t>
            </w:r>
          </w:p>
        </w:tc>
      </w:tr>
      <w:tr w:rsidR="00FB1285" w14:paraId="1B426F5D" w14:textId="77777777">
        <w:tc>
          <w:tcPr>
            <w:tcW w:w="1985" w:type="dxa"/>
            <w:vMerge/>
          </w:tcPr>
          <w:p w14:paraId="2C868F53" w14:textId="77777777" w:rsidR="00FB1285" w:rsidRDefault="00FB1285">
            <w:pPr>
              <w:jc w:val="left"/>
              <w:rPr>
                <w:rFonts w:ascii="Times New Roman" w:eastAsia="宋体" w:hAnsi="Times New Roman" w:cs="Times New Roman"/>
                <w:sz w:val="24"/>
              </w:rPr>
            </w:pPr>
          </w:p>
        </w:tc>
        <w:tc>
          <w:tcPr>
            <w:tcW w:w="2563" w:type="dxa"/>
            <w:vAlign w:val="center"/>
          </w:tcPr>
          <w:p w14:paraId="4135314E" w14:textId="77777777" w:rsidR="00FB1285" w:rsidRDefault="00000000">
            <w:pPr>
              <w:jc w:val="left"/>
              <w:rPr>
                <w:rFonts w:ascii="Times New Roman" w:hAnsi="Times New Roman" w:cs="Times New Roman"/>
              </w:rPr>
            </w:pPr>
            <w:r>
              <w:rPr>
                <w:rFonts w:ascii="Times New Roman" w:hAnsi="Times New Roman" w:cs="Times New Roman"/>
              </w:rPr>
              <w:t>Plasma cells</w:t>
            </w:r>
          </w:p>
        </w:tc>
        <w:tc>
          <w:tcPr>
            <w:tcW w:w="4945" w:type="dxa"/>
            <w:vAlign w:val="center"/>
          </w:tcPr>
          <w:p w14:paraId="30B1421F" w14:textId="77777777" w:rsidR="00FB1285" w:rsidRDefault="00000000">
            <w:pPr>
              <w:jc w:val="left"/>
              <w:rPr>
                <w:rFonts w:ascii="Times New Roman" w:hAnsi="Times New Roman" w:cs="Times New Roman"/>
              </w:rPr>
            </w:pPr>
            <w:r>
              <w:rPr>
                <w:rFonts w:ascii="Times New Roman" w:hAnsi="Times New Roman" w:cs="Times New Roman"/>
              </w:rPr>
              <w:t>CD79A, MZB1, JCHAIN, IGHA1</w:t>
            </w:r>
          </w:p>
        </w:tc>
      </w:tr>
      <w:tr w:rsidR="00FB1285" w14:paraId="62E544F4" w14:textId="77777777">
        <w:tc>
          <w:tcPr>
            <w:tcW w:w="1985" w:type="dxa"/>
            <w:vMerge/>
          </w:tcPr>
          <w:p w14:paraId="5EB6FCEE" w14:textId="77777777" w:rsidR="00FB1285" w:rsidRDefault="00FB1285">
            <w:pPr>
              <w:jc w:val="left"/>
              <w:rPr>
                <w:rFonts w:ascii="Times New Roman" w:eastAsia="宋体" w:hAnsi="Times New Roman" w:cs="Times New Roman"/>
                <w:sz w:val="24"/>
              </w:rPr>
            </w:pPr>
          </w:p>
        </w:tc>
        <w:tc>
          <w:tcPr>
            <w:tcW w:w="2563" w:type="dxa"/>
            <w:vAlign w:val="center"/>
          </w:tcPr>
          <w:p w14:paraId="2D120E81" w14:textId="77777777" w:rsidR="00FB1285" w:rsidRDefault="00000000">
            <w:pPr>
              <w:jc w:val="left"/>
              <w:rPr>
                <w:rFonts w:ascii="Times New Roman" w:hAnsi="Times New Roman" w:cs="Times New Roman"/>
              </w:rPr>
            </w:pPr>
            <w:r>
              <w:rPr>
                <w:rFonts w:ascii="Times New Roman" w:hAnsi="Times New Roman" w:cs="Times New Roman"/>
              </w:rPr>
              <w:t>Mononuclear phagocytes</w:t>
            </w:r>
          </w:p>
        </w:tc>
        <w:tc>
          <w:tcPr>
            <w:tcW w:w="4945" w:type="dxa"/>
            <w:vAlign w:val="center"/>
          </w:tcPr>
          <w:p w14:paraId="28C32EC0" w14:textId="77777777" w:rsidR="00FB1285" w:rsidRDefault="00000000">
            <w:pPr>
              <w:jc w:val="left"/>
              <w:rPr>
                <w:rFonts w:ascii="Times New Roman" w:hAnsi="Times New Roman" w:cs="Times New Roman"/>
              </w:rPr>
            </w:pPr>
            <w:r>
              <w:rPr>
                <w:rFonts w:ascii="Times New Roman" w:hAnsi="Times New Roman" w:cs="Times New Roman"/>
              </w:rPr>
              <w:t>LYZ, C1QA, VCAN, CD14, CD1C</w:t>
            </w:r>
          </w:p>
        </w:tc>
      </w:tr>
      <w:tr w:rsidR="00FB1285" w14:paraId="09E42C36" w14:textId="77777777">
        <w:tc>
          <w:tcPr>
            <w:tcW w:w="1985" w:type="dxa"/>
            <w:vMerge/>
          </w:tcPr>
          <w:p w14:paraId="1093303E" w14:textId="77777777" w:rsidR="00FB1285" w:rsidRDefault="00FB1285">
            <w:pPr>
              <w:jc w:val="left"/>
              <w:rPr>
                <w:rFonts w:ascii="Times New Roman" w:eastAsia="宋体" w:hAnsi="Times New Roman" w:cs="Times New Roman"/>
                <w:sz w:val="24"/>
              </w:rPr>
            </w:pPr>
          </w:p>
        </w:tc>
        <w:tc>
          <w:tcPr>
            <w:tcW w:w="2563" w:type="dxa"/>
            <w:vAlign w:val="center"/>
          </w:tcPr>
          <w:p w14:paraId="79AE67B4" w14:textId="77777777" w:rsidR="00FB1285" w:rsidRDefault="00000000">
            <w:pPr>
              <w:jc w:val="left"/>
              <w:rPr>
                <w:rFonts w:ascii="Times New Roman" w:hAnsi="Times New Roman" w:cs="Times New Roman"/>
              </w:rPr>
            </w:pPr>
            <w:r>
              <w:rPr>
                <w:rFonts w:ascii="Times New Roman" w:hAnsi="Times New Roman" w:cs="Times New Roman"/>
              </w:rPr>
              <w:t>Fibroblasts</w:t>
            </w:r>
          </w:p>
        </w:tc>
        <w:tc>
          <w:tcPr>
            <w:tcW w:w="4945" w:type="dxa"/>
            <w:vAlign w:val="center"/>
          </w:tcPr>
          <w:p w14:paraId="32CD5289" w14:textId="77777777" w:rsidR="00FB1285" w:rsidRDefault="00000000">
            <w:pPr>
              <w:jc w:val="left"/>
              <w:rPr>
                <w:rFonts w:ascii="Times New Roman" w:hAnsi="Times New Roman" w:cs="Times New Roman"/>
              </w:rPr>
            </w:pPr>
            <w:r>
              <w:rPr>
                <w:rFonts w:ascii="Times New Roman" w:hAnsi="Times New Roman" w:cs="Times New Roman"/>
              </w:rPr>
              <w:t>DCN, LUM, COL1A1</w:t>
            </w:r>
          </w:p>
        </w:tc>
      </w:tr>
      <w:tr w:rsidR="00FB1285" w14:paraId="17AE6803" w14:textId="77777777">
        <w:tc>
          <w:tcPr>
            <w:tcW w:w="1985" w:type="dxa"/>
            <w:vMerge/>
          </w:tcPr>
          <w:p w14:paraId="1180D050" w14:textId="77777777" w:rsidR="00FB1285" w:rsidRDefault="00FB1285">
            <w:pPr>
              <w:jc w:val="left"/>
              <w:rPr>
                <w:rFonts w:ascii="Times New Roman" w:eastAsia="宋体" w:hAnsi="Times New Roman" w:cs="Times New Roman"/>
                <w:sz w:val="24"/>
              </w:rPr>
            </w:pPr>
          </w:p>
        </w:tc>
        <w:tc>
          <w:tcPr>
            <w:tcW w:w="2563" w:type="dxa"/>
            <w:vAlign w:val="center"/>
          </w:tcPr>
          <w:p w14:paraId="15C4457D" w14:textId="77777777" w:rsidR="00FB1285" w:rsidRDefault="00000000">
            <w:pPr>
              <w:jc w:val="left"/>
              <w:rPr>
                <w:rFonts w:ascii="Times New Roman" w:hAnsi="Times New Roman" w:cs="Times New Roman"/>
              </w:rPr>
            </w:pPr>
            <w:r>
              <w:rPr>
                <w:rFonts w:ascii="Times New Roman" w:hAnsi="Times New Roman" w:cs="Times New Roman"/>
              </w:rPr>
              <w:t>Glial cells</w:t>
            </w:r>
          </w:p>
        </w:tc>
        <w:tc>
          <w:tcPr>
            <w:tcW w:w="4945" w:type="dxa"/>
            <w:vAlign w:val="center"/>
          </w:tcPr>
          <w:p w14:paraId="25AA7745" w14:textId="77777777" w:rsidR="00FB1285" w:rsidRDefault="00000000">
            <w:pPr>
              <w:jc w:val="left"/>
              <w:rPr>
                <w:rFonts w:ascii="Times New Roman" w:hAnsi="Times New Roman" w:cs="Times New Roman"/>
              </w:rPr>
            </w:pPr>
            <w:r>
              <w:rPr>
                <w:rFonts w:ascii="Times New Roman" w:hAnsi="Times New Roman" w:cs="Times New Roman"/>
              </w:rPr>
              <w:t>S100B, PLP1, SOX10</w:t>
            </w:r>
          </w:p>
        </w:tc>
      </w:tr>
      <w:tr w:rsidR="00FB1285" w14:paraId="7B78FFEA" w14:textId="77777777">
        <w:tc>
          <w:tcPr>
            <w:tcW w:w="1985" w:type="dxa"/>
            <w:vMerge/>
          </w:tcPr>
          <w:p w14:paraId="18D8FBAE" w14:textId="77777777" w:rsidR="00FB1285" w:rsidRDefault="00FB1285">
            <w:pPr>
              <w:jc w:val="left"/>
              <w:rPr>
                <w:rFonts w:ascii="Times New Roman" w:eastAsia="宋体" w:hAnsi="Times New Roman" w:cs="Times New Roman"/>
                <w:sz w:val="24"/>
              </w:rPr>
            </w:pPr>
          </w:p>
        </w:tc>
        <w:tc>
          <w:tcPr>
            <w:tcW w:w="2563" w:type="dxa"/>
            <w:vAlign w:val="center"/>
          </w:tcPr>
          <w:p w14:paraId="573C0BB7" w14:textId="77777777" w:rsidR="00FB1285" w:rsidRDefault="00000000">
            <w:pPr>
              <w:jc w:val="left"/>
              <w:rPr>
                <w:rFonts w:ascii="Times New Roman" w:hAnsi="Times New Roman" w:cs="Times New Roman"/>
              </w:rPr>
            </w:pPr>
            <w:r>
              <w:rPr>
                <w:rFonts w:ascii="Times New Roman" w:hAnsi="Times New Roman" w:cs="Times New Roman"/>
              </w:rPr>
              <w:t>Mural cells</w:t>
            </w:r>
          </w:p>
        </w:tc>
        <w:tc>
          <w:tcPr>
            <w:tcW w:w="4945" w:type="dxa"/>
            <w:vAlign w:val="center"/>
          </w:tcPr>
          <w:p w14:paraId="359A4C97" w14:textId="77777777" w:rsidR="00FB1285" w:rsidRDefault="00000000">
            <w:pPr>
              <w:jc w:val="left"/>
              <w:rPr>
                <w:rFonts w:ascii="Times New Roman" w:hAnsi="Times New Roman" w:cs="Times New Roman"/>
              </w:rPr>
            </w:pPr>
            <w:r>
              <w:rPr>
                <w:rFonts w:ascii="Times New Roman" w:hAnsi="Times New Roman" w:cs="Times New Roman"/>
              </w:rPr>
              <w:t>RGS5, PDGFRB, TAGLN, ACTA2, MYH11, MYLK</w:t>
            </w:r>
          </w:p>
        </w:tc>
      </w:tr>
      <w:tr w:rsidR="00FB1285" w14:paraId="03216780" w14:textId="77777777">
        <w:tc>
          <w:tcPr>
            <w:tcW w:w="1985" w:type="dxa"/>
            <w:vMerge/>
          </w:tcPr>
          <w:p w14:paraId="6BFEA3A6" w14:textId="77777777" w:rsidR="00FB1285" w:rsidRDefault="00FB1285">
            <w:pPr>
              <w:jc w:val="left"/>
              <w:rPr>
                <w:rFonts w:ascii="Times New Roman" w:eastAsia="宋体" w:hAnsi="Times New Roman" w:cs="Times New Roman"/>
                <w:sz w:val="24"/>
              </w:rPr>
            </w:pPr>
          </w:p>
        </w:tc>
        <w:tc>
          <w:tcPr>
            <w:tcW w:w="2563" w:type="dxa"/>
            <w:vAlign w:val="center"/>
          </w:tcPr>
          <w:p w14:paraId="22D90A06" w14:textId="77777777" w:rsidR="00FB1285" w:rsidRDefault="00000000">
            <w:pPr>
              <w:jc w:val="left"/>
              <w:rPr>
                <w:rFonts w:ascii="Times New Roman" w:hAnsi="Times New Roman" w:cs="Times New Roman"/>
              </w:rPr>
            </w:pPr>
            <w:r>
              <w:rPr>
                <w:rFonts w:ascii="Times New Roman" w:hAnsi="Times New Roman" w:cs="Times New Roman"/>
              </w:rPr>
              <w:t>Endothelial cells</w:t>
            </w:r>
          </w:p>
        </w:tc>
        <w:tc>
          <w:tcPr>
            <w:tcW w:w="4945" w:type="dxa"/>
            <w:vAlign w:val="center"/>
          </w:tcPr>
          <w:p w14:paraId="7B623F40" w14:textId="77777777" w:rsidR="00FB1285" w:rsidRDefault="00000000">
            <w:pPr>
              <w:jc w:val="left"/>
              <w:rPr>
                <w:rFonts w:ascii="Times New Roman" w:hAnsi="Times New Roman" w:cs="Times New Roman"/>
              </w:rPr>
            </w:pPr>
            <w:r>
              <w:rPr>
                <w:rFonts w:ascii="Times New Roman" w:hAnsi="Times New Roman" w:cs="Times New Roman"/>
              </w:rPr>
              <w:t>PECAM1, ENG, VWF, PLVAP</w:t>
            </w:r>
          </w:p>
        </w:tc>
      </w:tr>
      <w:tr w:rsidR="00FB1285" w14:paraId="0C8433C0" w14:textId="77777777">
        <w:tc>
          <w:tcPr>
            <w:tcW w:w="1985" w:type="dxa"/>
            <w:vMerge/>
          </w:tcPr>
          <w:p w14:paraId="338C46AF" w14:textId="77777777" w:rsidR="00FB1285" w:rsidRDefault="00FB1285">
            <w:pPr>
              <w:jc w:val="left"/>
              <w:rPr>
                <w:rFonts w:ascii="Times New Roman" w:eastAsia="宋体" w:hAnsi="Times New Roman" w:cs="Times New Roman"/>
                <w:sz w:val="24"/>
              </w:rPr>
            </w:pPr>
          </w:p>
        </w:tc>
        <w:tc>
          <w:tcPr>
            <w:tcW w:w="2563" w:type="dxa"/>
            <w:vAlign w:val="center"/>
          </w:tcPr>
          <w:p w14:paraId="27806F5C" w14:textId="77777777" w:rsidR="00FB1285" w:rsidRDefault="00000000">
            <w:pPr>
              <w:jc w:val="left"/>
              <w:rPr>
                <w:rFonts w:ascii="Times New Roman" w:hAnsi="Times New Roman" w:cs="Times New Roman"/>
              </w:rPr>
            </w:pPr>
            <w:r>
              <w:rPr>
                <w:rFonts w:ascii="Times New Roman" w:hAnsi="Times New Roman" w:cs="Times New Roman"/>
              </w:rPr>
              <w:t>Epithelial cells</w:t>
            </w:r>
          </w:p>
        </w:tc>
        <w:tc>
          <w:tcPr>
            <w:tcW w:w="4945" w:type="dxa"/>
            <w:vAlign w:val="center"/>
          </w:tcPr>
          <w:p w14:paraId="053CE75B" w14:textId="77777777" w:rsidR="00FB1285" w:rsidRDefault="00000000">
            <w:pPr>
              <w:jc w:val="left"/>
              <w:rPr>
                <w:rFonts w:ascii="Times New Roman" w:hAnsi="Times New Roman" w:cs="Times New Roman"/>
              </w:rPr>
            </w:pPr>
            <w:r>
              <w:rPr>
                <w:rFonts w:ascii="Times New Roman" w:hAnsi="Times New Roman" w:cs="Times New Roman"/>
              </w:rPr>
              <w:t>EPCAM, KRT18, CD24, OLFM4, TFF3, CA1, ALB</w:t>
            </w:r>
          </w:p>
        </w:tc>
      </w:tr>
      <w:tr w:rsidR="00FB1285" w14:paraId="18B122A7" w14:textId="77777777">
        <w:tc>
          <w:tcPr>
            <w:tcW w:w="1985" w:type="dxa"/>
            <w:vMerge/>
          </w:tcPr>
          <w:p w14:paraId="46C20E3D" w14:textId="77777777" w:rsidR="00FB1285" w:rsidRDefault="00FB1285">
            <w:pPr>
              <w:jc w:val="left"/>
              <w:rPr>
                <w:rFonts w:ascii="Times New Roman" w:eastAsia="宋体" w:hAnsi="Times New Roman" w:cs="Times New Roman"/>
                <w:sz w:val="24"/>
              </w:rPr>
            </w:pPr>
          </w:p>
        </w:tc>
        <w:tc>
          <w:tcPr>
            <w:tcW w:w="2563" w:type="dxa"/>
            <w:vAlign w:val="center"/>
          </w:tcPr>
          <w:p w14:paraId="1DA90A90" w14:textId="77777777" w:rsidR="00FB1285" w:rsidRDefault="00000000">
            <w:pPr>
              <w:jc w:val="left"/>
              <w:rPr>
                <w:rFonts w:ascii="Times New Roman" w:hAnsi="Times New Roman" w:cs="Times New Roman"/>
              </w:rPr>
            </w:pPr>
            <w:r>
              <w:rPr>
                <w:rFonts w:ascii="Times New Roman" w:hAnsi="Times New Roman" w:cs="Times New Roman"/>
              </w:rPr>
              <w:t>Mast cells</w:t>
            </w:r>
          </w:p>
        </w:tc>
        <w:tc>
          <w:tcPr>
            <w:tcW w:w="4945" w:type="dxa"/>
            <w:vAlign w:val="center"/>
          </w:tcPr>
          <w:p w14:paraId="7906E5F7" w14:textId="77777777" w:rsidR="00FB1285" w:rsidRDefault="00000000">
            <w:pPr>
              <w:jc w:val="left"/>
              <w:rPr>
                <w:rFonts w:ascii="Times New Roman" w:hAnsi="Times New Roman" w:cs="Times New Roman"/>
              </w:rPr>
            </w:pPr>
            <w:r>
              <w:rPr>
                <w:rFonts w:ascii="Times New Roman" w:hAnsi="Times New Roman" w:cs="Times New Roman"/>
              </w:rPr>
              <w:t>TPSAB1, TPSB2, CPA3</w:t>
            </w:r>
          </w:p>
        </w:tc>
      </w:tr>
      <w:tr w:rsidR="00FB1285" w14:paraId="44ABB8FD" w14:textId="77777777">
        <w:tc>
          <w:tcPr>
            <w:tcW w:w="1985" w:type="dxa"/>
            <w:vMerge w:val="restart"/>
          </w:tcPr>
          <w:p w14:paraId="5E8B2620" w14:textId="77777777" w:rsidR="00FB1285" w:rsidRDefault="00000000">
            <w:pPr>
              <w:jc w:val="left"/>
              <w:rPr>
                <w:rFonts w:ascii="Times New Roman" w:eastAsia="宋体" w:hAnsi="Times New Roman" w:cs="Times New Roman"/>
                <w:sz w:val="24"/>
              </w:rPr>
            </w:pPr>
            <w:r>
              <w:rPr>
                <w:rFonts w:ascii="Times New Roman" w:eastAsia="宋体" w:hAnsi="Times New Roman" w:cs="Times New Roman"/>
                <w:sz w:val="24"/>
              </w:rPr>
              <w:t>LM and Adjacent_LM</w:t>
            </w:r>
          </w:p>
        </w:tc>
        <w:tc>
          <w:tcPr>
            <w:tcW w:w="2563" w:type="dxa"/>
            <w:vAlign w:val="center"/>
          </w:tcPr>
          <w:p w14:paraId="1B428214" w14:textId="77777777" w:rsidR="00FB1285" w:rsidRDefault="00000000">
            <w:pPr>
              <w:jc w:val="left"/>
              <w:rPr>
                <w:rFonts w:ascii="Times New Roman" w:hAnsi="Times New Roman" w:cs="Times New Roman"/>
              </w:rPr>
            </w:pPr>
            <w:r>
              <w:rPr>
                <w:rFonts w:ascii="Times New Roman" w:hAnsi="Times New Roman" w:cs="Times New Roman"/>
              </w:rPr>
              <w:t>T cells</w:t>
            </w:r>
          </w:p>
        </w:tc>
        <w:tc>
          <w:tcPr>
            <w:tcW w:w="4945" w:type="dxa"/>
            <w:vAlign w:val="center"/>
          </w:tcPr>
          <w:p w14:paraId="6184F4AF" w14:textId="77777777" w:rsidR="00FB1285" w:rsidRDefault="00000000">
            <w:pPr>
              <w:jc w:val="left"/>
              <w:rPr>
                <w:rFonts w:ascii="Times New Roman" w:hAnsi="Times New Roman" w:cs="Times New Roman"/>
              </w:rPr>
            </w:pPr>
            <w:r>
              <w:rPr>
                <w:rFonts w:ascii="Times New Roman" w:hAnsi="Times New Roman" w:cs="Times New Roman"/>
              </w:rPr>
              <w:t>CD2, CD3D/E/G, TRAC, TRBC1</w:t>
            </w:r>
          </w:p>
        </w:tc>
      </w:tr>
      <w:tr w:rsidR="00FB1285" w14:paraId="64C25D0F" w14:textId="77777777">
        <w:tc>
          <w:tcPr>
            <w:tcW w:w="1985" w:type="dxa"/>
            <w:vMerge/>
          </w:tcPr>
          <w:p w14:paraId="0AE48C78" w14:textId="77777777" w:rsidR="00FB1285" w:rsidRDefault="00FB1285">
            <w:pPr>
              <w:jc w:val="left"/>
              <w:rPr>
                <w:rFonts w:ascii="Times New Roman" w:eastAsia="宋体" w:hAnsi="Times New Roman" w:cs="Times New Roman"/>
                <w:sz w:val="24"/>
              </w:rPr>
            </w:pPr>
          </w:p>
        </w:tc>
        <w:tc>
          <w:tcPr>
            <w:tcW w:w="2563" w:type="dxa"/>
            <w:vAlign w:val="center"/>
          </w:tcPr>
          <w:p w14:paraId="7CED80CD" w14:textId="77777777" w:rsidR="00FB1285" w:rsidRDefault="00000000">
            <w:pPr>
              <w:jc w:val="left"/>
              <w:rPr>
                <w:rFonts w:ascii="Times New Roman" w:hAnsi="Times New Roman" w:cs="Times New Roman"/>
              </w:rPr>
            </w:pPr>
            <w:r>
              <w:rPr>
                <w:rFonts w:ascii="Times New Roman" w:hAnsi="Times New Roman" w:cs="Times New Roman"/>
              </w:rPr>
              <w:t>B cells</w:t>
            </w:r>
          </w:p>
        </w:tc>
        <w:tc>
          <w:tcPr>
            <w:tcW w:w="4945" w:type="dxa"/>
            <w:vAlign w:val="center"/>
          </w:tcPr>
          <w:p w14:paraId="3E7334EE" w14:textId="77777777" w:rsidR="00FB1285" w:rsidRDefault="00000000">
            <w:pPr>
              <w:jc w:val="left"/>
              <w:rPr>
                <w:rFonts w:ascii="Times New Roman" w:hAnsi="Times New Roman" w:cs="Times New Roman"/>
              </w:rPr>
            </w:pPr>
            <w:r>
              <w:rPr>
                <w:rFonts w:ascii="Times New Roman" w:hAnsi="Times New Roman" w:cs="Times New Roman"/>
              </w:rPr>
              <w:t>MS4A1, CD79A, CD79B</w:t>
            </w:r>
          </w:p>
        </w:tc>
      </w:tr>
      <w:tr w:rsidR="00FB1285" w14:paraId="20E43F37" w14:textId="77777777">
        <w:tc>
          <w:tcPr>
            <w:tcW w:w="1985" w:type="dxa"/>
            <w:vMerge/>
          </w:tcPr>
          <w:p w14:paraId="0F78F70C" w14:textId="77777777" w:rsidR="00FB1285" w:rsidRDefault="00FB1285">
            <w:pPr>
              <w:jc w:val="left"/>
              <w:rPr>
                <w:rFonts w:ascii="Times New Roman" w:eastAsia="宋体" w:hAnsi="Times New Roman" w:cs="Times New Roman"/>
                <w:sz w:val="24"/>
              </w:rPr>
            </w:pPr>
          </w:p>
        </w:tc>
        <w:tc>
          <w:tcPr>
            <w:tcW w:w="2563" w:type="dxa"/>
            <w:vAlign w:val="center"/>
          </w:tcPr>
          <w:p w14:paraId="2EAA3EBC" w14:textId="77777777" w:rsidR="00FB1285" w:rsidRDefault="00000000">
            <w:pPr>
              <w:jc w:val="left"/>
              <w:rPr>
                <w:rFonts w:ascii="Times New Roman" w:hAnsi="Times New Roman" w:cs="Times New Roman"/>
              </w:rPr>
            </w:pPr>
            <w:r>
              <w:rPr>
                <w:rFonts w:ascii="Times New Roman" w:hAnsi="Times New Roman" w:cs="Times New Roman"/>
              </w:rPr>
              <w:t>Plasma cells</w:t>
            </w:r>
          </w:p>
        </w:tc>
        <w:tc>
          <w:tcPr>
            <w:tcW w:w="4945" w:type="dxa"/>
            <w:vAlign w:val="center"/>
          </w:tcPr>
          <w:p w14:paraId="54356EB0" w14:textId="77777777" w:rsidR="00FB1285" w:rsidRDefault="00000000">
            <w:pPr>
              <w:jc w:val="left"/>
              <w:rPr>
                <w:rFonts w:ascii="Times New Roman" w:hAnsi="Times New Roman" w:cs="Times New Roman"/>
              </w:rPr>
            </w:pPr>
            <w:r>
              <w:rPr>
                <w:rFonts w:ascii="Times New Roman" w:hAnsi="Times New Roman" w:cs="Times New Roman"/>
              </w:rPr>
              <w:t>CD79A, MZB1, JCHAIN</w:t>
            </w:r>
          </w:p>
        </w:tc>
      </w:tr>
      <w:tr w:rsidR="00FB1285" w14:paraId="23A88F0C" w14:textId="77777777">
        <w:tc>
          <w:tcPr>
            <w:tcW w:w="1985" w:type="dxa"/>
            <w:vMerge/>
          </w:tcPr>
          <w:p w14:paraId="6F59DC52" w14:textId="77777777" w:rsidR="00FB1285" w:rsidRDefault="00FB1285">
            <w:pPr>
              <w:jc w:val="left"/>
              <w:rPr>
                <w:rFonts w:ascii="Times New Roman" w:eastAsia="宋体" w:hAnsi="Times New Roman" w:cs="Times New Roman"/>
                <w:sz w:val="24"/>
              </w:rPr>
            </w:pPr>
          </w:p>
        </w:tc>
        <w:tc>
          <w:tcPr>
            <w:tcW w:w="2563" w:type="dxa"/>
            <w:vAlign w:val="center"/>
          </w:tcPr>
          <w:p w14:paraId="65663098" w14:textId="77777777" w:rsidR="00FB1285" w:rsidRDefault="00000000">
            <w:pPr>
              <w:jc w:val="left"/>
              <w:rPr>
                <w:rFonts w:ascii="Times New Roman" w:hAnsi="Times New Roman" w:cs="Times New Roman"/>
              </w:rPr>
            </w:pPr>
            <w:r>
              <w:rPr>
                <w:rFonts w:ascii="Times New Roman" w:hAnsi="Times New Roman" w:cs="Times New Roman"/>
              </w:rPr>
              <w:t>Mononuclear phagocytes</w:t>
            </w:r>
          </w:p>
        </w:tc>
        <w:tc>
          <w:tcPr>
            <w:tcW w:w="4945" w:type="dxa"/>
            <w:vAlign w:val="center"/>
          </w:tcPr>
          <w:p w14:paraId="1C632C56" w14:textId="77777777" w:rsidR="00FB1285" w:rsidRDefault="00000000">
            <w:pPr>
              <w:jc w:val="left"/>
              <w:rPr>
                <w:rFonts w:ascii="Times New Roman" w:hAnsi="Times New Roman" w:cs="Times New Roman"/>
              </w:rPr>
            </w:pPr>
            <w:r>
              <w:rPr>
                <w:rFonts w:ascii="Times New Roman" w:hAnsi="Times New Roman" w:cs="Times New Roman"/>
              </w:rPr>
              <w:t>LYZ, MARCO, VCAN, CD1C, LAMP3, CLEC9A, VSIG4</w:t>
            </w:r>
          </w:p>
        </w:tc>
      </w:tr>
      <w:tr w:rsidR="00FB1285" w14:paraId="3E32E5D6" w14:textId="77777777">
        <w:tc>
          <w:tcPr>
            <w:tcW w:w="1985" w:type="dxa"/>
            <w:vMerge/>
          </w:tcPr>
          <w:p w14:paraId="148494DB" w14:textId="77777777" w:rsidR="00FB1285" w:rsidRDefault="00FB1285">
            <w:pPr>
              <w:jc w:val="left"/>
              <w:rPr>
                <w:rFonts w:ascii="Times New Roman" w:eastAsia="宋体" w:hAnsi="Times New Roman" w:cs="Times New Roman"/>
                <w:sz w:val="24"/>
              </w:rPr>
            </w:pPr>
          </w:p>
        </w:tc>
        <w:tc>
          <w:tcPr>
            <w:tcW w:w="2563" w:type="dxa"/>
            <w:vAlign w:val="center"/>
          </w:tcPr>
          <w:p w14:paraId="3D4F52B3" w14:textId="77777777" w:rsidR="00FB1285" w:rsidRDefault="00000000">
            <w:pPr>
              <w:jc w:val="left"/>
              <w:rPr>
                <w:rFonts w:ascii="Times New Roman" w:hAnsi="Times New Roman" w:cs="Times New Roman"/>
              </w:rPr>
            </w:pPr>
            <w:r>
              <w:rPr>
                <w:rFonts w:ascii="Times New Roman" w:hAnsi="Times New Roman" w:cs="Times New Roman"/>
              </w:rPr>
              <w:t>Neutrophils</w:t>
            </w:r>
          </w:p>
        </w:tc>
        <w:tc>
          <w:tcPr>
            <w:tcW w:w="4945" w:type="dxa"/>
            <w:vAlign w:val="center"/>
          </w:tcPr>
          <w:p w14:paraId="27247F43" w14:textId="77777777" w:rsidR="00FB1285" w:rsidRDefault="00000000">
            <w:pPr>
              <w:jc w:val="left"/>
              <w:rPr>
                <w:rFonts w:ascii="Times New Roman" w:hAnsi="Times New Roman" w:cs="Times New Roman"/>
              </w:rPr>
            </w:pPr>
            <w:r>
              <w:rPr>
                <w:rFonts w:ascii="Times New Roman" w:hAnsi="Times New Roman" w:cs="Times New Roman"/>
              </w:rPr>
              <w:t>CSF3R, CXCR2, FCGR3B</w:t>
            </w:r>
          </w:p>
        </w:tc>
      </w:tr>
      <w:tr w:rsidR="00FB1285" w14:paraId="370A4E0D" w14:textId="77777777">
        <w:tc>
          <w:tcPr>
            <w:tcW w:w="1985" w:type="dxa"/>
            <w:vMerge/>
          </w:tcPr>
          <w:p w14:paraId="41A81AEF" w14:textId="77777777" w:rsidR="00FB1285" w:rsidRDefault="00FB1285">
            <w:pPr>
              <w:jc w:val="left"/>
              <w:rPr>
                <w:rFonts w:ascii="Times New Roman" w:eastAsia="宋体" w:hAnsi="Times New Roman" w:cs="Times New Roman"/>
                <w:sz w:val="24"/>
              </w:rPr>
            </w:pPr>
          </w:p>
        </w:tc>
        <w:tc>
          <w:tcPr>
            <w:tcW w:w="2563" w:type="dxa"/>
            <w:vAlign w:val="center"/>
          </w:tcPr>
          <w:p w14:paraId="691E14A5" w14:textId="77777777" w:rsidR="00FB1285" w:rsidRDefault="00000000">
            <w:pPr>
              <w:jc w:val="left"/>
              <w:rPr>
                <w:rFonts w:ascii="Times New Roman" w:hAnsi="Times New Roman" w:cs="Times New Roman"/>
              </w:rPr>
            </w:pPr>
            <w:r>
              <w:rPr>
                <w:rFonts w:ascii="Times New Roman" w:hAnsi="Times New Roman" w:cs="Times New Roman"/>
              </w:rPr>
              <w:t>Endothelial cells</w:t>
            </w:r>
          </w:p>
        </w:tc>
        <w:tc>
          <w:tcPr>
            <w:tcW w:w="4945" w:type="dxa"/>
            <w:vAlign w:val="center"/>
          </w:tcPr>
          <w:p w14:paraId="420AE545" w14:textId="77777777" w:rsidR="00FB1285" w:rsidRDefault="00000000">
            <w:pPr>
              <w:jc w:val="left"/>
              <w:rPr>
                <w:rFonts w:ascii="Times New Roman" w:hAnsi="Times New Roman" w:cs="Times New Roman"/>
              </w:rPr>
            </w:pPr>
            <w:r>
              <w:rPr>
                <w:rFonts w:ascii="Times New Roman" w:hAnsi="Times New Roman" w:cs="Times New Roman"/>
              </w:rPr>
              <w:t>CDH5, PECAM1, VWF, CLDN5, CLEC4M, CLEC4G</w:t>
            </w:r>
          </w:p>
        </w:tc>
      </w:tr>
      <w:tr w:rsidR="00FB1285" w14:paraId="51B3A452" w14:textId="77777777">
        <w:tc>
          <w:tcPr>
            <w:tcW w:w="1985" w:type="dxa"/>
            <w:vMerge/>
          </w:tcPr>
          <w:p w14:paraId="2161153A" w14:textId="77777777" w:rsidR="00FB1285" w:rsidRDefault="00FB1285">
            <w:pPr>
              <w:jc w:val="left"/>
              <w:rPr>
                <w:rFonts w:ascii="Times New Roman" w:eastAsia="宋体" w:hAnsi="Times New Roman" w:cs="Times New Roman"/>
                <w:sz w:val="24"/>
              </w:rPr>
            </w:pPr>
          </w:p>
        </w:tc>
        <w:tc>
          <w:tcPr>
            <w:tcW w:w="2563" w:type="dxa"/>
            <w:vAlign w:val="center"/>
          </w:tcPr>
          <w:p w14:paraId="24781702" w14:textId="77777777" w:rsidR="00FB1285" w:rsidRDefault="00000000">
            <w:pPr>
              <w:jc w:val="left"/>
              <w:rPr>
                <w:rFonts w:ascii="Times New Roman" w:hAnsi="Times New Roman" w:cs="Times New Roman"/>
              </w:rPr>
            </w:pPr>
            <w:r>
              <w:rPr>
                <w:rFonts w:ascii="Times New Roman" w:hAnsi="Times New Roman" w:cs="Times New Roman"/>
              </w:rPr>
              <w:t>Mesenchymal cells</w:t>
            </w:r>
          </w:p>
        </w:tc>
        <w:tc>
          <w:tcPr>
            <w:tcW w:w="4945" w:type="dxa"/>
            <w:vAlign w:val="center"/>
          </w:tcPr>
          <w:p w14:paraId="2E175F66" w14:textId="77777777" w:rsidR="00FB1285" w:rsidRDefault="00000000">
            <w:pPr>
              <w:jc w:val="left"/>
              <w:rPr>
                <w:rFonts w:ascii="Times New Roman" w:hAnsi="Times New Roman" w:cs="Times New Roman"/>
              </w:rPr>
            </w:pPr>
            <w:r>
              <w:rPr>
                <w:rFonts w:ascii="Times New Roman" w:hAnsi="Times New Roman" w:cs="Times New Roman"/>
              </w:rPr>
              <w:t>DCN, COL1A2, COL1A1, ACTA2, RGS5, PDGFRB</w:t>
            </w:r>
          </w:p>
        </w:tc>
      </w:tr>
      <w:tr w:rsidR="00FB1285" w14:paraId="37AC36E8" w14:textId="77777777">
        <w:tc>
          <w:tcPr>
            <w:tcW w:w="1985" w:type="dxa"/>
            <w:vMerge/>
          </w:tcPr>
          <w:p w14:paraId="73B3B694" w14:textId="77777777" w:rsidR="00FB1285" w:rsidRDefault="00FB1285">
            <w:pPr>
              <w:jc w:val="left"/>
              <w:rPr>
                <w:rFonts w:ascii="Times New Roman" w:eastAsia="宋体" w:hAnsi="Times New Roman" w:cs="Times New Roman"/>
                <w:sz w:val="24"/>
              </w:rPr>
            </w:pPr>
          </w:p>
        </w:tc>
        <w:tc>
          <w:tcPr>
            <w:tcW w:w="2563" w:type="dxa"/>
            <w:vAlign w:val="center"/>
          </w:tcPr>
          <w:p w14:paraId="50702EF8" w14:textId="77777777" w:rsidR="00FB1285" w:rsidRDefault="00000000">
            <w:pPr>
              <w:jc w:val="left"/>
              <w:rPr>
                <w:rFonts w:ascii="Times New Roman" w:hAnsi="Times New Roman" w:cs="Times New Roman"/>
              </w:rPr>
            </w:pPr>
            <w:r>
              <w:rPr>
                <w:rFonts w:ascii="Times New Roman" w:hAnsi="Times New Roman" w:cs="Times New Roman"/>
              </w:rPr>
              <w:t>Epithelial cells</w:t>
            </w:r>
          </w:p>
        </w:tc>
        <w:tc>
          <w:tcPr>
            <w:tcW w:w="4945" w:type="dxa"/>
            <w:vAlign w:val="center"/>
          </w:tcPr>
          <w:p w14:paraId="7AC6CCD0" w14:textId="77777777" w:rsidR="00FB1285" w:rsidRDefault="00000000">
            <w:pPr>
              <w:jc w:val="left"/>
              <w:rPr>
                <w:rFonts w:ascii="Times New Roman" w:hAnsi="Times New Roman" w:cs="Times New Roman"/>
              </w:rPr>
            </w:pPr>
            <w:r>
              <w:rPr>
                <w:rFonts w:ascii="Times New Roman" w:hAnsi="Times New Roman" w:cs="Times New Roman"/>
              </w:rPr>
              <w:t>KRT7, KRT19, MMP7, CFTR, EPCAM</w:t>
            </w:r>
          </w:p>
        </w:tc>
      </w:tr>
      <w:tr w:rsidR="00FB1285" w14:paraId="52961818" w14:textId="77777777">
        <w:tc>
          <w:tcPr>
            <w:tcW w:w="1985" w:type="dxa"/>
            <w:vMerge/>
          </w:tcPr>
          <w:p w14:paraId="64C3391F" w14:textId="77777777" w:rsidR="00FB1285" w:rsidRDefault="00FB1285">
            <w:pPr>
              <w:jc w:val="left"/>
              <w:rPr>
                <w:rFonts w:ascii="Times New Roman" w:eastAsia="宋体" w:hAnsi="Times New Roman" w:cs="Times New Roman"/>
                <w:sz w:val="24"/>
              </w:rPr>
            </w:pPr>
          </w:p>
        </w:tc>
        <w:tc>
          <w:tcPr>
            <w:tcW w:w="2563" w:type="dxa"/>
            <w:vAlign w:val="center"/>
          </w:tcPr>
          <w:p w14:paraId="3073481C" w14:textId="77777777" w:rsidR="00FB1285" w:rsidRDefault="00000000">
            <w:pPr>
              <w:jc w:val="left"/>
              <w:rPr>
                <w:rFonts w:ascii="Times New Roman" w:hAnsi="Times New Roman" w:cs="Times New Roman"/>
              </w:rPr>
            </w:pPr>
            <w:r>
              <w:rPr>
                <w:rFonts w:ascii="Times New Roman" w:hAnsi="Times New Roman" w:cs="Times New Roman"/>
              </w:rPr>
              <w:t>Cancer cells</w:t>
            </w:r>
          </w:p>
        </w:tc>
        <w:tc>
          <w:tcPr>
            <w:tcW w:w="4945" w:type="dxa"/>
            <w:vAlign w:val="center"/>
          </w:tcPr>
          <w:p w14:paraId="51A21896" w14:textId="77777777" w:rsidR="00FB1285" w:rsidRDefault="00000000">
            <w:pPr>
              <w:jc w:val="left"/>
              <w:rPr>
                <w:rFonts w:ascii="Times New Roman" w:hAnsi="Times New Roman" w:cs="Times New Roman"/>
              </w:rPr>
            </w:pPr>
            <w:r>
              <w:rPr>
                <w:rFonts w:ascii="Times New Roman" w:hAnsi="Times New Roman" w:cs="Times New Roman"/>
              </w:rPr>
              <w:t>EPCAM, KRT19, SOX9</w:t>
            </w:r>
          </w:p>
        </w:tc>
      </w:tr>
      <w:tr w:rsidR="00FB1285" w14:paraId="298EA81A" w14:textId="77777777">
        <w:tc>
          <w:tcPr>
            <w:tcW w:w="1985" w:type="dxa"/>
            <w:vMerge/>
            <w:tcBorders>
              <w:bottom w:val="single" w:sz="8" w:space="0" w:color="auto"/>
            </w:tcBorders>
          </w:tcPr>
          <w:p w14:paraId="6327363F" w14:textId="77777777" w:rsidR="00FB1285" w:rsidRDefault="00FB1285">
            <w:pPr>
              <w:jc w:val="left"/>
              <w:rPr>
                <w:rFonts w:ascii="Times New Roman" w:eastAsia="宋体" w:hAnsi="Times New Roman" w:cs="Times New Roman"/>
                <w:sz w:val="24"/>
              </w:rPr>
            </w:pPr>
          </w:p>
        </w:tc>
        <w:tc>
          <w:tcPr>
            <w:tcW w:w="2563" w:type="dxa"/>
            <w:tcBorders>
              <w:bottom w:val="single" w:sz="8" w:space="0" w:color="auto"/>
            </w:tcBorders>
            <w:vAlign w:val="center"/>
          </w:tcPr>
          <w:p w14:paraId="7258ED72" w14:textId="77777777" w:rsidR="00FB1285" w:rsidRDefault="00000000">
            <w:pPr>
              <w:jc w:val="left"/>
              <w:rPr>
                <w:rFonts w:ascii="Times New Roman" w:hAnsi="Times New Roman" w:cs="Times New Roman"/>
              </w:rPr>
            </w:pPr>
            <w:r>
              <w:rPr>
                <w:rFonts w:ascii="Times New Roman" w:hAnsi="Times New Roman" w:cs="Times New Roman"/>
              </w:rPr>
              <w:t>Mast cells</w:t>
            </w:r>
          </w:p>
        </w:tc>
        <w:tc>
          <w:tcPr>
            <w:tcW w:w="4945" w:type="dxa"/>
            <w:tcBorders>
              <w:bottom w:val="single" w:sz="8" w:space="0" w:color="auto"/>
            </w:tcBorders>
            <w:vAlign w:val="center"/>
          </w:tcPr>
          <w:p w14:paraId="589A1118" w14:textId="77777777" w:rsidR="00FB1285" w:rsidRDefault="00000000">
            <w:pPr>
              <w:jc w:val="left"/>
              <w:rPr>
                <w:rFonts w:ascii="Times New Roman" w:hAnsi="Times New Roman" w:cs="Times New Roman"/>
              </w:rPr>
            </w:pPr>
            <w:r>
              <w:rPr>
                <w:rFonts w:ascii="Times New Roman" w:hAnsi="Times New Roman" w:cs="Times New Roman"/>
              </w:rPr>
              <w:t>TPSAB1, TPSB2, CPA3</w:t>
            </w:r>
          </w:p>
        </w:tc>
      </w:tr>
    </w:tbl>
    <w:p w14:paraId="60D3B3E0" w14:textId="77777777" w:rsidR="00FB1285" w:rsidRDefault="00000000">
      <w:pPr>
        <w:widowControl/>
        <w:jc w:val="left"/>
        <w:rPr>
          <w:rFonts w:ascii="Times New Roman" w:eastAsia="宋体" w:hAnsi="Times New Roman" w:cs="Times New Roman"/>
          <w:b/>
          <w:bCs/>
          <w:sz w:val="24"/>
        </w:rPr>
      </w:pPr>
      <w:r>
        <w:rPr>
          <w:rFonts w:ascii="Times New Roman" w:eastAsia="宋体" w:hAnsi="Times New Roman" w:cs="Times New Roman"/>
          <w:b/>
          <w:bCs/>
          <w:sz w:val="24"/>
        </w:rPr>
        <w:br w:type="page"/>
      </w:r>
    </w:p>
    <w:p w14:paraId="34A88EB0" w14:textId="77777777" w:rsidR="00FB1285" w:rsidRDefault="00000000">
      <w:pPr>
        <w:kinsoku w:val="0"/>
        <w:autoSpaceDE w:val="0"/>
        <w:autoSpaceDN w:val="0"/>
        <w:adjustRightInd w:val="0"/>
        <w:snapToGrid w:val="0"/>
        <w:spacing w:before="69" w:line="188" w:lineRule="auto"/>
        <w:ind w:left="8"/>
        <w:jc w:val="left"/>
        <w:textAlignment w:val="baseline"/>
        <w:outlineLvl w:val="0"/>
        <w:rPr>
          <w:rFonts w:ascii="Times New Roman" w:eastAsia="Times New Roman" w:hAnsi="Times New Roman" w:cs="Times New Roman"/>
          <w:snapToGrid w:val="0"/>
          <w:color w:val="000000"/>
          <w:kern w:val="0"/>
          <w:sz w:val="24"/>
          <w:szCs w:val="24"/>
          <w:lang w:eastAsia="en-US"/>
        </w:rPr>
      </w:pPr>
      <w:r>
        <w:rPr>
          <w:rFonts w:ascii="Times New Roman" w:eastAsia="Times New Roman" w:hAnsi="Times New Roman" w:cs="Times New Roman"/>
          <w:b/>
          <w:bCs/>
          <w:snapToGrid w:val="0"/>
          <w:color w:val="000000"/>
          <w:spacing w:val="-3"/>
          <w:kern w:val="0"/>
          <w:sz w:val="24"/>
          <w:szCs w:val="24"/>
          <w:lang w:eastAsia="en-US"/>
        </w:rPr>
        <w:lastRenderedPageBreak/>
        <w:t>Table</w:t>
      </w:r>
      <w:r>
        <w:rPr>
          <w:rFonts w:ascii="Times New Roman" w:eastAsia="Times New Roman" w:hAnsi="Times New Roman" w:cs="Times New Roman"/>
          <w:b/>
          <w:bCs/>
          <w:snapToGrid w:val="0"/>
          <w:color w:val="000000"/>
          <w:spacing w:val="14"/>
          <w:kern w:val="0"/>
          <w:sz w:val="24"/>
          <w:szCs w:val="24"/>
          <w:lang w:eastAsia="en-US"/>
        </w:rPr>
        <w:t xml:space="preserve"> </w:t>
      </w:r>
      <w:r>
        <w:rPr>
          <w:rFonts w:ascii="Times New Roman" w:eastAsia="Times New Roman" w:hAnsi="Times New Roman" w:cs="Times New Roman"/>
          <w:b/>
          <w:bCs/>
          <w:snapToGrid w:val="0"/>
          <w:color w:val="000000"/>
          <w:spacing w:val="-3"/>
          <w:kern w:val="0"/>
          <w:sz w:val="24"/>
          <w:szCs w:val="24"/>
          <w:lang w:eastAsia="en-US"/>
        </w:rPr>
        <w:t>S</w:t>
      </w:r>
      <w:r>
        <w:rPr>
          <w:rFonts w:ascii="Times New Roman" w:eastAsia="宋体" w:hAnsi="Times New Roman" w:cs="Times New Roman" w:hint="eastAsia"/>
          <w:b/>
          <w:bCs/>
          <w:snapToGrid w:val="0"/>
          <w:color w:val="000000"/>
          <w:spacing w:val="-3"/>
          <w:kern w:val="0"/>
          <w:sz w:val="24"/>
          <w:szCs w:val="24"/>
        </w:rPr>
        <w:t>2</w:t>
      </w:r>
      <w:r>
        <w:rPr>
          <w:rFonts w:ascii="Times New Roman" w:eastAsia="Times New Roman" w:hAnsi="Times New Roman" w:cs="Times New Roman"/>
          <w:b/>
          <w:bCs/>
          <w:snapToGrid w:val="0"/>
          <w:color w:val="000000"/>
          <w:spacing w:val="-3"/>
          <w:kern w:val="0"/>
          <w:sz w:val="24"/>
          <w:szCs w:val="24"/>
          <w:lang w:eastAsia="en-US"/>
        </w:rPr>
        <w:t>.</w:t>
      </w:r>
    </w:p>
    <w:p w14:paraId="4176C882"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 xml:space="preserve"> Clinical characteristics of Nanjing and Guangzhou cohorts</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701"/>
        <w:gridCol w:w="1701"/>
        <w:gridCol w:w="1706"/>
      </w:tblGrid>
      <w:tr w:rsidR="00FB1285" w14:paraId="0A731A50" w14:textId="77777777">
        <w:tc>
          <w:tcPr>
            <w:tcW w:w="2263" w:type="dxa"/>
            <w:tcBorders>
              <w:top w:val="single" w:sz="8" w:space="0" w:color="auto"/>
              <w:bottom w:val="single" w:sz="8" w:space="0" w:color="auto"/>
            </w:tcBorders>
          </w:tcPr>
          <w:p w14:paraId="04F70383"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Vari</w:t>
            </w:r>
            <w:r>
              <w:rPr>
                <w:rFonts w:ascii="Times New Roman" w:eastAsia="宋体" w:hAnsi="Times New Roman" w:cs="Times New Roman" w:hint="eastAsia"/>
                <w:sz w:val="24"/>
              </w:rPr>
              <w:t>a</w:t>
            </w:r>
            <w:r>
              <w:rPr>
                <w:rFonts w:ascii="Times New Roman" w:eastAsia="宋体" w:hAnsi="Times New Roman" w:cs="Times New Roman"/>
                <w:sz w:val="24"/>
              </w:rPr>
              <w:t>ble</w:t>
            </w:r>
          </w:p>
        </w:tc>
        <w:tc>
          <w:tcPr>
            <w:tcW w:w="1701" w:type="dxa"/>
            <w:tcBorders>
              <w:top w:val="single" w:sz="8" w:space="0" w:color="auto"/>
              <w:bottom w:val="single" w:sz="8" w:space="0" w:color="auto"/>
            </w:tcBorders>
          </w:tcPr>
          <w:p w14:paraId="134E7BBB"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Nanjing 1</w:t>
            </w:r>
          </w:p>
        </w:tc>
        <w:tc>
          <w:tcPr>
            <w:tcW w:w="1701" w:type="dxa"/>
            <w:tcBorders>
              <w:top w:val="single" w:sz="8" w:space="0" w:color="auto"/>
              <w:bottom w:val="single" w:sz="8" w:space="0" w:color="auto"/>
            </w:tcBorders>
          </w:tcPr>
          <w:p w14:paraId="44ED5ED2"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Nanjing 2</w:t>
            </w:r>
          </w:p>
        </w:tc>
        <w:tc>
          <w:tcPr>
            <w:tcW w:w="1706" w:type="dxa"/>
            <w:tcBorders>
              <w:top w:val="single" w:sz="8" w:space="0" w:color="auto"/>
              <w:bottom w:val="single" w:sz="8" w:space="0" w:color="auto"/>
            </w:tcBorders>
          </w:tcPr>
          <w:p w14:paraId="615B665E"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Guangzhou</w:t>
            </w:r>
          </w:p>
        </w:tc>
      </w:tr>
      <w:tr w:rsidR="00FB1285" w14:paraId="309218E7" w14:textId="77777777">
        <w:tc>
          <w:tcPr>
            <w:tcW w:w="2263" w:type="dxa"/>
            <w:tcBorders>
              <w:top w:val="single" w:sz="8" w:space="0" w:color="auto"/>
            </w:tcBorders>
          </w:tcPr>
          <w:p w14:paraId="7CC533B2"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Age</w:t>
            </w:r>
          </w:p>
        </w:tc>
        <w:tc>
          <w:tcPr>
            <w:tcW w:w="1701" w:type="dxa"/>
            <w:tcBorders>
              <w:top w:val="single" w:sz="8" w:space="0" w:color="auto"/>
            </w:tcBorders>
          </w:tcPr>
          <w:p w14:paraId="345D1C31" w14:textId="77777777" w:rsidR="00FB1285" w:rsidRDefault="00FB1285">
            <w:pPr>
              <w:spacing w:line="360" w:lineRule="auto"/>
              <w:jc w:val="left"/>
              <w:rPr>
                <w:rFonts w:ascii="Times New Roman" w:eastAsia="宋体" w:hAnsi="Times New Roman" w:cs="Times New Roman"/>
                <w:sz w:val="24"/>
              </w:rPr>
            </w:pPr>
          </w:p>
        </w:tc>
        <w:tc>
          <w:tcPr>
            <w:tcW w:w="1701" w:type="dxa"/>
            <w:tcBorders>
              <w:top w:val="single" w:sz="8" w:space="0" w:color="auto"/>
            </w:tcBorders>
          </w:tcPr>
          <w:p w14:paraId="730F4642" w14:textId="77777777" w:rsidR="00FB1285" w:rsidRDefault="00FB1285">
            <w:pPr>
              <w:spacing w:line="360" w:lineRule="auto"/>
              <w:jc w:val="left"/>
              <w:rPr>
                <w:rFonts w:ascii="Times New Roman" w:eastAsia="宋体" w:hAnsi="Times New Roman" w:cs="Times New Roman"/>
                <w:sz w:val="24"/>
              </w:rPr>
            </w:pPr>
          </w:p>
        </w:tc>
        <w:tc>
          <w:tcPr>
            <w:tcW w:w="1706" w:type="dxa"/>
            <w:tcBorders>
              <w:top w:val="single" w:sz="8" w:space="0" w:color="auto"/>
            </w:tcBorders>
          </w:tcPr>
          <w:p w14:paraId="2C07569A" w14:textId="77777777" w:rsidR="00FB1285" w:rsidRDefault="00FB1285">
            <w:pPr>
              <w:spacing w:line="360" w:lineRule="auto"/>
              <w:jc w:val="left"/>
              <w:rPr>
                <w:rFonts w:ascii="Times New Roman" w:eastAsia="宋体" w:hAnsi="Times New Roman" w:cs="Times New Roman"/>
                <w:sz w:val="24"/>
              </w:rPr>
            </w:pPr>
          </w:p>
        </w:tc>
      </w:tr>
      <w:tr w:rsidR="00FB1285" w14:paraId="2213876D" w14:textId="77777777">
        <w:tc>
          <w:tcPr>
            <w:tcW w:w="2263" w:type="dxa"/>
          </w:tcPr>
          <w:p w14:paraId="6FD23047" w14:textId="77777777" w:rsidR="00FB1285" w:rsidRDefault="00000000">
            <w:pPr>
              <w:spacing w:line="360" w:lineRule="auto"/>
              <w:ind w:firstLineChars="100" w:firstLine="240"/>
              <w:jc w:val="left"/>
              <w:rPr>
                <w:rFonts w:ascii="Times New Roman" w:eastAsia="宋体" w:hAnsi="Times New Roman" w:cs="Times New Roman"/>
                <w:sz w:val="24"/>
              </w:rPr>
            </w:pPr>
            <w:r>
              <w:rPr>
                <w:rFonts w:ascii="Times New Roman" w:eastAsia="宋体" w:hAnsi="Times New Roman" w:cs="Times New Roman"/>
                <w:sz w:val="24"/>
              </w:rPr>
              <w:sym w:font="Symbol" w:char="F03C"/>
            </w:r>
            <w:r>
              <w:rPr>
                <w:rFonts w:ascii="Times New Roman" w:eastAsia="宋体" w:hAnsi="Times New Roman" w:cs="Times New Roman"/>
                <w:sz w:val="24"/>
              </w:rPr>
              <w:t>60</w:t>
            </w:r>
          </w:p>
        </w:tc>
        <w:tc>
          <w:tcPr>
            <w:tcW w:w="1701" w:type="dxa"/>
          </w:tcPr>
          <w:p w14:paraId="6D93163E"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23</w:t>
            </w:r>
          </w:p>
        </w:tc>
        <w:tc>
          <w:tcPr>
            <w:tcW w:w="1701" w:type="dxa"/>
          </w:tcPr>
          <w:p w14:paraId="3EC92B81"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17</w:t>
            </w:r>
          </w:p>
        </w:tc>
        <w:tc>
          <w:tcPr>
            <w:tcW w:w="1706" w:type="dxa"/>
          </w:tcPr>
          <w:p w14:paraId="4696CBC1"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86</w:t>
            </w:r>
          </w:p>
        </w:tc>
      </w:tr>
      <w:tr w:rsidR="00FB1285" w14:paraId="6617DACE" w14:textId="77777777">
        <w:tc>
          <w:tcPr>
            <w:tcW w:w="2263" w:type="dxa"/>
          </w:tcPr>
          <w:p w14:paraId="623F320B" w14:textId="77777777" w:rsidR="00FB1285" w:rsidRDefault="00000000">
            <w:pPr>
              <w:spacing w:line="360" w:lineRule="auto"/>
              <w:ind w:firstLineChars="100" w:firstLine="240"/>
              <w:jc w:val="left"/>
              <w:rPr>
                <w:rFonts w:ascii="Times New Roman" w:eastAsia="宋体" w:hAnsi="Times New Roman" w:cs="Times New Roman"/>
                <w:sz w:val="24"/>
              </w:rPr>
            </w:pPr>
            <w:r>
              <w:rPr>
                <w:rFonts w:ascii="Times New Roman" w:eastAsia="宋体" w:hAnsi="Times New Roman" w:cs="Times New Roman"/>
                <w:sz w:val="24"/>
              </w:rPr>
              <w:sym w:font="Symbol" w:char="F0B3"/>
            </w:r>
            <w:r>
              <w:rPr>
                <w:rFonts w:ascii="Times New Roman" w:eastAsia="宋体" w:hAnsi="Times New Roman" w:cs="Times New Roman"/>
                <w:sz w:val="24"/>
              </w:rPr>
              <w:t>60</w:t>
            </w:r>
          </w:p>
        </w:tc>
        <w:tc>
          <w:tcPr>
            <w:tcW w:w="1701" w:type="dxa"/>
          </w:tcPr>
          <w:p w14:paraId="2D6FBAD8"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57</w:t>
            </w:r>
          </w:p>
        </w:tc>
        <w:tc>
          <w:tcPr>
            <w:tcW w:w="1701" w:type="dxa"/>
          </w:tcPr>
          <w:p w14:paraId="325FCB0F"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33</w:t>
            </w:r>
          </w:p>
        </w:tc>
        <w:tc>
          <w:tcPr>
            <w:tcW w:w="1706" w:type="dxa"/>
          </w:tcPr>
          <w:p w14:paraId="1FFDC915"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150</w:t>
            </w:r>
          </w:p>
        </w:tc>
      </w:tr>
      <w:tr w:rsidR="00FB1285" w14:paraId="4856E81E" w14:textId="77777777">
        <w:tc>
          <w:tcPr>
            <w:tcW w:w="2263" w:type="dxa"/>
          </w:tcPr>
          <w:p w14:paraId="3C32092C"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Gender</w:t>
            </w:r>
          </w:p>
        </w:tc>
        <w:tc>
          <w:tcPr>
            <w:tcW w:w="1701" w:type="dxa"/>
          </w:tcPr>
          <w:p w14:paraId="6696ABE2" w14:textId="77777777" w:rsidR="00FB1285" w:rsidRDefault="00FB1285">
            <w:pPr>
              <w:spacing w:line="360" w:lineRule="auto"/>
              <w:jc w:val="left"/>
              <w:rPr>
                <w:rFonts w:ascii="Times New Roman" w:eastAsia="宋体" w:hAnsi="Times New Roman" w:cs="Times New Roman"/>
                <w:sz w:val="24"/>
              </w:rPr>
            </w:pPr>
          </w:p>
        </w:tc>
        <w:tc>
          <w:tcPr>
            <w:tcW w:w="1701" w:type="dxa"/>
          </w:tcPr>
          <w:p w14:paraId="3D4CE135" w14:textId="77777777" w:rsidR="00FB1285" w:rsidRDefault="00FB1285">
            <w:pPr>
              <w:spacing w:line="360" w:lineRule="auto"/>
              <w:jc w:val="left"/>
              <w:rPr>
                <w:rFonts w:ascii="Times New Roman" w:eastAsia="宋体" w:hAnsi="Times New Roman" w:cs="Times New Roman"/>
                <w:sz w:val="24"/>
              </w:rPr>
            </w:pPr>
          </w:p>
        </w:tc>
        <w:tc>
          <w:tcPr>
            <w:tcW w:w="1706" w:type="dxa"/>
          </w:tcPr>
          <w:p w14:paraId="49687B81" w14:textId="77777777" w:rsidR="00FB1285" w:rsidRDefault="00FB1285">
            <w:pPr>
              <w:spacing w:line="360" w:lineRule="auto"/>
              <w:jc w:val="left"/>
              <w:rPr>
                <w:rFonts w:ascii="Times New Roman" w:eastAsia="宋体" w:hAnsi="Times New Roman" w:cs="Times New Roman"/>
                <w:sz w:val="24"/>
              </w:rPr>
            </w:pPr>
          </w:p>
        </w:tc>
      </w:tr>
      <w:tr w:rsidR="00FB1285" w14:paraId="5475B8A4" w14:textId="77777777">
        <w:tc>
          <w:tcPr>
            <w:tcW w:w="2263" w:type="dxa"/>
          </w:tcPr>
          <w:p w14:paraId="4913A216" w14:textId="77777777" w:rsidR="00FB1285" w:rsidRDefault="00000000">
            <w:pPr>
              <w:spacing w:line="360" w:lineRule="auto"/>
              <w:ind w:firstLineChars="100" w:firstLine="240"/>
              <w:jc w:val="left"/>
              <w:rPr>
                <w:rFonts w:ascii="Times New Roman" w:eastAsia="宋体" w:hAnsi="Times New Roman" w:cs="Times New Roman"/>
                <w:sz w:val="24"/>
              </w:rPr>
            </w:pPr>
            <w:r>
              <w:rPr>
                <w:rFonts w:ascii="Times New Roman" w:eastAsia="宋体" w:hAnsi="Times New Roman" w:cs="Times New Roman"/>
                <w:sz w:val="24"/>
              </w:rPr>
              <w:t>Male</w:t>
            </w:r>
          </w:p>
        </w:tc>
        <w:tc>
          <w:tcPr>
            <w:tcW w:w="1701" w:type="dxa"/>
          </w:tcPr>
          <w:p w14:paraId="113E0202"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50</w:t>
            </w:r>
          </w:p>
        </w:tc>
        <w:tc>
          <w:tcPr>
            <w:tcW w:w="1701" w:type="dxa"/>
          </w:tcPr>
          <w:p w14:paraId="12DFBC4E"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31</w:t>
            </w:r>
          </w:p>
        </w:tc>
        <w:tc>
          <w:tcPr>
            <w:tcW w:w="1706" w:type="dxa"/>
          </w:tcPr>
          <w:p w14:paraId="2C47AAF1"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118</w:t>
            </w:r>
          </w:p>
        </w:tc>
      </w:tr>
      <w:tr w:rsidR="00FB1285" w14:paraId="14776985" w14:textId="77777777">
        <w:tc>
          <w:tcPr>
            <w:tcW w:w="2263" w:type="dxa"/>
          </w:tcPr>
          <w:p w14:paraId="4339444B" w14:textId="77777777" w:rsidR="00FB1285" w:rsidRDefault="00000000">
            <w:pPr>
              <w:spacing w:line="360" w:lineRule="auto"/>
              <w:ind w:firstLineChars="100" w:firstLine="240"/>
              <w:jc w:val="left"/>
              <w:rPr>
                <w:rFonts w:ascii="Times New Roman" w:eastAsia="宋体" w:hAnsi="Times New Roman" w:cs="Times New Roman"/>
                <w:sz w:val="24"/>
              </w:rPr>
            </w:pPr>
            <w:r>
              <w:rPr>
                <w:rFonts w:ascii="Times New Roman" w:eastAsia="宋体" w:hAnsi="Times New Roman" w:cs="Times New Roman"/>
                <w:sz w:val="24"/>
              </w:rPr>
              <w:t>Female</w:t>
            </w:r>
          </w:p>
        </w:tc>
        <w:tc>
          <w:tcPr>
            <w:tcW w:w="1701" w:type="dxa"/>
          </w:tcPr>
          <w:p w14:paraId="06FDCD7D"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30</w:t>
            </w:r>
          </w:p>
        </w:tc>
        <w:tc>
          <w:tcPr>
            <w:tcW w:w="1701" w:type="dxa"/>
          </w:tcPr>
          <w:p w14:paraId="51C0D886"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19</w:t>
            </w:r>
          </w:p>
        </w:tc>
        <w:tc>
          <w:tcPr>
            <w:tcW w:w="1706" w:type="dxa"/>
          </w:tcPr>
          <w:p w14:paraId="6E3F7BA5"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118</w:t>
            </w:r>
          </w:p>
        </w:tc>
      </w:tr>
      <w:tr w:rsidR="00FB1285" w14:paraId="4744C6CA" w14:textId="77777777">
        <w:tc>
          <w:tcPr>
            <w:tcW w:w="2263" w:type="dxa"/>
          </w:tcPr>
          <w:p w14:paraId="4417E177"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Tumor site</w:t>
            </w:r>
          </w:p>
        </w:tc>
        <w:tc>
          <w:tcPr>
            <w:tcW w:w="1701" w:type="dxa"/>
          </w:tcPr>
          <w:p w14:paraId="63317D60" w14:textId="77777777" w:rsidR="00FB1285" w:rsidRDefault="00FB1285">
            <w:pPr>
              <w:spacing w:line="360" w:lineRule="auto"/>
              <w:jc w:val="left"/>
              <w:rPr>
                <w:rFonts w:ascii="Times New Roman" w:eastAsia="宋体" w:hAnsi="Times New Roman" w:cs="Times New Roman"/>
                <w:sz w:val="24"/>
              </w:rPr>
            </w:pPr>
          </w:p>
        </w:tc>
        <w:tc>
          <w:tcPr>
            <w:tcW w:w="1701" w:type="dxa"/>
          </w:tcPr>
          <w:p w14:paraId="7CA3C255" w14:textId="77777777" w:rsidR="00FB1285" w:rsidRDefault="00FB1285">
            <w:pPr>
              <w:spacing w:line="360" w:lineRule="auto"/>
              <w:jc w:val="left"/>
              <w:rPr>
                <w:rFonts w:ascii="Times New Roman" w:eastAsia="宋体" w:hAnsi="Times New Roman" w:cs="Times New Roman"/>
                <w:sz w:val="24"/>
              </w:rPr>
            </w:pPr>
          </w:p>
        </w:tc>
        <w:tc>
          <w:tcPr>
            <w:tcW w:w="1706" w:type="dxa"/>
          </w:tcPr>
          <w:p w14:paraId="31633DC0" w14:textId="77777777" w:rsidR="00FB1285" w:rsidRDefault="00FB1285">
            <w:pPr>
              <w:spacing w:line="360" w:lineRule="auto"/>
              <w:jc w:val="left"/>
              <w:rPr>
                <w:rFonts w:ascii="Times New Roman" w:eastAsia="宋体" w:hAnsi="Times New Roman" w:cs="Times New Roman"/>
                <w:sz w:val="24"/>
              </w:rPr>
            </w:pPr>
          </w:p>
        </w:tc>
      </w:tr>
      <w:tr w:rsidR="00FB1285" w14:paraId="3F64470B" w14:textId="77777777">
        <w:tc>
          <w:tcPr>
            <w:tcW w:w="2263" w:type="dxa"/>
          </w:tcPr>
          <w:p w14:paraId="348B1DA2" w14:textId="77777777" w:rsidR="00FB1285" w:rsidRDefault="00000000">
            <w:pPr>
              <w:spacing w:line="360" w:lineRule="auto"/>
              <w:ind w:firstLineChars="100" w:firstLine="240"/>
              <w:jc w:val="left"/>
              <w:rPr>
                <w:rFonts w:ascii="Times New Roman" w:eastAsia="宋体" w:hAnsi="Times New Roman" w:cs="Times New Roman"/>
                <w:sz w:val="24"/>
              </w:rPr>
            </w:pPr>
            <w:r>
              <w:rPr>
                <w:rFonts w:ascii="Times New Roman" w:eastAsia="宋体" w:hAnsi="Times New Roman" w:cs="Times New Roman"/>
                <w:sz w:val="24"/>
              </w:rPr>
              <w:t>Colon</w:t>
            </w:r>
          </w:p>
        </w:tc>
        <w:tc>
          <w:tcPr>
            <w:tcW w:w="1701" w:type="dxa"/>
          </w:tcPr>
          <w:p w14:paraId="57FC990E"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35</w:t>
            </w:r>
          </w:p>
        </w:tc>
        <w:tc>
          <w:tcPr>
            <w:tcW w:w="1701" w:type="dxa"/>
          </w:tcPr>
          <w:p w14:paraId="108899B0"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29</w:t>
            </w:r>
          </w:p>
        </w:tc>
        <w:tc>
          <w:tcPr>
            <w:tcW w:w="1706" w:type="dxa"/>
          </w:tcPr>
          <w:p w14:paraId="637CA21E"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133</w:t>
            </w:r>
          </w:p>
        </w:tc>
      </w:tr>
      <w:tr w:rsidR="00FB1285" w14:paraId="40188DA0" w14:textId="77777777">
        <w:tc>
          <w:tcPr>
            <w:tcW w:w="2263" w:type="dxa"/>
          </w:tcPr>
          <w:p w14:paraId="05064B4A" w14:textId="77777777" w:rsidR="00FB1285" w:rsidRDefault="00000000">
            <w:pPr>
              <w:spacing w:line="360" w:lineRule="auto"/>
              <w:ind w:firstLineChars="100" w:firstLine="240"/>
              <w:jc w:val="left"/>
              <w:rPr>
                <w:rFonts w:ascii="Times New Roman" w:eastAsia="宋体" w:hAnsi="Times New Roman" w:cs="Times New Roman"/>
                <w:sz w:val="24"/>
              </w:rPr>
            </w:pPr>
            <w:r>
              <w:rPr>
                <w:rFonts w:ascii="Times New Roman" w:eastAsia="宋体" w:hAnsi="Times New Roman" w:cs="Times New Roman"/>
                <w:sz w:val="24"/>
              </w:rPr>
              <w:t>Rectum</w:t>
            </w:r>
          </w:p>
        </w:tc>
        <w:tc>
          <w:tcPr>
            <w:tcW w:w="1701" w:type="dxa"/>
          </w:tcPr>
          <w:p w14:paraId="5D8304A3"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45</w:t>
            </w:r>
          </w:p>
        </w:tc>
        <w:tc>
          <w:tcPr>
            <w:tcW w:w="1701" w:type="dxa"/>
          </w:tcPr>
          <w:p w14:paraId="0655C83F"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21</w:t>
            </w:r>
          </w:p>
        </w:tc>
        <w:tc>
          <w:tcPr>
            <w:tcW w:w="1706" w:type="dxa"/>
          </w:tcPr>
          <w:p w14:paraId="23EFC300"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103</w:t>
            </w:r>
          </w:p>
        </w:tc>
      </w:tr>
      <w:tr w:rsidR="00FB1285" w14:paraId="3378BA06" w14:textId="77777777">
        <w:tc>
          <w:tcPr>
            <w:tcW w:w="2263" w:type="dxa"/>
          </w:tcPr>
          <w:p w14:paraId="08FDF690"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Tumor size</w:t>
            </w:r>
          </w:p>
        </w:tc>
        <w:tc>
          <w:tcPr>
            <w:tcW w:w="1701" w:type="dxa"/>
          </w:tcPr>
          <w:p w14:paraId="11E8B813" w14:textId="77777777" w:rsidR="00FB1285" w:rsidRDefault="00FB1285">
            <w:pPr>
              <w:spacing w:line="360" w:lineRule="auto"/>
              <w:jc w:val="left"/>
              <w:rPr>
                <w:rFonts w:ascii="Times New Roman" w:eastAsia="宋体" w:hAnsi="Times New Roman" w:cs="Times New Roman"/>
                <w:sz w:val="24"/>
              </w:rPr>
            </w:pPr>
          </w:p>
        </w:tc>
        <w:tc>
          <w:tcPr>
            <w:tcW w:w="1701" w:type="dxa"/>
          </w:tcPr>
          <w:p w14:paraId="27EA6880" w14:textId="77777777" w:rsidR="00FB1285" w:rsidRDefault="00FB1285">
            <w:pPr>
              <w:spacing w:line="360" w:lineRule="auto"/>
              <w:jc w:val="left"/>
              <w:rPr>
                <w:rFonts w:ascii="Times New Roman" w:eastAsia="宋体" w:hAnsi="Times New Roman" w:cs="Times New Roman"/>
                <w:sz w:val="24"/>
              </w:rPr>
            </w:pPr>
          </w:p>
        </w:tc>
        <w:tc>
          <w:tcPr>
            <w:tcW w:w="1706" w:type="dxa"/>
          </w:tcPr>
          <w:p w14:paraId="66B7C7CC" w14:textId="77777777" w:rsidR="00FB1285" w:rsidRDefault="00FB1285">
            <w:pPr>
              <w:spacing w:line="360" w:lineRule="auto"/>
              <w:jc w:val="left"/>
              <w:rPr>
                <w:rFonts w:ascii="Times New Roman" w:eastAsia="宋体" w:hAnsi="Times New Roman" w:cs="Times New Roman"/>
                <w:sz w:val="24"/>
              </w:rPr>
            </w:pPr>
          </w:p>
        </w:tc>
      </w:tr>
      <w:tr w:rsidR="00FB1285" w14:paraId="4F027F22" w14:textId="77777777">
        <w:tc>
          <w:tcPr>
            <w:tcW w:w="2263" w:type="dxa"/>
          </w:tcPr>
          <w:p w14:paraId="398534A6" w14:textId="77777777" w:rsidR="00FB1285" w:rsidRDefault="00000000">
            <w:pPr>
              <w:spacing w:line="360" w:lineRule="auto"/>
              <w:ind w:firstLineChars="100" w:firstLine="240"/>
              <w:jc w:val="left"/>
              <w:rPr>
                <w:rFonts w:ascii="Times New Roman" w:eastAsia="宋体" w:hAnsi="Times New Roman" w:cs="Times New Roman"/>
                <w:sz w:val="24"/>
              </w:rPr>
            </w:pPr>
            <w:r>
              <w:rPr>
                <w:rFonts w:ascii="Times New Roman" w:eastAsia="宋体" w:hAnsi="Times New Roman" w:cs="Times New Roman"/>
                <w:sz w:val="24"/>
              </w:rPr>
              <w:sym w:font="Symbol" w:char="F03C"/>
            </w:r>
            <w:r>
              <w:rPr>
                <w:rFonts w:ascii="Times New Roman" w:eastAsia="宋体" w:hAnsi="Times New Roman" w:cs="Times New Roman"/>
                <w:sz w:val="24"/>
              </w:rPr>
              <w:t>5 cm</w:t>
            </w:r>
          </w:p>
        </w:tc>
        <w:tc>
          <w:tcPr>
            <w:tcW w:w="1701" w:type="dxa"/>
          </w:tcPr>
          <w:p w14:paraId="46418E2F"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49</w:t>
            </w:r>
          </w:p>
        </w:tc>
        <w:tc>
          <w:tcPr>
            <w:tcW w:w="1701" w:type="dxa"/>
          </w:tcPr>
          <w:p w14:paraId="5BF87EA9"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18</w:t>
            </w:r>
          </w:p>
        </w:tc>
        <w:tc>
          <w:tcPr>
            <w:tcW w:w="1706" w:type="dxa"/>
          </w:tcPr>
          <w:p w14:paraId="671FEE36"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91</w:t>
            </w:r>
          </w:p>
        </w:tc>
      </w:tr>
      <w:tr w:rsidR="00FB1285" w14:paraId="2B503EC2" w14:textId="77777777">
        <w:tc>
          <w:tcPr>
            <w:tcW w:w="2263" w:type="dxa"/>
          </w:tcPr>
          <w:p w14:paraId="2DD41C4F" w14:textId="77777777" w:rsidR="00FB1285" w:rsidRDefault="00000000">
            <w:pPr>
              <w:spacing w:line="360" w:lineRule="auto"/>
              <w:ind w:firstLineChars="100" w:firstLine="240"/>
              <w:jc w:val="left"/>
              <w:rPr>
                <w:rFonts w:ascii="Times New Roman" w:eastAsia="宋体" w:hAnsi="Times New Roman" w:cs="Times New Roman"/>
                <w:sz w:val="24"/>
              </w:rPr>
            </w:pPr>
            <w:r>
              <w:rPr>
                <w:rFonts w:ascii="Times New Roman" w:eastAsia="宋体" w:hAnsi="Times New Roman" w:cs="Times New Roman"/>
                <w:sz w:val="24"/>
              </w:rPr>
              <w:sym w:font="Symbol" w:char="F0B3"/>
            </w:r>
            <w:r>
              <w:rPr>
                <w:rFonts w:ascii="Times New Roman" w:eastAsia="宋体" w:hAnsi="Times New Roman" w:cs="Times New Roman"/>
                <w:sz w:val="24"/>
              </w:rPr>
              <w:t>5 cm</w:t>
            </w:r>
          </w:p>
        </w:tc>
        <w:tc>
          <w:tcPr>
            <w:tcW w:w="1701" w:type="dxa"/>
          </w:tcPr>
          <w:p w14:paraId="3D4EDE30"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31</w:t>
            </w:r>
          </w:p>
        </w:tc>
        <w:tc>
          <w:tcPr>
            <w:tcW w:w="1701" w:type="dxa"/>
          </w:tcPr>
          <w:p w14:paraId="15AEA8F6"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32</w:t>
            </w:r>
          </w:p>
        </w:tc>
        <w:tc>
          <w:tcPr>
            <w:tcW w:w="1706" w:type="dxa"/>
          </w:tcPr>
          <w:p w14:paraId="6894B0D1"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145</w:t>
            </w:r>
          </w:p>
        </w:tc>
      </w:tr>
      <w:tr w:rsidR="00FB1285" w14:paraId="00ADA6C5" w14:textId="77777777">
        <w:tc>
          <w:tcPr>
            <w:tcW w:w="2263" w:type="dxa"/>
          </w:tcPr>
          <w:p w14:paraId="4084637B"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TNM</w:t>
            </w:r>
          </w:p>
        </w:tc>
        <w:tc>
          <w:tcPr>
            <w:tcW w:w="1701" w:type="dxa"/>
          </w:tcPr>
          <w:p w14:paraId="31E938B5" w14:textId="77777777" w:rsidR="00FB1285" w:rsidRDefault="00FB1285">
            <w:pPr>
              <w:spacing w:line="360" w:lineRule="auto"/>
              <w:jc w:val="left"/>
              <w:rPr>
                <w:rFonts w:ascii="Times New Roman" w:eastAsia="宋体" w:hAnsi="Times New Roman" w:cs="Times New Roman"/>
                <w:sz w:val="24"/>
              </w:rPr>
            </w:pPr>
          </w:p>
        </w:tc>
        <w:tc>
          <w:tcPr>
            <w:tcW w:w="1701" w:type="dxa"/>
          </w:tcPr>
          <w:p w14:paraId="5B31351E" w14:textId="77777777" w:rsidR="00FB1285" w:rsidRDefault="00FB1285">
            <w:pPr>
              <w:spacing w:line="360" w:lineRule="auto"/>
              <w:jc w:val="left"/>
              <w:rPr>
                <w:rFonts w:ascii="Times New Roman" w:eastAsia="宋体" w:hAnsi="Times New Roman" w:cs="Times New Roman"/>
                <w:sz w:val="24"/>
              </w:rPr>
            </w:pPr>
          </w:p>
        </w:tc>
        <w:tc>
          <w:tcPr>
            <w:tcW w:w="1706" w:type="dxa"/>
          </w:tcPr>
          <w:p w14:paraId="09CFB70A" w14:textId="77777777" w:rsidR="00FB1285" w:rsidRDefault="00FB1285">
            <w:pPr>
              <w:spacing w:line="360" w:lineRule="auto"/>
              <w:jc w:val="left"/>
              <w:rPr>
                <w:rFonts w:ascii="Times New Roman" w:eastAsia="宋体" w:hAnsi="Times New Roman" w:cs="Times New Roman"/>
                <w:sz w:val="24"/>
              </w:rPr>
            </w:pPr>
          </w:p>
        </w:tc>
      </w:tr>
      <w:tr w:rsidR="00FB1285" w14:paraId="651C2660" w14:textId="77777777">
        <w:tc>
          <w:tcPr>
            <w:tcW w:w="2263" w:type="dxa"/>
          </w:tcPr>
          <w:p w14:paraId="20E38685" w14:textId="77777777" w:rsidR="00FB1285" w:rsidRDefault="00000000">
            <w:pPr>
              <w:spacing w:line="360" w:lineRule="auto"/>
              <w:ind w:firstLineChars="100" w:firstLine="240"/>
              <w:jc w:val="left"/>
              <w:rPr>
                <w:rFonts w:ascii="Times New Roman" w:eastAsia="宋体" w:hAnsi="Times New Roman" w:cs="Times New Roman"/>
                <w:sz w:val="24"/>
              </w:rPr>
            </w:pPr>
            <w:r>
              <w:rPr>
                <w:rFonts w:ascii="Times New Roman" w:eastAsia="宋体" w:hAnsi="Times New Roman" w:cs="Times New Roman"/>
                <w:sz w:val="24"/>
              </w:rPr>
              <w:t>T1 + T2</w:t>
            </w:r>
          </w:p>
        </w:tc>
        <w:tc>
          <w:tcPr>
            <w:tcW w:w="1701" w:type="dxa"/>
          </w:tcPr>
          <w:p w14:paraId="53AC6393"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33</w:t>
            </w:r>
          </w:p>
        </w:tc>
        <w:tc>
          <w:tcPr>
            <w:tcW w:w="1701" w:type="dxa"/>
          </w:tcPr>
          <w:p w14:paraId="1774D9C8"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24</w:t>
            </w:r>
          </w:p>
        </w:tc>
        <w:tc>
          <w:tcPr>
            <w:tcW w:w="1706" w:type="dxa"/>
          </w:tcPr>
          <w:p w14:paraId="78D38181"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110</w:t>
            </w:r>
          </w:p>
        </w:tc>
      </w:tr>
      <w:tr w:rsidR="00FB1285" w14:paraId="6E18DCB4" w14:textId="77777777">
        <w:tc>
          <w:tcPr>
            <w:tcW w:w="2263" w:type="dxa"/>
          </w:tcPr>
          <w:p w14:paraId="03F91C1A" w14:textId="77777777" w:rsidR="00FB1285" w:rsidRDefault="00000000">
            <w:pPr>
              <w:spacing w:line="360" w:lineRule="auto"/>
              <w:ind w:firstLineChars="100" w:firstLine="240"/>
              <w:jc w:val="left"/>
              <w:rPr>
                <w:rFonts w:ascii="Times New Roman" w:eastAsia="宋体" w:hAnsi="Times New Roman" w:cs="Times New Roman"/>
                <w:sz w:val="24"/>
              </w:rPr>
            </w:pPr>
            <w:r>
              <w:rPr>
                <w:rFonts w:ascii="Times New Roman" w:eastAsia="宋体" w:hAnsi="Times New Roman" w:cs="Times New Roman"/>
                <w:sz w:val="24"/>
              </w:rPr>
              <w:t>T3 + T4</w:t>
            </w:r>
          </w:p>
        </w:tc>
        <w:tc>
          <w:tcPr>
            <w:tcW w:w="1701" w:type="dxa"/>
          </w:tcPr>
          <w:p w14:paraId="06B7C227"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47</w:t>
            </w:r>
          </w:p>
        </w:tc>
        <w:tc>
          <w:tcPr>
            <w:tcW w:w="1701" w:type="dxa"/>
          </w:tcPr>
          <w:p w14:paraId="52A00831"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26</w:t>
            </w:r>
          </w:p>
        </w:tc>
        <w:tc>
          <w:tcPr>
            <w:tcW w:w="1706" w:type="dxa"/>
          </w:tcPr>
          <w:p w14:paraId="60671837"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126</w:t>
            </w:r>
          </w:p>
        </w:tc>
      </w:tr>
      <w:tr w:rsidR="00FB1285" w14:paraId="40FC26BB" w14:textId="77777777">
        <w:tc>
          <w:tcPr>
            <w:tcW w:w="2263" w:type="dxa"/>
          </w:tcPr>
          <w:p w14:paraId="4AD7E6B7"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Stage</w:t>
            </w:r>
          </w:p>
        </w:tc>
        <w:tc>
          <w:tcPr>
            <w:tcW w:w="1701" w:type="dxa"/>
          </w:tcPr>
          <w:p w14:paraId="57BAE819" w14:textId="77777777" w:rsidR="00FB1285" w:rsidRDefault="00FB1285">
            <w:pPr>
              <w:spacing w:line="360" w:lineRule="auto"/>
              <w:jc w:val="left"/>
              <w:rPr>
                <w:rFonts w:ascii="Times New Roman" w:eastAsia="宋体" w:hAnsi="Times New Roman" w:cs="Times New Roman"/>
                <w:sz w:val="24"/>
              </w:rPr>
            </w:pPr>
          </w:p>
        </w:tc>
        <w:tc>
          <w:tcPr>
            <w:tcW w:w="1701" w:type="dxa"/>
          </w:tcPr>
          <w:p w14:paraId="3866FD52" w14:textId="77777777" w:rsidR="00FB1285" w:rsidRDefault="00FB1285">
            <w:pPr>
              <w:spacing w:line="360" w:lineRule="auto"/>
              <w:jc w:val="left"/>
              <w:rPr>
                <w:rFonts w:ascii="Times New Roman" w:eastAsia="宋体" w:hAnsi="Times New Roman" w:cs="Times New Roman"/>
                <w:sz w:val="24"/>
              </w:rPr>
            </w:pPr>
          </w:p>
        </w:tc>
        <w:tc>
          <w:tcPr>
            <w:tcW w:w="1706" w:type="dxa"/>
          </w:tcPr>
          <w:p w14:paraId="6210FE64" w14:textId="77777777" w:rsidR="00FB1285" w:rsidRDefault="00FB1285">
            <w:pPr>
              <w:spacing w:line="360" w:lineRule="auto"/>
              <w:jc w:val="left"/>
              <w:rPr>
                <w:rFonts w:ascii="Times New Roman" w:eastAsia="宋体" w:hAnsi="Times New Roman" w:cs="Times New Roman"/>
                <w:sz w:val="24"/>
              </w:rPr>
            </w:pPr>
          </w:p>
        </w:tc>
      </w:tr>
      <w:tr w:rsidR="00FB1285" w14:paraId="1BFE76A0" w14:textId="77777777">
        <w:tc>
          <w:tcPr>
            <w:tcW w:w="2263" w:type="dxa"/>
          </w:tcPr>
          <w:p w14:paraId="2466BD0F" w14:textId="77777777" w:rsidR="00FB1285" w:rsidRDefault="00000000">
            <w:pPr>
              <w:spacing w:line="360" w:lineRule="auto"/>
              <w:ind w:firstLineChars="100" w:firstLine="240"/>
              <w:jc w:val="left"/>
              <w:rPr>
                <w:rFonts w:ascii="Times New Roman" w:eastAsia="宋体" w:hAnsi="Times New Roman" w:cs="Times New Roman"/>
                <w:sz w:val="24"/>
              </w:rPr>
            </w:pPr>
            <w:r>
              <w:rPr>
                <w:rFonts w:ascii="Times New Roman" w:eastAsia="宋体" w:hAnsi="Times New Roman" w:cs="Times New Roman"/>
                <w:sz w:val="24"/>
              </w:rPr>
              <w:t>I + II</w:t>
            </w:r>
          </w:p>
        </w:tc>
        <w:tc>
          <w:tcPr>
            <w:tcW w:w="1701" w:type="dxa"/>
          </w:tcPr>
          <w:p w14:paraId="146FBC39"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0</w:t>
            </w:r>
          </w:p>
        </w:tc>
        <w:tc>
          <w:tcPr>
            <w:tcW w:w="1701" w:type="dxa"/>
          </w:tcPr>
          <w:p w14:paraId="1D948D08"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27</w:t>
            </w:r>
          </w:p>
        </w:tc>
        <w:tc>
          <w:tcPr>
            <w:tcW w:w="1706" w:type="dxa"/>
          </w:tcPr>
          <w:p w14:paraId="66F339D4"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135</w:t>
            </w:r>
          </w:p>
        </w:tc>
      </w:tr>
      <w:tr w:rsidR="00FB1285" w14:paraId="6097AF6A" w14:textId="77777777">
        <w:tc>
          <w:tcPr>
            <w:tcW w:w="2263" w:type="dxa"/>
            <w:tcBorders>
              <w:bottom w:val="single" w:sz="4" w:space="0" w:color="auto"/>
            </w:tcBorders>
          </w:tcPr>
          <w:p w14:paraId="0C198E3A" w14:textId="77777777" w:rsidR="00FB1285" w:rsidRDefault="00000000">
            <w:pPr>
              <w:spacing w:line="360" w:lineRule="auto"/>
              <w:ind w:firstLineChars="100" w:firstLine="240"/>
              <w:jc w:val="left"/>
              <w:rPr>
                <w:rFonts w:ascii="Times New Roman" w:eastAsia="宋体" w:hAnsi="Times New Roman" w:cs="Times New Roman"/>
                <w:sz w:val="24"/>
              </w:rPr>
            </w:pPr>
            <w:r>
              <w:rPr>
                <w:rFonts w:ascii="Times New Roman" w:eastAsia="宋体" w:hAnsi="Times New Roman" w:cs="Times New Roman"/>
                <w:sz w:val="24"/>
              </w:rPr>
              <w:t>III + IV</w:t>
            </w:r>
          </w:p>
        </w:tc>
        <w:tc>
          <w:tcPr>
            <w:tcW w:w="1701" w:type="dxa"/>
            <w:tcBorders>
              <w:bottom w:val="single" w:sz="4" w:space="0" w:color="auto"/>
            </w:tcBorders>
          </w:tcPr>
          <w:p w14:paraId="4B720017"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80</w:t>
            </w:r>
          </w:p>
        </w:tc>
        <w:tc>
          <w:tcPr>
            <w:tcW w:w="1701" w:type="dxa"/>
            <w:tcBorders>
              <w:bottom w:val="single" w:sz="4" w:space="0" w:color="auto"/>
            </w:tcBorders>
          </w:tcPr>
          <w:p w14:paraId="6F7A54F5"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23</w:t>
            </w:r>
          </w:p>
        </w:tc>
        <w:tc>
          <w:tcPr>
            <w:tcW w:w="1706" w:type="dxa"/>
            <w:tcBorders>
              <w:bottom w:val="single" w:sz="4" w:space="0" w:color="auto"/>
            </w:tcBorders>
          </w:tcPr>
          <w:p w14:paraId="431A3CB4" w14:textId="77777777" w:rsidR="00FB1285"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101</w:t>
            </w:r>
          </w:p>
        </w:tc>
      </w:tr>
    </w:tbl>
    <w:p w14:paraId="3631502C" w14:textId="77777777" w:rsidR="00FB1285" w:rsidRDefault="00FB1285">
      <w:pPr>
        <w:widowControl/>
        <w:spacing w:line="360" w:lineRule="auto"/>
        <w:rPr>
          <w:rFonts w:ascii="Times New Roman" w:eastAsia="宋体" w:hAnsi="Times New Roman" w:cs="Times New Roman"/>
          <w:sz w:val="24"/>
        </w:rPr>
      </w:pPr>
    </w:p>
    <w:sectPr w:rsidR="00FB128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B9B"/>
    <w:rsid w:val="00042BB7"/>
    <w:rsid w:val="00053127"/>
    <w:rsid w:val="000946B3"/>
    <w:rsid w:val="000A4A4F"/>
    <w:rsid w:val="000A6ED4"/>
    <w:rsid w:val="000B49EF"/>
    <w:rsid w:val="000E2EBE"/>
    <w:rsid w:val="000E4BFB"/>
    <w:rsid w:val="00112BC6"/>
    <w:rsid w:val="00116827"/>
    <w:rsid w:val="00135924"/>
    <w:rsid w:val="00137F7D"/>
    <w:rsid w:val="00140B2D"/>
    <w:rsid w:val="00141BDD"/>
    <w:rsid w:val="00142838"/>
    <w:rsid w:val="001B54A0"/>
    <w:rsid w:val="0026698D"/>
    <w:rsid w:val="00274520"/>
    <w:rsid w:val="002A260C"/>
    <w:rsid w:val="002B644C"/>
    <w:rsid w:val="002D6440"/>
    <w:rsid w:val="00313350"/>
    <w:rsid w:val="00316FEA"/>
    <w:rsid w:val="0033362A"/>
    <w:rsid w:val="003551C4"/>
    <w:rsid w:val="003556B6"/>
    <w:rsid w:val="003E2FB2"/>
    <w:rsid w:val="00403539"/>
    <w:rsid w:val="00423983"/>
    <w:rsid w:val="004269CF"/>
    <w:rsid w:val="00475754"/>
    <w:rsid w:val="004807AC"/>
    <w:rsid w:val="0049162F"/>
    <w:rsid w:val="004B0171"/>
    <w:rsid w:val="004B49C0"/>
    <w:rsid w:val="00515EE1"/>
    <w:rsid w:val="00544F78"/>
    <w:rsid w:val="005839BE"/>
    <w:rsid w:val="00596E8C"/>
    <w:rsid w:val="005B6392"/>
    <w:rsid w:val="00626EA5"/>
    <w:rsid w:val="00644009"/>
    <w:rsid w:val="00686B9B"/>
    <w:rsid w:val="006C4C05"/>
    <w:rsid w:val="006F6867"/>
    <w:rsid w:val="007339A2"/>
    <w:rsid w:val="00736EF7"/>
    <w:rsid w:val="00767A7D"/>
    <w:rsid w:val="007A0438"/>
    <w:rsid w:val="007C6D86"/>
    <w:rsid w:val="007E41AA"/>
    <w:rsid w:val="007F7126"/>
    <w:rsid w:val="00817D51"/>
    <w:rsid w:val="0083229F"/>
    <w:rsid w:val="00834C96"/>
    <w:rsid w:val="00856D2D"/>
    <w:rsid w:val="00873E45"/>
    <w:rsid w:val="008C1EEB"/>
    <w:rsid w:val="008D2827"/>
    <w:rsid w:val="008E0A5B"/>
    <w:rsid w:val="008E7577"/>
    <w:rsid w:val="00902327"/>
    <w:rsid w:val="0091693E"/>
    <w:rsid w:val="0093040B"/>
    <w:rsid w:val="00932AB6"/>
    <w:rsid w:val="009777B2"/>
    <w:rsid w:val="00990A6F"/>
    <w:rsid w:val="00A11DDF"/>
    <w:rsid w:val="00A4508A"/>
    <w:rsid w:val="00A516A3"/>
    <w:rsid w:val="00A55C26"/>
    <w:rsid w:val="00A72C63"/>
    <w:rsid w:val="00AB538C"/>
    <w:rsid w:val="00AB5441"/>
    <w:rsid w:val="00AB6AB2"/>
    <w:rsid w:val="00AE6C59"/>
    <w:rsid w:val="00B12EF1"/>
    <w:rsid w:val="00B603B5"/>
    <w:rsid w:val="00B81CC2"/>
    <w:rsid w:val="00BA4265"/>
    <w:rsid w:val="00BA719D"/>
    <w:rsid w:val="00BB440B"/>
    <w:rsid w:val="00BE0865"/>
    <w:rsid w:val="00BF12A0"/>
    <w:rsid w:val="00C23C62"/>
    <w:rsid w:val="00C56733"/>
    <w:rsid w:val="00CA51EC"/>
    <w:rsid w:val="00CB4C60"/>
    <w:rsid w:val="00CE3203"/>
    <w:rsid w:val="00D01A7C"/>
    <w:rsid w:val="00D06DC3"/>
    <w:rsid w:val="00D33077"/>
    <w:rsid w:val="00D36C59"/>
    <w:rsid w:val="00D4150E"/>
    <w:rsid w:val="00D56D81"/>
    <w:rsid w:val="00D975E7"/>
    <w:rsid w:val="00DB1414"/>
    <w:rsid w:val="00DD1671"/>
    <w:rsid w:val="00DE6E37"/>
    <w:rsid w:val="00E16C6C"/>
    <w:rsid w:val="00EA2CCF"/>
    <w:rsid w:val="00EC5E60"/>
    <w:rsid w:val="00F035D4"/>
    <w:rsid w:val="00F23ADD"/>
    <w:rsid w:val="00F45BD1"/>
    <w:rsid w:val="00F513CE"/>
    <w:rsid w:val="00FB1285"/>
    <w:rsid w:val="00FB5F43"/>
    <w:rsid w:val="03313C30"/>
    <w:rsid w:val="0AAA0DF0"/>
    <w:rsid w:val="0E273BF9"/>
    <w:rsid w:val="10855717"/>
    <w:rsid w:val="11884B51"/>
    <w:rsid w:val="277C708F"/>
    <w:rsid w:val="2B8925CC"/>
    <w:rsid w:val="339B1CFB"/>
    <w:rsid w:val="3B1D1386"/>
    <w:rsid w:val="433F0888"/>
    <w:rsid w:val="442126D3"/>
    <w:rsid w:val="4C430D72"/>
    <w:rsid w:val="4D021BEE"/>
    <w:rsid w:val="505D75ED"/>
    <w:rsid w:val="5C1D0AAF"/>
    <w:rsid w:val="5CF02BC5"/>
    <w:rsid w:val="663F3ED9"/>
    <w:rsid w:val="73E120B2"/>
    <w:rsid w:val="7A30203C"/>
    <w:rsid w:val="7A4234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74E44F"/>
  <w15:docId w15:val="{40DAFC81-9BD9-4404-B8C5-54D9FB321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Times New Roman" w:eastAsia="Times New Roman" w:hAnsi="Times New Roman" w:cs="Times New Roman"/>
      <w:sz w:val="24"/>
      <w:szCs w:val="24"/>
      <w:lang w:eastAsia="en-US"/>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tabs>
        <w:tab w:val="center" w:pos="4153"/>
        <w:tab w:val="right" w:pos="8306"/>
      </w:tabs>
      <w:snapToGrid w:val="0"/>
      <w:jc w:val="center"/>
    </w:pPr>
    <w:rPr>
      <w:sz w:val="18"/>
      <w:szCs w:val="18"/>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semiHidden/>
    <w:unhideWhenUsed/>
    <w:qFormat/>
    <w:rPr>
      <w:color w:val="0000FF"/>
      <w:u w:val="single"/>
    </w:rPr>
  </w:style>
  <w:style w:type="character" w:customStyle="1" w:styleId="a7">
    <w:name w:val="页眉 字符"/>
    <w:basedOn w:val="a0"/>
    <w:link w:val="a6"/>
    <w:uiPriority w:val="99"/>
    <w:qFormat/>
    <w:rPr>
      <w:sz w:val="18"/>
      <w:szCs w:val="18"/>
    </w:rPr>
  </w:style>
  <w:style w:type="character" w:customStyle="1" w:styleId="a5">
    <w:name w:val="页脚 字符"/>
    <w:basedOn w:val="a0"/>
    <w:link w:val="a4"/>
    <w:uiPriority w:val="99"/>
    <w:qFormat/>
    <w:rPr>
      <w:sz w:val="18"/>
      <w:szCs w:val="18"/>
    </w:rPr>
  </w:style>
  <w:style w:type="paragraph" w:styleId="aa">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image" Target="media/image9.tiff"/><Relationship Id="rId3" Type="http://schemas.openxmlformats.org/officeDocument/2006/relationships/webSettings" Target="webSettings.xml"/><Relationship Id="rId7" Type="http://schemas.openxmlformats.org/officeDocument/2006/relationships/image" Target="media/image3.tiff"/><Relationship Id="rId12" Type="http://schemas.openxmlformats.org/officeDocument/2006/relationships/image" Target="media/image8.tif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tiff"/><Relationship Id="rId11" Type="http://schemas.openxmlformats.org/officeDocument/2006/relationships/image" Target="media/image7.tiff"/><Relationship Id="rId5" Type="http://schemas.openxmlformats.org/officeDocument/2006/relationships/image" Target="media/image1.tiff"/><Relationship Id="rId15" Type="http://schemas.openxmlformats.org/officeDocument/2006/relationships/fontTable" Target="fontTable.xml"/><Relationship Id="rId10" Type="http://schemas.openxmlformats.org/officeDocument/2006/relationships/image" Target="media/image6.tiff"/><Relationship Id="rId4" Type="http://schemas.openxmlformats.org/officeDocument/2006/relationships/hyperlink" Target="http://www.cancerdiversity.asia/scCRLM" TargetMode="External"/><Relationship Id="rId9" Type="http://schemas.openxmlformats.org/officeDocument/2006/relationships/image" Target="media/image5.tiff"/><Relationship Id="rId14" Type="http://schemas.openxmlformats.org/officeDocument/2006/relationships/image" Target="media/image10.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24</Pages>
  <Words>4385</Words>
  <Characters>24999</Characters>
  <Application>Microsoft Office Word</Application>
  <DocSecurity>0</DocSecurity>
  <Lines>208</Lines>
  <Paragraphs>58</Paragraphs>
  <ScaleCrop>false</ScaleCrop>
  <Company/>
  <LinksUpToDate>false</LinksUpToDate>
  <CharactersWithSpaces>29326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xiaowei wang</dc:creator>
  <cp:lastModifiedBy>志豪 陈</cp:lastModifiedBy>
  <cp:revision>4</cp:revision>
  <dcterms:created xsi:type="dcterms:W3CDTF">2026-04-08T11:38:00Z</dcterms:created>
  <dcterms:modified xsi:type="dcterms:W3CDTF">2026-04-10T14:30:00Z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eyJoZGlkIjoiZjRmOWRmY2Q0ODhiNGE3YzNiMmU1N2EzZDVkZjkyMGYiLCJ1c2VySWQiOiIyODgyNDg4OTAifQ==</vt:lpwstr>
  </property>
  <property fmtid="{D5CDD505-2E9C-101B-9397-08002B2CF9AE}" pid="3" name="KSOProductBuildVer">
    <vt:lpwstr>2052-12.1.0.24034</vt:lpwstr>
  </property>
  <property fmtid="{D5CDD505-2E9C-101B-9397-08002B2CF9AE}" pid="4" name="ICV">
    <vt:lpwstr>70198C5BB7C843999EEE7F3ABFEC578F_13</vt:lpwstr>
  </property>
</Properties>
</file>