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1FA9A">
      <w:pPr>
        <w:jc w:val="center"/>
        <w:rPr>
          <w:rFonts w:ascii="Times New Roman" w:hAnsi="Times New Roman" w:cs="Times New Roman"/>
          <w:b/>
          <w:bCs/>
        </w:rPr>
      </w:pPr>
      <w:bookmarkStart w:id="93" w:name="_GoBack"/>
      <w:bookmarkEnd w:id="93"/>
    </w:p>
    <w:p w14:paraId="59677D05">
      <w:pPr>
        <w:jc w:val="center"/>
        <w:rPr>
          <w:rFonts w:ascii="Times New Roman" w:hAnsi="Times New Roman" w:cs="Times New Roman"/>
          <w:b/>
          <w:bCs/>
        </w:rPr>
      </w:pPr>
    </w:p>
    <w:p w14:paraId="4FC13F6D">
      <w:pPr>
        <w:jc w:val="center"/>
        <w:rPr>
          <w:rFonts w:ascii="Times New Roman" w:hAnsi="Times New Roman" w:cs="Times New Roman"/>
          <w:b/>
          <w:bCs/>
        </w:rPr>
      </w:pPr>
    </w:p>
    <w:p w14:paraId="1841FE15">
      <w:pPr>
        <w:jc w:val="center"/>
        <w:rPr>
          <w:rFonts w:ascii="Times New Roman" w:hAnsi="Times New Roman" w:cs="Times New Roman"/>
          <w:b/>
          <w:bCs/>
        </w:rPr>
      </w:pPr>
    </w:p>
    <w:p w14:paraId="1178D3CF">
      <w:pPr>
        <w:jc w:val="center"/>
        <w:rPr>
          <w:rFonts w:ascii="Times New Roman" w:hAnsi="Times New Roman" w:cs="Times New Roman"/>
          <w:b/>
          <w:bCs/>
        </w:rPr>
      </w:pPr>
    </w:p>
    <w:p w14:paraId="52A3A2FF">
      <w:pPr>
        <w:jc w:val="center"/>
        <w:rPr>
          <w:rFonts w:ascii="Times New Roman" w:hAnsi="Times New Roman" w:cs="Times New Roman"/>
          <w:b/>
          <w:bCs/>
        </w:rPr>
      </w:pPr>
    </w:p>
    <w:p w14:paraId="0E468460">
      <w:pPr>
        <w:adjustRightInd w:val="0"/>
        <w:snapToGrid w:val="0"/>
        <w:spacing w:after="0" w:line="360" w:lineRule="auto"/>
        <w:ind w:firstLine="0" w:firstLineChars="0"/>
        <w:jc w:val="center"/>
        <w:rPr>
          <w:rFonts w:hint="eastAsia" w:ascii="Times New Roman" w:hAnsi="Times New Roman" w:eastAsia="宋体" w:cs="Times New Roman"/>
          <w:b/>
          <w:sz w:val="32"/>
          <w:szCs w:val="32"/>
          <w14:ligatures w14:val="none"/>
        </w:rPr>
      </w:pPr>
      <w:r>
        <w:rPr>
          <w:rFonts w:hint="eastAsia" w:ascii="Times New Roman" w:hAnsi="Times New Roman" w:eastAsia="宋体" w:cs="Times New Roman"/>
          <w:b/>
          <w:sz w:val="32"/>
          <w:szCs w:val="32"/>
          <w14:ligatures w14:val="none"/>
        </w:rPr>
        <w:t>Nab-paclitaxel plus S-1 Induction Chemotherapy for Patients with Locally Advanced Pancreatic Cancer: A Prospective, Single-arm, Open-lab</w:t>
      </w:r>
      <w:r>
        <w:rPr>
          <w:rFonts w:hint="eastAsia" w:ascii="Times New Roman" w:hAnsi="Times New Roman" w:eastAsia="宋体" w:cs="Times New Roman"/>
          <w:b/>
          <w:sz w:val="32"/>
          <w:szCs w:val="32"/>
          <w:lang w:val="en-US" w:eastAsia="zh-CN"/>
          <w14:ligatures w14:val="none"/>
        </w:rPr>
        <w:t>el</w:t>
      </w:r>
      <w:r>
        <w:rPr>
          <w:rFonts w:hint="eastAsia" w:ascii="Times New Roman" w:hAnsi="Times New Roman" w:eastAsia="宋体" w:cs="Times New Roman"/>
          <w:b/>
          <w:sz w:val="32"/>
          <w:szCs w:val="32"/>
          <w14:ligatures w14:val="none"/>
        </w:rPr>
        <w:t xml:space="preserve"> and Multicenter clinical study</w:t>
      </w:r>
    </w:p>
    <w:p w14:paraId="6BB6E3E4">
      <w:pPr>
        <w:adjustRightInd w:val="0"/>
        <w:snapToGrid w:val="0"/>
        <w:spacing w:line="360" w:lineRule="auto"/>
        <w:jc w:val="center"/>
        <w:rPr>
          <w:rFonts w:ascii="Times New Roman" w:hAnsi="Times New Roman" w:eastAsia="宋体" w:cs="Times New Roman"/>
          <w:b/>
          <w:sz w:val="28"/>
          <w:szCs w:val="28"/>
          <w14:ligatures w14:val="none"/>
        </w:rPr>
      </w:pPr>
    </w:p>
    <w:p w14:paraId="62519BE2">
      <w:pPr>
        <w:adjustRightInd w:val="0"/>
        <w:snapToGrid w:val="0"/>
        <w:spacing w:after="0" w:line="360" w:lineRule="auto"/>
        <w:jc w:val="center"/>
        <w:rPr>
          <w:rFonts w:hint="eastAsia" w:ascii="Times New Roman" w:hAnsi="Times New Roman" w:cs="Times New Roman"/>
          <w:b/>
          <w:sz w:val="28"/>
          <w:szCs w:val="28"/>
          <w14:ligatures w14:val="none"/>
        </w:rPr>
      </w:pPr>
      <w:r>
        <w:rPr>
          <w:rFonts w:ascii="宋体" w:hAnsi="宋体" w:eastAsia="宋体" w:cs="Times New Roman"/>
          <w:b/>
          <w:sz w:val="28"/>
          <w:szCs w:val="28"/>
          <w14:ligatures w14:val="none"/>
        </w:rPr>
        <w:t xml:space="preserve">  </w:t>
      </w:r>
      <w:r>
        <w:rPr>
          <w:rFonts w:ascii="Times New Roman" w:hAnsi="Times New Roman" w:cs="Times New Roman"/>
          <w:b/>
          <w:sz w:val="28"/>
          <w:szCs w:val="28"/>
          <w14:ligatures w14:val="none"/>
        </w:rPr>
        <w:t>Statistical Analysis Plan</w:t>
      </w:r>
    </w:p>
    <w:p w14:paraId="6FD62941">
      <w:pPr>
        <w:adjustRightInd w:val="0"/>
        <w:snapToGrid w:val="0"/>
        <w:spacing w:after="0" w:line="360" w:lineRule="auto"/>
        <w:jc w:val="center"/>
        <w:rPr>
          <w:rFonts w:ascii="Times New Roman" w:hAnsi="Times New Roman" w:cs="Times New Roman"/>
          <w:b/>
          <w:sz w:val="28"/>
          <w:szCs w:val="28"/>
          <w14:ligatures w14:val="none"/>
        </w:rPr>
      </w:pPr>
      <w:r>
        <w:rPr>
          <w:rFonts w:ascii="Times New Roman" w:hAnsi="Times New Roman" w:cs="Times New Roman"/>
          <w:b/>
          <w:sz w:val="28"/>
          <w:szCs w:val="28"/>
          <w14:ligatures w14:val="none"/>
        </w:rPr>
        <w:t xml:space="preserve">  (SAP)</w:t>
      </w:r>
    </w:p>
    <w:p w14:paraId="05F9A1FF">
      <w:pPr>
        <w:adjustRightInd w:val="0"/>
        <w:snapToGrid w:val="0"/>
        <w:spacing w:line="360" w:lineRule="auto"/>
        <w:jc w:val="center"/>
        <w:rPr>
          <w:rFonts w:ascii="Times New Roman" w:hAnsi="Times New Roman" w:cs="Times New Roman"/>
          <w:b/>
          <w:sz w:val="28"/>
          <w:szCs w:val="28"/>
        </w:rPr>
      </w:pPr>
    </w:p>
    <w:p w14:paraId="7497FF07">
      <w:pPr>
        <w:adjustRightInd w:val="0"/>
        <w:snapToGrid w:val="0"/>
        <w:spacing w:line="360" w:lineRule="auto"/>
        <w:jc w:val="center"/>
        <w:rPr>
          <w:rFonts w:ascii="Times New Roman" w:hAnsi="Times New Roman" w:cs="Times New Roman"/>
          <w:b/>
          <w:sz w:val="28"/>
          <w:szCs w:val="28"/>
        </w:rPr>
      </w:pPr>
    </w:p>
    <w:p w14:paraId="08D6E1DD">
      <w:pPr>
        <w:adjustRightInd w:val="0"/>
        <w:snapToGrid w:val="0"/>
        <w:spacing w:line="360" w:lineRule="auto"/>
        <w:jc w:val="center"/>
        <w:rPr>
          <w:rFonts w:ascii="Times New Roman" w:hAnsi="Times New Roman" w:cs="Times New Roman"/>
          <w:b/>
          <w:sz w:val="28"/>
          <w:szCs w:val="28"/>
        </w:rPr>
      </w:pPr>
    </w:p>
    <w:p w14:paraId="6139BBBD">
      <w:pPr>
        <w:adjustRightInd w:val="0"/>
        <w:snapToGrid w:val="0"/>
        <w:spacing w:line="360" w:lineRule="auto"/>
        <w:jc w:val="center"/>
        <w:rPr>
          <w:rFonts w:ascii="Times New Roman" w:hAnsi="Times New Roman" w:cs="Times New Roman"/>
          <w:b/>
          <w:sz w:val="28"/>
          <w:szCs w:val="28"/>
        </w:rPr>
      </w:pPr>
    </w:p>
    <w:p w14:paraId="035B1146">
      <w:pPr>
        <w:rPr>
          <w:rFonts w:ascii="Times New Roman" w:hAnsi="Times New Roman" w:eastAsia="宋体" w:cs="Times New Roman"/>
          <w:b/>
          <w:bCs/>
        </w:rPr>
      </w:pPr>
    </w:p>
    <w:p w14:paraId="6818D621">
      <w:pPr>
        <w:jc w:val="center"/>
        <w:rPr>
          <w:rFonts w:ascii="Times New Roman" w:hAnsi="Times New Roman" w:eastAsia="宋体" w:cs="Times New Roman"/>
          <w:b/>
          <w:bCs/>
        </w:rPr>
      </w:pPr>
      <w:r>
        <w:rPr>
          <w:rFonts w:hint="eastAsia" w:ascii="Times New Roman" w:hAnsi="Times New Roman" w:eastAsia="宋体" w:cs="Times New Roman"/>
          <w:b/>
          <w:bCs/>
          <w:lang w:val="en-US" w:eastAsia="zh-CN"/>
        </w:rPr>
        <w:t>Version</w:t>
      </w:r>
      <w:r>
        <w:rPr>
          <w:rFonts w:ascii="Times New Roman" w:hAnsi="Times New Roman" w:eastAsia="宋体" w:cs="Times New Roman"/>
          <w:b/>
          <w:bCs/>
        </w:rPr>
        <w:t>：V</w:t>
      </w:r>
      <w:r>
        <w:rPr>
          <w:rFonts w:hint="eastAsia" w:ascii="Times New Roman" w:hAnsi="Times New Roman" w:eastAsia="宋体" w:cs="Times New Roman"/>
          <w:b/>
          <w:bCs/>
        </w:rPr>
        <w:t>2</w:t>
      </w:r>
      <w:r>
        <w:rPr>
          <w:rFonts w:ascii="Times New Roman" w:hAnsi="Times New Roman" w:eastAsia="宋体" w:cs="Times New Roman"/>
          <w:b/>
          <w:bCs/>
        </w:rPr>
        <w:t>.</w:t>
      </w:r>
      <w:r>
        <w:rPr>
          <w:rFonts w:hint="eastAsia" w:ascii="Times New Roman" w:hAnsi="Times New Roman" w:eastAsia="宋体" w:cs="Times New Roman"/>
          <w:b/>
          <w:bCs/>
        </w:rPr>
        <w:t>0</w:t>
      </w:r>
    </w:p>
    <w:p w14:paraId="3F1617C2">
      <w:pPr>
        <w:adjustRightInd w:val="0"/>
        <w:snapToGrid w:val="0"/>
        <w:spacing w:after="0" w:line="360" w:lineRule="auto"/>
        <w:jc w:val="center"/>
        <w:rPr>
          <w:rFonts w:ascii="Times New Roman" w:hAnsi="Times New Roman" w:eastAsia="宋体" w:cs="Times New Roman"/>
          <w:szCs w:val="22"/>
        </w:rPr>
      </w:pPr>
      <w:r>
        <w:rPr>
          <w:rFonts w:hint="eastAsia" w:ascii="Times New Roman" w:hAnsi="Times New Roman" w:eastAsia="宋体" w:cs="Times New Roman"/>
          <w:b/>
          <w:bCs/>
          <w:lang w:val="en-US" w:eastAsia="zh-CN"/>
        </w:rPr>
        <w:t>Date</w:t>
      </w:r>
      <w:r>
        <w:rPr>
          <w:rFonts w:ascii="Times New Roman" w:hAnsi="Times New Roman" w:eastAsia="宋体" w:cs="Times New Roman"/>
          <w:b/>
          <w:bCs/>
        </w:rPr>
        <w:t>：</w:t>
      </w:r>
      <w:r>
        <w:rPr>
          <w:rFonts w:hint="eastAsia" w:ascii="Times New Roman" w:hAnsi="Times New Roman" w:eastAsia="宋体" w:cs="Times New Roman"/>
          <w:b/>
          <w:bCs/>
        </w:rPr>
        <w:t>September 1, 2025</w:t>
      </w:r>
    </w:p>
    <w:p w14:paraId="060AF8C3">
      <w:pPr>
        <w:adjustRightInd w:val="0"/>
        <w:snapToGrid w:val="0"/>
        <w:spacing w:after="0" w:line="360" w:lineRule="auto"/>
        <w:rPr>
          <w:rFonts w:ascii="Times New Roman" w:hAnsi="Times New Roman" w:eastAsia="宋体" w:cs="Times New Roman"/>
          <w:szCs w:val="22"/>
        </w:rPr>
      </w:pPr>
    </w:p>
    <w:p w14:paraId="0FBA8400">
      <w:pPr>
        <w:adjustRightInd w:val="0"/>
        <w:snapToGrid w:val="0"/>
        <w:spacing w:after="0" w:line="360" w:lineRule="auto"/>
        <w:rPr>
          <w:rFonts w:ascii="Times New Roman" w:hAnsi="Times New Roman" w:eastAsia="宋体" w:cs="Times New Roman"/>
          <w:szCs w:val="22"/>
        </w:rPr>
      </w:pPr>
    </w:p>
    <w:p w14:paraId="5C222EBF">
      <w:pPr>
        <w:adjustRightInd w:val="0"/>
        <w:snapToGrid w:val="0"/>
        <w:spacing w:after="0" w:line="360" w:lineRule="auto"/>
        <w:rPr>
          <w:rFonts w:ascii="Times New Roman" w:hAnsi="Times New Roman" w:eastAsia="宋体" w:cs="Times New Roman"/>
          <w:szCs w:val="22"/>
        </w:rPr>
      </w:pPr>
    </w:p>
    <w:p w14:paraId="08D9BF54">
      <w:pPr>
        <w:adjustRightInd w:val="0"/>
        <w:snapToGrid w:val="0"/>
        <w:spacing w:after="0" w:line="360" w:lineRule="auto"/>
        <w:rPr>
          <w:rFonts w:ascii="Times New Roman" w:hAnsi="Times New Roman" w:eastAsia="宋体" w:cs="Times New Roman"/>
          <w:sz w:val="21"/>
          <w:szCs w:val="21"/>
          <w14:ligatures w14:val="none"/>
        </w:rPr>
      </w:pPr>
    </w:p>
    <w:p w14:paraId="2FD4A0F3">
      <w:pPr>
        <w:adjustRightInd w:val="0"/>
        <w:snapToGrid w:val="0"/>
        <w:spacing w:after="0" w:line="360" w:lineRule="auto"/>
        <w:rPr>
          <w:rFonts w:ascii="Times New Roman" w:hAnsi="Times New Roman" w:eastAsia="宋体" w:cs="Times New Roman"/>
          <w:sz w:val="21"/>
          <w:szCs w:val="21"/>
          <w14:ligatures w14:val="none"/>
        </w:rPr>
      </w:pPr>
    </w:p>
    <w:p w14:paraId="50B376A5">
      <w:pPr>
        <w:adjustRightInd w:val="0"/>
        <w:snapToGrid w:val="0"/>
        <w:spacing w:after="0" w:line="360" w:lineRule="auto"/>
        <w:rPr>
          <w:rFonts w:ascii="Times New Roman" w:hAnsi="Times New Roman" w:eastAsia="宋体" w:cs="Times New Roman"/>
          <w:sz w:val="21"/>
          <w:szCs w:val="21"/>
          <w14:ligatures w14:val="none"/>
        </w:rPr>
        <w:sectPr>
          <w:headerReference r:id="rId5" w:type="default"/>
          <w:footerReference r:id="rId6" w:type="default"/>
          <w:footerReference r:id="rId7" w:type="even"/>
          <w:pgSz w:w="11906" w:h="16838"/>
          <w:pgMar w:top="1440" w:right="1800" w:bottom="1440" w:left="1800" w:header="851" w:footer="992" w:gutter="0"/>
          <w:cols w:space="425" w:num="1"/>
          <w:docGrid w:type="lines" w:linePitch="312" w:charSpace="0"/>
        </w:sectPr>
      </w:pPr>
    </w:p>
    <w:p w14:paraId="2EB60DFA">
      <w:pPr>
        <w:adjustRightInd w:val="0"/>
        <w:snapToGrid w:val="0"/>
        <w:spacing w:after="0" w:line="360" w:lineRule="auto"/>
        <w:jc w:val="center"/>
        <w:rPr>
          <w:rFonts w:ascii="Times New Roman" w:hAnsi="Times New Roman" w:eastAsia="宋体" w:cs="Times New Roman"/>
          <w:b/>
          <w:bCs/>
          <w:sz w:val="21"/>
          <w:szCs w:val="21"/>
          <w14:ligatures w14:val="none"/>
        </w:rPr>
      </w:pPr>
    </w:p>
    <w:p w14:paraId="5CA5BA5C">
      <w:pPr>
        <w:adjustRightInd w:val="0"/>
        <w:snapToGrid w:val="0"/>
        <w:spacing w:after="0" w:line="360" w:lineRule="auto"/>
        <w:jc w:val="center"/>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Revision History Table</w:t>
      </w:r>
    </w:p>
    <w:tbl>
      <w:tblPr>
        <w:tblStyle w:val="2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6"/>
        <w:gridCol w:w="1559"/>
        <w:gridCol w:w="1701"/>
        <w:gridCol w:w="3760"/>
      </w:tblGrid>
      <w:tr w14:paraId="79DCD2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4" w:space="0"/>
              <w:bottom w:val="single" w:color="auto" w:sz="4" w:space="0"/>
            </w:tcBorders>
          </w:tcPr>
          <w:p w14:paraId="06FE81AC">
            <w:pPr>
              <w:adjustRightInd w:val="0"/>
              <w:snapToGrid w:val="0"/>
              <w:spacing w:after="0" w:line="360" w:lineRule="auto"/>
              <w:jc w:val="center"/>
              <w:rPr>
                <w:rFonts w:hint="default" w:ascii="Times New Roman" w:hAnsi="Times New Roman" w:eastAsia="宋体" w:cs="Times New Roman"/>
                <w:kern w:val="0"/>
                <w:sz w:val="21"/>
                <w:szCs w:val="21"/>
                <w:lang w:val="en-US" w:eastAsia="zh-CN"/>
                <w14:ligatures w14:val="none"/>
              </w:rPr>
            </w:pPr>
            <w:r>
              <w:rPr>
                <w:rFonts w:hint="eastAsia" w:ascii="Times New Roman" w:hAnsi="Times New Roman" w:eastAsia="宋体" w:cs="Times New Roman"/>
                <w:kern w:val="0"/>
                <w:sz w:val="21"/>
                <w:szCs w:val="21"/>
                <w:lang w:val="en-US" w:eastAsia="zh-CN"/>
                <w14:ligatures w14:val="none"/>
              </w:rPr>
              <w:t>Version</w:t>
            </w:r>
          </w:p>
        </w:tc>
        <w:tc>
          <w:tcPr>
            <w:tcW w:w="1559" w:type="dxa"/>
            <w:tcBorders>
              <w:top w:val="single" w:color="auto" w:sz="4" w:space="0"/>
              <w:bottom w:val="single" w:color="auto" w:sz="4" w:space="0"/>
            </w:tcBorders>
          </w:tcPr>
          <w:p w14:paraId="6CC15E4D">
            <w:pPr>
              <w:adjustRightInd w:val="0"/>
              <w:snapToGrid w:val="0"/>
              <w:spacing w:after="0" w:line="360" w:lineRule="auto"/>
              <w:jc w:val="center"/>
              <w:rPr>
                <w:rFonts w:hint="default" w:ascii="Times New Roman" w:hAnsi="Times New Roman" w:eastAsia="宋体" w:cs="Times New Roman"/>
                <w:kern w:val="0"/>
                <w:sz w:val="21"/>
                <w:szCs w:val="21"/>
                <w:lang w:val="en-US" w:eastAsia="zh-CN"/>
                <w14:ligatures w14:val="none"/>
              </w:rPr>
            </w:pPr>
            <w:r>
              <w:rPr>
                <w:rFonts w:hint="eastAsia" w:ascii="Times New Roman" w:hAnsi="Times New Roman" w:eastAsia="宋体" w:cs="Times New Roman"/>
                <w:kern w:val="0"/>
                <w:sz w:val="21"/>
                <w:szCs w:val="21"/>
                <w:lang w:val="en-US" w:eastAsia="zh-CN"/>
                <w14:ligatures w14:val="none"/>
              </w:rPr>
              <w:t>Date</w:t>
            </w:r>
          </w:p>
        </w:tc>
        <w:tc>
          <w:tcPr>
            <w:tcW w:w="1701" w:type="dxa"/>
            <w:tcBorders>
              <w:top w:val="single" w:color="auto" w:sz="4" w:space="0"/>
              <w:bottom w:val="single" w:color="auto" w:sz="4" w:space="0"/>
            </w:tcBorders>
          </w:tcPr>
          <w:p w14:paraId="514BA05D">
            <w:pPr>
              <w:adjustRightInd w:val="0"/>
              <w:snapToGrid w:val="0"/>
              <w:spacing w:after="0" w:line="360" w:lineRule="auto"/>
              <w:jc w:val="center"/>
              <w:rPr>
                <w:rFonts w:hint="default" w:ascii="Times New Roman" w:hAnsi="Times New Roman" w:eastAsia="宋体" w:cs="Times New Roman"/>
                <w:kern w:val="0"/>
                <w:sz w:val="21"/>
                <w:szCs w:val="21"/>
                <w:lang w:val="en-US" w:eastAsia="zh-CN"/>
                <w14:ligatures w14:val="none"/>
              </w:rPr>
            </w:pPr>
            <w:r>
              <w:rPr>
                <w:rFonts w:hint="eastAsia" w:ascii="Times New Roman" w:hAnsi="Times New Roman" w:eastAsia="宋体" w:cs="Times New Roman"/>
                <w:kern w:val="0"/>
                <w:sz w:val="21"/>
                <w:szCs w:val="21"/>
                <w:lang w:val="en-US" w:eastAsia="zh-CN"/>
                <w14:ligatures w14:val="none"/>
              </w:rPr>
              <w:t>Author</w:t>
            </w:r>
          </w:p>
        </w:tc>
        <w:tc>
          <w:tcPr>
            <w:tcW w:w="3760" w:type="dxa"/>
            <w:tcBorders>
              <w:top w:val="single" w:color="auto" w:sz="4" w:space="0"/>
              <w:bottom w:val="single" w:color="auto" w:sz="4" w:space="0"/>
            </w:tcBorders>
          </w:tcPr>
          <w:p w14:paraId="5D53FB4E">
            <w:pPr>
              <w:adjustRightInd w:val="0"/>
              <w:snapToGrid w:val="0"/>
              <w:spacing w:after="0" w:line="360" w:lineRule="auto"/>
              <w:jc w:val="center"/>
              <w:rPr>
                <w:rFonts w:hint="default" w:ascii="Times New Roman" w:hAnsi="Times New Roman" w:eastAsia="宋体" w:cs="Times New Roman"/>
                <w:kern w:val="0"/>
                <w:sz w:val="21"/>
                <w:szCs w:val="21"/>
                <w:lang w:val="en-US" w:eastAsia="zh-CN"/>
                <w14:ligatures w14:val="none"/>
              </w:rPr>
            </w:pPr>
            <w:r>
              <w:rPr>
                <w:rFonts w:hint="eastAsia" w:ascii="Times New Roman" w:hAnsi="Times New Roman" w:eastAsia="宋体" w:cs="Times New Roman"/>
                <w:kern w:val="0"/>
                <w:sz w:val="21"/>
                <w:szCs w:val="21"/>
                <w:lang w:val="en-US" w:eastAsia="zh-CN"/>
                <w14:ligatures w14:val="none"/>
              </w:rPr>
              <w:t>Revision Content</w:t>
            </w:r>
          </w:p>
        </w:tc>
      </w:tr>
      <w:tr w14:paraId="51644D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4" w:space="0"/>
            </w:tcBorders>
          </w:tcPr>
          <w:p w14:paraId="277BB9B2">
            <w:pPr>
              <w:adjustRightInd w:val="0"/>
              <w:snapToGrid w:val="0"/>
              <w:spacing w:after="0" w:line="360" w:lineRule="auto"/>
              <w:jc w:val="center"/>
              <w:rPr>
                <w:rFonts w:ascii="Times New Roman" w:hAnsi="Times New Roman" w:eastAsia="宋体" w:cs="Times New Roman"/>
                <w:kern w:val="0"/>
                <w:sz w:val="21"/>
                <w:szCs w:val="21"/>
                <w14:ligatures w14:val="none"/>
              </w:rPr>
            </w:pPr>
            <w:r>
              <w:rPr>
                <w:rFonts w:ascii="Times New Roman" w:hAnsi="Times New Roman" w:eastAsia="宋体" w:cs="Times New Roman"/>
                <w:kern w:val="0"/>
                <w:sz w:val="21"/>
                <w:szCs w:val="21"/>
                <w14:ligatures w14:val="none"/>
              </w:rPr>
              <w:t>V</w:t>
            </w:r>
            <w:r>
              <w:rPr>
                <w:rFonts w:hint="eastAsia" w:ascii="Times New Roman" w:hAnsi="Times New Roman" w:eastAsia="宋体" w:cs="Times New Roman"/>
                <w:kern w:val="0"/>
                <w:sz w:val="21"/>
                <w:szCs w:val="21"/>
                <w14:ligatures w14:val="none"/>
              </w:rPr>
              <w:t>1.0</w:t>
            </w:r>
          </w:p>
        </w:tc>
        <w:tc>
          <w:tcPr>
            <w:tcW w:w="1559" w:type="dxa"/>
            <w:tcBorders>
              <w:top w:val="single" w:color="auto" w:sz="4" w:space="0"/>
            </w:tcBorders>
          </w:tcPr>
          <w:p w14:paraId="508FBBA7">
            <w:pPr>
              <w:adjustRightInd w:val="0"/>
              <w:snapToGrid w:val="0"/>
              <w:spacing w:after="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2019.4.3</w:t>
            </w:r>
          </w:p>
        </w:tc>
        <w:tc>
          <w:tcPr>
            <w:tcW w:w="1701" w:type="dxa"/>
            <w:tcBorders>
              <w:top w:val="single" w:color="auto" w:sz="4" w:space="0"/>
            </w:tcBorders>
          </w:tcPr>
          <w:p w14:paraId="351ED547">
            <w:pPr>
              <w:adjustRightInd w:val="0"/>
              <w:snapToGrid w:val="0"/>
              <w:spacing w:after="0" w:line="360" w:lineRule="auto"/>
              <w:jc w:val="center"/>
              <w:rPr>
                <w:rFonts w:hint="default" w:ascii="Times New Roman" w:hAnsi="Times New Roman" w:eastAsia="宋体" w:cs="Times New Roman"/>
                <w:kern w:val="0"/>
                <w:sz w:val="21"/>
                <w:szCs w:val="21"/>
                <w:lang w:val="en-US" w:eastAsia="zh-CN"/>
                <w14:ligatures w14:val="none"/>
              </w:rPr>
            </w:pPr>
            <w:r>
              <w:rPr>
                <w:rFonts w:hint="eastAsia" w:ascii="Times New Roman" w:hAnsi="Times New Roman" w:eastAsia="宋体" w:cs="Times New Roman"/>
                <w:kern w:val="0"/>
                <w:sz w:val="21"/>
                <w:szCs w:val="21"/>
                <w:lang w:val="en-US" w:eastAsia="zh-CN"/>
                <w14:ligatures w14:val="none"/>
              </w:rPr>
              <w:t>Haoxuan Cao</w:t>
            </w:r>
          </w:p>
        </w:tc>
        <w:tc>
          <w:tcPr>
            <w:tcW w:w="3760" w:type="dxa"/>
            <w:tcBorders>
              <w:top w:val="single" w:color="auto" w:sz="4" w:space="0"/>
            </w:tcBorders>
          </w:tcPr>
          <w:p w14:paraId="7AE8D5F0">
            <w:pPr>
              <w:adjustRightInd w:val="0"/>
              <w:snapToGrid w:val="0"/>
              <w:spacing w:after="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NA</w:t>
            </w:r>
          </w:p>
        </w:tc>
      </w:tr>
      <w:tr w14:paraId="4752BD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tcPr>
          <w:p w14:paraId="6E22D950">
            <w:pPr>
              <w:adjustRightInd w:val="0"/>
              <w:snapToGrid w:val="0"/>
              <w:spacing w:after="0" w:line="360" w:lineRule="auto"/>
              <w:jc w:val="center"/>
              <w:rPr>
                <w:rFonts w:ascii="Times New Roman" w:hAnsi="Times New Roman" w:eastAsia="宋体" w:cs="Times New Roman"/>
                <w:kern w:val="0"/>
                <w:sz w:val="21"/>
                <w:szCs w:val="21"/>
                <w14:ligatures w14:val="none"/>
              </w:rPr>
            </w:pPr>
            <w:r>
              <w:rPr>
                <w:rFonts w:ascii="Times New Roman" w:hAnsi="Times New Roman" w:eastAsia="宋体" w:cs="Times New Roman"/>
                <w:kern w:val="0"/>
                <w:sz w:val="21"/>
                <w:szCs w:val="21"/>
                <w14:ligatures w14:val="none"/>
              </w:rPr>
              <w:t>V</w:t>
            </w:r>
            <w:r>
              <w:rPr>
                <w:rFonts w:hint="eastAsia" w:ascii="Times New Roman" w:hAnsi="Times New Roman" w:eastAsia="宋体" w:cs="Times New Roman"/>
                <w:kern w:val="0"/>
                <w:sz w:val="21"/>
                <w:szCs w:val="21"/>
                <w14:ligatures w14:val="none"/>
              </w:rPr>
              <w:t>2.0</w:t>
            </w:r>
          </w:p>
        </w:tc>
        <w:tc>
          <w:tcPr>
            <w:tcW w:w="1559" w:type="dxa"/>
          </w:tcPr>
          <w:p w14:paraId="49F7CEBE">
            <w:pPr>
              <w:adjustRightInd w:val="0"/>
              <w:snapToGrid w:val="0"/>
              <w:spacing w:after="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2025</w:t>
            </w:r>
            <w:r>
              <w:rPr>
                <w:rFonts w:ascii="Times New Roman" w:hAnsi="Times New Roman" w:eastAsia="宋体" w:cs="Times New Roman"/>
                <w:kern w:val="0"/>
                <w:sz w:val="21"/>
                <w:szCs w:val="21"/>
                <w14:ligatures w14:val="none"/>
              </w:rPr>
              <w:t>.9.1</w:t>
            </w:r>
          </w:p>
        </w:tc>
        <w:tc>
          <w:tcPr>
            <w:tcW w:w="1701" w:type="dxa"/>
          </w:tcPr>
          <w:p w14:paraId="42C33274">
            <w:pPr>
              <w:adjustRightInd w:val="0"/>
              <w:snapToGrid w:val="0"/>
              <w:spacing w:after="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lang w:val="en-US" w:eastAsia="zh-CN"/>
                <w14:ligatures w14:val="none"/>
              </w:rPr>
              <w:t>Haoxuan Cao</w:t>
            </w:r>
          </w:p>
        </w:tc>
        <w:tc>
          <w:tcPr>
            <w:tcW w:w="3760" w:type="dxa"/>
          </w:tcPr>
          <w:p w14:paraId="55736767">
            <w:pPr>
              <w:adjustRightInd w:val="0"/>
              <w:snapToGrid w:val="0"/>
              <w:spacing w:after="0" w:line="360" w:lineRule="auto"/>
              <w:jc w:val="center"/>
              <w:rPr>
                <w:rFonts w:ascii="Times New Roman" w:hAnsi="Times New Roman" w:eastAsia="宋体" w:cs="Times New Roman"/>
                <w:kern w:val="0"/>
                <w:sz w:val="21"/>
                <w:szCs w:val="21"/>
                <w14:ligatures w14:val="none"/>
              </w:rPr>
            </w:pPr>
            <w:r>
              <w:rPr>
                <w:rFonts w:hint="eastAsia" w:ascii="Times New Roman" w:hAnsi="Times New Roman" w:eastAsia="宋体" w:cs="Times New Roman"/>
                <w:kern w:val="0"/>
                <w:sz w:val="21"/>
                <w:szCs w:val="21"/>
                <w14:ligatures w14:val="none"/>
              </w:rPr>
              <w:t>Add analysis of Disease Control Rate (DCR), R0/R1 resection rate, and changes in CA19-9 during treatment.</w:t>
            </w:r>
          </w:p>
        </w:tc>
      </w:tr>
    </w:tbl>
    <w:p w14:paraId="1F009B68">
      <w:pPr>
        <w:adjustRightInd w:val="0"/>
        <w:snapToGrid w:val="0"/>
        <w:spacing w:after="0" w:line="360" w:lineRule="auto"/>
        <w:jc w:val="center"/>
        <w:rPr>
          <w:rFonts w:ascii="Times New Roman" w:hAnsi="Times New Roman" w:eastAsia="宋体" w:cs="Times New Roman"/>
          <w:sz w:val="21"/>
          <w:szCs w:val="21"/>
          <w14:ligatures w14:val="none"/>
        </w:rPr>
        <w:sectPr>
          <w:pgSz w:w="11906" w:h="16838"/>
          <w:pgMar w:top="1440" w:right="1800" w:bottom="1440" w:left="1800" w:header="851" w:footer="992" w:gutter="0"/>
          <w:cols w:space="425" w:num="1"/>
          <w:docGrid w:type="lines" w:linePitch="312" w:charSpace="0"/>
        </w:sectPr>
      </w:pPr>
    </w:p>
    <w:sdt>
      <w:sdtPr>
        <w:rPr>
          <w:rFonts w:asciiTheme="minorHAnsi" w:hAnsiTheme="minorHAnsi" w:eastAsiaTheme="minorEastAsia" w:cstheme="minorBidi"/>
          <w:color w:val="auto"/>
          <w:kern w:val="2"/>
          <w:sz w:val="22"/>
          <w:szCs w:val="24"/>
          <w:lang w:val="zh-CN"/>
          <w14:ligatures w14:val="standardContextual"/>
        </w:rPr>
        <w:id w:val="-1480921228"/>
        <w:docPartObj>
          <w:docPartGallery w:val="Table of Contents"/>
          <w:docPartUnique/>
        </w:docPartObj>
      </w:sdtPr>
      <w:sdtEndPr>
        <w:rPr>
          <w:rFonts w:asciiTheme="minorHAnsi" w:hAnsiTheme="minorHAnsi" w:eastAsiaTheme="minorEastAsia" w:cstheme="minorBidi"/>
          <w:b/>
          <w:bCs/>
          <w:color w:val="auto"/>
          <w:kern w:val="2"/>
          <w:sz w:val="22"/>
          <w:szCs w:val="24"/>
          <w:lang w:val="zh-CN"/>
          <w14:ligatures w14:val="standardContextual"/>
        </w:rPr>
      </w:sdtEndPr>
      <w:sdtContent>
        <w:p w14:paraId="4FEE1B6F">
          <w:pPr>
            <w:pStyle w:val="105"/>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Content</w:t>
          </w:r>
        </w:p>
        <w:p w14:paraId="2A1D6FB2">
          <w:pPr>
            <w:pStyle w:val="19"/>
            <w:tabs>
              <w:tab w:val="right" w:leader="dot" w:pos="8306"/>
              <w:tab w:val="clear" w:pos="829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TOC \o "1-3" \h \z \u </w:instrText>
          </w:r>
          <w:r>
            <w:rPr>
              <w:rFonts w:hint="default" w:ascii="Times New Roman" w:hAnsi="Times New Roman" w:cs="Times New Roman"/>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_Toc11607 </w:instrText>
          </w:r>
          <w:r>
            <w:rPr>
              <w:rFonts w:hint="default" w:ascii="Times New Roman" w:hAnsi="Times New Roman" w:cs="Times New Roman"/>
            </w:rPr>
            <w:fldChar w:fldCharType="separate"/>
          </w:r>
          <w:r>
            <w:rPr>
              <w:rFonts w:hint="default" w:ascii="Times New Roman" w:hAnsi="Times New Roman" w:cs="Times New Roman"/>
              <w:bCs w:val="0"/>
              <w:smallCaps w:val="0"/>
              <w:spacing w:val="0"/>
            </w:rPr>
            <w:t>1. Introduction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_Toc11607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rPr>
            <w:fldChar w:fldCharType="end"/>
          </w:r>
        </w:p>
        <w:p w14:paraId="6A088A8C">
          <w:pPr>
            <w:pStyle w:val="19"/>
            <w:tabs>
              <w:tab w:val="right" w:leader="dot" w:pos="8306"/>
              <w:tab w:val="clear" w:pos="829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_Toc15417 </w:instrText>
          </w:r>
          <w:r>
            <w:rPr>
              <w:rFonts w:hint="default" w:ascii="Times New Roman" w:hAnsi="Times New Roman" w:cs="Times New Roman"/>
              <w:bCs/>
              <w:lang w:val="zh-CN"/>
            </w:rPr>
            <w:fldChar w:fldCharType="separate"/>
          </w:r>
          <w:r>
            <w:rPr>
              <w:rFonts w:hint="default" w:ascii="Times New Roman" w:hAnsi="Times New Roman" w:cs="Times New Roman"/>
              <w:bCs w:val="0"/>
              <w:smallCaps w:val="0"/>
              <w:spacing w:val="0"/>
            </w:rPr>
            <w:t>2. Study Objectives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_Toc15417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16DBD929">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_Toc2071 </w:instrText>
          </w:r>
          <w:r>
            <w:rPr>
              <w:rFonts w:hint="default" w:ascii="Times New Roman" w:hAnsi="Times New Roman" w:cs="Times New Roman"/>
              <w:bCs/>
              <w:lang w:val="zh-CN"/>
            </w:rPr>
            <w:fldChar w:fldCharType="separate"/>
          </w:r>
          <w:r>
            <w:rPr>
              <w:rFonts w:hint="default" w:ascii="Times New Roman" w:hAnsi="Times New Roman" w:cs="Times New Roman"/>
              <w:bCs w:val="0"/>
              <w:smallCaps w:val="0"/>
              <w:szCs w:val="24"/>
            </w:rPr>
            <w:t xml:space="preserve">2.1. </w:t>
          </w:r>
          <w:r>
            <w:rPr>
              <w:rFonts w:hint="default" w:ascii="Times New Roman" w:hAnsi="Times New Roman" w:cs="Times New Roman"/>
              <w:bCs w:val="0"/>
              <w:smallCaps w:val="0"/>
              <w:szCs w:val="24"/>
              <w:lang w:val="en-US" w:eastAsia="zh-CN"/>
            </w:rPr>
            <w:t>Primary Objectives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_Toc2071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6C23E625">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_Toc15196 </w:instrText>
          </w:r>
          <w:r>
            <w:rPr>
              <w:rFonts w:hint="default" w:ascii="Times New Roman" w:hAnsi="Times New Roman" w:cs="Times New Roman"/>
              <w:bCs/>
              <w:lang w:val="zh-CN"/>
            </w:rPr>
            <w:fldChar w:fldCharType="separate"/>
          </w:r>
          <w:r>
            <w:rPr>
              <w:rFonts w:hint="default" w:ascii="Times New Roman" w:hAnsi="Times New Roman" w:cs="Times New Roman"/>
              <w:bCs w:val="0"/>
              <w:smallCaps w:val="0"/>
              <w:szCs w:val="24"/>
            </w:rPr>
            <w:t xml:space="preserve">2.2. </w:t>
          </w:r>
          <w:r>
            <w:rPr>
              <w:rFonts w:hint="default" w:ascii="Times New Roman" w:hAnsi="Times New Roman" w:cs="Times New Roman"/>
              <w:bCs w:val="0"/>
              <w:smallCaps w:val="0"/>
              <w:szCs w:val="24"/>
              <w:lang w:val="en-US" w:eastAsia="zh-CN"/>
            </w:rPr>
            <w:t>Secondary Objectives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_Toc15196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4E3E831C">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_Toc7071 </w:instrText>
          </w:r>
          <w:r>
            <w:rPr>
              <w:rFonts w:hint="default" w:ascii="Times New Roman" w:hAnsi="Times New Roman" w:cs="Times New Roman"/>
              <w:bCs/>
              <w:lang w:val="zh-CN"/>
            </w:rPr>
            <w:fldChar w:fldCharType="separate"/>
          </w:r>
          <w:r>
            <w:rPr>
              <w:rFonts w:hint="default" w:ascii="Times New Roman" w:hAnsi="Times New Roman" w:cs="Times New Roman"/>
            </w:rPr>
            <w:t xml:space="preserve">3. </w:t>
          </w:r>
          <w:r>
            <w:rPr>
              <w:rFonts w:hint="default" w:ascii="Times New Roman" w:hAnsi="Times New Roman" w:cs="Times New Roman"/>
              <w:lang w:val="en-US" w:eastAsia="zh-CN"/>
            </w:rPr>
            <w:t>Study Design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_Toc7071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24352623">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_Toc4245 </w:instrText>
          </w:r>
          <w:r>
            <w:rPr>
              <w:rFonts w:hint="default" w:ascii="Times New Roman" w:hAnsi="Times New Roman" w:cs="Times New Roman"/>
              <w:bCs/>
              <w:lang w:val="zh-CN"/>
            </w:rPr>
            <w:fldChar w:fldCharType="separate"/>
          </w:r>
          <w:r>
            <w:rPr>
              <w:rFonts w:hint="default" w:ascii="Times New Roman" w:hAnsi="Times New Roman" w:cs="Times New Roman"/>
              <w:szCs w:val="24"/>
            </w:rPr>
            <w:t xml:space="preserve">3.1. </w:t>
          </w:r>
          <w:r>
            <w:rPr>
              <w:rFonts w:hint="default" w:ascii="Times New Roman" w:hAnsi="Times New Roman" w:cs="Times New Roman"/>
              <w:szCs w:val="24"/>
              <w:lang w:val="en-US" w:eastAsia="zh-CN"/>
            </w:rPr>
            <w:t>General Design and Plan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_Toc4245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6455EF1B">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_Toc9380 </w:instrText>
          </w:r>
          <w:r>
            <w:rPr>
              <w:rFonts w:hint="default" w:ascii="Times New Roman" w:hAnsi="Times New Roman" w:cs="Times New Roman"/>
              <w:bCs/>
              <w:lang w:val="zh-CN"/>
            </w:rPr>
            <w:fldChar w:fldCharType="separate"/>
          </w:r>
          <w:r>
            <w:rPr>
              <w:rFonts w:hint="default" w:ascii="Times New Roman" w:hAnsi="Times New Roman" w:cs="Times New Roman"/>
              <w:lang w:val="en-US" w:eastAsia="zh-CN"/>
            </w:rPr>
            <w:t>3.2. Sample Size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_Toc9380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0642AF44">
          <w:pPr>
            <w:pStyle w:val="19"/>
            <w:tabs>
              <w:tab w:val="right" w:leader="dot" w:pos="8306"/>
              <w:tab w:val="clear" w:pos="829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_Toc13074 </w:instrText>
          </w:r>
          <w:r>
            <w:rPr>
              <w:rFonts w:hint="default" w:ascii="Times New Roman" w:hAnsi="Times New Roman" w:cs="Times New Roman"/>
              <w:bCs/>
              <w:lang w:val="zh-CN"/>
            </w:rPr>
            <w:fldChar w:fldCharType="separate"/>
          </w:r>
          <w:r>
            <w:rPr>
              <w:rFonts w:hint="default" w:ascii="Times New Roman" w:hAnsi="Times New Roman" w:cs="Times New Roman"/>
            </w:rPr>
            <w:t>4. Study Endpoints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_Toc13074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2963D0A2">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_Toc32171 </w:instrText>
          </w:r>
          <w:r>
            <w:rPr>
              <w:rFonts w:hint="default" w:ascii="Times New Roman" w:hAnsi="Times New Roman" w:cs="Times New Roman"/>
              <w:bCs/>
              <w:lang w:val="zh-CN"/>
            </w:rPr>
            <w:fldChar w:fldCharType="separate"/>
          </w:r>
          <w:r>
            <w:rPr>
              <w:rFonts w:hint="default" w:ascii="Times New Roman" w:hAnsi="Times New Roman" w:cs="Times New Roman"/>
            </w:rPr>
            <w:t>4.1. Efficacy Endpoints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_Toc32171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27E77A38">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_Toc31525 </w:instrText>
          </w:r>
          <w:r>
            <w:rPr>
              <w:rFonts w:hint="default" w:ascii="Times New Roman" w:hAnsi="Times New Roman" w:cs="Times New Roman"/>
              <w:bCs/>
              <w:lang w:val="zh-CN"/>
            </w:rPr>
            <w:fldChar w:fldCharType="separate"/>
          </w:r>
          <w:r>
            <w:rPr>
              <w:rFonts w:hint="default" w:ascii="Times New Roman" w:hAnsi="Times New Roman" w:cs="Times New Roman"/>
            </w:rPr>
            <w:t>4.1.1. Primary Endpoints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_Toc31525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1446A178">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_Toc28178 </w:instrText>
          </w:r>
          <w:r>
            <w:rPr>
              <w:rFonts w:hint="default" w:ascii="Times New Roman" w:hAnsi="Times New Roman" w:cs="Times New Roman"/>
              <w:bCs/>
              <w:lang w:val="zh-CN"/>
            </w:rPr>
            <w:fldChar w:fldCharType="separate"/>
          </w:r>
          <w:r>
            <w:rPr>
              <w:rFonts w:hint="default" w:ascii="Times New Roman" w:hAnsi="Times New Roman" w:cs="Times New Roman"/>
              <w:szCs w:val="24"/>
            </w:rPr>
            <w:t>4.1.2. Secondary Endpoints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_Toc28178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64E3B32E">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_Toc2475 </w:instrText>
          </w:r>
          <w:r>
            <w:rPr>
              <w:rFonts w:hint="default" w:ascii="Times New Roman" w:hAnsi="Times New Roman" w:cs="Times New Roman"/>
              <w:bCs/>
              <w:lang w:val="zh-CN"/>
            </w:rPr>
            <w:fldChar w:fldCharType="separate"/>
          </w:r>
          <w:r>
            <w:rPr>
              <w:rFonts w:hint="default" w:ascii="Times New Roman" w:hAnsi="Times New Roman" w:cs="Times New Roman"/>
            </w:rPr>
            <w:t>4.2. Safety Endpoints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_Toc2475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11842774">
          <w:pPr>
            <w:pStyle w:val="19"/>
            <w:tabs>
              <w:tab w:val="right" w:leader="dot" w:pos="8306"/>
              <w:tab w:val="clear" w:pos="829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_Toc30322 </w:instrText>
          </w:r>
          <w:r>
            <w:rPr>
              <w:rFonts w:hint="default" w:ascii="Times New Roman" w:hAnsi="Times New Roman" w:cs="Times New Roman"/>
              <w:bCs/>
              <w:lang w:val="zh-CN"/>
            </w:rPr>
            <w:fldChar w:fldCharType="separate"/>
          </w:r>
          <w:r>
            <w:rPr>
              <w:rFonts w:hint="default" w:ascii="Times New Roman" w:hAnsi="Times New Roman" w:cs="Times New Roman"/>
            </w:rPr>
            <w:t>5. Analysis Sets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_Toc30322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25466481">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_Toc23384 </w:instrText>
          </w:r>
          <w:r>
            <w:rPr>
              <w:rFonts w:hint="default" w:ascii="Times New Roman" w:hAnsi="Times New Roman" w:cs="Times New Roman"/>
              <w:bCs/>
              <w:lang w:val="zh-CN"/>
            </w:rPr>
            <w:fldChar w:fldCharType="separate"/>
          </w:r>
          <w:r>
            <w:rPr>
              <w:rFonts w:hint="default" w:ascii="Times New Roman" w:hAnsi="Times New Roman" w:cs="Times New Roman"/>
              <w:bCs w:val="0"/>
              <w:smallCaps w:val="0"/>
              <w:spacing w:val="0"/>
            </w:rPr>
            <w:t>5.1. Intent-to-Treat (ITT)</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_Toc23384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5B59FA9E">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_Toc11559 </w:instrText>
          </w:r>
          <w:r>
            <w:rPr>
              <w:rFonts w:hint="default" w:ascii="Times New Roman" w:hAnsi="Times New Roman" w:cs="Times New Roman"/>
              <w:bCs/>
              <w:lang w:val="zh-CN"/>
            </w:rPr>
            <w:fldChar w:fldCharType="separate"/>
          </w:r>
          <w:r>
            <w:rPr>
              <w:rFonts w:hint="default" w:ascii="Times New Roman" w:hAnsi="Times New Roman" w:cs="Times New Roman"/>
              <w:bCs w:val="0"/>
              <w:smallCaps w:val="0"/>
              <w:spacing w:val="0"/>
            </w:rPr>
            <w:t>5.2. Per-Protocol Set (PPS)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_Toc11559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693E16C6">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_Toc28587 </w:instrText>
          </w:r>
          <w:r>
            <w:rPr>
              <w:rFonts w:hint="default" w:ascii="Times New Roman" w:hAnsi="Times New Roman" w:cs="Times New Roman"/>
              <w:bCs/>
              <w:lang w:val="zh-CN"/>
            </w:rPr>
            <w:fldChar w:fldCharType="separate"/>
          </w:r>
          <w:r>
            <w:rPr>
              <w:rFonts w:hint="default" w:ascii="Times New Roman" w:hAnsi="Times New Roman" w:cs="Times New Roman"/>
              <w:bCs w:val="0"/>
              <w:smallCaps w:val="0"/>
              <w:spacing w:val="0"/>
            </w:rPr>
            <w:t xml:space="preserve">5.3. </w:t>
          </w:r>
          <w:r>
            <w:rPr>
              <w:rFonts w:hint="default" w:ascii="Times New Roman" w:hAnsi="Times New Roman" w:cs="Times New Roman"/>
              <w:bCs w:val="0"/>
              <w:smallCaps w:val="0"/>
              <w:spacing w:val="0"/>
              <w:lang w:val="en-US" w:eastAsia="zh-CN"/>
            </w:rPr>
            <w:t xml:space="preserve">Safety Set </w:t>
          </w:r>
          <w:r>
            <w:rPr>
              <w:rFonts w:hint="default" w:ascii="Times New Roman" w:hAnsi="Times New Roman" w:cs="Times New Roman"/>
              <w:bCs w:val="0"/>
              <w:smallCaps w:val="0"/>
              <w:spacing w:val="0"/>
            </w:rPr>
            <w:t>(SS)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_Toc28587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46263740">
          <w:pPr>
            <w:pStyle w:val="19"/>
            <w:tabs>
              <w:tab w:val="right" w:leader="dot" w:pos="8306"/>
              <w:tab w:val="clear" w:pos="829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_Toc5115 </w:instrText>
          </w:r>
          <w:r>
            <w:rPr>
              <w:rFonts w:hint="default" w:ascii="Times New Roman" w:hAnsi="Times New Roman" w:cs="Times New Roman"/>
              <w:bCs/>
              <w:lang w:val="zh-CN"/>
            </w:rPr>
            <w:fldChar w:fldCharType="separate"/>
          </w:r>
          <w:r>
            <w:rPr>
              <w:rFonts w:hint="default" w:ascii="Times New Roman" w:hAnsi="Times New Roman" w:cs="Times New Roman"/>
            </w:rPr>
            <w:t>6. Statistical Analysis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_Toc5115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137F7F6F">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_Toc26724 </w:instrText>
          </w:r>
          <w:r>
            <w:rPr>
              <w:rFonts w:hint="default" w:ascii="Times New Roman" w:hAnsi="Times New Roman" w:cs="Times New Roman"/>
              <w:bCs/>
              <w:lang w:val="zh-CN"/>
            </w:rPr>
            <w:fldChar w:fldCharType="separate"/>
          </w:r>
          <w:r>
            <w:rPr>
              <w:rFonts w:hint="default" w:ascii="Times New Roman" w:hAnsi="Times New Roman" w:cs="Times New Roman"/>
            </w:rPr>
            <w:t>6.1. General Considerations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_Toc26724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77FBEFCD">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_Toc22602 </w:instrText>
          </w:r>
          <w:r>
            <w:rPr>
              <w:rFonts w:hint="default" w:ascii="Times New Roman" w:hAnsi="Times New Roman" w:cs="Times New Roman"/>
              <w:bCs/>
              <w:lang w:val="zh-CN"/>
            </w:rPr>
            <w:fldChar w:fldCharType="separate"/>
          </w:r>
          <w:r>
            <w:rPr>
              <w:rFonts w:hint="default" w:ascii="Times New Roman" w:hAnsi="Times New Roman" w:eastAsia="宋体" w:cs="Times New Roman"/>
            </w:rPr>
            <w:t xml:space="preserve">6.1.1. </w:t>
          </w:r>
          <w:r>
            <w:rPr>
              <w:rFonts w:hint="default" w:ascii="Times New Roman" w:hAnsi="Times New Roman" w:cs="Times New Roman"/>
            </w:rPr>
            <w:t>General Analysis Rule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_Toc22602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426E784C">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_Toc28070 </w:instrText>
          </w:r>
          <w:r>
            <w:rPr>
              <w:rFonts w:hint="default" w:ascii="Times New Roman" w:hAnsi="Times New Roman" w:cs="Times New Roman"/>
              <w:bCs/>
              <w:lang w:val="zh-CN"/>
            </w:rPr>
            <w:fldChar w:fldCharType="separate"/>
          </w:r>
          <w:r>
            <w:rPr>
              <w:rFonts w:hint="default" w:ascii="Times New Roman" w:hAnsi="Times New Roman" w:cs="Times New Roman"/>
            </w:rPr>
            <w:t>6.1.2. Analysis Window</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_Toc28070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07ABC96B">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_Toc14613 </w:instrText>
          </w:r>
          <w:r>
            <w:rPr>
              <w:rFonts w:hint="default" w:ascii="Times New Roman" w:hAnsi="Times New Roman" w:cs="Times New Roman"/>
              <w:bCs/>
              <w:lang w:val="zh-CN"/>
            </w:rPr>
            <w:fldChar w:fldCharType="separate"/>
          </w:r>
          <w:r>
            <w:rPr>
              <w:rFonts w:hint="default" w:ascii="Times New Roman" w:hAnsi="Times New Roman" w:cs="Times New Roman"/>
              <w:szCs w:val="24"/>
            </w:rPr>
            <w:t>6.1.3. Missing Data</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_Toc14613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41B2D1FA">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_Toc17455 </w:instrText>
          </w:r>
          <w:r>
            <w:rPr>
              <w:rFonts w:hint="default" w:ascii="Times New Roman" w:hAnsi="Times New Roman" w:cs="Times New Roman"/>
              <w:bCs/>
              <w:lang w:val="zh-CN"/>
            </w:rPr>
            <w:fldChar w:fldCharType="separate"/>
          </w:r>
          <w:r>
            <w:rPr>
              <w:rFonts w:hint="default" w:ascii="Times New Roman" w:hAnsi="Times New Roman" w:cs="Times New Roman"/>
              <w:lang w:eastAsia="en-US"/>
            </w:rPr>
            <w:t xml:space="preserve">6.2. </w:t>
          </w:r>
          <w:r>
            <w:rPr>
              <w:rFonts w:hint="default" w:ascii="Times New Roman" w:hAnsi="Times New Roman" w:cs="Times New Roman"/>
            </w:rPr>
            <w:t>Study Subjects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_Toc17455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6020E92B">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_Toc27358 </w:instrText>
          </w:r>
          <w:r>
            <w:rPr>
              <w:rFonts w:hint="default" w:ascii="Times New Roman" w:hAnsi="Times New Roman" w:cs="Times New Roman"/>
              <w:bCs/>
              <w:lang w:val="zh-CN"/>
            </w:rPr>
            <w:fldChar w:fldCharType="separate"/>
          </w:r>
          <w:r>
            <w:rPr>
              <w:rFonts w:hint="default" w:ascii="Times New Roman" w:hAnsi="Times New Roman" w:cs="Times New Roman"/>
              <w:szCs w:val="24"/>
            </w:rPr>
            <w:t>6.2.1. Demographics and Baseline Characteristics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_Toc27358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4A1A7F76">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_Toc11851 </w:instrText>
          </w:r>
          <w:r>
            <w:rPr>
              <w:rFonts w:hint="default" w:ascii="Times New Roman" w:hAnsi="Times New Roman" w:cs="Times New Roman"/>
              <w:bCs/>
              <w:lang w:val="zh-CN"/>
            </w:rPr>
            <w:fldChar w:fldCharType="separate"/>
          </w:r>
          <w:r>
            <w:rPr>
              <w:rFonts w:hint="default" w:ascii="Times New Roman" w:hAnsi="Times New Roman" w:cs="Times New Roman"/>
              <w:szCs w:val="24"/>
            </w:rPr>
            <w:t>6.2.2. History of Tumor Diagnosis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_Toc11851 \h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4FBD8FDB">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_Toc20296 </w:instrText>
          </w:r>
          <w:r>
            <w:rPr>
              <w:rFonts w:hint="default" w:ascii="Times New Roman" w:hAnsi="Times New Roman" w:cs="Times New Roman"/>
              <w:bCs/>
              <w:lang w:val="zh-CN"/>
            </w:rPr>
            <w:fldChar w:fldCharType="separate"/>
          </w:r>
          <w:r>
            <w:rPr>
              <w:rFonts w:hint="default" w:ascii="Times New Roman" w:hAnsi="Times New Roman" w:cs="Times New Roman"/>
              <w:szCs w:val="24"/>
            </w:rPr>
            <w:t>6.2.3. Anti-Tumor Therapy</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_Toc20296 \h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54DE087B">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_Toc13680 </w:instrText>
          </w:r>
          <w:r>
            <w:rPr>
              <w:rFonts w:hint="default" w:ascii="Times New Roman" w:hAnsi="Times New Roman" w:cs="Times New Roman"/>
              <w:bCs/>
              <w:lang w:val="zh-CN"/>
            </w:rPr>
            <w:fldChar w:fldCharType="separate"/>
          </w:r>
          <w:r>
            <w:rPr>
              <w:rFonts w:hint="default" w:ascii="Times New Roman" w:hAnsi="Times New Roman" w:cs="Times New Roman"/>
              <w:szCs w:val="24"/>
            </w:rPr>
            <w:t>6.2.4. Protocol Deviations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_Toc13680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6D41889A">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_Toc18126 </w:instrText>
          </w:r>
          <w:r>
            <w:rPr>
              <w:rFonts w:hint="default" w:ascii="Times New Roman" w:hAnsi="Times New Roman" w:cs="Times New Roman"/>
              <w:bCs/>
              <w:lang w:val="zh-CN"/>
            </w:rPr>
            <w:fldChar w:fldCharType="separate"/>
          </w:r>
          <w:r>
            <w:rPr>
              <w:rFonts w:hint="default" w:ascii="Times New Roman" w:hAnsi="Times New Roman" w:cs="Times New Roman"/>
              <w:lang w:val="zh-CN"/>
            </w:rPr>
            <w:t xml:space="preserve">6.3. </w:t>
          </w:r>
          <w:r>
            <w:rPr>
              <w:rFonts w:hint="default" w:ascii="Times New Roman" w:hAnsi="Times New Roman" w:cs="Times New Roman"/>
            </w:rPr>
            <w:t>Efficacy Analysis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_Toc18126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64D2380D">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_Toc10658 </w:instrText>
          </w:r>
          <w:r>
            <w:rPr>
              <w:rFonts w:hint="default" w:ascii="Times New Roman" w:hAnsi="Times New Roman" w:cs="Times New Roman"/>
              <w:bCs/>
              <w:lang w:val="zh-CN"/>
            </w:rPr>
            <w:fldChar w:fldCharType="separate"/>
          </w:r>
          <w:r>
            <w:rPr>
              <w:rFonts w:hint="default" w:ascii="Times New Roman" w:hAnsi="Times New Roman" w:cs="Times New Roman"/>
              <w:szCs w:val="24"/>
            </w:rPr>
            <w:t>6.3.1. Primary Efficacy Analysis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_Toc10658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1E08AFF1">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_Toc21771 </w:instrText>
          </w:r>
          <w:r>
            <w:rPr>
              <w:rFonts w:hint="default" w:ascii="Times New Roman" w:hAnsi="Times New Roman" w:cs="Times New Roman"/>
              <w:bCs/>
              <w:lang w:val="zh-CN"/>
            </w:rPr>
            <w:fldChar w:fldCharType="separate"/>
          </w:r>
          <w:r>
            <w:rPr>
              <w:rFonts w:hint="default" w:ascii="Times New Roman" w:hAnsi="Times New Roman" w:cs="Times New Roman"/>
            </w:rPr>
            <w:t xml:space="preserve">6.3.2. </w:t>
          </w:r>
          <w:r>
            <w:rPr>
              <w:rFonts w:hint="default" w:ascii="Times New Roman" w:hAnsi="Times New Roman" w:cs="Times New Roman"/>
              <w:highlight w:val="none"/>
            </w:rPr>
            <w:t>Secondary Efficacy Endpoint Analysis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_Toc21771 \h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6BE3AB94">
          <w:pPr>
            <w:pStyle w:val="22"/>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_Toc19729 </w:instrText>
          </w:r>
          <w:r>
            <w:rPr>
              <w:rFonts w:hint="default" w:ascii="Times New Roman" w:hAnsi="Times New Roman" w:cs="Times New Roman"/>
              <w:bCs/>
              <w:lang w:val="zh-CN"/>
            </w:rPr>
            <w:fldChar w:fldCharType="separate"/>
          </w:r>
          <w:r>
            <w:rPr>
              <w:rFonts w:hint="default" w:ascii="Times New Roman" w:hAnsi="Times New Roman" w:cs="Times New Roman"/>
            </w:rPr>
            <w:t>6.4. Safety Analysis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_Toc19729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216B87E2">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_Toc21609 </w:instrText>
          </w:r>
          <w:r>
            <w:rPr>
              <w:rFonts w:hint="default" w:ascii="Times New Roman" w:hAnsi="Times New Roman" w:cs="Times New Roman"/>
              <w:bCs/>
              <w:lang w:val="zh-CN"/>
            </w:rPr>
            <w:fldChar w:fldCharType="separate"/>
          </w:r>
          <w:r>
            <w:rPr>
              <w:rFonts w:hint="default" w:ascii="Times New Roman" w:hAnsi="Times New Roman" w:cs="Times New Roman"/>
              <w:szCs w:val="24"/>
            </w:rPr>
            <w:t>6.4.1. Extent of Exposure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_Toc21609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72CD4A8C">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_Toc5522 </w:instrText>
          </w:r>
          <w:r>
            <w:rPr>
              <w:rFonts w:hint="default" w:ascii="Times New Roman" w:hAnsi="Times New Roman" w:cs="Times New Roman"/>
              <w:bCs/>
              <w:lang w:val="zh-CN"/>
            </w:rPr>
            <w:fldChar w:fldCharType="separate"/>
          </w:r>
          <w:r>
            <w:rPr>
              <w:rFonts w:hint="default" w:ascii="Times New Roman" w:hAnsi="Times New Roman" w:cs="Times New Roman"/>
            </w:rPr>
            <w:t>6.4.2. Surgical Situation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_Toc5522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599F5C6B">
          <w:pPr>
            <w:pStyle w:val="14"/>
            <w:tabs>
              <w:tab w:val="right" w:leader="dot" w:pos="830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_Toc7223 </w:instrText>
          </w:r>
          <w:r>
            <w:rPr>
              <w:rFonts w:hint="default" w:ascii="Times New Roman" w:hAnsi="Times New Roman" w:cs="Times New Roman"/>
              <w:bCs/>
              <w:lang w:val="zh-CN"/>
            </w:rPr>
            <w:fldChar w:fldCharType="separate"/>
          </w:r>
          <w:r>
            <w:rPr>
              <w:rFonts w:hint="default" w:ascii="Times New Roman" w:hAnsi="Times New Roman" w:cs="Times New Roman"/>
              <w:szCs w:val="24"/>
            </w:rPr>
            <w:t>6.4.3. Adverse Events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_Toc7223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053FB766">
          <w:pPr>
            <w:pStyle w:val="19"/>
            <w:tabs>
              <w:tab w:val="right" w:leader="dot" w:pos="8306"/>
              <w:tab w:val="clear" w:pos="829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_Toc31449 </w:instrText>
          </w:r>
          <w:r>
            <w:rPr>
              <w:rFonts w:hint="default" w:ascii="Times New Roman" w:hAnsi="Times New Roman" w:cs="Times New Roman"/>
              <w:bCs/>
              <w:lang w:val="zh-CN"/>
            </w:rPr>
            <w:fldChar w:fldCharType="separate"/>
          </w:r>
          <w:r>
            <w:rPr>
              <w:rFonts w:hint="default" w:ascii="Times New Roman" w:hAnsi="Times New Roman" w:cs="Times New Roman"/>
            </w:rPr>
            <w:t>7. References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_Toc31449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2E11D47A">
          <w:pPr>
            <w:pStyle w:val="19"/>
            <w:tabs>
              <w:tab w:val="right" w:leader="dot" w:pos="8306"/>
              <w:tab w:val="clear" w:pos="8296"/>
            </w:tabs>
            <w:rPr>
              <w:rFonts w:hint="default" w:ascii="Times New Roman" w:hAnsi="Times New Roman" w:cs="Times New Roman"/>
            </w:rPr>
          </w:pPr>
          <w:r>
            <w:rPr>
              <w:rFonts w:hint="default" w:ascii="Times New Roman" w:hAnsi="Times New Roman" w:cs="Times New Roman"/>
              <w:bCs/>
              <w:lang w:val="zh-CN"/>
            </w:rPr>
            <w:fldChar w:fldCharType="begin"/>
          </w:r>
          <w:r>
            <w:rPr>
              <w:rFonts w:hint="default" w:ascii="Times New Roman" w:hAnsi="Times New Roman" w:cs="Times New Roman"/>
              <w:bCs/>
              <w:lang w:val="zh-CN"/>
            </w:rPr>
            <w:instrText xml:space="preserve"> HYPERLINK \l _Toc21617 </w:instrText>
          </w:r>
          <w:r>
            <w:rPr>
              <w:rFonts w:hint="default" w:ascii="Times New Roman" w:hAnsi="Times New Roman" w:cs="Times New Roman"/>
              <w:bCs/>
              <w:lang w:val="zh-CN"/>
            </w:rPr>
            <w:fldChar w:fldCharType="separate"/>
          </w:r>
          <w:r>
            <w:rPr>
              <w:rFonts w:hint="default" w:ascii="Times New Roman" w:hAnsi="Times New Roman" w:cs="Times New Roman"/>
            </w:rPr>
            <w:t xml:space="preserve">8. </w:t>
          </w:r>
          <w:r>
            <w:rPr>
              <w:rFonts w:hint="default" w:ascii="Times New Roman" w:hAnsi="Times New Roman" w:cs="Times New Roman"/>
              <w:highlight w:val="none"/>
            </w:rPr>
            <w:t>Amendment To The Original Analysis Plan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_Toc21617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bCs/>
              <w:lang w:val="zh-CN"/>
            </w:rPr>
            <w:fldChar w:fldCharType="end"/>
          </w:r>
        </w:p>
        <w:p w14:paraId="388C532E">
          <w:pPr>
            <w:rPr>
              <w:rFonts w:ascii="Times New Roman" w:hAnsi="Times New Roman" w:eastAsia="宋体" w:cs="Times New Roman"/>
              <w:sz w:val="21"/>
              <w:szCs w:val="21"/>
              <w14:ligatures w14:val="none"/>
            </w:rPr>
          </w:pPr>
          <w:r>
            <w:rPr>
              <w:rFonts w:hint="default" w:ascii="Times New Roman" w:hAnsi="Times New Roman" w:cs="Times New Roman"/>
              <w:bCs/>
              <w:lang w:val="zh-CN"/>
            </w:rPr>
            <w:fldChar w:fldCharType="end"/>
          </w:r>
        </w:p>
      </w:sdtContent>
    </w:sdt>
    <w:p w14:paraId="75F8FD39">
      <w:pPr>
        <w:adjustRightInd w:val="0"/>
        <w:snapToGrid w:val="0"/>
        <w:spacing w:after="0" w:line="360" w:lineRule="auto"/>
        <w:jc w:val="center"/>
        <w:rPr>
          <w:rFonts w:ascii="Times New Roman" w:hAnsi="Times New Roman" w:eastAsia="宋体" w:cs="Times New Roman"/>
          <w:sz w:val="21"/>
          <w:szCs w:val="21"/>
          <w14:ligatures w14:val="none"/>
        </w:rPr>
        <w:sectPr>
          <w:pgSz w:w="11906" w:h="16838"/>
          <w:pgMar w:top="1440" w:right="1800" w:bottom="1440" w:left="1800" w:header="851" w:footer="992" w:gutter="0"/>
          <w:cols w:space="425" w:num="1"/>
          <w:docGrid w:type="lines" w:linePitch="312" w:charSpace="0"/>
        </w:sectPr>
      </w:pPr>
    </w:p>
    <w:p w14:paraId="02716DFB">
      <w:pPr>
        <w:pStyle w:val="2"/>
        <w:rPr>
          <w:rStyle w:val="68"/>
          <w:b w:val="0"/>
          <w:bCs w:val="0"/>
          <w:smallCaps w:val="0"/>
          <w:spacing w:val="0"/>
        </w:rPr>
      </w:pPr>
      <w:bookmarkStart w:id="0" w:name="_Toc11607"/>
      <w:bookmarkStart w:id="1" w:name="_Toc174019609"/>
      <w:r>
        <w:rPr>
          <w:rStyle w:val="68"/>
          <w:b w:val="0"/>
          <w:bCs w:val="0"/>
          <w:smallCaps w:val="0"/>
          <w:spacing w:val="0"/>
        </w:rPr>
        <w:t>Introduction</w:t>
      </w:r>
      <w:bookmarkEnd w:id="0"/>
      <w:bookmarkEnd w:id="1"/>
    </w:p>
    <w:p w14:paraId="5E1F114E">
      <w:pPr>
        <w:pStyle w:val="12"/>
        <w:spacing w:after="156"/>
        <w:ind w:firstLine="480"/>
        <w:rPr>
          <w:rStyle w:val="78"/>
          <w:rFonts w:hint="eastAsia"/>
          <w:lang w:eastAsia="zh-CN"/>
        </w:rPr>
      </w:pPr>
      <w:bookmarkStart w:id="2" w:name="_Toc493504967"/>
      <w:r>
        <w:rPr>
          <w:rStyle w:val="78"/>
          <w:rFonts w:hint="eastAsia"/>
          <w:lang w:eastAsia="zh-CN"/>
        </w:rPr>
        <w:t>This Statistical Analysis Plan is developed based on the 'Nab-paclitaxel plus S-1 Induction Chemotherapy for Patients with Locally Advanced Pancreatic Cancer: A Prospective, Single-arm, Open-lab</w:t>
      </w:r>
      <w:r>
        <w:rPr>
          <w:rStyle w:val="78"/>
          <w:rFonts w:hint="eastAsia"/>
          <w:lang w:val="en-US" w:eastAsia="zh-CN"/>
        </w:rPr>
        <w:t>el</w:t>
      </w:r>
      <w:r>
        <w:rPr>
          <w:rStyle w:val="78"/>
          <w:rFonts w:hint="eastAsia"/>
          <w:lang w:eastAsia="zh-CN"/>
        </w:rPr>
        <w:t xml:space="preserve"> and Multicenter clinical study' and will provide specific statistical analysis methods or strategies for it. The objective of this study is to evaluate the clinical efficacy and safety of paclitaxel injection (albumin-bound) in combination with S-1 for the treatment of locally advanced pancreatic cancer.</w:t>
      </w:r>
    </w:p>
    <w:p w14:paraId="2405E6B6">
      <w:pPr>
        <w:pStyle w:val="12"/>
        <w:spacing w:after="156"/>
        <w:ind w:firstLine="480"/>
        <w:rPr>
          <w:lang w:eastAsia="zh-CN"/>
        </w:rPr>
      </w:pPr>
      <w:r>
        <w:rPr>
          <w:rStyle w:val="78"/>
          <w:rFonts w:hint="eastAsia"/>
          <w:lang w:eastAsia="zh-CN"/>
        </w:rPr>
        <w:t>This Statistical Analysis Plan is written based on the study protocol. The final version of this plan will be completed before the database lock and submitted for signature confirmation by each functional department.</w:t>
      </w:r>
    </w:p>
    <w:p w14:paraId="11709FB9">
      <w:pPr>
        <w:pStyle w:val="2"/>
        <w:rPr>
          <w:rStyle w:val="68"/>
          <w:b w:val="0"/>
          <w:bCs w:val="0"/>
          <w:smallCaps w:val="0"/>
          <w:spacing w:val="0"/>
        </w:rPr>
      </w:pPr>
      <w:bookmarkStart w:id="3" w:name="_Toc15417"/>
      <w:bookmarkStart w:id="4" w:name="_Toc174019610"/>
      <w:r>
        <w:rPr>
          <w:rStyle w:val="68"/>
          <w:b w:val="0"/>
          <w:bCs w:val="0"/>
          <w:smallCaps w:val="0"/>
          <w:spacing w:val="0"/>
        </w:rPr>
        <w:t>S</w:t>
      </w:r>
      <w:r>
        <w:rPr>
          <w:rStyle w:val="68"/>
          <w:rFonts w:hint="eastAsia"/>
          <w:b w:val="0"/>
          <w:bCs w:val="0"/>
          <w:smallCaps w:val="0"/>
          <w:spacing w:val="0"/>
        </w:rPr>
        <w:t>tudy</w:t>
      </w:r>
      <w:r>
        <w:rPr>
          <w:rStyle w:val="68"/>
          <w:b w:val="0"/>
          <w:bCs w:val="0"/>
          <w:smallCaps w:val="0"/>
          <w:spacing w:val="0"/>
        </w:rPr>
        <w:t xml:space="preserve"> Objectives</w:t>
      </w:r>
      <w:bookmarkEnd w:id="3"/>
      <w:bookmarkEnd w:id="4"/>
      <w:r>
        <w:rPr>
          <w:rStyle w:val="68"/>
          <w:b w:val="0"/>
          <w:bCs w:val="0"/>
          <w:smallCaps w:val="0"/>
          <w:spacing w:val="0"/>
        </w:rPr>
        <w:t xml:space="preserve"> </w:t>
      </w:r>
    </w:p>
    <w:p w14:paraId="28AC3A40">
      <w:pPr>
        <w:pStyle w:val="3"/>
        <w:rPr>
          <w:rStyle w:val="68"/>
          <w:rFonts w:cs="Times New Roman"/>
          <w:b w:val="0"/>
          <w:bCs w:val="0"/>
          <w:smallCaps w:val="0"/>
          <w:sz w:val="24"/>
          <w:szCs w:val="24"/>
        </w:rPr>
      </w:pPr>
      <w:bookmarkStart w:id="5" w:name="_Toc2071"/>
      <w:r>
        <w:rPr>
          <w:rStyle w:val="68"/>
          <w:rFonts w:hint="eastAsia" w:cs="Times New Roman"/>
          <w:b w:val="0"/>
          <w:bCs w:val="0"/>
          <w:smallCaps w:val="0"/>
          <w:sz w:val="24"/>
          <w:szCs w:val="24"/>
          <w:lang w:val="en-US" w:eastAsia="zh-CN"/>
        </w:rPr>
        <w:t>Primary Objectives</w:t>
      </w:r>
      <w:bookmarkEnd w:id="5"/>
    </w:p>
    <w:p w14:paraId="72436C02">
      <w:pPr>
        <w:pStyle w:val="12"/>
        <w:numPr>
          <w:ilvl w:val="0"/>
          <w:numId w:val="5"/>
        </w:numPr>
        <w:spacing w:after="156"/>
        <w:ind w:left="482" w:firstLine="480"/>
        <w:rPr>
          <w:lang w:eastAsia="zh-CN"/>
        </w:rPr>
      </w:pPr>
      <w:r>
        <w:rPr>
          <w:rFonts w:hint="eastAsia"/>
          <w:lang w:eastAsia="zh-CN"/>
        </w:rPr>
        <w:t>Evaluate the 6-month progression-free survival rate of paclitaxel injection (albumin-bound) in combination with S-1 for the treatment of locally advanced pancreatic cancer</w:t>
      </w:r>
      <w:r>
        <w:rPr>
          <w:rFonts w:hint="eastAsia"/>
          <w:vertAlign w:val="superscript"/>
          <w:lang w:val="en-US" w:eastAsia="zh-CN"/>
        </w:rPr>
        <w:t>[1,2]</w:t>
      </w:r>
      <w:r>
        <w:rPr>
          <w:lang w:eastAsia="zh-CN"/>
        </w:rPr>
        <w:t>。</w:t>
      </w:r>
    </w:p>
    <w:p w14:paraId="1F9382DD">
      <w:pPr>
        <w:pStyle w:val="3"/>
        <w:rPr>
          <w:rStyle w:val="68"/>
          <w:rFonts w:cs="Times New Roman"/>
          <w:b w:val="0"/>
          <w:bCs w:val="0"/>
          <w:smallCaps w:val="0"/>
          <w:szCs w:val="24"/>
        </w:rPr>
      </w:pPr>
      <w:bookmarkStart w:id="6" w:name="_Toc15196"/>
      <w:r>
        <w:rPr>
          <w:rStyle w:val="68"/>
          <w:rFonts w:hint="eastAsia" w:cs="Times New Roman"/>
          <w:b w:val="0"/>
          <w:bCs w:val="0"/>
          <w:smallCaps w:val="0"/>
          <w:szCs w:val="24"/>
          <w:lang w:val="en-US" w:eastAsia="zh-CN"/>
        </w:rPr>
        <w:t>Secondary Objectives</w:t>
      </w:r>
      <w:bookmarkEnd w:id="6"/>
    </w:p>
    <w:p w14:paraId="7A565528">
      <w:pPr>
        <w:pStyle w:val="12"/>
        <w:numPr>
          <w:ilvl w:val="0"/>
          <w:numId w:val="5"/>
        </w:numPr>
        <w:spacing w:after="156"/>
        <w:ind w:left="482" w:firstLine="480"/>
        <w:rPr>
          <w:lang w:val="en-US" w:eastAsia="zh-CN"/>
        </w:rPr>
      </w:pPr>
      <w:r>
        <w:rPr>
          <w:rFonts w:hint="eastAsia"/>
          <w:highlight w:val="none"/>
          <w:lang w:eastAsia="zh-CN"/>
        </w:rPr>
        <w:t>Evaluate the progression-free survival (PFS), overall survival (OS), and objective response rate (ORR) of paclitaxel injection (albumin-bound) in combination with S-1 for the treatment of locally advanced pancreatic cancer.</w:t>
      </w:r>
    </w:p>
    <w:p w14:paraId="78130456">
      <w:pPr>
        <w:pStyle w:val="12"/>
        <w:numPr>
          <w:ilvl w:val="0"/>
          <w:numId w:val="5"/>
        </w:numPr>
        <w:spacing w:after="156"/>
        <w:ind w:left="482" w:firstLine="480"/>
        <w:rPr>
          <w:lang w:val="en-US" w:eastAsia="zh-CN"/>
        </w:rPr>
      </w:pPr>
      <w:r>
        <w:rPr>
          <w:rFonts w:hint="eastAsia"/>
          <w:highlight w:val="none"/>
          <w:lang w:eastAsia="zh-CN"/>
        </w:rPr>
        <w:t>Evaluate the safety and tolerability of paclitaxel injection (albumin-bound) in combination with S-1 for the treatment of locally advanced pancreatic cancer.</w:t>
      </w:r>
    </w:p>
    <w:bookmarkEnd w:id="2"/>
    <w:p w14:paraId="3EE7EDB3">
      <w:pPr>
        <w:pStyle w:val="3"/>
        <w:numPr>
          <w:ilvl w:val="0"/>
          <w:numId w:val="1"/>
        </w:numPr>
        <w:bidi w:val="0"/>
        <w:ind w:left="0" w:leftChars="0" w:firstLine="0" w:firstLineChars="0"/>
      </w:pPr>
      <w:bookmarkStart w:id="7" w:name="_Toc7071"/>
      <w:bookmarkStart w:id="8" w:name="_Toc174019614"/>
      <w:bookmarkStart w:id="9" w:name="_Toc493504968"/>
      <w:r>
        <w:rPr>
          <w:rFonts w:hint="eastAsia"/>
          <w:lang w:val="en-US" w:eastAsia="zh-CN"/>
        </w:rPr>
        <w:t>Study Design</w:t>
      </w:r>
      <w:bookmarkEnd w:id="7"/>
    </w:p>
    <w:bookmarkEnd w:id="8"/>
    <w:p w14:paraId="72BAB84E">
      <w:pPr>
        <w:pStyle w:val="3"/>
        <w:rPr>
          <w:rFonts w:cs="Times New Roman"/>
          <w:szCs w:val="24"/>
        </w:rPr>
      </w:pPr>
      <w:bookmarkStart w:id="10" w:name="_Toc4245"/>
      <w:r>
        <w:rPr>
          <w:rFonts w:hint="eastAsia" w:cs="Times New Roman"/>
          <w:szCs w:val="24"/>
          <w:lang w:val="en-US" w:eastAsia="zh-CN"/>
        </w:rPr>
        <w:t>General Design and Plan</w:t>
      </w:r>
      <w:bookmarkEnd w:id="10"/>
    </w:p>
    <w:p w14:paraId="7E09310A">
      <w:pPr>
        <w:pStyle w:val="12"/>
        <w:spacing w:after="156"/>
        <w:ind w:firstLine="480"/>
        <w:rPr>
          <w:rFonts w:hint="eastAsia"/>
          <w:lang w:eastAsia="zh-CN"/>
        </w:rPr>
      </w:pPr>
      <w:r>
        <w:rPr>
          <w:rFonts w:hint="eastAsia"/>
          <w:lang w:eastAsia="zh-CN"/>
        </w:rPr>
        <w:t>This study is a single-arm, multicenter, open-label, prospective design aimed at evaluating the efficacy and safety of paclitaxel injection (albumin-bound) in combination with S-1 for the treatment of locally advanced pancreatic cancer.</w:t>
      </w:r>
    </w:p>
    <w:p w14:paraId="362724A3">
      <w:pPr>
        <w:pStyle w:val="12"/>
        <w:spacing w:after="156"/>
        <w:ind w:firstLine="480"/>
        <w:rPr>
          <w:rFonts w:hint="eastAsia"/>
          <w:lang w:eastAsia="zh-CN"/>
        </w:rPr>
      </w:pPr>
      <w:r>
        <w:rPr>
          <w:rFonts w:hint="eastAsia"/>
          <w:lang w:eastAsia="zh-CN"/>
        </w:rPr>
        <w:t>Subjects, after being fully informed and signing the informed consent form, will be screened and enrolled to receive treatment.</w:t>
      </w:r>
    </w:p>
    <w:p w14:paraId="35AB550F">
      <w:pPr>
        <w:pStyle w:val="12"/>
        <w:spacing w:after="156"/>
        <w:ind w:firstLine="480"/>
        <w:rPr>
          <w:rFonts w:hint="eastAsia"/>
          <w:lang w:eastAsia="zh-CN"/>
        </w:rPr>
      </w:pPr>
      <w:r>
        <w:rPr>
          <w:rFonts w:hint="eastAsia"/>
          <w:lang w:eastAsia="zh-CN"/>
        </w:rPr>
        <w:t>Study treatment regimen: Paclitaxel injection (albumin-bound) in combination with S-1 (3-week regimen) will be administered for a maximum of 8 cycles. After that, the investigator and the patient will discuss and decide on the next treatment regimen (including but not limited to surgery, the original chemotherapy regimen, or chemoradiotherapy).</w:t>
      </w:r>
    </w:p>
    <w:p w14:paraId="000FABC4">
      <w:pPr>
        <w:pStyle w:val="12"/>
        <w:spacing w:after="156"/>
        <w:ind w:firstLine="480"/>
        <w:rPr>
          <w:rFonts w:hint="eastAsia"/>
          <w:lang w:eastAsia="zh-CN"/>
        </w:rPr>
      </w:pPr>
      <w:r>
        <w:rPr>
          <w:rFonts w:hint="eastAsia"/>
          <w:lang w:eastAsia="zh-CN"/>
        </w:rPr>
        <w:t>Safety visits: Any adverse medical events occurring from the time the subject signs the informed consent form up to 28 days after treatment, regardless of whether they are related to the investigational drug, will be considered adverse events. This includes newly occurring adverse events or those with a severity or frequency greater than baseline, or abnormal diagnostic results, including clinically significant laboratory abnormalities.</w:t>
      </w:r>
    </w:p>
    <w:p w14:paraId="615C3C48">
      <w:pPr>
        <w:pStyle w:val="12"/>
        <w:spacing w:after="156"/>
        <w:ind w:firstLine="480"/>
        <w:rPr>
          <w:rFonts w:hint="eastAsia"/>
          <w:lang w:eastAsia="zh-CN"/>
        </w:rPr>
      </w:pPr>
      <w:r>
        <w:rPr>
          <w:rFonts w:hint="eastAsia"/>
          <w:lang w:eastAsia="zh-CN"/>
        </w:rPr>
        <w:t>Subjects will undergo survival follow-up every 3 months after treatment until the end of the study, death, withdrawal of informed consent, or loss to follow-up (whichever comes first).</w:t>
      </w:r>
    </w:p>
    <w:p w14:paraId="7DBA77A7">
      <w:pPr>
        <w:pStyle w:val="12"/>
        <w:spacing w:after="156"/>
        <w:ind w:firstLine="480"/>
        <w:rPr>
          <w:rFonts w:hint="eastAsia"/>
          <w:lang w:eastAsia="zh-CN"/>
        </w:rPr>
      </w:pPr>
      <w:r>
        <w:rPr>
          <w:rFonts w:hint="eastAsia"/>
          <w:lang w:eastAsia="zh-CN"/>
        </w:rPr>
        <w:t>All subjects will undergo tumor baseline assessment during the screening phase (within 1 month prior to the first dose). Imaging assessments will be conducted every 42 days (with a window of +7/-3 days) during treatment until radiological progression or recurrence, withdrawal of informed consent, loss to follow-up, or death.</w:t>
      </w:r>
      <w:bookmarkEnd w:id="9"/>
      <w:bookmarkStart w:id="11" w:name="_Toc110355936"/>
      <w:bookmarkEnd w:id="11"/>
      <w:bookmarkStart w:id="12" w:name="_Toc493504969"/>
    </w:p>
    <w:p w14:paraId="75D36C27">
      <w:pPr>
        <w:pStyle w:val="3"/>
        <w:bidi w:val="0"/>
        <w:ind w:left="0" w:leftChars="0" w:firstLine="0" w:firstLineChars="0"/>
        <w:rPr>
          <w:lang w:val="en-US" w:eastAsia="zh-CN"/>
        </w:rPr>
      </w:pPr>
      <w:bookmarkStart w:id="13" w:name="_Toc9380"/>
      <w:r>
        <w:rPr>
          <w:rFonts w:hint="eastAsia"/>
          <w:lang w:val="en-US" w:eastAsia="zh-CN"/>
        </w:rPr>
        <w:t>Sample Size</w:t>
      </w:r>
      <w:bookmarkEnd w:id="13"/>
    </w:p>
    <w:p w14:paraId="6CCB7794">
      <w:pPr>
        <w:pStyle w:val="12"/>
        <w:spacing w:after="0" w:afterLines="0"/>
        <w:ind w:firstLine="480"/>
        <w:rPr>
          <w:rFonts w:hint="eastAsia"/>
          <w:lang w:val="en-US" w:eastAsia="zh-CN"/>
        </w:rPr>
      </w:pPr>
      <w:r>
        <w:rPr>
          <w:rFonts w:hint="eastAsia"/>
          <w:lang w:val="en-US" w:eastAsia="zh-CN"/>
        </w:rPr>
        <w:t>This study is a single-arm design with the primary endpoint being the 6-month progression-free survival (PFS) rate. The study assumes that the treatment regimen is not less effective than single-agent S-1 or gemcitabine, and that it can be comparable to the GnP or GS regimens. Based on the GEST study (which includes 23.8% locally advanced and 76.2% metastatic pancreatic cancer), the 6-month PFS rates for single-agent S-1 or gemcitabine were 26.9% and 29.8%, respectively</w:t>
      </w:r>
      <w:r>
        <w:rPr>
          <w:rFonts w:hint="eastAsia"/>
          <w:vertAlign w:val="superscript"/>
          <w:lang w:val="en-US" w:eastAsia="zh-CN"/>
        </w:rPr>
        <w:t>3</w:t>
      </w:r>
      <w:r>
        <w:rPr>
          <w:rFonts w:hint="eastAsia"/>
          <w:lang w:val="en-US" w:eastAsia="zh-CN"/>
        </w:rPr>
        <w:t>. Therefore, a 30% threshold is used for the null hypothesis of ineffectiveness. Based on the MPACT study (metastatic pancreatic cancer) where the GnP regimen showed a 6-month PFS rate of 44%</w:t>
      </w:r>
      <w:r>
        <w:rPr>
          <w:rFonts w:hint="eastAsia"/>
          <w:vertAlign w:val="superscript"/>
          <w:lang w:val="en-US" w:eastAsia="zh-CN"/>
        </w:rPr>
        <w:t>4</w:t>
      </w:r>
      <w:r>
        <w:rPr>
          <w:rFonts w:hint="eastAsia"/>
          <w:lang w:val="en-US" w:eastAsia="zh-CN"/>
        </w:rPr>
        <w:t>, and the GEST study (23.8% locally advanced + 76.2% metastatic pancreatic cancer) where the GS regimen showed a 6-month PFS rate of 47.9%</w:t>
      </w:r>
      <w:r>
        <w:rPr>
          <w:rFonts w:hint="eastAsia"/>
          <w:vertAlign w:val="superscript"/>
          <w:lang w:val="en-US" w:eastAsia="zh-CN"/>
        </w:rPr>
        <w:t>3</w:t>
      </w:r>
      <w:r>
        <w:rPr>
          <w:rFonts w:hint="eastAsia"/>
          <w:lang w:val="en-US" w:eastAsia="zh-CN"/>
        </w:rPr>
        <w:t>, the expected efficacy of the study treatment regimen is 48%. Using α=0.05 (two-sided) and 1-β=0.90, the sample size was calculated using the One-Sample Logrank Tests Assuming a Weibull Model (Wu) method in PASS 15.0 software</w:t>
      </w:r>
      <w:r>
        <w:rPr>
          <w:rFonts w:hint="eastAsia"/>
          <w:vertAlign w:val="superscript"/>
          <w:lang w:val="en-US" w:eastAsia="zh-CN"/>
        </w:rPr>
        <w:t>5-9</w:t>
      </w:r>
      <w:r>
        <w:rPr>
          <w:rFonts w:hint="eastAsia"/>
          <w:lang w:val="en-US" w:eastAsia="zh-CN"/>
        </w:rPr>
        <w:t>, with the required sample size of N=52 subjects. Considering a 10% dropout rate, a total of 58 subjects will be enrolled.</w:t>
      </w:r>
    </w:p>
    <w:p w14:paraId="4A3CF96D">
      <w:pPr>
        <w:pStyle w:val="12"/>
        <w:spacing w:after="0" w:afterLines="0"/>
        <w:ind w:firstLine="480"/>
        <w:rPr>
          <w:rFonts w:hint="eastAsia"/>
          <w:lang w:val="en-US" w:eastAsia="zh-CN"/>
        </w:rPr>
      </w:pPr>
    </w:p>
    <w:p w14:paraId="69457508">
      <w:pPr>
        <w:pStyle w:val="12"/>
        <w:spacing w:after="0" w:afterLines="0"/>
        <w:ind w:firstLine="480"/>
        <w:rPr>
          <w:rFonts w:hint="eastAsia"/>
          <w:lang w:val="en-US" w:eastAsia="zh-CN"/>
        </w:rPr>
      </w:pPr>
      <w:r>
        <w:rPr>
          <w:rFonts w:hint="eastAsia"/>
          <w:lang w:val="en-US" w:eastAsia="zh-CN"/>
        </w:rPr>
        <w:t>For conservative purposes, a two-sided test was used in the sample size calculation, but the final statistical test will be one-sided, i.e., to test whether the study treatment regimen is superior to the historical control regimen. The success decision rule is: if the lower bound of the 95% confidence interval for the 6-month survival rate of the study treatment (using the log(-log) method) is higher than the historical control PFS rate (30%), then the study treatment's efficacy will be considered superior to the historical control. If the point estimate is also close to or higher than 48%, it will not only prove that the treatment is superior to the historical control, but also indicate a clinically meaningful improvement (comparable to the GnP or GS regimens</w:t>
      </w:r>
      <w:r>
        <w:rPr>
          <w:rFonts w:hint="eastAsia"/>
          <w:vertAlign w:val="superscript"/>
          <w:lang w:val="en-US" w:eastAsia="zh-CN"/>
        </w:rPr>
        <w:t>3-4</w:t>
      </w:r>
      <w:r>
        <w:rPr>
          <w:rFonts w:hint="eastAsia"/>
          <w:lang w:val="en-US" w:eastAsia="zh-CN"/>
        </w:rPr>
        <w:t>).</w:t>
      </w:r>
    </w:p>
    <w:p w14:paraId="6C0D8804">
      <w:pPr>
        <w:pStyle w:val="12"/>
        <w:spacing w:after="0" w:afterLines="0"/>
        <w:ind w:firstLine="480"/>
        <w:rPr>
          <w:rFonts w:hint="eastAsia"/>
          <w:lang w:val="en-US" w:eastAsia="zh-CN"/>
        </w:rPr>
      </w:pPr>
    </w:p>
    <w:bookmarkEnd w:id="12"/>
    <w:p w14:paraId="394A08F3">
      <w:pPr>
        <w:pStyle w:val="2"/>
        <w:bidi w:val="0"/>
        <w:ind w:left="0" w:leftChars="0" w:firstLine="0" w:firstLineChars="0"/>
      </w:pPr>
      <w:bookmarkStart w:id="14" w:name="_Toc13074"/>
      <w:bookmarkStart w:id="15" w:name="_Toc174019617"/>
      <w:bookmarkStart w:id="16" w:name="_Toc493504971"/>
      <w:r>
        <w:t>Study Endpoints</w:t>
      </w:r>
      <w:bookmarkEnd w:id="14"/>
      <w:bookmarkEnd w:id="15"/>
      <w:bookmarkEnd w:id="16"/>
    </w:p>
    <w:p w14:paraId="68462598">
      <w:pPr>
        <w:pStyle w:val="3"/>
        <w:bidi w:val="0"/>
        <w:ind w:left="0" w:leftChars="0" w:firstLine="0" w:firstLineChars="0"/>
      </w:pPr>
      <w:bookmarkStart w:id="17" w:name="_Toc493504972"/>
      <w:bookmarkStart w:id="18" w:name="_Toc32171"/>
      <w:bookmarkStart w:id="19" w:name="_Toc174019618"/>
      <w:r>
        <w:t>Efficacy Endpoints</w:t>
      </w:r>
      <w:bookmarkEnd w:id="17"/>
      <w:bookmarkEnd w:id="18"/>
      <w:bookmarkEnd w:id="19"/>
    </w:p>
    <w:p w14:paraId="661D37D2">
      <w:pPr>
        <w:pStyle w:val="4"/>
      </w:pPr>
      <w:bookmarkStart w:id="20" w:name="_Toc174019619"/>
      <w:bookmarkStart w:id="21" w:name="_Toc31525"/>
      <w:r>
        <w:t>Primary Endpoints</w:t>
      </w:r>
      <w:bookmarkEnd w:id="20"/>
      <w:bookmarkEnd w:id="21"/>
    </w:p>
    <w:p w14:paraId="09F359F2">
      <w:pPr>
        <w:pStyle w:val="5"/>
        <w:numPr>
          <w:ilvl w:val="3"/>
          <w:numId w:val="0"/>
        </w:numPr>
        <w:ind w:leftChars="0" w:firstLine="480" w:firstLineChars="200"/>
      </w:pPr>
      <w:bookmarkStart w:id="22" w:name="_Hlk72855923"/>
      <w:r>
        <w:rPr>
          <w:rFonts w:hint="eastAsia"/>
        </w:rPr>
        <w:t>6-Month Progression-Free Survival Rate (6mo-PFS rate)</w:t>
      </w:r>
    </w:p>
    <w:bookmarkEnd w:id="22"/>
    <w:p w14:paraId="2322D2CA">
      <w:pPr>
        <w:pStyle w:val="12"/>
        <w:spacing w:after="156"/>
        <w:ind w:firstLine="480"/>
        <w:rPr>
          <w:lang w:val="en-US" w:eastAsia="zh-CN"/>
        </w:rPr>
      </w:pPr>
      <w:r>
        <w:rPr>
          <w:rFonts w:hint="eastAsia"/>
          <w:lang w:val="en-US" w:eastAsia="zh-CN"/>
        </w:rPr>
        <w:t>The 6-month progression-free survival rate is defined as the proportion of subjects who, from the start of the study treatment until the first occurrence of radiological progression (according to RECIST 1.1) or death from any cause (whichever comes first), remain progression-free for 6 months.</w:t>
      </w:r>
    </w:p>
    <w:p w14:paraId="09FD652E">
      <w:pPr>
        <w:pStyle w:val="4"/>
        <w:rPr>
          <w:rFonts w:cs="Times New Roman"/>
          <w:szCs w:val="24"/>
        </w:rPr>
      </w:pPr>
      <w:bookmarkStart w:id="23" w:name="_Toc28178"/>
      <w:bookmarkStart w:id="24" w:name="_Toc174019620"/>
      <w:r>
        <w:rPr>
          <w:rFonts w:cs="Times New Roman"/>
          <w:szCs w:val="24"/>
        </w:rPr>
        <w:t>Secondary Endpoints</w:t>
      </w:r>
      <w:bookmarkEnd w:id="23"/>
      <w:bookmarkEnd w:id="24"/>
    </w:p>
    <w:p w14:paraId="3C72644B">
      <w:pPr>
        <w:pStyle w:val="5"/>
        <w:bidi w:val="0"/>
        <w:ind w:left="0" w:leftChars="0" w:firstLine="0" w:firstLineChars="0"/>
        <w:rPr>
          <w:rFonts w:hint="eastAsia"/>
          <w:lang w:eastAsia="zh-CN"/>
        </w:rPr>
      </w:pPr>
      <w:r>
        <w:rPr>
          <w:rFonts w:hint="eastAsia"/>
          <w:lang w:eastAsia="zh-CN"/>
        </w:rPr>
        <w:t>Progression-Free Survival (PFS)</w:t>
      </w:r>
    </w:p>
    <w:p w14:paraId="3636E6C4">
      <w:pPr>
        <w:pStyle w:val="12"/>
        <w:spacing w:after="156"/>
        <w:ind w:firstLine="480"/>
        <w:rPr>
          <w:rFonts w:hint="default" w:ascii="Times New Roman" w:hAnsi="Times New Roman" w:cs="Times New Roman"/>
          <w:lang w:val="en-US" w:eastAsia="zh-CN"/>
        </w:rPr>
      </w:pPr>
      <w:r>
        <w:rPr>
          <w:rFonts w:hint="default" w:ascii="Times New Roman" w:hAnsi="Times New Roman" w:eastAsia="宋体" w:cs="Times New Roman"/>
          <w:sz w:val="24"/>
          <w:szCs w:val="24"/>
        </w:rPr>
        <w:t>From the start of the study treatment to the first occurrence of radiological progression (according to RECIST 1.1) or death from any cause (whichever occurs first).</w:t>
      </w:r>
    </w:p>
    <w:p w14:paraId="2B4D1679">
      <w:pPr>
        <w:pStyle w:val="5"/>
      </w:pPr>
      <w:r>
        <w:t>Overall Survival</w:t>
      </w:r>
      <w:r>
        <w:rPr>
          <w:rFonts w:hint="eastAsia"/>
          <w:lang w:val="en-US" w:eastAsia="zh-CN"/>
        </w:rPr>
        <w:t xml:space="preserve"> (</w:t>
      </w:r>
      <w:r>
        <w:t>OS</w:t>
      </w:r>
      <w:r>
        <w:rPr>
          <w:rFonts w:hint="eastAsia"/>
          <w:lang w:val="en-US" w:eastAsia="zh-CN"/>
        </w:rPr>
        <w:t>)</w:t>
      </w:r>
    </w:p>
    <w:p w14:paraId="4516E72E">
      <w:pPr>
        <w:pStyle w:val="12"/>
        <w:spacing w:after="156"/>
        <w:ind w:firstLine="480"/>
        <w:rPr>
          <w:rFonts w:hint="eastAsia"/>
          <w:lang w:val="en-US" w:eastAsia="zh-CN"/>
        </w:rPr>
      </w:pPr>
      <w:r>
        <w:rPr>
          <w:rFonts w:hint="eastAsia"/>
          <w:lang w:eastAsia="zh-CN"/>
        </w:rPr>
        <w:t>It refers to the time from the start of the study treatment to the time of death of the subject from any cause</w:t>
      </w:r>
    </w:p>
    <w:p w14:paraId="33729932">
      <w:pPr>
        <w:pStyle w:val="5"/>
        <w:bidi w:val="0"/>
        <w:ind w:left="0" w:leftChars="0" w:firstLine="0" w:firstLineChars="0"/>
        <w:rPr>
          <w:rFonts w:hint="eastAsia"/>
          <w:lang w:eastAsia="zh-CN"/>
        </w:rPr>
      </w:pPr>
      <w:r>
        <w:rPr>
          <w:rFonts w:hint="eastAsia"/>
          <w:lang w:eastAsia="zh-CN"/>
        </w:rPr>
        <w:t>Objective Response Rate (ORR)</w:t>
      </w:r>
    </w:p>
    <w:p w14:paraId="77C41815">
      <w:pPr>
        <w:pStyle w:val="12"/>
        <w:spacing w:after="0" w:afterLines="0"/>
        <w:ind w:firstLine="480"/>
        <w:rPr>
          <w:lang w:eastAsia="zh-CN"/>
        </w:rPr>
      </w:pPr>
      <w:r>
        <w:rPr>
          <w:rFonts w:hint="eastAsia"/>
          <w:lang w:eastAsia="zh-CN"/>
        </w:rPr>
        <w:t>It refers to the proportion of subjects who are assessed as having a complete response (CR) or partial response (PR) according to the RECIST 1.1 criteria.</w:t>
      </w:r>
    </w:p>
    <w:p w14:paraId="2BF3F13D">
      <w:pPr>
        <w:pStyle w:val="3"/>
        <w:bidi w:val="0"/>
        <w:ind w:left="0" w:leftChars="0" w:firstLine="0" w:firstLineChars="0"/>
      </w:pPr>
      <w:bookmarkStart w:id="25" w:name="_Toc493504973"/>
      <w:bookmarkStart w:id="26" w:name="_Toc174019621"/>
      <w:bookmarkStart w:id="27" w:name="_Toc2475"/>
      <w:r>
        <w:t>Safety Endpoints</w:t>
      </w:r>
      <w:bookmarkEnd w:id="25"/>
      <w:bookmarkEnd w:id="26"/>
      <w:bookmarkEnd w:id="27"/>
    </w:p>
    <w:p w14:paraId="224159DC">
      <w:pPr>
        <w:pStyle w:val="12"/>
        <w:spacing w:after="156"/>
        <w:ind w:firstLine="480"/>
        <w:rPr>
          <w:lang w:val="en-US" w:eastAsia="zh-CN"/>
        </w:rPr>
      </w:pPr>
      <w:r>
        <w:rPr>
          <w:rFonts w:hint="eastAsia"/>
          <w:lang w:eastAsia="zh-CN"/>
        </w:rPr>
        <w:t>Drug treatment safety: The incidence and severity of adverse events (AE) are assessed according to the NCI-CTCAE v5.0 criteria.</w:t>
      </w:r>
    </w:p>
    <w:p w14:paraId="4A01361E">
      <w:pPr>
        <w:pStyle w:val="2"/>
        <w:bidi w:val="0"/>
        <w:ind w:left="0" w:leftChars="0" w:firstLine="0" w:firstLineChars="0"/>
      </w:pPr>
      <w:bookmarkStart w:id="28" w:name="_Toc30322"/>
      <w:bookmarkStart w:id="29" w:name="_Toc174019624"/>
      <w:r>
        <w:t>Analysis Sets</w:t>
      </w:r>
      <w:bookmarkEnd w:id="28"/>
      <w:bookmarkEnd w:id="29"/>
    </w:p>
    <w:p w14:paraId="2B85F637">
      <w:pPr>
        <w:pStyle w:val="3"/>
        <w:rPr>
          <w:rStyle w:val="68"/>
          <w:b w:val="0"/>
          <w:bCs w:val="0"/>
          <w:smallCaps w:val="0"/>
          <w:spacing w:val="0"/>
        </w:rPr>
      </w:pPr>
      <w:bookmarkStart w:id="30" w:name="_Toc23384"/>
      <w:bookmarkStart w:id="31" w:name="_Toc174019625"/>
      <w:r>
        <w:rPr>
          <w:rStyle w:val="68"/>
          <w:rFonts w:hint="eastAsia"/>
          <w:b w:val="0"/>
          <w:bCs w:val="0"/>
          <w:smallCaps w:val="0"/>
          <w:spacing w:val="0"/>
        </w:rPr>
        <w:t>Intent-to-Treat (ITT)</w:t>
      </w:r>
      <w:bookmarkEnd w:id="30"/>
      <w:r>
        <w:rPr>
          <w:rStyle w:val="68"/>
          <w:rFonts w:hint="eastAsia"/>
          <w:b w:val="0"/>
          <w:bCs w:val="0"/>
          <w:smallCaps w:val="0"/>
          <w:spacing w:val="0"/>
        </w:rPr>
        <w:t xml:space="preserve"> </w:t>
      </w:r>
      <w:bookmarkEnd w:id="31"/>
    </w:p>
    <w:p w14:paraId="4D43633D">
      <w:pPr>
        <w:pStyle w:val="12"/>
        <w:spacing w:after="156"/>
        <w:ind w:firstLine="480"/>
        <w:rPr>
          <w:lang w:val="en-US" w:eastAsia="zh-CN"/>
        </w:rPr>
      </w:pPr>
      <w:r>
        <w:rPr>
          <w:rFonts w:hint="eastAsia"/>
          <w:lang w:eastAsia="zh-CN"/>
        </w:rPr>
        <w:t>According to the ITT principle, it includes all subjects who were successfully screened, enrolled, and received at least one dose of the study treatment. The ITT population is the primary analysis population for efficacy in this study.</w:t>
      </w:r>
    </w:p>
    <w:p w14:paraId="2D42EB09">
      <w:pPr>
        <w:pStyle w:val="3"/>
        <w:rPr>
          <w:rStyle w:val="68"/>
          <w:b w:val="0"/>
          <w:bCs w:val="0"/>
          <w:smallCaps w:val="0"/>
          <w:spacing w:val="0"/>
        </w:rPr>
      </w:pPr>
      <w:bookmarkStart w:id="32" w:name="_Toc11559"/>
      <w:r>
        <w:rPr>
          <w:rStyle w:val="68"/>
          <w:rFonts w:hint="eastAsia"/>
          <w:b w:val="0"/>
          <w:bCs w:val="0"/>
          <w:smallCaps w:val="0"/>
          <w:spacing w:val="0"/>
        </w:rPr>
        <w:t>Per-Protocol Set (PPS)</w:t>
      </w:r>
      <w:bookmarkEnd w:id="32"/>
    </w:p>
    <w:p w14:paraId="7B3F83DE">
      <w:pPr>
        <w:pStyle w:val="12"/>
        <w:spacing w:after="156"/>
        <w:ind w:firstLine="480"/>
        <w:rPr>
          <w:lang w:eastAsia="zh-CN"/>
        </w:rPr>
      </w:pPr>
      <w:r>
        <w:rPr>
          <w:rFonts w:hint="eastAsia"/>
          <w:lang w:eastAsia="zh-CN"/>
        </w:rPr>
        <w:t>A subset of the ITT population, excluding subjects who have no evaluable data for the primary efficacy endpoint or who have major protocol deviations that are judged to have a material impact on the study results. The list of subjects to be included or excluded must be reviewed and finalized by the investigators prior to database lock.</w:t>
      </w:r>
    </w:p>
    <w:p w14:paraId="4EB2E66A">
      <w:pPr>
        <w:pStyle w:val="3"/>
        <w:rPr>
          <w:rStyle w:val="68"/>
          <w:b w:val="0"/>
          <w:bCs w:val="0"/>
          <w:smallCaps w:val="0"/>
          <w:spacing w:val="0"/>
        </w:rPr>
      </w:pPr>
      <w:bookmarkStart w:id="33" w:name="_Toc28587"/>
      <w:bookmarkStart w:id="34" w:name="_Toc174019627"/>
      <w:r>
        <w:rPr>
          <w:rStyle w:val="68"/>
          <w:rFonts w:hint="eastAsia"/>
          <w:b w:val="0"/>
          <w:bCs w:val="0"/>
          <w:smallCaps w:val="0"/>
          <w:spacing w:val="0"/>
          <w:lang w:val="en-US" w:eastAsia="zh-CN"/>
        </w:rPr>
        <w:t xml:space="preserve">Safety Set </w:t>
      </w:r>
      <w:r>
        <w:rPr>
          <w:rStyle w:val="68"/>
          <w:b w:val="0"/>
          <w:bCs w:val="0"/>
          <w:smallCaps w:val="0"/>
          <w:spacing w:val="0"/>
        </w:rPr>
        <w:t>(SS)</w:t>
      </w:r>
      <w:bookmarkEnd w:id="33"/>
      <w:bookmarkEnd w:id="34"/>
    </w:p>
    <w:p w14:paraId="403E59A2">
      <w:pPr>
        <w:pStyle w:val="12"/>
        <w:spacing w:after="156"/>
        <w:ind w:firstLine="480"/>
        <w:rPr>
          <w:lang w:eastAsia="zh-CN"/>
        </w:rPr>
      </w:pPr>
      <w:r>
        <w:rPr>
          <w:rFonts w:hint="eastAsia"/>
          <w:lang w:eastAsia="zh-CN"/>
        </w:rPr>
        <w:t>All subjects who are successfully screened, enrolled, and have received at least one administration of the study treatment will constitute the Safety Set (SS) for this study. The SS will be used for safety analyses.</w:t>
      </w:r>
    </w:p>
    <w:p w14:paraId="55A520B4">
      <w:pPr>
        <w:pStyle w:val="2"/>
        <w:bidi w:val="0"/>
        <w:ind w:left="0" w:leftChars="0" w:firstLine="0" w:firstLineChars="0"/>
      </w:pPr>
      <w:bookmarkStart w:id="35" w:name="_Toc5115"/>
      <w:bookmarkStart w:id="36" w:name="_Toc174019629"/>
      <w:bookmarkStart w:id="37" w:name="_Toc493504986"/>
      <w:r>
        <w:t>Statistical Analysis</w:t>
      </w:r>
      <w:bookmarkEnd w:id="35"/>
      <w:bookmarkEnd w:id="36"/>
    </w:p>
    <w:p w14:paraId="3AE46FA2">
      <w:pPr>
        <w:pStyle w:val="3"/>
        <w:bidi w:val="0"/>
        <w:ind w:left="0" w:leftChars="0" w:firstLine="0" w:firstLineChars="0"/>
      </w:pPr>
      <w:bookmarkStart w:id="38" w:name="_Toc26724"/>
      <w:bookmarkStart w:id="39" w:name="_Toc174019630"/>
      <w:r>
        <w:t>General Considerations</w:t>
      </w:r>
      <w:bookmarkEnd w:id="38"/>
      <w:bookmarkEnd w:id="39"/>
    </w:p>
    <w:p w14:paraId="2F16BA73">
      <w:pPr>
        <w:pStyle w:val="4"/>
        <w:bidi w:val="0"/>
        <w:ind w:left="0" w:leftChars="0" w:firstLine="0" w:firstLineChars="0"/>
        <w:rPr>
          <w:rFonts w:ascii="Times New Roman" w:hAnsi="Times New Roman" w:eastAsia="宋体" w:cs="Times New Roman"/>
          <w:sz w:val="24"/>
        </w:rPr>
      </w:pPr>
      <w:bookmarkStart w:id="40" w:name="_Toc174019631"/>
      <w:bookmarkStart w:id="41" w:name="_Toc22602"/>
      <w:r>
        <w:t>General Analysis Rule</w:t>
      </w:r>
      <w:bookmarkEnd w:id="37"/>
      <w:bookmarkEnd w:id="40"/>
      <w:bookmarkEnd w:id="41"/>
    </w:p>
    <w:p w14:paraId="39E3B88C">
      <w:pPr>
        <w:pStyle w:val="12"/>
        <w:spacing w:after="156"/>
        <w:ind w:firstLine="480"/>
        <w:outlineLvl w:val="9"/>
        <w:rPr>
          <w:rFonts w:hint="eastAsia"/>
          <w:b/>
          <w:lang w:val="en-US" w:eastAsia="zh-CN"/>
        </w:rPr>
      </w:pPr>
      <w:r>
        <w:rPr>
          <w:rFonts w:hint="eastAsia"/>
          <w:b/>
          <w:lang w:val="en-US" w:eastAsia="zh-CN"/>
        </w:rPr>
        <w:t>Baseline</w:t>
      </w:r>
      <w:bookmarkStart w:id="42" w:name="_Toc174019632"/>
      <w:bookmarkStart w:id="43" w:name="_Toc493504989"/>
    </w:p>
    <w:p w14:paraId="5B42455B">
      <w:pPr>
        <w:pStyle w:val="12"/>
        <w:spacing w:after="156"/>
        <w:ind w:firstLine="480"/>
        <w:outlineLvl w:val="9"/>
        <w:rPr>
          <w:rFonts w:hint="eastAsia"/>
          <w:lang w:eastAsia="zh-CN"/>
        </w:rPr>
      </w:pPr>
      <w:r>
        <w:rPr>
          <w:rFonts w:hint="eastAsia"/>
          <w:lang w:eastAsia="zh-CN"/>
        </w:rPr>
        <w:t>Unless otherwise specified, "baseline" in this study is defined as the last non-missing measurement prior to the first administration of the study drug, including measurements performed on the day of first dosing but before the first dose.</w:t>
      </w:r>
    </w:p>
    <w:p w14:paraId="50FB9021">
      <w:pPr>
        <w:numPr>
          <w:ilvl w:val="0"/>
          <w:numId w:val="0"/>
        </w:numPr>
        <w:ind w:leftChars="0"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If multiple measurements are taken on the same day:</w:t>
      </w:r>
    </w:p>
    <w:p w14:paraId="0372C8A9">
      <w:pPr>
        <w:numPr>
          <w:ilvl w:val="0"/>
          <w:numId w:val="0"/>
        </w:numPr>
        <w:ind w:leftChars="0"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If both a scheduled visit and an unscheduled visit are available, the scheduled visit will be considered the last measurement.</w:t>
      </w:r>
    </w:p>
    <w:p w14:paraId="017F4C9B">
      <w:pPr>
        <w:numPr>
          <w:ilvl w:val="0"/>
          <w:numId w:val="0"/>
        </w:numPr>
        <w:ind w:leftChars="0"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If no scheduled visit is available but there are multiple unscheduled visits, the value from the last valid pre-dose measurement at an unscheduled visit will be used.</w:t>
      </w:r>
    </w:p>
    <w:p w14:paraId="4DC61798">
      <w:pPr>
        <w:numPr>
          <w:ilvl w:val="0"/>
          <w:numId w:val="0"/>
        </w:numPr>
        <w:ind w:leftChars="0" w:firstLine="480" w:firstLineChars="200"/>
        <w:outlineLvl w:val="9"/>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Study Day</w:t>
      </w:r>
    </w:p>
    <w:p w14:paraId="47A3AEDF">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For safety analyses, the study start date is the day of the first administration of study treatment; for efficacy analyses, the study start date is the date of the first administration of study treatment. Study day for an assessment or event will be calculated relative to the study start date using the following formulas:</w:t>
      </w:r>
    </w:p>
    <w:p w14:paraId="6A6B766B">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If the assessment/event date is before the study start date, then Study Day = Assessment/Event Date − Study Start Date;</w:t>
      </w:r>
    </w:p>
    <w:p w14:paraId="616969F5">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If the assessment/event date is on or after the study start date, then Study Day = Assessment/Event Date − Study Start Date + 1.</w:t>
      </w:r>
    </w:p>
    <w:p w14:paraId="216993A0">
      <w:pPr>
        <w:ind w:firstLine="480" w:firstLineChars="200"/>
        <w:outlineLvl w:val="9"/>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General Analyses</w:t>
      </w:r>
    </w:p>
    <w:p w14:paraId="27341DEA">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Unless otherwise specified, descriptive statistics will be summarized according to variable type as follows:</w:t>
      </w:r>
    </w:p>
    <w:p w14:paraId="3B4F5D86">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Continuous data: mean, standard deviation, median, maximum, and minimum.</w:t>
      </w:r>
    </w:p>
    <w:p w14:paraId="5348EE8C">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Categorical data: frequency and percentage.</w:t>
      </w:r>
    </w:p>
    <w:p w14:paraId="38C89953">
      <w:pPr>
        <w:ind w:firstLine="480" w:firstLineChars="200"/>
        <w:outlineLvl w:val="9"/>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Decimal Places</w:t>
      </w:r>
    </w:p>
    <w:p w14:paraId="489687CB">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Unless otherwise specified, the number of decimal places in the analysis report will follow these rules:</w:t>
      </w:r>
    </w:p>
    <w:p w14:paraId="709D6979">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Mean, median, standard deviation, quartiles, minimum, and maximum will be reported to 1 decimal place.</w:t>
      </w:r>
    </w:p>
    <w:p w14:paraId="2D825B35">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Percentages will be reported to 1 decimal place.</w:t>
      </w:r>
    </w:p>
    <w:p w14:paraId="476504A4">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Median progression-free survival (PFS) or overall survival (OS) (months) will be reported to 1 decimal place.</w:t>
      </w:r>
    </w:p>
    <w:p w14:paraId="0A002D45">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95% confidence intervals (CIs) will be reported to 1 decimal place, consistent with the corresponding point estimate.</w:t>
      </w:r>
    </w:p>
    <w:p w14:paraId="35E0E661">
      <w:pPr>
        <w:ind w:firstLine="480" w:firstLineChars="200"/>
        <w:outlineLvl w:val="9"/>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Statistical Software</w:t>
      </w:r>
    </w:p>
    <w:p w14:paraId="4309A6F0">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All statistical analyses will be performed using IBM SPSS Statistics version 25.0 or later.</w:t>
      </w:r>
    </w:p>
    <w:p w14:paraId="08F758C1">
      <w:pPr>
        <w:ind w:firstLine="480" w:firstLineChars="200"/>
        <w:outlineLvl w:val="9"/>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Laboratory Test Results</w:t>
      </w:r>
    </w:p>
    <w:p w14:paraId="11836BF6">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Laboratory test results are generally continuous numeric variables or character variables. If a continuous numeric value recorded in the eCRF includes special characters (e.g., </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&lt;xx</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&gt;xx</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 it will be handled as follows:</w:t>
      </w:r>
    </w:p>
    <w:p w14:paraId="34E6BF69">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For </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&lt;xx</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 half of xx will be used for analysis.</w:t>
      </w:r>
    </w:p>
    <w:p w14:paraId="6F873830">
      <w:pPr>
        <w:ind w:firstLine="480" w:firstLineChars="200"/>
        <w:outlineLvl w:val="9"/>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For </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&gt;xx</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 xml:space="preserve"> or </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≥xx</w:t>
      </w:r>
      <w:r>
        <w:rPr>
          <w:rFonts w:hint="eastAsia" w:ascii="Times New Roman" w:hAnsi="Times New Roman" w:cs="Times New Roman"/>
          <w:sz w:val="24"/>
          <w:szCs w:val="24"/>
          <w:lang w:eastAsia="zh-CN"/>
        </w:rPr>
        <w:t>"</w:t>
      </w:r>
      <w:r>
        <w:rPr>
          <w:rFonts w:hint="default" w:ascii="Times New Roman" w:hAnsi="Times New Roman" w:cs="Times New Roman"/>
          <w:sz w:val="24"/>
          <w:szCs w:val="24"/>
          <w:lang w:eastAsia="zh-CN"/>
        </w:rPr>
        <w:t>, xx will be used for analysis.</w:t>
      </w:r>
    </w:p>
    <w:p w14:paraId="79D46EC9">
      <w:pPr>
        <w:pStyle w:val="4"/>
        <w:bidi w:val="0"/>
        <w:ind w:left="0" w:leftChars="0" w:firstLine="0" w:firstLineChars="0"/>
      </w:pPr>
      <w:bookmarkStart w:id="44" w:name="_Toc28070"/>
      <w:r>
        <w:t>Analysis Window</w:t>
      </w:r>
      <w:bookmarkEnd w:id="42"/>
      <w:bookmarkEnd w:id="43"/>
      <w:bookmarkEnd w:id="44"/>
    </w:p>
    <w:p w14:paraId="5593CFFD">
      <w:pPr>
        <w:pStyle w:val="12"/>
        <w:spacing w:after="156"/>
        <w:ind w:firstLine="480"/>
        <w:rPr>
          <w:rFonts w:hint="eastAsia"/>
          <w:lang w:eastAsia="zh-CN"/>
        </w:rPr>
      </w:pPr>
      <w:r>
        <w:rPr>
          <w:rFonts w:hint="eastAsia"/>
          <w:lang w:eastAsia="zh-CN"/>
        </w:rPr>
        <w:t>For post-baseline visits, summaries will be based on the protocol visits as recorded in the eCRF, without regard to whether assessments fall outside the protocol-defined visit time windows.</w:t>
      </w:r>
    </w:p>
    <w:p w14:paraId="70BB8D9E">
      <w:pPr>
        <w:pStyle w:val="12"/>
        <w:spacing w:after="156"/>
        <w:ind w:firstLine="480"/>
        <w:rPr>
          <w:lang w:eastAsia="zh-CN"/>
        </w:rPr>
      </w:pPr>
      <w:r>
        <w:rPr>
          <w:rFonts w:hint="eastAsia"/>
          <w:lang w:eastAsia="zh-CN"/>
        </w:rPr>
        <w:t>For table summaries analyzed by visit, statistical analyses will be performed according to the planned protocol visit time points; therefore, unscheduled visit time points will not be presented. For listings, all visits will be listed.</w:t>
      </w:r>
    </w:p>
    <w:p w14:paraId="6634EBEB">
      <w:pPr>
        <w:pStyle w:val="4"/>
        <w:rPr>
          <w:rFonts w:cs="Times New Roman"/>
          <w:szCs w:val="24"/>
        </w:rPr>
      </w:pPr>
      <w:bookmarkStart w:id="45" w:name="_Toc174019633"/>
      <w:bookmarkStart w:id="46" w:name="_Toc14613"/>
      <w:bookmarkStart w:id="47" w:name="_Ref72851641"/>
      <w:bookmarkStart w:id="48" w:name="_Toc493504990"/>
      <w:r>
        <w:rPr>
          <w:rFonts w:cs="Times New Roman"/>
          <w:szCs w:val="24"/>
        </w:rPr>
        <w:t>Missing Data</w:t>
      </w:r>
      <w:bookmarkEnd w:id="45"/>
      <w:bookmarkEnd w:id="46"/>
      <w:bookmarkEnd w:id="47"/>
      <w:bookmarkEnd w:id="48"/>
    </w:p>
    <w:p w14:paraId="39031EC9">
      <w:pPr>
        <w:pStyle w:val="5"/>
      </w:pPr>
      <w:r>
        <w:rPr>
          <w:rFonts w:hint="eastAsia"/>
        </w:rPr>
        <w:t>Missing Data for Adverse Events/Concomitant Medications (AE/CM)</w:t>
      </w:r>
    </w:p>
    <w:p w14:paraId="36F1BA81">
      <w:pPr>
        <w:pStyle w:val="12"/>
        <w:spacing w:after="156"/>
        <w:ind w:left="900" w:firstLine="0" w:firstLineChars="0"/>
        <w:rPr>
          <w:rFonts w:hint="eastAsia"/>
          <w:b/>
          <w:bCs/>
          <w:lang w:val="en-US" w:eastAsia="zh-CN"/>
        </w:rPr>
      </w:pPr>
      <w:r>
        <w:rPr>
          <w:rFonts w:hint="eastAsia"/>
          <w:b/>
          <w:bCs/>
          <w:lang w:val="en-US" w:eastAsia="zh-CN"/>
        </w:rPr>
        <w:t>Handling of missing start dates:</w:t>
      </w:r>
    </w:p>
    <w:p w14:paraId="54320E01">
      <w:pPr>
        <w:pStyle w:val="12"/>
        <w:spacing w:after="156"/>
        <w:rPr>
          <w:rFonts w:hint="eastAsia"/>
          <w:lang w:val="en-US" w:eastAsia="zh-CN"/>
        </w:rPr>
      </w:pPr>
      <w:r>
        <w:rPr>
          <w:rFonts w:hint="eastAsia"/>
          <w:lang w:val="en-US" w:eastAsia="zh-CN"/>
        </w:rPr>
        <w:t>If the start date is completely missing, no imputation will be performed.</w:t>
      </w:r>
    </w:p>
    <w:p w14:paraId="44E083D7">
      <w:pPr>
        <w:pStyle w:val="12"/>
        <w:spacing w:after="156"/>
        <w:rPr>
          <w:rFonts w:hint="eastAsia"/>
          <w:lang w:val="en-US" w:eastAsia="zh-CN"/>
        </w:rPr>
      </w:pPr>
      <w:r>
        <w:rPr>
          <w:rFonts w:hint="eastAsia"/>
          <w:lang w:val="en-US" w:eastAsia="zh-CN"/>
        </w:rPr>
        <w:t>If the day is missing and the year/month of the start date is the same as the year/month of the first study treatment, impute with the date of first study treatment; if the year/month of the start date is earlier than the year/month of the first study treatment, impute with the last day of that month; if the year/month of the start date is later than the year/month of the first study treatment, impute with the first day of that month.</w:t>
      </w:r>
    </w:p>
    <w:p w14:paraId="67A4F202">
      <w:pPr>
        <w:pStyle w:val="12"/>
        <w:spacing w:after="156"/>
        <w:rPr>
          <w:rFonts w:hint="eastAsia"/>
          <w:lang w:val="en-US" w:eastAsia="zh-CN"/>
        </w:rPr>
      </w:pPr>
      <w:r>
        <w:rPr>
          <w:rFonts w:hint="eastAsia"/>
          <w:lang w:val="en-US" w:eastAsia="zh-CN"/>
        </w:rPr>
        <w:t>If both month and day are missing, but the year of the start date is the same as the year of the first study treatment, impute with the date of first study treatment; if the year of the start date is earlier than the year of the first study treatment, impute with the last day of that year; if the year of the start date is later than the year of the first study treatment, impute with the first day of that year.</w:t>
      </w:r>
    </w:p>
    <w:p w14:paraId="1C13BEF7">
      <w:pPr>
        <w:pStyle w:val="12"/>
        <w:spacing w:after="156"/>
        <w:rPr>
          <w:rFonts w:hint="eastAsia"/>
          <w:lang w:val="en-US" w:eastAsia="zh-CN"/>
        </w:rPr>
      </w:pPr>
      <w:r>
        <w:rPr>
          <w:rFonts w:hint="eastAsia"/>
          <w:lang w:val="en-US" w:eastAsia="zh-CN"/>
        </w:rPr>
        <w:t>The imputed start date must not be earlier than the date of birth and must not be later than the corresponding end date or the subject's study end date.</w:t>
      </w:r>
    </w:p>
    <w:p w14:paraId="72E3603B">
      <w:pPr>
        <w:pStyle w:val="12"/>
        <w:spacing w:after="156"/>
        <w:ind w:left="900" w:firstLine="0" w:firstLineChars="0"/>
        <w:rPr>
          <w:rFonts w:hint="eastAsia"/>
          <w:lang w:val="en-US" w:eastAsia="zh-CN"/>
        </w:rPr>
      </w:pPr>
    </w:p>
    <w:p w14:paraId="19642F6B">
      <w:pPr>
        <w:pStyle w:val="12"/>
        <w:spacing w:after="156"/>
        <w:ind w:left="900" w:firstLine="0" w:firstLineChars="0"/>
        <w:rPr>
          <w:rFonts w:hint="eastAsia"/>
          <w:lang w:val="en-US" w:eastAsia="zh-CN"/>
        </w:rPr>
      </w:pPr>
      <w:r>
        <w:rPr>
          <w:rFonts w:hint="eastAsia"/>
          <w:b/>
          <w:bCs/>
          <w:lang w:val="en-US" w:eastAsia="zh-CN"/>
        </w:rPr>
        <w:t>Handling of missing end dates:</w:t>
      </w:r>
    </w:p>
    <w:p w14:paraId="612CFCAE">
      <w:pPr>
        <w:pStyle w:val="12"/>
        <w:spacing w:after="156"/>
        <w:rPr>
          <w:rFonts w:hint="eastAsia"/>
          <w:lang w:val="en-US" w:eastAsia="zh-CN"/>
        </w:rPr>
      </w:pPr>
      <w:r>
        <w:rPr>
          <w:rFonts w:hint="eastAsia"/>
          <w:lang w:val="en-US" w:eastAsia="zh-CN"/>
        </w:rPr>
        <w:t>If the end date is completely missing, no imputation will be performed.</w:t>
      </w:r>
    </w:p>
    <w:p w14:paraId="11E545A0">
      <w:pPr>
        <w:pStyle w:val="12"/>
        <w:spacing w:after="156"/>
        <w:rPr>
          <w:rFonts w:hint="eastAsia"/>
          <w:lang w:val="en-US" w:eastAsia="zh-CN"/>
        </w:rPr>
      </w:pPr>
      <w:r>
        <w:rPr>
          <w:rFonts w:hint="eastAsia"/>
          <w:lang w:val="en-US" w:eastAsia="zh-CN"/>
        </w:rPr>
        <w:t>If only the day is missing, impute to the last day of that month.</w:t>
      </w:r>
    </w:p>
    <w:p w14:paraId="518A91F2">
      <w:pPr>
        <w:pStyle w:val="12"/>
        <w:spacing w:after="156"/>
        <w:rPr>
          <w:rFonts w:hint="eastAsia"/>
          <w:lang w:val="en-US" w:eastAsia="zh-CN"/>
        </w:rPr>
      </w:pPr>
      <w:r>
        <w:rPr>
          <w:rFonts w:hint="eastAsia"/>
          <w:lang w:val="en-US" w:eastAsia="zh-CN"/>
        </w:rPr>
        <w:t>If both month and day are missing, impute to the last day of that year.</w:t>
      </w:r>
    </w:p>
    <w:p w14:paraId="02652C2D">
      <w:pPr>
        <w:pStyle w:val="12"/>
        <w:spacing w:after="156"/>
        <w:rPr>
          <w:lang w:val="en-US" w:eastAsia="zh-CN"/>
        </w:rPr>
      </w:pPr>
      <w:r>
        <w:rPr>
          <w:rFonts w:hint="eastAsia"/>
          <w:lang w:val="en-US" w:eastAsia="zh-CN"/>
        </w:rPr>
        <w:t>The imputed end date must not be later than the date of death.</w:t>
      </w:r>
    </w:p>
    <w:p w14:paraId="7E5C7384">
      <w:pPr>
        <w:pStyle w:val="5"/>
      </w:pPr>
      <w:r>
        <w:rPr>
          <w:rFonts w:hint="eastAsia"/>
        </w:rPr>
        <w:t>Incomplete Dates for Subsequent Anti-Tumor Therapy (Anti-Tumor Therapy)</w:t>
      </w:r>
    </w:p>
    <w:p w14:paraId="5D858166">
      <w:pPr>
        <w:pStyle w:val="12"/>
        <w:numPr>
          <w:ilvl w:val="0"/>
          <w:numId w:val="0"/>
        </w:numPr>
        <w:spacing w:after="156"/>
        <w:ind w:firstLine="480" w:firstLineChars="200"/>
        <w:jc w:val="left"/>
        <w:rPr>
          <w:rFonts w:hint="eastAsia"/>
          <w:lang w:val="en-US" w:eastAsia="zh-CN"/>
        </w:rPr>
      </w:pPr>
      <w:r>
        <w:rPr>
          <w:rFonts w:hint="eastAsia"/>
          <w:lang w:val="en-US" w:eastAsia="zh-CN"/>
        </w:rPr>
        <w:t>Unless there is clear evidence that subsequent anti-tumor therapy was initiated during study treatment or prior to disease progression, missing start dates for subsequent anti-tumor therapy will be handled as follows:</w:t>
      </w:r>
    </w:p>
    <w:p w14:paraId="53B1FC05">
      <w:pPr>
        <w:pStyle w:val="12"/>
        <w:numPr>
          <w:ilvl w:val="0"/>
          <w:numId w:val="0"/>
        </w:numPr>
        <w:spacing w:after="156"/>
        <w:ind w:firstLine="480" w:firstLineChars="200"/>
        <w:jc w:val="left"/>
        <w:rPr>
          <w:rFonts w:hint="eastAsia"/>
          <w:lang w:val="en-US" w:eastAsia="zh-CN"/>
        </w:rPr>
      </w:pPr>
      <w:r>
        <w:rPr>
          <w:rFonts w:hint="eastAsia"/>
          <w:lang w:val="en-US" w:eastAsia="zh-CN"/>
        </w:rPr>
        <w:t>If only the day is missing and the year/month is the same as the year/month of max(treatment end date, earliest PD date), impute the start date as max(treatment end date, earliest PD date) + 1. If the year/month of this imputed date is later than that of max(treatment end date, earliest PD date), then impute to the last day of the month of the partially missing date. If the year/month is earlier than that of max(treatment end date, earliest PD date), impute to the last day of that month; if the year/month is later, impute to the first day of that month.</w:t>
      </w:r>
    </w:p>
    <w:p w14:paraId="3AD520EE">
      <w:pPr>
        <w:pStyle w:val="12"/>
        <w:numPr>
          <w:ilvl w:val="0"/>
          <w:numId w:val="0"/>
        </w:numPr>
        <w:spacing w:after="156"/>
        <w:ind w:firstLine="480" w:firstLineChars="200"/>
        <w:jc w:val="left"/>
        <w:rPr>
          <w:rFonts w:hint="eastAsia"/>
          <w:lang w:val="en-US" w:eastAsia="zh-CN"/>
        </w:rPr>
      </w:pPr>
      <w:r>
        <w:rPr>
          <w:rFonts w:hint="eastAsia"/>
          <w:lang w:val="en-US" w:eastAsia="zh-CN"/>
        </w:rPr>
        <w:t>If both month and day are missing and the year is the same as the year of max(treatment end date, earliest PD date), impute the start date as max(treatment end date, earliest PD date) + 1. If max(treatment end date, earliest PD date) is the last day of that year, then impute to the last day of that year. If the year is earlier than the year of max(treatment end date, earliest PD date), impute to the last day of that year; if the year is later, impute to the first day of that year.</w:t>
      </w:r>
    </w:p>
    <w:p w14:paraId="0A513355">
      <w:pPr>
        <w:pStyle w:val="12"/>
        <w:numPr>
          <w:ilvl w:val="0"/>
          <w:numId w:val="0"/>
        </w:numPr>
        <w:spacing w:after="156"/>
        <w:ind w:firstLine="480" w:firstLineChars="200"/>
        <w:jc w:val="left"/>
        <w:rPr>
          <w:lang w:val="en-US" w:eastAsia="zh-CN"/>
        </w:rPr>
      </w:pPr>
      <w:r>
        <w:rPr>
          <w:rFonts w:hint="eastAsia"/>
          <w:lang w:val="en-US" w:eastAsia="zh-CN"/>
        </w:rPr>
        <w:t>If year, month, and day are all missing, no imputation will be performed.</w:t>
      </w:r>
    </w:p>
    <w:p w14:paraId="682AF0C2">
      <w:pPr>
        <w:pStyle w:val="5"/>
        <w:rPr>
          <w:rFonts w:hint="eastAsia"/>
        </w:rPr>
      </w:pPr>
      <w:r>
        <w:rPr>
          <w:rFonts w:hint="eastAsia"/>
        </w:rPr>
        <w:t>Incomplete Dates for Drug Exposure (EX)</w:t>
      </w:r>
    </w:p>
    <w:p w14:paraId="07A90846">
      <w:pPr>
        <w:pStyle w:val="12"/>
        <w:spacing w:after="0" w:afterLines="0"/>
        <w:ind w:firstLine="480"/>
        <w:rPr>
          <w:rFonts w:hint="eastAsia"/>
          <w:lang w:val="en-US" w:eastAsia="zh-CN"/>
        </w:rPr>
      </w:pPr>
      <w:r>
        <w:rPr>
          <w:rFonts w:hint="eastAsia"/>
          <w:lang w:val="en-US" w:eastAsia="zh-CN"/>
        </w:rPr>
        <w:t>Every effort should be made to obtain the actual start and end dates of dosing. If this is not feasible, imputation will be performed according to the rules below.</w:t>
      </w:r>
    </w:p>
    <w:p w14:paraId="1A780236">
      <w:pPr>
        <w:pStyle w:val="12"/>
        <w:spacing w:after="0" w:afterLines="0"/>
        <w:ind w:firstLine="480"/>
        <w:rPr>
          <w:rFonts w:hint="eastAsia"/>
          <w:b/>
          <w:bCs/>
          <w:lang w:val="en-US" w:eastAsia="zh-CN"/>
        </w:rPr>
      </w:pPr>
      <w:r>
        <w:rPr>
          <w:rFonts w:hint="eastAsia"/>
          <w:b/>
          <w:bCs/>
          <w:lang w:val="en-US" w:eastAsia="zh-CN"/>
        </w:rPr>
        <w:t>Handling of missing or incomplete first dosing date:</w:t>
      </w:r>
    </w:p>
    <w:p w14:paraId="71CA992A">
      <w:pPr>
        <w:pStyle w:val="12"/>
        <w:spacing w:after="0" w:afterLines="0"/>
        <w:ind w:firstLine="480"/>
        <w:rPr>
          <w:rFonts w:hint="eastAsia"/>
          <w:lang w:val="en-US" w:eastAsia="zh-CN"/>
        </w:rPr>
      </w:pPr>
      <w:r>
        <w:rPr>
          <w:rFonts w:hint="eastAsia"/>
          <w:lang w:val="en-US" w:eastAsia="zh-CN"/>
        </w:rPr>
        <w:t>If only the day is missing, impute as the 1st day of the month; if the imputed start date is earlier than the randomization date, then use the randomization date for imputation.</w:t>
      </w:r>
    </w:p>
    <w:p w14:paraId="04DF0505">
      <w:pPr>
        <w:pStyle w:val="12"/>
        <w:spacing w:after="0" w:afterLines="0"/>
        <w:ind w:firstLine="480"/>
        <w:rPr>
          <w:rFonts w:hint="eastAsia"/>
          <w:lang w:val="en-US" w:eastAsia="zh-CN"/>
        </w:rPr>
      </w:pPr>
      <w:r>
        <w:rPr>
          <w:rFonts w:hint="eastAsia"/>
          <w:lang w:val="en-US" w:eastAsia="zh-CN"/>
        </w:rPr>
        <w:t>If both day and month are missing, impute as January 1; if the imputed start date is earlier than the randomization date, then use the randomization date for imputation.</w:t>
      </w:r>
    </w:p>
    <w:p w14:paraId="786B2AEC">
      <w:pPr>
        <w:pStyle w:val="12"/>
        <w:spacing w:after="0" w:afterLines="0"/>
        <w:ind w:firstLine="480"/>
        <w:rPr>
          <w:rFonts w:hint="eastAsia"/>
          <w:lang w:val="en-US" w:eastAsia="zh-CN"/>
        </w:rPr>
      </w:pPr>
      <w:r>
        <w:rPr>
          <w:rFonts w:hint="eastAsia"/>
          <w:lang w:val="en-US" w:eastAsia="zh-CN"/>
        </w:rPr>
        <w:t>If year, month, and day are all missing, impute using the randomization date.</w:t>
      </w:r>
    </w:p>
    <w:p w14:paraId="0C00A100">
      <w:pPr>
        <w:pStyle w:val="12"/>
        <w:spacing w:after="0" w:afterLines="0"/>
        <w:ind w:firstLine="480"/>
        <w:rPr>
          <w:rFonts w:hint="eastAsia"/>
          <w:lang w:val="en-US" w:eastAsia="zh-CN"/>
        </w:rPr>
      </w:pPr>
    </w:p>
    <w:p w14:paraId="4B9628A6">
      <w:pPr>
        <w:pStyle w:val="12"/>
        <w:spacing w:after="0" w:afterLines="0"/>
        <w:ind w:firstLine="480"/>
        <w:rPr>
          <w:rFonts w:hint="eastAsia"/>
          <w:lang w:val="en-US" w:eastAsia="zh-CN"/>
        </w:rPr>
      </w:pPr>
      <w:r>
        <w:rPr>
          <w:rFonts w:hint="eastAsia"/>
          <w:lang w:val="en-US" w:eastAsia="zh-CN"/>
        </w:rPr>
        <w:t>If the imputed first dosing date is later than the last dosing date, the first dosing date will be imputed as the last dosing date.</w:t>
      </w:r>
    </w:p>
    <w:p w14:paraId="7643082C">
      <w:pPr>
        <w:pStyle w:val="12"/>
        <w:spacing w:after="0" w:afterLines="0"/>
        <w:ind w:firstLine="480"/>
        <w:rPr>
          <w:rFonts w:hint="eastAsia"/>
          <w:lang w:val="en-US" w:eastAsia="zh-CN"/>
        </w:rPr>
      </w:pPr>
      <w:r>
        <w:rPr>
          <w:rFonts w:hint="eastAsia"/>
          <w:b/>
          <w:bCs/>
          <w:lang w:val="en-US" w:eastAsia="zh-CN"/>
        </w:rPr>
        <w:t>Handling of missing or incomplete last dosing date:</w:t>
      </w:r>
    </w:p>
    <w:p w14:paraId="42325011">
      <w:pPr>
        <w:pStyle w:val="12"/>
        <w:spacing w:after="0" w:afterLines="0"/>
        <w:ind w:firstLine="480"/>
        <w:rPr>
          <w:rFonts w:hint="eastAsia"/>
          <w:lang w:val="en-US" w:eastAsia="zh-CN"/>
        </w:rPr>
      </w:pPr>
      <w:r>
        <w:rPr>
          <w:rFonts w:hint="eastAsia"/>
          <w:lang w:val="en-US" w:eastAsia="zh-CN"/>
        </w:rPr>
        <w:t>If only the day is missing:</w:t>
      </w:r>
    </w:p>
    <w:p w14:paraId="5B43233A">
      <w:pPr>
        <w:pStyle w:val="12"/>
        <w:spacing w:after="0" w:afterLines="0"/>
        <w:ind w:firstLine="480"/>
        <w:rPr>
          <w:rFonts w:hint="eastAsia"/>
          <w:lang w:val="en-US" w:eastAsia="zh-CN"/>
        </w:rPr>
      </w:pPr>
      <w:r>
        <w:rPr>
          <w:rFonts w:hint="eastAsia"/>
          <w:lang w:val="en-US" w:eastAsia="zh-CN"/>
        </w:rPr>
        <w:t>If the year and month indicate that the last dosing date is earlier than the treatment end date, impute to the last day of that month. The dosing cycle length constraint should also be considered.</w:t>
      </w:r>
    </w:p>
    <w:p w14:paraId="51FE69E9">
      <w:pPr>
        <w:pStyle w:val="12"/>
        <w:spacing w:after="0" w:afterLines="0"/>
        <w:ind w:firstLine="480"/>
        <w:rPr>
          <w:rFonts w:hint="eastAsia"/>
          <w:lang w:val="en-US" w:eastAsia="zh-CN"/>
        </w:rPr>
      </w:pPr>
      <w:r>
        <w:rPr>
          <w:rFonts w:hint="eastAsia"/>
          <w:lang w:val="en-US" w:eastAsia="zh-CN"/>
        </w:rPr>
        <w:t>If the year and month are the same as those of the treatment end date, impute to min(treatment end date, date of death). The dosing cycle length constraint should also be considered.</w:t>
      </w:r>
    </w:p>
    <w:p w14:paraId="1394F1A2">
      <w:pPr>
        <w:pStyle w:val="12"/>
        <w:spacing w:after="0" w:afterLines="0"/>
        <w:ind w:firstLine="480"/>
        <w:rPr>
          <w:rFonts w:hint="eastAsia"/>
          <w:lang w:val="en-US" w:eastAsia="zh-CN"/>
        </w:rPr>
      </w:pPr>
      <w:r>
        <w:rPr>
          <w:rFonts w:hint="eastAsia"/>
          <w:lang w:val="en-US" w:eastAsia="zh-CN"/>
        </w:rPr>
        <w:t>If both day and month are missing:</w:t>
      </w:r>
    </w:p>
    <w:p w14:paraId="6F2D129E">
      <w:pPr>
        <w:pStyle w:val="12"/>
        <w:spacing w:after="0" w:afterLines="0"/>
        <w:ind w:firstLine="480"/>
        <w:rPr>
          <w:rFonts w:hint="eastAsia"/>
          <w:lang w:val="en-US" w:eastAsia="zh-CN"/>
        </w:rPr>
      </w:pPr>
      <w:r>
        <w:rPr>
          <w:rFonts w:hint="eastAsia"/>
          <w:lang w:val="en-US" w:eastAsia="zh-CN"/>
        </w:rPr>
        <w:t>If the year indicates that the last dosing date is earlier than the treatment end date, impute to December 31 of that year.</w:t>
      </w:r>
    </w:p>
    <w:p w14:paraId="529610E9">
      <w:pPr>
        <w:pStyle w:val="12"/>
        <w:spacing w:after="0" w:afterLines="0"/>
        <w:ind w:firstLine="480"/>
        <w:rPr>
          <w:rFonts w:hint="eastAsia"/>
          <w:lang w:val="en-US" w:eastAsia="zh-CN"/>
        </w:rPr>
      </w:pPr>
      <w:r>
        <w:rPr>
          <w:rFonts w:hint="eastAsia"/>
          <w:lang w:val="en-US" w:eastAsia="zh-CN"/>
        </w:rPr>
        <w:t>If the year is the same as the year of the treatment end date, impute to min(treatment end date, date of death).</w:t>
      </w:r>
    </w:p>
    <w:p w14:paraId="48CBFBDF">
      <w:pPr>
        <w:pStyle w:val="12"/>
        <w:spacing w:after="0" w:afterLines="0"/>
        <w:ind w:firstLine="480"/>
        <w:rPr>
          <w:lang w:val="en-US" w:eastAsia="zh-CN"/>
        </w:rPr>
      </w:pPr>
      <w:r>
        <w:rPr>
          <w:rFonts w:hint="eastAsia"/>
          <w:lang w:val="en-US" w:eastAsia="zh-CN"/>
        </w:rPr>
        <w:t>In all other cases, impute to min(treatment end date, date of death).</w:t>
      </w:r>
    </w:p>
    <w:p w14:paraId="548A73DA">
      <w:pPr>
        <w:pStyle w:val="5"/>
      </w:pPr>
      <w:r>
        <w:rPr>
          <w:rFonts w:hint="eastAsia"/>
        </w:rPr>
        <w:t>Missing Date of Death</w:t>
      </w:r>
    </w:p>
    <w:p w14:paraId="1150EDB5">
      <w:pPr>
        <w:pStyle w:val="12"/>
        <w:spacing w:after="0" w:afterLines="0"/>
        <w:ind w:firstLine="480"/>
        <w:rPr>
          <w:rFonts w:hint="eastAsia"/>
          <w:lang w:val="en-US" w:eastAsia="zh-CN"/>
        </w:rPr>
      </w:pPr>
      <w:r>
        <w:rPr>
          <w:rFonts w:hint="eastAsia"/>
          <w:lang w:val="en-US" w:eastAsia="zh-CN"/>
        </w:rPr>
        <w:t>Imputation for missing date of death:</w:t>
      </w:r>
    </w:p>
    <w:p w14:paraId="717A1533">
      <w:pPr>
        <w:pStyle w:val="12"/>
        <w:spacing w:after="0" w:afterLines="0"/>
        <w:ind w:firstLine="480"/>
        <w:rPr>
          <w:rFonts w:hint="eastAsia"/>
          <w:lang w:val="en-US" w:eastAsia="zh-CN"/>
        </w:rPr>
      </w:pPr>
      <w:r>
        <w:rPr>
          <w:rFonts w:hint="eastAsia"/>
          <w:lang w:val="en-US" w:eastAsia="zh-CN"/>
        </w:rPr>
        <w:t>If only the day is missing:</w:t>
      </w:r>
    </w:p>
    <w:p w14:paraId="1E755BD5">
      <w:pPr>
        <w:pStyle w:val="12"/>
        <w:spacing w:after="0" w:afterLines="0"/>
        <w:ind w:firstLine="480"/>
        <w:rPr>
          <w:rFonts w:hint="eastAsia"/>
          <w:lang w:val="en-US" w:eastAsia="zh-CN"/>
        </w:rPr>
      </w:pPr>
      <w:r>
        <w:rPr>
          <w:rFonts w:hint="eastAsia"/>
          <w:lang w:val="en-US" w:eastAsia="zh-CN"/>
        </w:rPr>
        <w:t>Compare the year/month of the date of death with the year/month of the latest confirmed survival date. If they are the same, impute as (latest confirmed survival date + 1 day).</w:t>
      </w:r>
    </w:p>
    <w:p w14:paraId="5A213765">
      <w:pPr>
        <w:pStyle w:val="12"/>
        <w:spacing w:after="0" w:afterLines="0"/>
        <w:ind w:firstLine="480"/>
        <w:rPr>
          <w:rFonts w:hint="eastAsia"/>
          <w:lang w:val="en-US" w:eastAsia="zh-CN"/>
        </w:rPr>
      </w:pPr>
      <w:r>
        <w:rPr>
          <w:rFonts w:hint="eastAsia"/>
          <w:lang w:val="en-US" w:eastAsia="zh-CN"/>
        </w:rPr>
        <w:t>If the year/month of the date of death is later than the year/month of the latest confirmed survival date, impute as the first day of that month.</w:t>
      </w:r>
    </w:p>
    <w:p w14:paraId="63F64F5C">
      <w:pPr>
        <w:pStyle w:val="12"/>
        <w:spacing w:after="0" w:afterLines="0"/>
        <w:ind w:firstLine="480"/>
        <w:rPr>
          <w:rFonts w:hint="eastAsia"/>
          <w:lang w:val="en-US" w:eastAsia="zh-CN"/>
        </w:rPr>
      </w:pPr>
      <w:r>
        <w:rPr>
          <w:rFonts w:hint="eastAsia"/>
          <w:lang w:val="en-US" w:eastAsia="zh-CN"/>
        </w:rPr>
        <w:t>If both month and day are missing:</w:t>
      </w:r>
    </w:p>
    <w:p w14:paraId="0D4A40B9">
      <w:pPr>
        <w:pStyle w:val="12"/>
        <w:spacing w:after="0" w:afterLines="0"/>
        <w:ind w:firstLine="480"/>
        <w:rPr>
          <w:rFonts w:hint="eastAsia"/>
          <w:lang w:val="en-US" w:eastAsia="zh-CN"/>
        </w:rPr>
      </w:pPr>
      <w:r>
        <w:rPr>
          <w:rFonts w:hint="eastAsia"/>
          <w:lang w:val="en-US" w:eastAsia="zh-CN"/>
        </w:rPr>
        <w:t>If the year of death is later than the year of the latest known alive date, impute as January 1 of that year.</w:t>
      </w:r>
    </w:p>
    <w:p w14:paraId="3EAB6E12">
      <w:pPr>
        <w:pStyle w:val="12"/>
        <w:spacing w:after="0" w:afterLines="0"/>
        <w:ind w:firstLine="480"/>
        <w:rPr>
          <w:rFonts w:hint="eastAsia"/>
          <w:lang w:val="en-US" w:eastAsia="zh-CN"/>
        </w:rPr>
      </w:pPr>
      <w:r>
        <w:rPr>
          <w:rFonts w:hint="eastAsia"/>
          <w:lang w:val="en-US" w:eastAsia="zh-CN"/>
        </w:rPr>
        <w:t>If the year of death is the same as the year of the latest known alive date, impute as (latest known alive date + 1 day).</w:t>
      </w:r>
    </w:p>
    <w:p w14:paraId="4D1221DC">
      <w:pPr>
        <w:pStyle w:val="12"/>
        <w:spacing w:after="0" w:afterLines="0"/>
        <w:ind w:firstLine="480"/>
        <w:rPr>
          <w:rFonts w:hint="eastAsia"/>
          <w:lang w:val="en-US" w:eastAsia="zh-CN"/>
        </w:rPr>
      </w:pPr>
      <w:r>
        <w:rPr>
          <w:rFonts w:hint="eastAsia"/>
          <w:lang w:val="en-US" w:eastAsia="zh-CN"/>
        </w:rPr>
        <w:t>If the date is completely missing: impute as (latest known alive date + 1 day).</w:t>
      </w:r>
    </w:p>
    <w:p w14:paraId="12605620">
      <w:pPr>
        <w:pStyle w:val="12"/>
        <w:spacing w:after="0" w:afterLines="0"/>
        <w:ind w:firstLine="480"/>
        <w:rPr>
          <w:lang w:val="en-US" w:eastAsia="zh-CN"/>
        </w:rPr>
      </w:pPr>
      <w:r>
        <w:rPr>
          <w:rFonts w:hint="eastAsia"/>
          <w:lang w:val="en-US" w:eastAsia="zh-CN"/>
        </w:rPr>
        <w:t>No imputation will be performed for missing assessment data such as laboratory tests, ECGs, vital signs, etc.</w:t>
      </w:r>
    </w:p>
    <w:p w14:paraId="14D4BD41">
      <w:pPr>
        <w:pStyle w:val="3"/>
        <w:bidi w:val="0"/>
        <w:ind w:left="0" w:leftChars="0" w:firstLine="0" w:firstLineChars="0"/>
        <w:rPr>
          <w:lang w:eastAsia="en-US"/>
        </w:rPr>
      </w:pPr>
      <w:bookmarkStart w:id="49" w:name="_Toc17455"/>
      <w:bookmarkStart w:id="50" w:name="_Toc174019634"/>
      <w:bookmarkStart w:id="51" w:name="_Toc493504991"/>
      <w:r>
        <w:t>Study Subjects</w:t>
      </w:r>
      <w:bookmarkEnd w:id="49"/>
      <w:bookmarkEnd w:id="50"/>
      <w:bookmarkEnd w:id="51"/>
    </w:p>
    <w:p w14:paraId="3569DF0C">
      <w:pPr>
        <w:pStyle w:val="12"/>
        <w:numPr>
          <w:ilvl w:val="0"/>
          <w:numId w:val="0"/>
        </w:numPr>
        <w:spacing w:after="156"/>
        <w:ind w:firstLine="480" w:firstLineChars="200"/>
        <w:rPr>
          <w:rFonts w:hint="eastAsia"/>
          <w:lang w:val="en-US" w:eastAsia="zh-CN"/>
        </w:rPr>
      </w:pPr>
      <w:r>
        <w:rPr>
          <w:rFonts w:hint="eastAsia"/>
          <w:lang w:val="en-US" w:eastAsia="zh-CN"/>
        </w:rPr>
        <w:t>Unless otherwise specified, analyses of subject disposition will be based on the ITT set.</w:t>
      </w:r>
    </w:p>
    <w:p w14:paraId="4B442A7F">
      <w:pPr>
        <w:pStyle w:val="12"/>
        <w:numPr>
          <w:ilvl w:val="0"/>
          <w:numId w:val="0"/>
        </w:numPr>
        <w:spacing w:after="156"/>
        <w:ind w:firstLine="480" w:firstLineChars="200"/>
        <w:rPr>
          <w:rFonts w:hint="eastAsia"/>
          <w:lang w:val="en-US" w:eastAsia="zh-CN"/>
        </w:rPr>
      </w:pPr>
      <w:r>
        <w:rPr>
          <w:rFonts w:hint="eastAsia"/>
          <w:lang w:val="en-US" w:eastAsia="zh-CN"/>
        </w:rPr>
        <w:t>Disposition of Subjects</w:t>
      </w:r>
    </w:p>
    <w:p w14:paraId="2A18D1D2">
      <w:pPr>
        <w:pStyle w:val="12"/>
        <w:numPr>
          <w:ilvl w:val="0"/>
          <w:numId w:val="0"/>
        </w:numPr>
        <w:spacing w:after="156"/>
        <w:ind w:firstLine="480" w:firstLineChars="200"/>
        <w:rPr>
          <w:rFonts w:hint="eastAsia"/>
          <w:lang w:val="en-US" w:eastAsia="zh-CN"/>
        </w:rPr>
      </w:pPr>
      <w:r>
        <w:rPr>
          <w:rFonts w:hint="eastAsia"/>
          <w:lang w:val="en-US" w:eastAsia="zh-CN"/>
        </w:rPr>
        <w:t>Analyses of subjects entering screening and reasons for screening failure will be based on all screened subjects. All other subject disposition analyses will be based on the ITT set. The following numbers and percentages of subjects will be summarized and presented:</w:t>
      </w:r>
    </w:p>
    <w:p w14:paraId="4BEEC4A5">
      <w:pPr>
        <w:pStyle w:val="12"/>
        <w:numPr>
          <w:ilvl w:val="0"/>
          <w:numId w:val="6"/>
        </w:numPr>
        <w:spacing w:after="156"/>
        <w:ind w:firstLineChars="0"/>
        <w:rPr>
          <w:rFonts w:hint="eastAsia"/>
          <w:lang w:val="en-US" w:eastAsia="zh-CN"/>
        </w:rPr>
      </w:pPr>
      <w:r>
        <w:rPr>
          <w:rFonts w:hint="eastAsia"/>
          <w:lang w:val="en-US" w:eastAsia="zh-CN"/>
        </w:rPr>
        <w:t>Entered screening</w:t>
      </w:r>
    </w:p>
    <w:p w14:paraId="547621F2">
      <w:pPr>
        <w:pStyle w:val="12"/>
        <w:numPr>
          <w:ilvl w:val="0"/>
          <w:numId w:val="6"/>
        </w:numPr>
        <w:spacing w:after="156"/>
        <w:ind w:firstLineChars="0"/>
        <w:rPr>
          <w:rFonts w:hint="eastAsia"/>
          <w:lang w:val="en-US" w:eastAsia="zh-CN"/>
        </w:rPr>
      </w:pPr>
      <w:r>
        <w:rPr>
          <w:rFonts w:hint="eastAsia"/>
          <w:lang w:val="en-US" w:eastAsia="zh-CN"/>
        </w:rPr>
        <w:t>Screen failures and reasons</w:t>
      </w:r>
    </w:p>
    <w:p w14:paraId="00CA3478">
      <w:pPr>
        <w:pStyle w:val="12"/>
        <w:numPr>
          <w:ilvl w:val="0"/>
          <w:numId w:val="6"/>
        </w:numPr>
        <w:spacing w:after="156"/>
        <w:ind w:firstLineChars="0"/>
        <w:rPr>
          <w:rFonts w:hint="eastAsia"/>
          <w:lang w:val="en-US" w:eastAsia="zh-CN"/>
        </w:rPr>
      </w:pPr>
      <w:r>
        <w:rPr>
          <w:rFonts w:hint="eastAsia"/>
          <w:lang w:val="en-US" w:eastAsia="zh-CN"/>
        </w:rPr>
        <w:t>Received at least one dose of study drug during the treatment period</w:t>
      </w:r>
    </w:p>
    <w:p w14:paraId="179CA490">
      <w:pPr>
        <w:pStyle w:val="12"/>
        <w:numPr>
          <w:ilvl w:val="0"/>
          <w:numId w:val="6"/>
        </w:numPr>
        <w:spacing w:after="156"/>
        <w:ind w:firstLineChars="0"/>
        <w:rPr>
          <w:rFonts w:hint="eastAsia"/>
          <w:lang w:val="en-US" w:eastAsia="zh-CN"/>
        </w:rPr>
      </w:pPr>
      <w:r>
        <w:rPr>
          <w:rFonts w:hint="eastAsia"/>
          <w:lang w:val="en-US" w:eastAsia="zh-CN"/>
        </w:rPr>
        <w:t>Completed planned treatment: completed 8 cycles of treatment and underwent surgery early</w:t>
      </w:r>
    </w:p>
    <w:p w14:paraId="03D30A63">
      <w:pPr>
        <w:pStyle w:val="12"/>
        <w:numPr>
          <w:ilvl w:val="0"/>
          <w:numId w:val="6"/>
        </w:numPr>
        <w:spacing w:after="156"/>
        <w:ind w:firstLineChars="0"/>
        <w:rPr>
          <w:rFonts w:hint="eastAsia"/>
          <w:lang w:val="en-US" w:eastAsia="zh-CN"/>
        </w:rPr>
      </w:pPr>
      <w:r>
        <w:rPr>
          <w:rFonts w:hint="eastAsia"/>
          <w:lang w:val="en-US" w:eastAsia="zh-CN"/>
        </w:rPr>
        <w:t>Underwent surgery</w:t>
      </w:r>
    </w:p>
    <w:p w14:paraId="3296042E">
      <w:pPr>
        <w:pStyle w:val="12"/>
        <w:numPr>
          <w:ilvl w:val="0"/>
          <w:numId w:val="6"/>
        </w:numPr>
        <w:spacing w:after="156"/>
        <w:ind w:firstLineChars="0"/>
        <w:rPr>
          <w:rFonts w:hint="default"/>
          <w:lang w:val="en-US" w:eastAsia="zh-CN"/>
        </w:rPr>
      </w:pPr>
      <w:r>
        <w:rPr>
          <w:rFonts w:hint="eastAsia"/>
          <w:lang w:val="en-US" w:eastAsia="zh-CN"/>
        </w:rPr>
        <w:t>Did not undergo surgery and reasons</w:t>
      </w:r>
    </w:p>
    <w:p w14:paraId="0B8899E6">
      <w:pPr>
        <w:pStyle w:val="12"/>
        <w:numPr>
          <w:ilvl w:val="0"/>
          <w:numId w:val="6"/>
        </w:numPr>
        <w:spacing w:after="156"/>
        <w:ind w:firstLineChars="0"/>
        <w:rPr>
          <w:rFonts w:hint="eastAsia"/>
          <w:lang w:val="en-US" w:eastAsia="zh-CN"/>
        </w:rPr>
      </w:pPr>
      <w:r>
        <w:rPr>
          <w:rFonts w:hint="eastAsia"/>
          <w:lang w:val="en-US" w:eastAsia="zh-CN"/>
        </w:rPr>
        <w:t>Subsequent treatment after surgery</w:t>
      </w:r>
    </w:p>
    <w:p w14:paraId="71F05994">
      <w:pPr>
        <w:pStyle w:val="12"/>
        <w:numPr>
          <w:ilvl w:val="0"/>
          <w:numId w:val="6"/>
        </w:numPr>
        <w:spacing w:after="156"/>
        <w:ind w:firstLineChars="0"/>
        <w:rPr>
          <w:rFonts w:hint="eastAsia"/>
          <w:lang w:val="en-US" w:eastAsia="zh-CN"/>
        </w:rPr>
      </w:pPr>
      <w:r>
        <w:rPr>
          <w:rFonts w:hint="eastAsia"/>
          <w:lang w:val="en-US" w:eastAsia="zh-CN"/>
        </w:rPr>
        <w:t>Still in survival follow-up</w:t>
      </w:r>
    </w:p>
    <w:p w14:paraId="525B7159">
      <w:pPr>
        <w:pStyle w:val="12"/>
        <w:numPr>
          <w:ilvl w:val="0"/>
          <w:numId w:val="6"/>
        </w:numPr>
        <w:spacing w:after="156"/>
        <w:ind w:firstLineChars="0"/>
        <w:rPr>
          <w:rFonts w:hint="eastAsia"/>
          <w:lang w:val="en-US" w:eastAsia="zh-CN"/>
        </w:rPr>
      </w:pPr>
      <w:r>
        <w:rPr>
          <w:rFonts w:hint="eastAsia"/>
          <w:lang w:val="en-US" w:eastAsia="zh-CN"/>
        </w:rPr>
        <w:t>Discontinued from the study and reasons</w:t>
      </w:r>
    </w:p>
    <w:p w14:paraId="7B2CE64B">
      <w:pPr>
        <w:pStyle w:val="12"/>
        <w:numPr>
          <w:ilvl w:val="0"/>
          <w:numId w:val="6"/>
        </w:numPr>
        <w:spacing w:after="156"/>
        <w:ind w:firstLineChars="0"/>
        <w:rPr>
          <w:rFonts w:hint="eastAsia"/>
          <w:lang w:val="en-US" w:eastAsia="zh-CN"/>
        </w:rPr>
      </w:pPr>
      <w:r>
        <w:rPr>
          <w:rFonts w:hint="eastAsia"/>
          <w:lang w:val="en-US" w:eastAsia="zh-CN"/>
        </w:rPr>
        <w:t>Included in the Intent-to-Treat (ITT) set</w:t>
      </w:r>
    </w:p>
    <w:p w14:paraId="0BCCCA22">
      <w:pPr>
        <w:pStyle w:val="12"/>
        <w:numPr>
          <w:ilvl w:val="0"/>
          <w:numId w:val="6"/>
        </w:numPr>
        <w:spacing w:after="156"/>
        <w:ind w:firstLineChars="0"/>
        <w:rPr>
          <w:rFonts w:hint="eastAsia"/>
          <w:lang w:val="en-US" w:eastAsia="zh-CN"/>
        </w:rPr>
      </w:pPr>
      <w:r>
        <w:rPr>
          <w:rFonts w:hint="eastAsia"/>
          <w:lang w:val="en-US" w:eastAsia="zh-CN"/>
        </w:rPr>
        <w:t>Included in the Per-Protocol Set (PPS)</w:t>
      </w:r>
    </w:p>
    <w:p w14:paraId="47427DF0">
      <w:pPr>
        <w:pStyle w:val="12"/>
        <w:numPr>
          <w:ilvl w:val="0"/>
          <w:numId w:val="6"/>
        </w:numPr>
        <w:spacing w:after="156"/>
        <w:ind w:firstLineChars="0"/>
        <w:rPr>
          <w:lang w:val="en-US" w:eastAsia="zh-CN"/>
        </w:rPr>
      </w:pPr>
      <w:r>
        <w:rPr>
          <w:rFonts w:hint="eastAsia"/>
          <w:lang w:val="en-US" w:eastAsia="zh-CN"/>
        </w:rPr>
        <w:t>Included in the Safety Set (SS)</w:t>
      </w:r>
    </w:p>
    <w:p w14:paraId="5CE63D2C">
      <w:pPr>
        <w:pStyle w:val="4"/>
        <w:rPr>
          <w:rFonts w:cs="Times New Roman"/>
          <w:szCs w:val="24"/>
        </w:rPr>
      </w:pPr>
      <w:bookmarkStart w:id="52" w:name="_Toc493504993"/>
      <w:bookmarkStart w:id="53" w:name="_Toc174019636"/>
      <w:bookmarkStart w:id="54" w:name="_Toc27358"/>
      <w:r>
        <w:rPr>
          <w:rFonts w:cs="Times New Roman"/>
          <w:szCs w:val="24"/>
        </w:rPr>
        <w:t>Demographics</w:t>
      </w:r>
      <w:bookmarkEnd w:id="52"/>
      <w:r>
        <w:rPr>
          <w:rFonts w:cs="Times New Roman"/>
          <w:szCs w:val="24"/>
        </w:rPr>
        <w:t xml:space="preserve"> and Baseline Characteristics</w:t>
      </w:r>
      <w:bookmarkEnd w:id="53"/>
      <w:bookmarkEnd w:id="54"/>
    </w:p>
    <w:p w14:paraId="4B52F70F">
      <w:pPr>
        <w:pStyle w:val="12"/>
        <w:numPr>
          <w:ilvl w:val="0"/>
          <w:numId w:val="0"/>
        </w:numPr>
        <w:spacing w:after="156"/>
        <w:rPr>
          <w:rFonts w:hint="eastAsia"/>
          <w:lang w:val="en-US" w:eastAsia="zh-CN"/>
        </w:rPr>
      </w:pPr>
      <w:r>
        <w:rPr>
          <w:rFonts w:hint="eastAsia"/>
          <w:lang w:val="en-US" w:eastAsia="zh-CN"/>
        </w:rPr>
        <w:t>The following continuous variables will be summarized descriptively:</w:t>
      </w:r>
    </w:p>
    <w:p w14:paraId="1B42EFEC">
      <w:pPr>
        <w:pStyle w:val="12"/>
        <w:numPr>
          <w:ilvl w:val="0"/>
          <w:numId w:val="6"/>
        </w:numPr>
        <w:spacing w:after="156"/>
        <w:ind w:firstLineChars="0"/>
        <w:rPr>
          <w:rFonts w:hint="eastAsia"/>
          <w:lang w:val="en-US" w:eastAsia="zh-CN"/>
        </w:rPr>
      </w:pPr>
      <w:r>
        <w:rPr>
          <w:rFonts w:hint="eastAsia"/>
          <w:lang w:val="en-US" w:eastAsia="zh-CN"/>
        </w:rPr>
        <w:t>Age (years)</w:t>
      </w:r>
    </w:p>
    <w:p w14:paraId="0A415D90">
      <w:pPr>
        <w:pStyle w:val="12"/>
        <w:numPr>
          <w:ilvl w:val="0"/>
          <w:numId w:val="6"/>
        </w:numPr>
        <w:spacing w:after="156"/>
        <w:ind w:firstLineChars="0"/>
        <w:rPr>
          <w:rFonts w:hint="eastAsia"/>
          <w:lang w:val="en-US" w:eastAsia="zh-CN"/>
        </w:rPr>
      </w:pPr>
      <w:r>
        <w:rPr>
          <w:rFonts w:hint="eastAsia"/>
          <w:lang w:val="en-US" w:eastAsia="zh-CN"/>
        </w:rPr>
        <w:t>Albumin (g/L)</w:t>
      </w:r>
    </w:p>
    <w:p w14:paraId="0B139AD3">
      <w:pPr>
        <w:pStyle w:val="12"/>
        <w:numPr>
          <w:ilvl w:val="0"/>
          <w:numId w:val="6"/>
        </w:numPr>
        <w:spacing w:after="156"/>
        <w:ind w:firstLineChars="0"/>
        <w:rPr>
          <w:rFonts w:hint="eastAsia"/>
          <w:lang w:val="en-US" w:eastAsia="zh-CN"/>
        </w:rPr>
      </w:pPr>
      <w:r>
        <w:rPr>
          <w:rFonts w:hint="eastAsia"/>
          <w:lang w:val="en-US" w:eastAsia="zh-CN"/>
        </w:rPr>
        <w:t>CEA (ng/mL)</w:t>
      </w:r>
    </w:p>
    <w:p w14:paraId="36023B8C">
      <w:pPr>
        <w:pStyle w:val="12"/>
        <w:numPr>
          <w:ilvl w:val="0"/>
          <w:numId w:val="6"/>
        </w:numPr>
        <w:spacing w:after="156"/>
        <w:ind w:firstLineChars="0"/>
        <w:rPr>
          <w:rFonts w:hint="eastAsia"/>
          <w:lang w:val="en-US" w:eastAsia="zh-CN"/>
        </w:rPr>
      </w:pPr>
      <w:r>
        <w:rPr>
          <w:rFonts w:hint="eastAsia"/>
          <w:lang w:val="en-US" w:eastAsia="zh-CN"/>
        </w:rPr>
        <w:t>CA125 (U/mL)</w:t>
      </w:r>
    </w:p>
    <w:p w14:paraId="67F2F833">
      <w:pPr>
        <w:pStyle w:val="12"/>
        <w:numPr>
          <w:ilvl w:val="0"/>
          <w:numId w:val="6"/>
        </w:numPr>
        <w:spacing w:after="156"/>
        <w:ind w:firstLineChars="0"/>
        <w:rPr>
          <w:rFonts w:hint="eastAsia"/>
          <w:lang w:val="en-US" w:eastAsia="zh-CN"/>
        </w:rPr>
      </w:pPr>
      <w:r>
        <w:rPr>
          <w:rFonts w:hint="eastAsia"/>
          <w:lang w:val="en-US" w:eastAsia="zh-CN"/>
        </w:rPr>
        <w:t>CA19-9 (U/mL)</w:t>
      </w:r>
    </w:p>
    <w:p w14:paraId="2D940295">
      <w:pPr>
        <w:pStyle w:val="12"/>
        <w:numPr>
          <w:ilvl w:val="0"/>
          <w:numId w:val="6"/>
        </w:numPr>
        <w:spacing w:after="156"/>
        <w:ind w:firstLineChars="0"/>
        <w:rPr>
          <w:rFonts w:hint="eastAsia"/>
          <w:lang w:val="en-US" w:eastAsia="zh-CN"/>
        </w:rPr>
      </w:pPr>
      <w:r>
        <w:rPr>
          <w:rFonts w:hint="eastAsia"/>
          <w:lang w:val="en-US" w:eastAsia="zh-CN"/>
        </w:rPr>
        <w:t>Sum of longest diameters of pancreatic tumors (cm)</w:t>
      </w:r>
    </w:p>
    <w:p w14:paraId="4926FCBA">
      <w:pPr>
        <w:pStyle w:val="12"/>
        <w:numPr>
          <w:ilvl w:val="0"/>
          <w:numId w:val="6"/>
        </w:numPr>
        <w:spacing w:after="156"/>
        <w:ind w:firstLineChars="0"/>
        <w:rPr>
          <w:rFonts w:hint="eastAsia"/>
          <w:lang w:val="en-US" w:eastAsia="zh-CN"/>
        </w:rPr>
      </w:pPr>
      <w:r>
        <w:rPr>
          <w:rFonts w:hint="eastAsia"/>
          <w:lang w:val="en-US" w:eastAsia="zh-CN"/>
        </w:rPr>
        <w:t>Age will be calculated as the integer part of: (informed consent signature date − date of birth + 1) / 365.25.</w:t>
      </w:r>
    </w:p>
    <w:p w14:paraId="6ABF0E0B">
      <w:pPr>
        <w:pStyle w:val="12"/>
        <w:numPr>
          <w:ilvl w:val="0"/>
          <w:numId w:val="0"/>
        </w:numPr>
        <w:spacing w:after="156"/>
        <w:rPr>
          <w:rFonts w:hint="eastAsia"/>
          <w:lang w:val="en-US" w:eastAsia="zh-CN"/>
        </w:rPr>
      </w:pPr>
      <w:r>
        <w:rPr>
          <w:rFonts w:hint="eastAsia"/>
          <w:lang w:val="en-US" w:eastAsia="zh-CN"/>
        </w:rPr>
        <w:t>The numbers and percentages of subjects will be summarized for the following categorical variables:</w:t>
      </w:r>
    </w:p>
    <w:p w14:paraId="3E963E79">
      <w:pPr>
        <w:pStyle w:val="12"/>
        <w:numPr>
          <w:ilvl w:val="0"/>
          <w:numId w:val="6"/>
        </w:numPr>
        <w:spacing w:after="156"/>
        <w:ind w:firstLineChars="0"/>
        <w:rPr>
          <w:rFonts w:hint="eastAsia"/>
          <w:lang w:val="en-US" w:eastAsia="zh-CN"/>
        </w:rPr>
      </w:pPr>
      <w:r>
        <w:rPr>
          <w:rFonts w:hint="eastAsia"/>
          <w:lang w:val="en-US" w:eastAsia="zh-CN"/>
        </w:rPr>
        <w:t>Sex (male, female)</w:t>
      </w:r>
    </w:p>
    <w:p w14:paraId="39C7DA76">
      <w:pPr>
        <w:pStyle w:val="12"/>
        <w:numPr>
          <w:ilvl w:val="0"/>
          <w:numId w:val="6"/>
        </w:numPr>
        <w:spacing w:after="156"/>
        <w:ind w:firstLineChars="0"/>
        <w:rPr>
          <w:rFonts w:hint="eastAsia"/>
          <w:lang w:val="en-US" w:eastAsia="zh-CN"/>
        </w:rPr>
      </w:pPr>
      <w:r>
        <w:rPr>
          <w:rFonts w:hint="eastAsia"/>
          <w:lang w:val="en-US" w:eastAsia="zh-CN"/>
        </w:rPr>
        <w:t>ECOG performance status (0, 1)</w:t>
      </w:r>
    </w:p>
    <w:p w14:paraId="3F5EDB25">
      <w:pPr>
        <w:pStyle w:val="12"/>
        <w:numPr>
          <w:ilvl w:val="0"/>
          <w:numId w:val="6"/>
        </w:numPr>
        <w:spacing w:after="156"/>
        <w:ind w:firstLineChars="0"/>
        <w:rPr>
          <w:rFonts w:hint="eastAsia"/>
          <w:lang w:val="en-US" w:eastAsia="zh-CN"/>
        </w:rPr>
      </w:pPr>
      <w:r>
        <w:rPr>
          <w:rFonts w:hint="eastAsia"/>
          <w:lang w:val="en-US" w:eastAsia="zh-CN"/>
        </w:rPr>
        <w:t>Age group (&lt;65 years, ≥65 years)</w:t>
      </w:r>
    </w:p>
    <w:p w14:paraId="1D222E6D">
      <w:pPr>
        <w:pStyle w:val="12"/>
        <w:numPr>
          <w:ilvl w:val="0"/>
          <w:numId w:val="6"/>
        </w:numPr>
        <w:spacing w:after="156"/>
        <w:ind w:firstLineChars="0"/>
        <w:rPr>
          <w:rFonts w:hint="eastAsia"/>
          <w:lang w:val="en-US" w:eastAsia="zh-CN"/>
        </w:rPr>
      </w:pPr>
      <w:r>
        <w:rPr>
          <w:rFonts w:hint="eastAsia"/>
          <w:lang w:val="en-US" w:eastAsia="zh-CN"/>
        </w:rPr>
        <w:t>Neutrophil-to-lymphocyte ratio (≤5, &gt;5, unknown)</w:t>
      </w:r>
    </w:p>
    <w:p w14:paraId="43ABCEBF">
      <w:pPr>
        <w:pStyle w:val="12"/>
        <w:numPr>
          <w:ilvl w:val="0"/>
          <w:numId w:val="6"/>
        </w:numPr>
        <w:spacing w:after="156"/>
        <w:ind w:firstLineChars="0"/>
        <w:rPr>
          <w:rFonts w:hint="eastAsia"/>
          <w:lang w:val="en-US" w:eastAsia="zh-CN"/>
        </w:rPr>
      </w:pPr>
      <w:r>
        <w:rPr>
          <w:rFonts w:hint="eastAsia"/>
          <w:lang w:val="en-US" w:eastAsia="zh-CN"/>
        </w:rPr>
        <w:t>CEA (normal, abnormal, unknown)</w:t>
      </w:r>
    </w:p>
    <w:p w14:paraId="2289620C">
      <w:pPr>
        <w:pStyle w:val="12"/>
        <w:numPr>
          <w:ilvl w:val="0"/>
          <w:numId w:val="6"/>
        </w:numPr>
        <w:spacing w:after="156"/>
        <w:ind w:firstLineChars="0"/>
        <w:rPr>
          <w:rFonts w:hint="eastAsia"/>
          <w:lang w:val="en-US" w:eastAsia="zh-CN"/>
        </w:rPr>
      </w:pPr>
      <w:r>
        <w:rPr>
          <w:rFonts w:hint="eastAsia"/>
          <w:lang w:val="en-US" w:eastAsia="zh-CN"/>
        </w:rPr>
        <w:t>CA125 (normal, abnormal, unknown)</w:t>
      </w:r>
    </w:p>
    <w:p w14:paraId="17339687">
      <w:pPr>
        <w:pStyle w:val="12"/>
        <w:numPr>
          <w:ilvl w:val="0"/>
          <w:numId w:val="6"/>
        </w:numPr>
        <w:spacing w:after="156"/>
        <w:ind w:firstLineChars="0"/>
        <w:rPr>
          <w:lang w:val="en-US" w:eastAsia="zh-CN"/>
        </w:rPr>
      </w:pPr>
      <w:r>
        <w:rPr>
          <w:rFonts w:hint="eastAsia"/>
          <w:lang w:val="en-US" w:eastAsia="zh-CN"/>
        </w:rPr>
        <w:t>CA19-9 (normal, abnormal, unknown)</w:t>
      </w:r>
    </w:p>
    <w:p w14:paraId="7B6DEEC0">
      <w:pPr>
        <w:pStyle w:val="4"/>
        <w:rPr>
          <w:rFonts w:cs="Times New Roman"/>
          <w:szCs w:val="24"/>
        </w:rPr>
      </w:pPr>
      <w:bookmarkStart w:id="55" w:name="_Toc11851"/>
      <w:bookmarkStart w:id="56" w:name="_Toc493504995"/>
      <w:r>
        <w:rPr>
          <w:rFonts w:cs="Times New Roman"/>
          <w:szCs w:val="24"/>
        </w:rPr>
        <w:t xml:space="preserve">History of </w:t>
      </w:r>
      <w:r>
        <w:rPr>
          <w:rFonts w:hint="eastAsia" w:cs="Times New Roman"/>
          <w:szCs w:val="24"/>
        </w:rPr>
        <w:t>T</w:t>
      </w:r>
      <w:r>
        <w:rPr>
          <w:rFonts w:cs="Times New Roman"/>
          <w:szCs w:val="24"/>
        </w:rPr>
        <w:t xml:space="preserve">umor </w:t>
      </w:r>
      <w:r>
        <w:rPr>
          <w:rFonts w:hint="eastAsia" w:cs="Times New Roman"/>
          <w:szCs w:val="24"/>
        </w:rPr>
        <w:t>D</w:t>
      </w:r>
      <w:r>
        <w:rPr>
          <w:rFonts w:cs="Times New Roman"/>
          <w:szCs w:val="24"/>
        </w:rPr>
        <w:t>iagnosis</w:t>
      </w:r>
      <w:bookmarkEnd w:id="55"/>
    </w:p>
    <w:p w14:paraId="4D65BF85">
      <w:pPr>
        <w:pStyle w:val="12"/>
        <w:numPr>
          <w:ilvl w:val="0"/>
          <w:numId w:val="0"/>
        </w:numPr>
        <w:spacing w:after="156"/>
        <w:rPr>
          <w:rFonts w:hint="eastAsia"/>
          <w:lang w:val="en-US" w:eastAsia="zh-CN"/>
        </w:rPr>
      </w:pPr>
      <w:r>
        <w:rPr>
          <w:rFonts w:hint="eastAsia"/>
          <w:lang w:val="en-US" w:eastAsia="zh-CN"/>
        </w:rPr>
        <w:t>Tumor diagnosis history information is recorded on the eCRF "Tumor Diagnosis" page. Based on the ITT set, the following information will be summarized and presented as the number and percentage of subjects:</w:t>
      </w:r>
    </w:p>
    <w:p w14:paraId="0A72499C">
      <w:pPr>
        <w:pStyle w:val="12"/>
        <w:numPr>
          <w:ilvl w:val="0"/>
          <w:numId w:val="6"/>
        </w:numPr>
        <w:spacing w:after="156"/>
        <w:ind w:firstLineChars="0"/>
        <w:rPr>
          <w:rFonts w:hint="eastAsia"/>
          <w:lang w:val="en-US" w:eastAsia="zh-CN"/>
        </w:rPr>
      </w:pPr>
      <w:r>
        <w:rPr>
          <w:rFonts w:hint="eastAsia"/>
          <w:lang w:val="en-US" w:eastAsia="zh-CN"/>
        </w:rPr>
        <w:t>Primary tumor location (pancreatic head, pancreatic body or pancreatic tail)</w:t>
      </w:r>
    </w:p>
    <w:p w14:paraId="0EC23AC9">
      <w:pPr>
        <w:pStyle w:val="12"/>
        <w:numPr>
          <w:ilvl w:val="0"/>
          <w:numId w:val="6"/>
        </w:numPr>
        <w:spacing w:after="156"/>
        <w:ind w:firstLineChars="0"/>
        <w:rPr>
          <w:rFonts w:hint="eastAsia"/>
          <w:lang w:val="en-US" w:eastAsia="zh-CN"/>
        </w:rPr>
      </w:pPr>
      <w:r>
        <w:rPr>
          <w:rFonts w:hint="eastAsia"/>
          <w:lang w:val="en-US" w:eastAsia="zh-CN"/>
        </w:rPr>
        <w:t>Lymph node status (negative, positive, unknown)</w:t>
      </w:r>
    </w:p>
    <w:p w14:paraId="61F06E7B">
      <w:pPr>
        <w:pStyle w:val="12"/>
        <w:numPr>
          <w:ilvl w:val="0"/>
          <w:numId w:val="6"/>
        </w:numPr>
        <w:spacing w:after="156"/>
        <w:ind w:firstLineChars="0"/>
        <w:rPr>
          <w:lang w:val="en-US" w:eastAsia="zh-CN"/>
        </w:rPr>
      </w:pPr>
      <w:r>
        <w:rPr>
          <w:rFonts w:hint="eastAsia"/>
          <w:lang w:val="en-US" w:eastAsia="zh-CN"/>
        </w:rPr>
        <w:t>Vascular involvement (celiac trunk, superior mesenteric artery, common hepatic artery, proper hepatic artery, portal vein, superior mesenteric vein)</w:t>
      </w:r>
    </w:p>
    <w:bookmarkEnd w:id="56"/>
    <w:p w14:paraId="1377D5CF">
      <w:pPr>
        <w:pStyle w:val="4"/>
        <w:rPr>
          <w:rFonts w:cs="Times New Roman"/>
          <w:szCs w:val="24"/>
        </w:rPr>
      </w:pPr>
      <w:bookmarkStart w:id="57" w:name="_Toc174019642"/>
      <w:bookmarkStart w:id="58" w:name="_Toc20296"/>
      <w:bookmarkStart w:id="59" w:name="_Toc493504996"/>
      <w:r>
        <w:rPr>
          <w:rFonts w:cs="Times New Roman"/>
          <w:szCs w:val="24"/>
        </w:rPr>
        <w:t>Anti-Tumor Therapy</w:t>
      </w:r>
      <w:bookmarkEnd w:id="57"/>
      <w:bookmarkEnd w:id="58"/>
    </w:p>
    <w:p w14:paraId="6D34D37B">
      <w:pPr>
        <w:pStyle w:val="12"/>
        <w:spacing w:after="156"/>
        <w:rPr>
          <w:rFonts w:hint="eastAsia"/>
          <w:lang w:val="en-US" w:eastAsia="zh-CN"/>
        </w:rPr>
      </w:pPr>
      <w:r>
        <w:rPr>
          <w:rFonts w:hint="eastAsia"/>
          <w:lang w:val="en-US" w:eastAsia="zh-CN"/>
        </w:rPr>
        <w:t>This study recommends the following subsequent anti-tumor therapies: continuation of the original regimen, concurrent chemoradiotherapy, and surgery; however, these are not mandatory. In addition, based on the investigator's/patient's preference, other options such as systemic therapy and radiotherapy may also be selected. The information is recorded on the following eCRF pages: "Subsequent Anti-Tumor Therapy_Continuation of Original Regimen", "Subsequent Anti-Tumor Therapy_Concurrent Chemoradiotherapy", "Subsequent Anti-Tumor Therapy_Surgery", "Subsequent Anti-Tumor Therapy_Systemic Therapy", and "Subsequent Anti-Tumor Therapy_Radiotherapy".</w:t>
      </w:r>
    </w:p>
    <w:p w14:paraId="2D633A71">
      <w:pPr>
        <w:pStyle w:val="12"/>
        <w:spacing w:after="156"/>
        <w:rPr>
          <w:rFonts w:hint="eastAsia"/>
          <w:lang w:val="en-US" w:eastAsia="zh-CN"/>
        </w:rPr>
      </w:pPr>
      <w:r>
        <w:rPr>
          <w:rFonts w:hint="eastAsia"/>
          <w:lang w:val="en-US" w:eastAsia="zh-CN"/>
        </w:rPr>
        <w:t>Based on the ITT analysis set, the numbers and percentages of subjects will be summarized for the following items:</w:t>
      </w:r>
    </w:p>
    <w:p w14:paraId="41C0B05D">
      <w:pPr>
        <w:pStyle w:val="12"/>
        <w:spacing w:after="156"/>
        <w:ind w:left="480" w:firstLine="0" w:firstLineChars="0"/>
        <w:rPr>
          <w:rFonts w:hint="eastAsia"/>
          <w:lang w:val="en-US" w:eastAsia="zh-CN"/>
        </w:rPr>
      </w:pPr>
      <w:r>
        <w:rPr>
          <w:rFonts w:hint="eastAsia"/>
          <w:lang w:val="en-US" w:eastAsia="zh-CN"/>
        </w:rPr>
        <w:t>Received systemic therapy (yes, no)</w:t>
      </w:r>
    </w:p>
    <w:p w14:paraId="6DD4C6A1">
      <w:pPr>
        <w:pStyle w:val="12"/>
        <w:spacing w:after="156"/>
        <w:ind w:left="480" w:firstLine="0" w:firstLineChars="0"/>
        <w:rPr>
          <w:rFonts w:hint="eastAsia"/>
          <w:lang w:val="en-US" w:eastAsia="zh-CN"/>
        </w:rPr>
      </w:pPr>
      <w:r>
        <w:rPr>
          <w:rFonts w:hint="eastAsia"/>
          <w:lang w:val="en-US" w:eastAsia="zh-CN"/>
        </w:rPr>
        <w:t>Continued the original regimen (yes, no)</w:t>
      </w:r>
    </w:p>
    <w:p w14:paraId="75C04067">
      <w:pPr>
        <w:pStyle w:val="12"/>
        <w:spacing w:after="156"/>
        <w:ind w:left="480" w:firstLine="0" w:firstLineChars="0"/>
        <w:rPr>
          <w:rFonts w:hint="eastAsia"/>
          <w:lang w:val="en-US" w:eastAsia="zh-CN"/>
        </w:rPr>
      </w:pPr>
      <w:r>
        <w:rPr>
          <w:rFonts w:hint="eastAsia"/>
          <w:lang w:val="en-US" w:eastAsia="zh-CN"/>
        </w:rPr>
        <w:t>Received radiotherapy (yes, no)</w:t>
      </w:r>
    </w:p>
    <w:p w14:paraId="258AB958">
      <w:pPr>
        <w:pStyle w:val="12"/>
        <w:spacing w:after="156"/>
        <w:ind w:left="480" w:firstLine="0" w:firstLineChars="0"/>
        <w:rPr>
          <w:rFonts w:hint="eastAsia"/>
          <w:lang w:val="en-US" w:eastAsia="zh-CN"/>
        </w:rPr>
      </w:pPr>
      <w:r>
        <w:rPr>
          <w:rFonts w:hint="eastAsia"/>
          <w:lang w:val="en-US" w:eastAsia="zh-CN"/>
        </w:rPr>
        <w:t>Received concurrent chemoradiotherapy (yes, no)</w:t>
      </w:r>
    </w:p>
    <w:p w14:paraId="5716A98E">
      <w:pPr>
        <w:pStyle w:val="12"/>
        <w:spacing w:after="156"/>
        <w:ind w:left="480" w:firstLine="0" w:firstLineChars="0"/>
        <w:rPr>
          <w:rFonts w:hint="eastAsia"/>
          <w:lang w:val="en-US" w:eastAsia="zh-CN"/>
        </w:rPr>
      </w:pPr>
      <w:r>
        <w:rPr>
          <w:rFonts w:hint="eastAsia"/>
          <w:lang w:val="en-US" w:eastAsia="zh-CN"/>
        </w:rPr>
        <w:t>Underwent surgery (yes, no)</w:t>
      </w:r>
    </w:p>
    <w:p w14:paraId="600E4F8D">
      <w:pPr>
        <w:pStyle w:val="12"/>
        <w:spacing w:after="156"/>
        <w:rPr>
          <w:lang w:val="en-US" w:eastAsia="zh-CN"/>
        </w:rPr>
      </w:pPr>
      <w:r>
        <w:rPr>
          <w:rFonts w:hint="eastAsia"/>
          <w:lang w:val="en-US" w:eastAsia="zh-CN"/>
        </w:rPr>
        <w:t>In addition, detailed information on subsequent anti-tumor therapy will be provided in listings.</w:t>
      </w:r>
    </w:p>
    <w:p w14:paraId="200EBA0D">
      <w:pPr>
        <w:pStyle w:val="4"/>
        <w:rPr>
          <w:rFonts w:cs="Times New Roman"/>
          <w:szCs w:val="24"/>
        </w:rPr>
      </w:pPr>
      <w:bookmarkStart w:id="60" w:name="_Toc174019643"/>
      <w:bookmarkStart w:id="61" w:name="_Toc13680"/>
      <w:r>
        <w:rPr>
          <w:rFonts w:cs="Times New Roman"/>
          <w:szCs w:val="24"/>
        </w:rPr>
        <w:t>Protocol Deviations</w:t>
      </w:r>
      <w:bookmarkEnd w:id="59"/>
      <w:bookmarkEnd w:id="60"/>
      <w:bookmarkEnd w:id="61"/>
    </w:p>
    <w:p w14:paraId="18B06D9E">
      <w:pPr>
        <w:pStyle w:val="12"/>
        <w:spacing w:after="156"/>
        <w:ind w:firstLine="480"/>
        <w:rPr>
          <w:rFonts w:hint="eastAsia"/>
          <w:lang w:eastAsia="zh-CN"/>
        </w:rPr>
      </w:pPr>
      <w:r>
        <w:rPr>
          <w:rFonts w:hint="eastAsia"/>
          <w:lang w:eastAsia="zh-CN"/>
        </w:rPr>
        <w:t>The numbers and percentages of subjects with protocol deviations will be summarized by deviation severity and category.</w:t>
      </w:r>
    </w:p>
    <w:p w14:paraId="71CF35F1">
      <w:pPr>
        <w:pStyle w:val="12"/>
        <w:spacing w:after="156"/>
        <w:ind w:firstLine="480"/>
        <w:rPr>
          <w:lang w:eastAsia="zh-CN"/>
        </w:rPr>
      </w:pPr>
      <w:r>
        <w:rPr>
          <w:rFonts w:hint="eastAsia"/>
          <w:lang w:eastAsia="zh-CN"/>
        </w:rPr>
        <w:t>Prior to database lock, relevant members of the investigators will review and discuss all protocol deviations to determine major protocol deviations that will result in exclusion of subjects from the PPS.</w:t>
      </w:r>
    </w:p>
    <w:p w14:paraId="3555426E">
      <w:pPr>
        <w:pStyle w:val="3"/>
        <w:bidi w:val="0"/>
        <w:ind w:left="0" w:leftChars="0" w:firstLine="0" w:firstLineChars="0"/>
        <w:rPr>
          <w:lang w:val="zh-CN"/>
        </w:rPr>
      </w:pPr>
      <w:bookmarkStart w:id="62" w:name="_Toc493504998"/>
      <w:bookmarkStart w:id="63" w:name="_Toc18126"/>
      <w:bookmarkStart w:id="64" w:name="_Toc174019644"/>
      <w:r>
        <w:t>Efficacy Analysis</w:t>
      </w:r>
      <w:bookmarkEnd w:id="62"/>
      <w:bookmarkEnd w:id="63"/>
      <w:bookmarkEnd w:id="64"/>
    </w:p>
    <w:p w14:paraId="22E254BF">
      <w:pPr>
        <w:pStyle w:val="12"/>
        <w:spacing w:after="156"/>
        <w:ind w:firstLine="480"/>
        <w:rPr>
          <w:lang w:eastAsia="zh-CN"/>
        </w:rPr>
      </w:pPr>
      <w:r>
        <w:rPr>
          <w:rFonts w:hint="eastAsia"/>
          <w:lang w:eastAsia="zh-CN"/>
        </w:rPr>
        <w:t>Unless otherwise specified, efficacy analyses will be conducted based on both the ITT set and the PPS, with the ITT set serving as the primary efficacy analysis population.</w:t>
      </w:r>
    </w:p>
    <w:p w14:paraId="5FD9F49B">
      <w:pPr>
        <w:pStyle w:val="4"/>
        <w:rPr>
          <w:rFonts w:cs="Times New Roman"/>
          <w:szCs w:val="24"/>
        </w:rPr>
      </w:pPr>
      <w:bookmarkStart w:id="65" w:name="_Toc174019645"/>
      <w:bookmarkStart w:id="66" w:name="_Toc10658"/>
      <w:bookmarkStart w:id="67" w:name="_Toc493505001"/>
      <w:r>
        <w:rPr>
          <w:rFonts w:cs="Times New Roman"/>
          <w:szCs w:val="24"/>
        </w:rPr>
        <w:t>Primary Efficacy Analysis</w:t>
      </w:r>
      <w:bookmarkEnd w:id="65"/>
      <w:bookmarkEnd w:id="66"/>
    </w:p>
    <w:p w14:paraId="4789DA9D">
      <w:pPr>
        <w:pStyle w:val="12"/>
        <w:spacing w:after="156"/>
        <w:ind w:firstLine="480"/>
        <w:rPr>
          <w:lang w:val="en-US" w:eastAsia="zh-CN"/>
        </w:rPr>
      </w:pPr>
      <w:r>
        <w:rPr>
          <w:rFonts w:hint="eastAsia"/>
          <w:lang w:val="en-US" w:eastAsia="zh-CN"/>
        </w:rPr>
        <w:t>The primary efficacy endpoint of the study is the 6-month progression-free survival rate.</w:t>
      </w:r>
    </w:p>
    <w:p w14:paraId="0E949FFD">
      <w:pPr>
        <w:pStyle w:val="5"/>
        <w:rPr>
          <w:rFonts w:cs="Times New Roman"/>
          <w:szCs w:val="24"/>
        </w:rPr>
      </w:pPr>
      <w:bookmarkStart w:id="68" w:name="_7.3.1.1._主要病理缓解率（MPR）主要分析"/>
      <w:bookmarkEnd w:id="68"/>
      <w:bookmarkStart w:id="69" w:name="_Ref111741583"/>
      <w:r>
        <w:rPr>
          <w:rFonts w:hint="eastAsia" w:cs="Times New Roman"/>
          <w:szCs w:val="24"/>
        </w:rPr>
        <w:t>6</w:t>
      </w:r>
      <w:r>
        <w:rPr>
          <w:rFonts w:cs="Times New Roman"/>
          <w:szCs w:val="24"/>
        </w:rPr>
        <w:t>mo-PFS rate</w:t>
      </w:r>
      <w:bookmarkEnd w:id="69"/>
    </w:p>
    <w:p w14:paraId="45FC4522">
      <w:pPr>
        <w:pStyle w:val="12"/>
        <w:spacing w:after="156"/>
        <w:ind w:firstLine="480"/>
        <w:rPr>
          <w:rFonts w:hint="eastAsia"/>
          <w:lang w:val="en-US" w:eastAsia="zh-CN"/>
        </w:rPr>
      </w:pPr>
      <w:r>
        <w:rPr>
          <w:rFonts w:hint="eastAsia"/>
          <w:lang w:val="en-US" w:eastAsia="zh-CN"/>
        </w:rPr>
        <w:t>The 6-month progression-free survival (PFS) rate is defined as the proportion of subjects whose time from the date of initiation of study treatment to the first occurrence of radiographic progression (per RECIST 1.1) or death from any cause (whichever occurs first) is at least 6 months.</w:t>
      </w:r>
    </w:p>
    <w:p w14:paraId="76799D1B">
      <w:pPr>
        <w:pStyle w:val="12"/>
        <w:spacing w:after="156"/>
        <w:ind w:firstLine="480"/>
        <w:rPr>
          <w:rFonts w:hint="eastAsia"/>
          <w:lang w:val="en-US" w:eastAsia="zh-CN"/>
        </w:rPr>
      </w:pPr>
      <w:r>
        <w:rPr>
          <w:rFonts w:hint="eastAsia"/>
          <w:lang w:val="en-US" w:eastAsia="zh-CN"/>
        </w:rPr>
        <w:t>The censoring rules for the 6-month PFS rate are the same as those for PFS time (PFS); see Section 6.3.2.1 Progression-Free Survival (PFS). The 6-month PFS rate will be estimated using the Kaplan–Meier method, and the 95% confidence interval (CI) for the survival rate will be calculated using the log(-log) method.</w:t>
      </w:r>
    </w:p>
    <w:p w14:paraId="017412AB">
      <w:pPr>
        <w:pStyle w:val="4"/>
        <w:rPr>
          <w:highlight w:val="none"/>
        </w:rPr>
      </w:pPr>
      <w:bookmarkStart w:id="70" w:name="_Toc21771"/>
      <w:bookmarkStart w:id="71" w:name="_Toc174019646"/>
      <w:r>
        <w:rPr>
          <w:highlight w:val="none"/>
        </w:rPr>
        <w:t>S</w:t>
      </w:r>
      <w:r>
        <w:rPr>
          <w:rFonts w:hint="eastAsia"/>
          <w:highlight w:val="none"/>
        </w:rPr>
        <w:t>econdary</w:t>
      </w:r>
      <w:r>
        <w:rPr>
          <w:highlight w:val="none"/>
        </w:rPr>
        <w:t xml:space="preserve"> </w:t>
      </w:r>
      <w:r>
        <w:rPr>
          <w:rFonts w:hint="eastAsia"/>
          <w:highlight w:val="none"/>
        </w:rPr>
        <w:t>Efficacy</w:t>
      </w:r>
      <w:r>
        <w:rPr>
          <w:highlight w:val="none"/>
        </w:rPr>
        <w:t xml:space="preserve"> E</w:t>
      </w:r>
      <w:r>
        <w:rPr>
          <w:rFonts w:hint="eastAsia"/>
          <w:highlight w:val="none"/>
        </w:rPr>
        <w:t>nd</w:t>
      </w:r>
      <w:r>
        <w:rPr>
          <w:highlight w:val="none"/>
        </w:rPr>
        <w:t xml:space="preserve">point </w:t>
      </w:r>
      <w:r>
        <w:rPr>
          <w:rFonts w:hint="eastAsia"/>
          <w:highlight w:val="none"/>
        </w:rPr>
        <w:t>Analysis</w:t>
      </w:r>
      <w:bookmarkEnd w:id="70"/>
      <w:bookmarkEnd w:id="71"/>
    </w:p>
    <w:p w14:paraId="60FAAAB9">
      <w:pPr>
        <w:pStyle w:val="5"/>
        <w:rPr>
          <w:highlight w:val="none"/>
        </w:rPr>
      </w:pPr>
      <w:bookmarkStart w:id="72" w:name="_Ref220241384"/>
      <w:r>
        <w:rPr>
          <w:rFonts w:hint="eastAsia"/>
          <w:highlight w:val="none"/>
        </w:rPr>
        <w:t>P</w:t>
      </w:r>
      <w:r>
        <w:rPr>
          <w:highlight w:val="none"/>
        </w:rPr>
        <w:t>FS</w:t>
      </w:r>
      <w:bookmarkEnd w:id="72"/>
    </w:p>
    <w:p w14:paraId="0B745593">
      <w:pPr>
        <w:pStyle w:val="12"/>
        <w:spacing w:after="156"/>
        <w:ind w:firstLine="480"/>
        <w:rPr>
          <w:highlight w:val="none"/>
          <w:lang w:val="en-US" w:eastAsia="zh-CN"/>
        </w:rPr>
      </w:pPr>
      <w:r>
        <w:rPr>
          <w:rFonts w:hint="eastAsia"/>
          <w:highlight w:val="none"/>
          <w:lang w:val="en-US" w:eastAsia="zh-CN"/>
        </w:rPr>
        <w:t>PFS is defined as the time from the date of initiation of study treatment to the first occurrence of radiographic progression (per RECIST 1.1) or death from any cause, whichever occurs first. PFS will be analyzed based on the ITT analysis set. The censoring rules for PFS are as follows:</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7"/>
        <w:gridCol w:w="2298"/>
        <w:gridCol w:w="2857"/>
      </w:tblGrid>
      <w:tr w14:paraId="3E6B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pct"/>
          </w:tcPr>
          <w:p w14:paraId="09039E21">
            <w:pPr>
              <w:spacing w:after="0" w:line="240" w:lineRule="auto"/>
              <w:rPr>
                <w:rFonts w:ascii="Times New Roman" w:hAnsi="Times New Roman" w:eastAsia="宋体" w:cs="Times New Roman"/>
                <w:b/>
                <w:bCs/>
                <w:kern w:val="0"/>
                <w:sz w:val="24"/>
                <w:szCs w:val="20"/>
                <w:highlight w:val="none"/>
                <w14:ligatures w14:val="none"/>
              </w:rPr>
            </w:pPr>
            <w:r>
              <w:rPr>
                <w:rFonts w:hint="eastAsia" w:ascii="Times New Roman" w:hAnsi="Times New Roman" w:eastAsia="宋体" w:cs="Times New Roman"/>
                <w:b/>
                <w:bCs/>
                <w:kern w:val="0"/>
                <w:sz w:val="24"/>
                <w:szCs w:val="20"/>
                <w:highlight w:val="none"/>
                <w14:ligatures w14:val="none"/>
              </w:rPr>
              <w:t>Scenario</w:t>
            </w:r>
          </w:p>
        </w:tc>
        <w:tc>
          <w:tcPr>
            <w:tcW w:w="1348" w:type="pct"/>
          </w:tcPr>
          <w:p w14:paraId="6AD61487">
            <w:pPr>
              <w:spacing w:after="0" w:line="240" w:lineRule="auto"/>
              <w:rPr>
                <w:rFonts w:ascii="Times New Roman" w:hAnsi="Times New Roman" w:eastAsia="宋体" w:cs="Times New Roman"/>
                <w:b/>
                <w:bCs/>
                <w:kern w:val="0"/>
                <w:sz w:val="24"/>
                <w:szCs w:val="20"/>
                <w:highlight w:val="none"/>
                <w14:ligatures w14:val="none"/>
              </w:rPr>
            </w:pPr>
            <w:r>
              <w:rPr>
                <w:rFonts w:hint="eastAsia" w:ascii="Times New Roman" w:hAnsi="Times New Roman" w:eastAsia="宋体" w:cs="Times New Roman"/>
                <w:b/>
                <w:bCs/>
                <w:kern w:val="0"/>
                <w:sz w:val="24"/>
                <w:szCs w:val="20"/>
                <w:highlight w:val="none"/>
                <w14:ligatures w14:val="none"/>
              </w:rPr>
              <w:t>Event/Censoring Status</w:t>
            </w:r>
          </w:p>
        </w:tc>
        <w:tc>
          <w:tcPr>
            <w:tcW w:w="1676" w:type="pct"/>
          </w:tcPr>
          <w:p w14:paraId="31DE7641">
            <w:pPr>
              <w:spacing w:after="0" w:line="240" w:lineRule="auto"/>
              <w:rPr>
                <w:rFonts w:hint="default" w:ascii="Times New Roman" w:hAnsi="Times New Roman" w:eastAsia="宋体" w:cs="Times New Roman"/>
                <w:b/>
                <w:bCs/>
                <w:kern w:val="0"/>
                <w:sz w:val="24"/>
                <w:szCs w:val="20"/>
                <w:highlight w:val="none"/>
                <w:lang w:val="en-US" w:eastAsia="zh-CN"/>
                <w14:ligatures w14:val="none"/>
              </w:rPr>
            </w:pPr>
            <w:r>
              <w:rPr>
                <w:rFonts w:hint="eastAsia" w:ascii="Times New Roman" w:hAnsi="Times New Roman" w:eastAsia="宋体" w:cs="Times New Roman"/>
                <w:b/>
                <w:bCs/>
                <w:kern w:val="0"/>
                <w:sz w:val="24"/>
                <w:szCs w:val="20"/>
                <w:highlight w:val="none"/>
                <w14:ligatures w14:val="none"/>
              </w:rPr>
              <w:t xml:space="preserve">Event/Censoring </w:t>
            </w:r>
            <w:r>
              <w:rPr>
                <w:rFonts w:hint="eastAsia" w:ascii="Times New Roman" w:hAnsi="Times New Roman" w:eastAsia="宋体" w:cs="Times New Roman"/>
                <w:b/>
                <w:bCs/>
                <w:kern w:val="0"/>
                <w:sz w:val="24"/>
                <w:szCs w:val="20"/>
                <w:highlight w:val="none"/>
                <w:lang w:val="en-US" w:eastAsia="zh-CN"/>
                <w14:ligatures w14:val="none"/>
              </w:rPr>
              <w:t>Time Point</w:t>
            </w:r>
          </w:p>
        </w:tc>
      </w:tr>
      <w:tr w14:paraId="3857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pct"/>
          </w:tcPr>
          <w:p w14:paraId="0905748E">
            <w:pPr>
              <w:spacing w:after="0" w:line="240" w:lineRule="auto"/>
              <w:rPr>
                <w:rFonts w:hint="eastAsia" w:ascii="Times New Roman" w:hAnsi="Times New Roman" w:eastAsia="宋体" w:cs="Times New Roman"/>
                <w:b/>
                <w:kern w:val="0"/>
                <w:sz w:val="24"/>
                <w:szCs w:val="20"/>
                <w:highlight w:val="none"/>
                <w14:ligatures w14:val="none"/>
              </w:rPr>
            </w:pPr>
            <w:r>
              <w:rPr>
                <w:rFonts w:hint="eastAsia" w:ascii="Times New Roman" w:hAnsi="Times New Roman" w:eastAsia="宋体" w:cs="Times New Roman"/>
                <w:b/>
                <w:kern w:val="0"/>
                <w:sz w:val="24"/>
                <w:szCs w:val="20"/>
                <w:highlight w:val="none"/>
                <w14:ligatures w14:val="none"/>
              </w:rPr>
              <w:t>Radiographic progression (RECIST 1.1)</w:t>
            </w:r>
          </w:p>
          <w:p w14:paraId="5A5CC163">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b w:val="0"/>
                <w:bCs/>
                <w:kern w:val="0"/>
                <w:sz w:val="24"/>
                <w:szCs w:val="20"/>
                <w:highlight w:val="none"/>
                <w14:ligatures w14:val="none"/>
              </w:rPr>
              <w:t>Disease progression (PD) determined per RECIST 1.1, using the tumor assessment during the screening period as the baseline.</w:t>
            </w:r>
          </w:p>
        </w:tc>
        <w:tc>
          <w:tcPr>
            <w:tcW w:w="1348" w:type="pct"/>
          </w:tcPr>
          <w:p w14:paraId="3373E60E">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b/>
                <w:bCs/>
                <w:kern w:val="0"/>
                <w:sz w:val="24"/>
                <w:szCs w:val="20"/>
                <w:highlight w:val="none"/>
                <w14:ligatures w14:val="none"/>
              </w:rPr>
              <w:t>Event</w:t>
            </w:r>
          </w:p>
        </w:tc>
        <w:tc>
          <w:tcPr>
            <w:tcW w:w="1676" w:type="pct"/>
          </w:tcPr>
          <w:p w14:paraId="004D80EE">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kern w:val="0"/>
                <w:sz w:val="24"/>
                <w:szCs w:val="20"/>
                <w:highlight w:val="none"/>
                <w14:ligatures w14:val="none"/>
              </w:rPr>
              <w:t>The earliest imaging assessment date on which tumor evaluation indicates disease progression (PD).</w:t>
            </w:r>
            <w:r>
              <w:rPr>
                <w:rFonts w:ascii="Times New Roman" w:hAnsi="Times New Roman" w:eastAsia="宋体" w:cs="Times New Roman"/>
                <w:kern w:val="0"/>
                <w:sz w:val="24"/>
                <w:szCs w:val="20"/>
                <w:highlight w:val="none"/>
                <w14:ligatures w14:val="none"/>
              </w:rPr>
              <w:t>期</w:t>
            </w:r>
          </w:p>
        </w:tc>
      </w:tr>
      <w:tr w14:paraId="7C82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pct"/>
          </w:tcPr>
          <w:p w14:paraId="38AB3068">
            <w:pPr>
              <w:spacing w:after="0" w:line="240" w:lineRule="auto"/>
              <w:rPr>
                <w:rFonts w:hint="eastAsia" w:ascii="Times New Roman" w:hAnsi="Times New Roman" w:eastAsia="宋体" w:cs="Times New Roman"/>
                <w:b/>
                <w:kern w:val="0"/>
                <w:sz w:val="24"/>
                <w:szCs w:val="20"/>
                <w:highlight w:val="none"/>
                <w14:ligatures w14:val="none"/>
              </w:rPr>
            </w:pPr>
            <w:r>
              <w:rPr>
                <w:rFonts w:hint="eastAsia" w:ascii="Times New Roman" w:hAnsi="Times New Roman" w:eastAsia="宋体" w:cs="Times New Roman"/>
                <w:b/>
                <w:kern w:val="0"/>
                <w:sz w:val="24"/>
                <w:szCs w:val="20"/>
                <w:highlight w:val="none"/>
                <w14:ligatures w14:val="none"/>
              </w:rPr>
              <w:t>Death</w:t>
            </w:r>
          </w:p>
          <w:p w14:paraId="43C0F69E">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b w:val="0"/>
                <w:bCs/>
                <w:kern w:val="0"/>
                <w:sz w:val="24"/>
                <w:szCs w:val="20"/>
                <w:highlight w:val="none"/>
                <w14:ligatures w14:val="none"/>
              </w:rPr>
              <w:t>Death occurs, and there are not two consecutive missed scheduled tumor assessment visits prior to death</w:t>
            </w:r>
            <w:r>
              <w:rPr>
                <w:rFonts w:hint="eastAsia" w:ascii="Times New Roman" w:hAnsi="Times New Roman" w:eastAsia="宋体" w:cs="Times New Roman"/>
                <w:b w:val="0"/>
                <w:bCs/>
                <w:kern w:val="0"/>
                <w:sz w:val="24"/>
                <w:szCs w:val="20"/>
                <w:highlight w:val="none"/>
                <w:vertAlign w:val="superscript"/>
                <w:lang w:val="en-US" w:eastAsia="zh-CN"/>
                <w14:ligatures w14:val="none"/>
              </w:rPr>
              <w:t>1</w:t>
            </w:r>
            <w:r>
              <w:rPr>
                <w:rFonts w:hint="eastAsia" w:ascii="Times New Roman" w:hAnsi="Times New Roman" w:eastAsia="宋体" w:cs="Times New Roman"/>
                <w:b w:val="0"/>
                <w:bCs/>
                <w:kern w:val="0"/>
                <w:sz w:val="24"/>
                <w:szCs w:val="20"/>
                <w:highlight w:val="none"/>
                <w14:ligatures w14:val="none"/>
              </w:rPr>
              <w:t>.</w:t>
            </w:r>
          </w:p>
        </w:tc>
        <w:tc>
          <w:tcPr>
            <w:tcW w:w="1348" w:type="pct"/>
          </w:tcPr>
          <w:p w14:paraId="5CC1D25B">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b/>
                <w:bCs/>
                <w:kern w:val="0"/>
                <w:sz w:val="24"/>
                <w:szCs w:val="20"/>
                <w:highlight w:val="none"/>
                <w14:ligatures w14:val="none"/>
              </w:rPr>
              <w:t>Event</w:t>
            </w:r>
          </w:p>
        </w:tc>
        <w:tc>
          <w:tcPr>
            <w:tcW w:w="1676" w:type="pct"/>
          </w:tcPr>
          <w:p w14:paraId="12AFC76D">
            <w:pPr>
              <w:spacing w:after="0" w:line="240" w:lineRule="auto"/>
              <w:rPr>
                <w:rFonts w:hint="default" w:ascii="Times New Roman" w:hAnsi="Times New Roman" w:eastAsia="宋体" w:cs="Times New Roman"/>
                <w:kern w:val="0"/>
                <w:sz w:val="24"/>
                <w:szCs w:val="20"/>
                <w:highlight w:val="none"/>
                <w:lang w:val="en-US" w:eastAsia="zh-CN"/>
                <w14:ligatures w14:val="none"/>
              </w:rPr>
            </w:pPr>
            <w:r>
              <w:rPr>
                <w:rFonts w:hint="eastAsia" w:ascii="Times New Roman" w:hAnsi="Times New Roman" w:eastAsia="宋体" w:cs="Times New Roman"/>
                <w:kern w:val="0"/>
                <w:sz w:val="24"/>
                <w:szCs w:val="20"/>
                <w:highlight w:val="none"/>
                <w:lang w:val="en-US" w:eastAsia="zh-CN"/>
                <w14:ligatures w14:val="none"/>
              </w:rPr>
              <w:t>Death date</w:t>
            </w:r>
          </w:p>
        </w:tc>
      </w:tr>
      <w:tr w14:paraId="16B7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pct"/>
          </w:tcPr>
          <w:p w14:paraId="5394BAEE">
            <w:pPr>
              <w:spacing w:after="0" w:line="240" w:lineRule="auto"/>
              <w:rPr>
                <w:rFonts w:hint="eastAsia" w:ascii="Times New Roman" w:hAnsi="Times New Roman" w:eastAsia="宋体" w:cs="Times New Roman"/>
                <w:b/>
                <w:kern w:val="0"/>
                <w:sz w:val="24"/>
                <w:szCs w:val="20"/>
                <w:highlight w:val="none"/>
                <w14:ligatures w14:val="none"/>
              </w:rPr>
            </w:pPr>
            <w:r>
              <w:rPr>
                <w:rFonts w:hint="eastAsia" w:ascii="Times New Roman" w:hAnsi="Times New Roman" w:eastAsia="宋体" w:cs="Times New Roman"/>
                <w:b/>
                <w:kern w:val="0"/>
                <w:sz w:val="24"/>
                <w:szCs w:val="20"/>
                <w:highlight w:val="none"/>
                <w14:ligatures w14:val="none"/>
              </w:rPr>
              <w:t>Receipt of non-protocol-specified therapy</w:t>
            </w:r>
          </w:p>
          <w:p w14:paraId="6EE75DA5">
            <w:pPr>
              <w:spacing w:after="0" w:line="240" w:lineRule="auto"/>
              <w:rPr>
                <w:rFonts w:ascii="Times New Roman" w:hAnsi="Times New Roman" w:eastAsia="宋体" w:cs="Times New Roman"/>
                <w:b/>
                <w:kern w:val="0"/>
                <w:sz w:val="24"/>
                <w:szCs w:val="20"/>
                <w:highlight w:val="none"/>
                <w14:ligatures w14:val="none"/>
              </w:rPr>
            </w:pPr>
            <w:r>
              <w:rPr>
                <w:rFonts w:hint="eastAsia" w:ascii="Times New Roman" w:hAnsi="Times New Roman" w:eastAsia="宋体" w:cs="Times New Roman"/>
                <w:b w:val="0"/>
                <w:bCs/>
                <w:kern w:val="0"/>
                <w:sz w:val="24"/>
                <w:szCs w:val="20"/>
                <w:highlight w:val="none"/>
                <w14:ligatures w14:val="none"/>
              </w:rPr>
              <w:t>Receipt of any treatment other than those prespecified in the protocol, regardless of whether radiographic progression or death occurs subsequently.</w:t>
            </w:r>
          </w:p>
        </w:tc>
        <w:tc>
          <w:tcPr>
            <w:tcW w:w="1348" w:type="pct"/>
          </w:tcPr>
          <w:p w14:paraId="3D0067A5">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b/>
                <w:bCs/>
                <w:kern w:val="0"/>
                <w:sz w:val="24"/>
                <w:szCs w:val="20"/>
                <w:highlight w:val="none"/>
                <w14:ligatures w14:val="none"/>
              </w:rPr>
              <w:t xml:space="preserve">Censoring </w:t>
            </w:r>
          </w:p>
        </w:tc>
        <w:tc>
          <w:tcPr>
            <w:tcW w:w="1676" w:type="pct"/>
          </w:tcPr>
          <w:p w14:paraId="53950393">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kern w:val="0"/>
                <w:sz w:val="24"/>
                <w:szCs w:val="20"/>
                <w:highlight w:val="none"/>
                <w14:ligatures w14:val="none"/>
              </w:rPr>
              <w:t xml:space="preserve">The latest imaging assessment date from the last valid tumor assessment </w:t>
            </w:r>
            <w:r>
              <w:rPr>
                <w:rFonts w:hint="eastAsia" w:ascii="Times New Roman" w:hAnsi="Times New Roman" w:eastAsia="宋体" w:cs="Times New Roman"/>
                <w:kern w:val="0"/>
                <w:sz w:val="24"/>
                <w:szCs w:val="20"/>
                <w:highlight w:val="none"/>
                <w:vertAlign w:val="superscript"/>
                <w:lang w:val="en-US" w:eastAsia="zh-CN"/>
                <w14:ligatures w14:val="none"/>
              </w:rPr>
              <w:t>2</w:t>
            </w:r>
            <w:r>
              <w:rPr>
                <w:rFonts w:hint="eastAsia" w:ascii="Times New Roman" w:hAnsi="Times New Roman" w:eastAsia="宋体" w:cs="Times New Roman"/>
                <w:kern w:val="0"/>
                <w:sz w:val="24"/>
                <w:szCs w:val="20"/>
                <w:highlight w:val="none"/>
                <w14:ligatures w14:val="none"/>
              </w:rPr>
              <w:t>visit prior to the start of non-protocol-specified therapy.</w:t>
            </w:r>
          </w:p>
        </w:tc>
      </w:tr>
      <w:tr w14:paraId="757F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pct"/>
          </w:tcPr>
          <w:p w14:paraId="689A26C2">
            <w:pPr>
              <w:spacing w:after="0" w:line="240" w:lineRule="auto"/>
              <w:rPr>
                <w:rFonts w:hint="eastAsia" w:ascii="Times New Roman" w:hAnsi="Times New Roman" w:eastAsia="宋体" w:cs="Times New Roman"/>
                <w:b/>
                <w:kern w:val="0"/>
                <w:sz w:val="24"/>
                <w:szCs w:val="20"/>
                <w:highlight w:val="none"/>
                <w14:ligatures w14:val="none"/>
              </w:rPr>
            </w:pPr>
            <w:r>
              <w:rPr>
                <w:rFonts w:hint="eastAsia" w:ascii="Times New Roman" w:hAnsi="Times New Roman" w:eastAsia="宋体" w:cs="Times New Roman"/>
                <w:b/>
                <w:kern w:val="0"/>
                <w:sz w:val="24"/>
                <w:szCs w:val="20"/>
                <w:highlight w:val="none"/>
                <w14:ligatures w14:val="none"/>
              </w:rPr>
              <w:t>Consecutive missed tumor assessments</w:t>
            </w:r>
          </w:p>
          <w:p w14:paraId="772A32BB">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b w:val="0"/>
                <w:bCs/>
                <w:kern w:val="0"/>
                <w:sz w:val="24"/>
                <w:szCs w:val="20"/>
                <w:highlight w:val="none"/>
                <w14:ligatures w14:val="none"/>
              </w:rPr>
              <w:t>Radiographic progression or death occurring after two or more consecutive missed scheduled tumor assessment visits.</w:t>
            </w:r>
          </w:p>
        </w:tc>
        <w:tc>
          <w:tcPr>
            <w:tcW w:w="1348" w:type="pct"/>
          </w:tcPr>
          <w:p w14:paraId="28E933A9">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b/>
                <w:bCs/>
                <w:kern w:val="0"/>
                <w:sz w:val="24"/>
                <w:szCs w:val="20"/>
                <w:highlight w:val="none"/>
                <w14:ligatures w14:val="none"/>
              </w:rPr>
              <w:t xml:space="preserve">Censoring </w:t>
            </w:r>
          </w:p>
        </w:tc>
        <w:tc>
          <w:tcPr>
            <w:tcW w:w="1676" w:type="pct"/>
          </w:tcPr>
          <w:p w14:paraId="156F9A50">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kern w:val="0"/>
                <w:sz w:val="24"/>
                <w:szCs w:val="20"/>
                <w:highlight w:val="none"/>
                <w14:ligatures w14:val="none"/>
              </w:rPr>
              <w:t>The latest imaging assessment date from the last valid tumor assessment visit prior to consecutive missed tumor assessments.</w:t>
            </w:r>
          </w:p>
        </w:tc>
      </w:tr>
      <w:tr w14:paraId="1FFE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976" w:type="pct"/>
          </w:tcPr>
          <w:p w14:paraId="67F4A3DB">
            <w:pPr>
              <w:spacing w:after="0" w:line="240" w:lineRule="auto"/>
              <w:rPr>
                <w:rFonts w:hint="eastAsia" w:ascii="Times New Roman" w:hAnsi="Times New Roman" w:eastAsia="宋体" w:cs="Times New Roman"/>
                <w:b/>
                <w:kern w:val="0"/>
                <w:sz w:val="24"/>
                <w:szCs w:val="20"/>
                <w:highlight w:val="none"/>
                <w14:ligatures w14:val="none"/>
              </w:rPr>
            </w:pPr>
            <w:r>
              <w:rPr>
                <w:rFonts w:hint="eastAsia" w:ascii="Times New Roman" w:hAnsi="Times New Roman" w:eastAsia="宋体" w:cs="Times New Roman"/>
                <w:b/>
                <w:kern w:val="0"/>
                <w:sz w:val="24"/>
                <w:szCs w:val="20"/>
                <w:highlight w:val="none"/>
                <w14:ligatures w14:val="none"/>
              </w:rPr>
              <w:t>Lost to follow-up</w:t>
            </w:r>
          </w:p>
          <w:p w14:paraId="7B79DA2E">
            <w:pPr>
              <w:spacing w:after="0" w:line="240" w:lineRule="auto"/>
              <w:rPr>
                <w:rFonts w:ascii="Times New Roman" w:hAnsi="Times New Roman" w:eastAsia="宋体" w:cs="Times New Roman"/>
                <w:b/>
                <w:kern w:val="0"/>
                <w:sz w:val="24"/>
                <w:szCs w:val="20"/>
                <w:highlight w:val="none"/>
                <w14:ligatures w14:val="none"/>
              </w:rPr>
            </w:pPr>
            <w:r>
              <w:rPr>
                <w:rFonts w:hint="eastAsia" w:ascii="Times New Roman" w:hAnsi="Times New Roman" w:eastAsia="宋体" w:cs="Times New Roman"/>
                <w:b w:val="0"/>
                <w:bCs/>
                <w:kern w:val="0"/>
                <w:sz w:val="24"/>
                <w:szCs w:val="20"/>
                <w:highlight w:val="none"/>
                <w14:ligatures w14:val="none"/>
              </w:rPr>
              <w:t>The subject cannot be contacted on two consecutive attempts, and no disease progression has been observed prior to loss to follow-up.</w:t>
            </w:r>
          </w:p>
        </w:tc>
        <w:tc>
          <w:tcPr>
            <w:tcW w:w="1348" w:type="pct"/>
          </w:tcPr>
          <w:p w14:paraId="0CB4162B">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b/>
                <w:bCs/>
                <w:kern w:val="0"/>
                <w:sz w:val="24"/>
                <w:szCs w:val="20"/>
                <w:highlight w:val="none"/>
                <w14:ligatures w14:val="none"/>
              </w:rPr>
              <w:t xml:space="preserve">Censoring </w:t>
            </w:r>
          </w:p>
        </w:tc>
        <w:tc>
          <w:tcPr>
            <w:tcW w:w="1676" w:type="pct"/>
          </w:tcPr>
          <w:p w14:paraId="73C3220C">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kern w:val="0"/>
                <w:sz w:val="24"/>
                <w:szCs w:val="20"/>
                <w:highlight w:val="none"/>
                <w14:ligatures w14:val="none"/>
              </w:rPr>
              <w:t>The latest imaging assessment date from the last valid tumor assessment visit prior to loss to follow-up.</w:t>
            </w:r>
          </w:p>
        </w:tc>
      </w:tr>
      <w:tr w14:paraId="0EF9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1976" w:type="pct"/>
          </w:tcPr>
          <w:p w14:paraId="3C323DD0">
            <w:pPr>
              <w:spacing w:after="0" w:line="240" w:lineRule="auto"/>
              <w:rPr>
                <w:rFonts w:ascii="Times New Roman" w:hAnsi="Times New Roman" w:eastAsia="宋体" w:cs="Times New Roman"/>
                <w:b/>
                <w:kern w:val="0"/>
                <w:sz w:val="24"/>
                <w:szCs w:val="20"/>
                <w:highlight w:val="none"/>
                <w14:ligatures w14:val="none"/>
              </w:rPr>
            </w:pPr>
            <w:r>
              <w:rPr>
                <w:rFonts w:hint="eastAsia" w:ascii="Times New Roman" w:hAnsi="Times New Roman" w:eastAsia="宋体" w:cs="Times New Roman"/>
                <w:b/>
                <w:kern w:val="0"/>
                <w:sz w:val="24"/>
                <w:szCs w:val="20"/>
                <w:highlight w:val="none"/>
                <w14:ligatures w14:val="none"/>
              </w:rPr>
              <w:t>No radiographic progression or death observed at data cut-off or upon early study discontinuation.</w:t>
            </w:r>
          </w:p>
        </w:tc>
        <w:tc>
          <w:tcPr>
            <w:tcW w:w="1348" w:type="pct"/>
          </w:tcPr>
          <w:p w14:paraId="6E7A3AB0">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b/>
                <w:bCs/>
                <w:kern w:val="0"/>
                <w:sz w:val="24"/>
                <w:szCs w:val="20"/>
                <w:highlight w:val="none"/>
                <w14:ligatures w14:val="none"/>
              </w:rPr>
              <w:t xml:space="preserve">Censoring </w:t>
            </w:r>
          </w:p>
        </w:tc>
        <w:tc>
          <w:tcPr>
            <w:tcW w:w="1676" w:type="pct"/>
          </w:tcPr>
          <w:p w14:paraId="622A61E1">
            <w:pPr>
              <w:spacing w:after="0" w:line="240" w:lineRule="auto"/>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kern w:val="0"/>
                <w:sz w:val="24"/>
                <w:szCs w:val="20"/>
                <w:highlight w:val="none"/>
                <w14:ligatures w14:val="none"/>
              </w:rPr>
              <w:t>The latest imaging assessment date from the last valid tumor assessment visit prior to the data cut-off.</w:t>
            </w:r>
          </w:p>
        </w:tc>
      </w:tr>
    </w:tbl>
    <w:p w14:paraId="3BCD388F">
      <w:pPr>
        <w:widowControl/>
        <w:spacing w:after="156" w:afterLines="50" w:line="240" w:lineRule="auto"/>
        <w:rPr>
          <w:rFonts w:hint="eastAsia"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 xml:space="preserve">1. </w:t>
      </w:r>
      <w:r>
        <w:rPr>
          <w:rFonts w:hint="eastAsia" w:ascii="Times New Roman" w:hAnsi="Times New Roman" w:eastAsia="宋体" w:cs="Times New Roman"/>
          <w:sz w:val="21"/>
          <w:szCs w:val="21"/>
          <w:highlight w:val="none"/>
        </w:rPr>
        <w:t>Scheduled tumor assessment visits refer to tumor assessments performed every 42 days during induction therapy (allowed window: +7/−3 days) and every 56 days during sequential therapy (allowed window: +7/−3 days).</w:t>
      </w:r>
    </w:p>
    <w:p w14:paraId="12B84F10">
      <w:pPr>
        <w:widowControl/>
        <w:spacing w:after="156" w:afterLines="50" w:line="240" w:lineRule="auto"/>
        <w:rPr>
          <w:rFonts w:hint="eastAsia" w:ascii="Times New Roman" w:hAnsi="Times New Roman" w:eastAsia="宋体" w:cs="Times New Roman"/>
          <w:sz w:val="21"/>
          <w:szCs w:val="21"/>
          <w:highlight w:val="none"/>
        </w:rPr>
      </w:pPr>
    </w:p>
    <w:p w14:paraId="605B19EA">
      <w:pPr>
        <w:widowControl/>
        <w:spacing w:after="156" w:afterLines="50" w:line="240" w:lineRule="auto"/>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2.</w:t>
      </w:r>
      <w:r>
        <w:rPr>
          <w:rFonts w:hint="eastAsia" w:ascii="Times New Roman" w:hAnsi="Times New Roman" w:eastAsia="宋体" w:cs="Times New Roman"/>
          <w:sz w:val="21"/>
          <w:szCs w:val="21"/>
          <w:highlight w:val="none"/>
        </w:rPr>
        <w:t xml:space="preserve">A valid tumor assessment visit is defined as a visit with an overall tumor assessment result that is not </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rPr>
        <w:t>Not Evaluable (NE)</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rPr>
        <w:t xml:space="preserve"> and is not missing.</w:t>
      </w:r>
    </w:p>
    <w:p w14:paraId="4425A904">
      <w:pPr>
        <w:pStyle w:val="12"/>
        <w:spacing w:after="156"/>
        <w:ind w:firstLine="480"/>
        <w:rPr>
          <w:highlight w:val="none"/>
          <w:lang w:eastAsia="zh-CN"/>
        </w:rPr>
      </w:pPr>
      <w:r>
        <w:rPr>
          <w:rFonts w:hint="eastAsia"/>
          <w:highlight w:val="none"/>
          <w:lang w:eastAsia="zh-CN"/>
        </w:rPr>
        <w:t>The numbers and percentages of subjects with PFS events and those censored will be summarized, with further breakdowns by event type and reason for censoring. Median PFS and the 6-, 12-, and 24-month PFS rates will be estimated using the Kaplan–Meier method, and Kaplan–Meier survival curves will be plotted. The 95% confidence interval (CI) for survival time will be calculated using the Brookmeyer–Crowley method, and the 95% CI for survival rates will be calculated using the log(-log) method.</w:t>
      </w:r>
    </w:p>
    <w:p w14:paraId="5CFCECF5">
      <w:pPr>
        <w:pStyle w:val="5"/>
      </w:pPr>
      <w:r>
        <w:rPr>
          <w:rFonts w:hint="eastAsia"/>
          <w:lang w:val="en-US" w:eastAsia="zh-CN"/>
        </w:rPr>
        <w:t>Overall Survival (</w:t>
      </w:r>
      <w:r>
        <w:t>OS</w:t>
      </w:r>
      <w:r>
        <w:rPr>
          <w:rFonts w:hint="eastAsia"/>
          <w:lang w:val="en-US" w:eastAsia="zh-CN"/>
        </w:rPr>
        <w:t>)</w:t>
      </w:r>
    </w:p>
    <w:p w14:paraId="6E1B4DBE">
      <w:pPr>
        <w:pStyle w:val="12"/>
        <w:spacing w:after="156"/>
        <w:ind w:firstLine="480"/>
        <w:rPr>
          <w:lang w:val="en-US" w:eastAsia="zh-CN"/>
        </w:rPr>
      </w:pPr>
      <w:r>
        <w:rPr>
          <w:rFonts w:hint="eastAsia"/>
          <w:lang w:val="en-US" w:eastAsia="zh-CN"/>
        </w:rPr>
        <w:t>OS is defined as the time from the start of study treatment to death of the subject from any cause. The censoring rules for OS are as follows:</w:t>
      </w:r>
    </w:p>
    <w:tbl>
      <w:tblPr>
        <w:tblStyle w:val="27"/>
        <w:tblW w:w="0" w:type="auto"/>
        <w:tblInd w:w="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4"/>
        <w:gridCol w:w="2709"/>
        <w:gridCol w:w="2710"/>
      </w:tblGrid>
      <w:tr w14:paraId="7DF5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4" w:type="dxa"/>
          </w:tcPr>
          <w:p w14:paraId="2882560E">
            <w:pPr>
              <w:spacing w:after="0" w:line="360" w:lineRule="auto"/>
              <w:jc w:val="center"/>
              <w:rPr>
                <w:rFonts w:hint="default" w:ascii="Times New Roman" w:hAnsi="Times New Roman" w:eastAsia="宋体" w:cs="Times New Roman"/>
                <w:b/>
                <w:bCs/>
                <w:kern w:val="0"/>
                <w:sz w:val="24"/>
                <w:szCs w:val="20"/>
                <w:lang w:val="en-US" w:eastAsia="zh-CN"/>
                <w14:ligatures w14:val="none"/>
              </w:rPr>
            </w:pPr>
            <w:r>
              <w:rPr>
                <w:rFonts w:hint="eastAsia" w:ascii="Times New Roman" w:hAnsi="Times New Roman" w:eastAsia="宋体" w:cs="Times New Roman"/>
                <w:b/>
                <w:bCs/>
                <w:kern w:val="0"/>
                <w:sz w:val="24"/>
                <w:szCs w:val="20"/>
                <w:lang w:val="en-US" w:eastAsia="zh-CN"/>
                <w14:ligatures w14:val="none"/>
              </w:rPr>
              <w:t>Scenarios</w:t>
            </w:r>
          </w:p>
        </w:tc>
        <w:tc>
          <w:tcPr>
            <w:tcW w:w="2709" w:type="dxa"/>
          </w:tcPr>
          <w:p w14:paraId="2B2C1D72">
            <w:pPr>
              <w:spacing w:after="0" w:line="360" w:lineRule="auto"/>
              <w:jc w:val="center"/>
              <w:rPr>
                <w:rFonts w:ascii="Times New Roman" w:hAnsi="Times New Roman" w:eastAsia="宋体" w:cs="Times New Roman"/>
                <w:b/>
                <w:bCs/>
                <w:kern w:val="0"/>
                <w:sz w:val="24"/>
                <w:szCs w:val="20"/>
                <w14:ligatures w14:val="none"/>
              </w:rPr>
            </w:pPr>
            <w:r>
              <w:rPr>
                <w:rFonts w:hint="eastAsia" w:ascii="Times New Roman" w:hAnsi="Times New Roman" w:eastAsia="宋体" w:cs="Times New Roman"/>
                <w:b/>
                <w:bCs/>
                <w:kern w:val="0"/>
                <w:sz w:val="24"/>
                <w:szCs w:val="20"/>
                <w14:ligatures w14:val="none"/>
              </w:rPr>
              <w:t>Event/Censoring Status</w:t>
            </w:r>
          </w:p>
        </w:tc>
        <w:tc>
          <w:tcPr>
            <w:tcW w:w="2710" w:type="dxa"/>
          </w:tcPr>
          <w:p w14:paraId="56726765">
            <w:pPr>
              <w:spacing w:after="0" w:line="360" w:lineRule="auto"/>
              <w:jc w:val="center"/>
              <w:rPr>
                <w:rFonts w:hint="default" w:ascii="Times New Roman" w:hAnsi="Times New Roman" w:eastAsia="宋体" w:cs="Times New Roman"/>
                <w:b/>
                <w:bCs/>
                <w:kern w:val="0"/>
                <w:sz w:val="24"/>
                <w:szCs w:val="20"/>
                <w:lang w:val="en-US" w:eastAsia="zh-CN"/>
                <w14:ligatures w14:val="none"/>
              </w:rPr>
            </w:pPr>
            <w:r>
              <w:rPr>
                <w:rFonts w:hint="eastAsia" w:ascii="Times New Roman" w:hAnsi="Times New Roman" w:eastAsia="宋体" w:cs="Times New Roman"/>
                <w:b/>
                <w:bCs/>
                <w:kern w:val="0"/>
                <w:sz w:val="24"/>
                <w:szCs w:val="20"/>
                <w:lang w:val="en-US" w:eastAsia="zh-CN"/>
                <w14:ligatures w14:val="none"/>
              </w:rPr>
              <w:t>Event/Censoring time</w:t>
            </w:r>
          </w:p>
        </w:tc>
      </w:tr>
      <w:tr w14:paraId="10F2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4" w:type="dxa"/>
          </w:tcPr>
          <w:p w14:paraId="4A18E382">
            <w:pPr>
              <w:spacing w:after="0" w:line="360" w:lineRule="auto"/>
              <w:jc w:val="center"/>
              <w:rPr>
                <w:rFonts w:hint="default" w:ascii="Times New Roman" w:hAnsi="Times New Roman" w:eastAsia="宋体" w:cs="Times New Roman"/>
                <w:kern w:val="0"/>
                <w:sz w:val="24"/>
                <w:szCs w:val="20"/>
                <w:lang w:val="en-US" w:eastAsia="zh-CN"/>
                <w14:ligatures w14:val="none"/>
              </w:rPr>
            </w:pPr>
            <w:r>
              <w:rPr>
                <w:rFonts w:hint="eastAsia" w:ascii="Times New Roman" w:hAnsi="Times New Roman" w:eastAsia="宋体" w:cs="Times New Roman"/>
                <w:kern w:val="0"/>
                <w:sz w:val="24"/>
                <w:szCs w:val="20"/>
                <w:lang w:val="en-US" w:eastAsia="zh-CN"/>
                <w14:ligatures w14:val="none"/>
              </w:rPr>
              <w:t>Death</w:t>
            </w:r>
          </w:p>
        </w:tc>
        <w:tc>
          <w:tcPr>
            <w:tcW w:w="2709" w:type="dxa"/>
          </w:tcPr>
          <w:p w14:paraId="37DCDF40">
            <w:pPr>
              <w:spacing w:after="0" w:line="360" w:lineRule="auto"/>
              <w:jc w:val="center"/>
              <w:rPr>
                <w:rFonts w:hint="default" w:ascii="Times New Roman" w:hAnsi="Times New Roman" w:eastAsia="宋体" w:cs="Times New Roman"/>
                <w:kern w:val="0"/>
                <w:sz w:val="24"/>
                <w:szCs w:val="20"/>
                <w:lang w:val="en-US" w:eastAsia="zh-CN"/>
                <w14:ligatures w14:val="none"/>
              </w:rPr>
            </w:pPr>
            <w:r>
              <w:rPr>
                <w:rFonts w:hint="eastAsia" w:ascii="Times New Roman" w:hAnsi="Times New Roman" w:eastAsia="宋体" w:cs="Times New Roman"/>
                <w:kern w:val="0"/>
                <w:sz w:val="24"/>
                <w:szCs w:val="20"/>
                <w:lang w:val="en-US" w:eastAsia="zh-CN"/>
                <w14:ligatures w14:val="none"/>
              </w:rPr>
              <w:t>Event</w:t>
            </w:r>
          </w:p>
        </w:tc>
        <w:tc>
          <w:tcPr>
            <w:tcW w:w="2710" w:type="dxa"/>
          </w:tcPr>
          <w:p w14:paraId="2F6D58BE">
            <w:pPr>
              <w:spacing w:after="0" w:line="360" w:lineRule="auto"/>
              <w:jc w:val="center"/>
              <w:rPr>
                <w:rFonts w:hint="default" w:ascii="Times New Roman" w:hAnsi="Times New Roman" w:eastAsia="宋体" w:cs="Times New Roman"/>
                <w:kern w:val="0"/>
                <w:sz w:val="24"/>
                <w:szCs w:val="20"/>
                <w:lang w:val="en-US" w:eastAsia="zh-CN"/>
                <w14:ligatures w14:val="none"/>
              </w:rPr>
            </w:pPr>
            <w:r>
              <w:rPr>
                <w:rFonts w:hint="eastAsia" w:ascii="Times New Roman" w:hAnsi="Times New Roman" w:eastAsia="宋体" w:cs="Times New Roman"/>
                <w:kern w:val="0"/>
                <w:sz w:val="24"/>
                <w:szCs w:val="20"/>
                <w:lang w:val="en-US" w:eastAsia="zh-CN"/>
                <w14:ligatures w14:val="none"/>
              </w:rPr>
              <w:t>Death date</w:t>
            </w:r>
          </w:p>
        </w:tc>
      </w:tr>
      <w:tr w14:paraId="2BC5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4" w:type="dxa"/>
          </w:tcPr>
          <w:p w14:paraId="373DB3D7">
            <w:pPr>
              <w:spacing w:after="0" w:line="360" w:lineRule="auto"/>
              <w:jc w:val="center"/>
              <w:rPr>
                <w:rFonts w:ascii="Times New Roman" w:hAnsi="Times New Roman" w:eastAsia="宋体" w:cs="Times New Roman"/>
                <w:kern w:val="0"/>
                <w:sz w:val="24"/>
                <w:szCs w:val="20"/>
                <w14:ligatures w14:val="none"/>
              </w:rPr>
            </w:pPr>
            <w:r>
              <w:rPr>
                <w:rFonts w:hint="eastAsia" w:ascii="Times New Roman" w:hAnsi="Times New Roman" w:eastAsia="宋体" w:cs="Times New Roman"/>
                <w:kern w:val="0"/>
                <w:sz w:val="24"/>
                <w:szCs w:val="20"/>
                <w14:ligatures w14:val="none"/>
              </w:rPr>
              <w:t>Lost to follow-up</w:t>
            </w:r>
          </w:p>
        </w:tc>
        <w:tc>
          <w:tcPr>
            <w:tcW w:w="2709" w:type="dxa"/>
          </w:tcPr>
          <w:p w14:paraId="55291E0A">
            <w:pPr>
              <w:spacing w:after="0" w:line="360" w:lineRule="auto"/>
              <w:jc w:val="center"/>
              <w:rPr>
                <w:rFonts w:hint="default" w:ascii="Times New Roman" w:hAnsi="Times New Roman" w:eastAsia="宋体" w:cs="Times New Roman"/>
                <w:kern w:val="0"/>
                <w:sz w:val="24"/>
                <w:szCs w:val="20"/>
                <w:lang w:val="en-US" w:eastAsia="zh-CN"/>
                <w14:ligatures w14:val="none"/>
              </w:rPr>
            </w:pPr>
            <w:r>
              <w:rPr>
                <w:rFonts w:hint="eastAsia" w:ascii="Times New Roman" w:hAnsi="Times New Roman" w:eastAsia="宋体" w:cs="Times New Roman"/>
                <w:kern w:val="0"/>
                <w:sz w:val="24"/>
                <w:szCs w:val="20"/>
                <w:lang w:val="en-US" w:eastAsia="zh-CN"/>
                <w14:ligatures w14:val="none"/>
              </w:rPr>
              <w:t>Censoring</w:t>
            </w:r>
          </w:p>
        </w:tc>
        <w:tc>
          <w:tcPr>
            <w:tcW w:w="2710" w:type="dxa"/>
          </w:tcPr>
          <w:p w14:paraId="257244CB">
            <w:pPr>
              <w:spacing w:after="0" w:line="360" w:lineRule="auto"/>
              <w:jc w:val="center"/>
              <w:rPr>
                <w:rFonts w:ascii="Times New Roman" w:hAnsi="Times New Roman" w:eastAsia="宋体" w:cs="Times New Roman"/>
                <w:kern w:val="0"/>
                <w:sz w:val="24"/>
                <w:szCs w:val="20"/>
                <w14:ligatures w14:val="none"/>
              </w:rPr>
            </w:pPr>
            <w:r>
              <w:rPr>
                <w:rFonts w:hint="eastAsia" w:ascii="Times New Roman" w:hAnsi="Times New Roman" w:eastAsia="宋体" w:cs="Times New Roman"/>
                <w:kern w:val="0"/>
                <w:sz w:val="24"/>
                <w:szCs w:val="20"/>
                <w14:ligatures w14:val="none"/>
              </w:rPr>
              <w:t>Last Known Alive Date</w:t>
            </w:r>
          </w:p>
        </w:tc>
      </w:tr>
      <w:tr w14:paraId="6058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4" w:type="dxa"/>
          </w:tcPr>
          <w:p w14:paraId="6333161D">
            <w:pPr>
              <w:spacing w:after="0" w:line="360" w:lineRule="auto"/>
              <w:jc w:val="center"/>
              <w:rPr>
                <w:rFonts w:ascii="Times New Roman" w:hAnsi="Times New Roman" w:eastAsia="宋体" w:cs="Times New Roman"/>
                <w:kern w:val="0"/>
                <w:sz w:val="24"/>
                <w:szCs w:val="20"/>
                <w14:ligatures w14:val="none"/>
              </w:rPr>
            </w:pPr>
            <w:r>
              <w:rPr>
                <w:rFonts w:hint="eastAsia" w:ascii="Times New Roman" w:hAnsi="Times New Roman" w:eastAsia="宋体" w:cs="Times New Roman"/>
                <w:kern w:val="0"/>
                <w:sz w:val="24"/>
                <w:szCs w:val="20"/>
                <w14:ligatures w14:val="none"/>
              </w:rPr>
              <w:t>Alive at the data cut-off date</w:t>
            </w:r>
          </w:p>
        </w:tc>
        <w:tc>
          <w:tcPr>
            <w:tcW w:w="2709" w:type="dxa"/>
          </w:tcPr>
          <w:p w14:paraId="39E43F5C">
            <w:pPr>
              <w:spacing w:after="0" w:line="360" w:lineRule="auto"/>
              <w:jc w:val="center"/>
              <w:rPr>
                <w:rFonts w:hint="default" w:ascii="Times New Roman" w:hAnsi="Times New Roman" w:eastAsia="宋体" w:cs="Times New Roman"/>
                <w:kern w:val="0"/>
                <w:sz w:val="24"/>
                <w:szCs w:val="20"/>
                <w:lang w:val="en-US" w:eastAsia="zh-CN"/>
                <w14:ligatures w14:val="none"/>
              </w:rPr>
            </w:pPr>
            <w:r>
              <w:rPr>
                <w:rFonts w:hint="eastAsia" w:ascii="Times New Roman" w:hAnsi="Times New Roman" w:eastAsia="宋体" w:cs="Times New Roman"/>
                <w:kern w:val="0"/>
                <w:sz w:val="24"/>
                <w:szCs w:val="20"/>
                <w:lang w:val="en-US" w:eastAsia="zh-CN"/>
                <w14:ligatures w14:val="none"/>
              </w:rPr>
              <w:t>Censoring</w:t>
            </w:r>
          </w:p>
        </w:tc>
        <w:tc>
          <w:tcPr>
            <w:tcW w:w="2710" w:type="dxa"/>
          </w:tcPr>
          <w:p w14:paraId="045F8AB0">
            <w:pPr>
              <w:spacing w:after="0" w:line="360" w:lineRule="auto"/>
              <w:jc w:val="center"/>
              <w:rPr>
                <w:rFonts w:ascii="Times New Roman" w:hAnsi="Times New Roman" w:eastAsia="宋体" w:cs="Times New Roman"/>
                <w:kern w:val="0"/>
                <w:sz w:val="24"/>
                <w:szCs w:val="20"/>
                <w14:ligatures w14:val="none"/>
              </w:rPr>
            </w:pPr>
            <w:r>
              <w:rPr>
                <w:rFonts w:hint="eastAsia" w:ascii="Times New Roman" w:hAnsi="Times New Roman" w:eastAsia="宋体" w:cs="Times New Roman"/>
                <w:kern w:val="0"/>
                <w:sz w:val="24"/>
                <w:szCs w:val="20"/>
                <w14:ligatures w14:val="none"/>
              </w:rPr>
              <w:t>Last Known Alive Date</w:t>
            </w:r>
          </w:p>
        </w:tc>
      </w:tr>
    </w:tbl>
    <w:p w14:paraId="302BD608">
      <w:pPr>
        <w:pStyle w:val="12"/>
        <w:spacing w:after="156"/>
        <w:ind w:firstLine="480"/>
        <w:rPr>
          <w:lang w:val="en-US" w:eastAsia="zh-CN"/>
        </w:rPr>
      </w:pPr>
    </w:p>
    <w:p w14:paraId="17352742">
      <w:pPr>
        <w:pStyle w:val="12"/>
        <w:spacing w:after="156"/>
        <w:ind w:firstLine="480"/>
        <w:rPr>
          <w:rFonts w:hint="eastAsia"/>
          <w:lang w:val="en-US" w:eastAsia="zh-CN"/>
        </w:rPr>
      </w:pPr>
      <w:r>
        <w:rPr>
          <w:rFonts w:hint="eastAsia"/>
          <w:lang w:val="en-US" w:eastAsia="zh-CN"/>
        </w:rPr>
        <w:t>When the date of death is incomplete, it will be imputed in accordance with Section 6.1.3 (Missing Data) and then used for the calculation. The date of last known alive is defined as the latest date collected from all eCRF pages, excluding the Visit Date page, Tumor Response Assessment Date, Study Summary page, and Survival Assessment page where the subject status is marked as "lost to follow-up" or "death."</w:t>
      </w:r>
    </w:p>
    <w:p w14:paraId="5A47832B">
      <w:pPr>
        <w:pStyle w:val="12"/>
        <w:spacing w:after="156"/>
        <w:ind w:firstLine="480"/>
        <w:rPr>
          <w:lang w:val="en-US" w:eastAsia="zh-CN"/>
        </w:rPr>
      </w:pPr>
      <w:r>
        <w:rPr>
          <w:rFonts w:hint="eastAsia"/>
          <w:lang w:val="en-US" w:eastAsia="zh-CN"/>
        </w:rPr>
        <w:t>The primary analysis method for OS is the same as that for PFS.</w:t>
      </w:r>
    </w:p>
    <w:p w14:paraId="047FE084">
      <w:pPr>
        <w:pStyle w:val="5"/>
      </w:pPr>
      <w:r>
        <w:rPr>
          <w:rFonts w:hint="eastAsia"/>
        </w:rPr>
        <w:t>Objective Response Rate (ORR)</w:t>
      </w:r>
    </w:p>
    <w:p w14:paraId="3E4A58C0">
      <w:pPr>
        <w:pStyle w:val="12"/>
        <w:spacing w:after="156"/>
        <w:ind w:firstLine="480"/>
        <w:rPr>
          <w:rFonts w:hint="eastAsia"/>
          <w:lang w:val="en-US" w:eastAsia="zh-CN"/>
        </w:rPr>
      </w:pPr>
      <w:r>
        <w:rPr>
          <w:rFonts w:hint="eastAsia"/>
          <w:lang w:val="en-US" w:eastAsia="zh-CN"/>
        </w:rPr>
        <w:t>ORR is defined as the proportion of subjects whose response is assessed as complete response (CR) or partial response (PR) according to RECIST 1.1. Subjects without tumor assessment will be treated as not achieving ORR and will be included in the denominator for the calculation.</w:t>
      </w:r>
    </w:p>
    <w:p w14:paraId="59AC5DA1">
      <w:pPr>
        <w:pStyle w:val="12"/>
        <w:spacing w:after="156"/>
        <w:ind w:firstLine="480"/>
        <w:rPr>
          <w:lang w:val="en-US" w:eastAsia="zh-CN"/>
        </w:rPr>
      </w:pPr>
      <w:r>
        <w:rPr>
          <w:rFonts w:hint="eastAsia"/>
          <w:lang w:val="en-US" w:eastAsia="zh-CN"/>
        </w:rPr>
        <w:t>The number and percentage of subjects whose best overall tumor response during induction therapy achieves ORR will be summarized, and the 95% confidence interval will be calculated using the Clopper–Pearson method.</w:t>
      </w:r>
    </w:p>
    <w:bookmarkEnd w:id="67"/>
    <w:p w14:paraId="4D3D4124">
      <w:pPr>
        <w:pStyle w:val="3"/>
        <w:bidi w:val="0"/>
        <w:ind w:left="0" w:leftChars="0" w:firstLine="0" w:firstLineChars="0"/>
      </w:pPr>
      <w:bookmarkStart w:id="73" w:name="_Toc220912221"/>
      <w:bookmarkEnd w:id="73"/>
      <w:bookmarkStart w:id="74" w:name="_Toc174019649"/>
      <w:bookmarkStart w:id="75" w:name="_Toc19729"/>
      <w:bookmarkStart w:id="76" w:name="_Toc493505004"/>
      <w:r>
        <w:t>Safety Analysis</w:t>
      </w:r>
      <w:bookmarkEnd w:id="74"/>
      <w:bookmarkEnd w:id="75"/>
      <w:bookmarkEnd w:id="76"/>
    </w:p>
    <w:p w14:paraId="41F8E2BC">
      <w:pPr>
        <w:pStyle w:val="12"/>
        <w:spacing w:after="0" w:afterLines="0"/>
        <w:ind w:firstLine="480"/>
        <w:rPr>
          <w:lang w:eastAsia="zh-CN"/>
        </w:rPr>
      </w:pPr>
      <w:r>
        <w:rPr>
          <w:rFonts w:hint="eastAsia"/>
          <w:lang w:eastAsia="zh-CN"/>
        </w:rPr>
        <w:t>Unless otherwise specified, safety analyses will be based on the Safety Set (SS). In addition to summary analyses, subject listings with detailed information will also be provided.</w:t>
      </w:r>
    </w:p>
    <w:p w14:paraId="041F2C47">
      <w:pPr>
        <w:pStyle w:val="4"/>
        <w:rPr>
          <w:rFonts w:cs="Times New Roman"/>
          <w:szCs w:val="24"/>
        </w:rPr>
      </w:pPr>
      <w:bookmarkStart w:id="77" w:name="_Toc493505005"/>
      <w:bookmarkStart w:id="78" w:name="_Toc174019650"/>
      <w:bookmarkStart w:id="79" w:name="_Toc21609"/>
      <w:r>
        <w:rPr>
          <w:rFonts w:cs="Times New Roman"/>
          <w:szCs w:val="24"/>
        </w:rPr>
        <w:t>Extent of Exposure</w:t>
      </w:r>
      <w:bookmarkEnd w:id="77"/>
      <w:bookmarkEnd w:id="78"/>
      <w:bookmarkEnd w:id="79"/>
    </w:p>
    <w:p w14:paraId="744FC5C4">
      <w:pPr>
        <w:pStyle w:val="12"/>
        <w:numPr>
          <w:ilvl w:val="0"/>
          <w:numId w:val="0"/>
        </w:numPr>
        <w:spacing w:after="0" w:afterLines="0"/>
        <w:ind w:firstLine="480" w:firstLineChars="200"/>
        <w:rPr>
          <w:rFonts w:hint="eastAsia"/>
          <w:lang w:eastAsia="zh-CN"/>
        </w:rPr>
      </w:pPr>
      <w:r>
        <w:rPr>
          <w:rFonts w:hint="eastAsia"/>
          <w:lang w:eastAsia="zh-CN"/>
        </w:rPr>
        <w:t>Study treatment dosing information and treatment completion information are recorded in the eCRF "Study Drug Administration Record" and "Treatment Completion Summary" pages, respectively.</w:t>
      </w:r>
    </w:p>
    <w:p w14:paraId="32D60BDD">
      <w:pPr>
        <w:pStyle w:val="12"/>
        <w:numPr>
          <w:ilvl w:val="0"/>
          <w:numId w:val="0"/>
        </w:numPr>
        <w:spacing w:after="0" w:afterLines="0"/>
        <w:ind w:firstLine="480" w:firstLineChars="200"/>
        <w:rPr>
          <w:rFonts w:hint="eastAsia"/>
          <w:lang w:eastAsia="zh-CN"/>
        </w:rPr>
      </w:pPr>
      <w:r>
        <w:rPr>
          <w:rFonts w:hint="eastAsia"/>
          <w:lang w:eastAsia="zh-CN"/>
        </w:rPr>
        <w:t>For subjects in the Safety Set (SS), the following exposure parameters for nab-paclitaxel (paclitaxel for injection [albumin-bound]) and S-1 will be calculated:</w:t>
      </w:r>
    </w:p>
    <w:p w14:paraId="5F38305B">
      <w:pPr>
        <w:pStyle w:val="12"/>
        <w:numPr>
          <w:ilvl w:val="0"/>
          <w:numId w:val="6"/>
        </w:numPr>
        <w:spacing w:after="0" w:afterLines="0"/>
        <w:ind w:firstLineChars="0"/>
        <w:rPr>
          <w:rFonts w:hint="eastAsia"/>
          <w:lang w:eastAsia="zh-CN"/>
        </w:rPr>
      </w:pPr>
      <w:r>
        <w:rPr>
          <w:rFonts w:hint="eastAsia"/>
          <w:lang w:eastAsia="zh-CN"/>
        </w:rPr>
        <w:t>Number of exposure cycles: total exposure duration (days) / 21</w:t>
      </w:r>
    </w:p>
    <w:p w14:paraId="2D042497">
      <w:pPr>
        <w:pStyle w:val="12"/>
        <w:numPr>
          <w:ilvl w:val="0"/>
          <w:numId w:val="6"/>
        </w:numPr>
        <w:spacing w:after="0" w:afterLines="0"/>
        <w:ind w:firstLineChars="0"/>
        <w:rPr>
          <w:rFonts w:hint="eastAsia"/>
          <w:lang w:eastAsia="zh-CN"/>
        </w:rPr>
      </w:pPr>
      <w:r>
        <w:rPr>
          <w:rFonts w:hint="eastAsia"/>
          <w:lang w:eastAsia="zh-CN"/>
        </w:rPr>
        <w:t>Number of actual exposure cycles: number of cycles during this period in which the actual administered dose is non-zero</w:t>
      </w:r>
    </w:p>
    <w:p w14:paraId="0ACFFD1E">
      <w:pPr>
        <w:pStyle w:val="12"/>
        <w:numPr>
          <w:ilvl w:val="0"/>
          <w:numId w:val="6"/>
        </w:numPr>
        <w:spacing w:after="0" w:afterLines="0"/>
        <w:ind w:firstLineChars="0"/>
        <w:rPr>
          <w:rFonts w:hint="eastAsia"/>
          <w:lang w:eastAsia="zh-CN"/>
        </w:rPr>
      </w:pPr>
      <w:r>
        <w:rPr>
          <w:rFonts w:hint="eastAsia"/>
          <w:lang w:eastAsia="zh-CN"/>
        </w:rPr>
        <w:t>Total cumulative dose (mg): sum of the actual administered doses across all cycles during this period</w:t>
      </w:r>
    </w:p>
    <w:p w14:paraId="42AFAE76">
      <w:pPr>
        <w:pStyle w:val="12"/>
        <w:numPr>
          <w:ilvl w:val="0"/>
          <w:numId w:val="6"/>
        </w:numPr>
        <w:spacing w:after="0" w:afterLines="0"/>
        <w:ind w:firstLineChars="0"/>
        <w:rPr>
          <w:rFonts w:hint="eastAsia"/>
          <w:lang w:eastAsia="zh-CN"/>
        </w:rPr>
      </w:pPr>
      <w:r>
        <w:rPr>
          <w:rFonts w:hint="eastAsia"/>
          <w:lang w:eastAsia="zh-CN"/>
        </w:rPr>
        <w:t>Mean unit dose (mg/m²): average of the per-cycle unit doses during this period</w:t>
      </w:r>
    </w:p>
    <w:p w14:paraId="2D94D84A">
      <w:pPr>
        <w:pStyle w:val="4"/>
        <w:bidi w:val="0"/>
        <w:ind w:left="0" w:leftChars="0" w:firstLine="0" w:firstLineChars="0"/>
      </w:pPr>
      <w:bookmarkStart w:id="80" w:name="_Toc5522"/>
      <w:bookmarkStart w:id="81" w:name="_Toc493505007"/>
      <w:r>
        <w:t xml:space="preserve">Surgical </w:t>
      </w:r>
      <w:r>
        <w:rPr>
          <w:rFonts w:hint="eastAsia"/>
        </w:rPr>
        <w:t>S</w:t>
      </w:r>
      <w:r>
        <w:t>ituation</w:t>
      </w:r>
      <w:bookmarkEnd w:id="80"/>
    </w:p>
    <w:p w14:paraId="423A4E0C">
      <w:pPr>
        <w:pStyle w:val="5"/>
      </w:pPr>
      <w:r>
        <w:rPr>
          <w:rFonts w:hint="eastAsia"/>
          <w:lang w:val="en-US" w:eastAsia="zh-CN"/>
        </w:rPr>
        <w:t>Surgery Rate</w:t>
      </w:r>
    </w:p>
    <w:p w14:paraId="51D100EB">
      <w:pPr>
        <w:pStyle w:val="12"/>
        <w:spacing w:after="156"/>
        <w:ind w:firstLine="480"/>
        <w:rPr>
          <w:rFonts w:hint="eastAsia"/>
          <w:lang w:eastAsia="zh-CN"/>
        </w:rPr>
      </w:pPr>
      <w:r>
        <w:rPr>
          <w:rFonts w:hint="eastAsia"/>
          <w:lang w:eastAsia="zh-CN"/>
        </w:rPr>
        <w:t>The analysis of the surgery rate will be based on the ITT analysis set. The number and percentage of subjects who underwent surgery and those who did not will be described, and the reasons for not undergoing surgery will be summarized by category.</w:t>
      </w:r>
    </w:p>
    <w:p w14:paraId="0CCC0EAB">
      <w:pPr>
        <w:pStyle w:val="5"/>
      </w:pPr>
      <w:r>
        <w:rPr>
          <w:rFonts w:hint="eastAsia"/>
        </w:rPr>
        <w:t>Surgical Resection Status</w:t>
      </w:r>
    </w:p>
    <w:p w14:paraId="48E47BA5">
      <w:pPr>
        <w:pStyle w:val="12"/>
        <w:spacing w:after="156"/>
        <w:ind w:firstLine="480"/>
        <w:rPr>
          <w:rFonts w:hint="eastAsia"/>
          <w:lang w:eastAsia="zh-CN"/>
        </w:rPr>
      </w:pPr>
      <w:r>
        <w:rPr>
          <w:rFonts w:hint="eastAsia"/>
          <w:lang w:eastAsia="zh-CN"/>
        </w:rPr>
        <w:t>The analysis of surgical resection status will be based on the population who underwent surgery. The number and percentage of subjects will be described for the type of surgical resection, whether portal vein/superior mesenteric vein resection was performed, and whether arterial resection was performed.</w:t>
      </w:r>
    </w:p>
    <w:p w14:paraId="1AD036F3">
      <w:pPr>
        <w:pStyle w:val="5"/>
      </w:pPr>
      <w:r>
        <w:rPr>
          <w:rFonts w:hint="eastAsia"/>
        </w:rPr>
        <w:t>Postoperative Pathology</w:t>
      </w:r>
    </w:p>
    <w:p w14:paraId="2D824CB2">
      <w:pPr>
        <w:pStyle w:val="12"/>
        <w:spacing w:after="156"/>
        <w:ind w:firstLine="480"/>
        <w:rPr>
          <w:lang w:eastAsia="zh-CN"/>
        </w:rPr>
      </w:pPr>
      <w:r>
        <w:rPr>
          <w:rFonts w:hint="eastAsia"/>
          <w:lang w:eastAsia="zh-CN"/>
        </w:rPr>
        <w:t>The analysis of postoperative pathology will be based on the population who underwent surgery. The number and percentage of subjects will be described for postoperative histologic differentiation, postoperative pathologic T stage, postoperative pathologic N stage, postoperative pathologic response (Evans classification), and whether an R0 or R1 resection was achieved.</w:t>
      </w:r>
    </w:p>
    <w:p w14:paraId="7EFD2E90">
      <w:pPr>
        <w:pStyle w:val="5"/>
      </w:pPr>
      <w:r>
        <w:rPr>
          <w:rFonts w:hint="eastAsia"/>
        </w:rPr>
        <w:t>Postoperative Complications</w:t>
      </w:r>
    </w:p>
    <w:p w14:paraId="543B116A">
      <w:pPr>
        <w:pStyle w:val="12"/>
        <w:spacing w:after="156"/>
        <w:ind w:firstLine="480"/>
        <w:rPr>
          <w:rFonts w:hint="eastAsia"/>
          <w:lang w:eastAsia="zh-CN"/>
        </w:rPr>
      </w:pPr>
      <w:r>
        <w:rPr>
          <w:rFonts w:hint="eastAsia"/>
          <w:lang w:eastAsia="zh-CN"/>
        </w:rPr>
        <w:t>The analysis of postoperative complications will be based on the population who underwent surgery. The number and percentage of subjects who experienced postoperative complications, as well as the grading of each complication (according to the Clavien–Dindo classification), will be described.</w:t>
      </w:r>
    </w:p>
    <w:bookmarkEnd w:id="81"/>
    <w:p w14:paraId="215E250C">
      <w:pPr>
        <w:pStyle w:val="4"/>
        <w:rPr>
          <w:rFonts w:cs="Times New Roman"/>
          <w:szCs w:val="24"/>
        </w:rPr>
      </w:pPr>
      <w:bookmarkStart w:id="82" w:name="_Toc110355990"/>
      <w:bookmarkEnd w:id="82"/>
      <w:bookmarkStart w:id="83" w:name="_Toc110355991"/>
      <w:bookmarkEnd w:id="83"/>
      <w:bookmarkStart w:id="84" w:name="_Toc110355989"/>
      <w:bookmarkEnd w:id="84"/>
      <w:bookmarkStart w:id="85" w:name="_Toc110355986"/>
      <w:bookmarkEnd w:id="85"/>
      <w:bookmarkStart w:id="86" w:name="_Toc110355987"/>
      <w:bookmarkEnd w:id="86"/>
      <w:bookmarkStart w:id="87" w:name="_Toc110355988"/>
      <w:bookmarkEnd w:id="87"/>
      <w:bookmarkStart w:id="88" w:name="_Toc174019651"/>
      <w:bookmarkStart w:id="89" w:name="_Toc7223"/>
      <w:bookmarkStart w:id="90" w:name="_Toc493505006"/>
      <w:r>
        <w:rPr>
          <w:rFonts w:cs="Times New Roman"/>
          <w:szCs w:val="24"/>
        </w:rPr>
        <w:t>Adverse Events</w:t>
      </w:r>
      <w:bookmarkEnd w:id="88"/>
      <w:bookmarkEnd w:id="89"/>
      <w:bookmarkEnd w:id="90"/>
    </w:p>
    <w:p w14:paraId="538E497D">
      <w:pPr>
        <w:pStyle w:val="12"/>
        <w:spacing w:after="156"/>
        <w:ind w:firstLine="480"/>
        <w:rPr>
          <w:rFonts w:hint="eastAsia"/>
          <w:lang w:eastAsia="zh-CN"/>
        </w:rPr>
      </w:pPr>
      <w:r>
        <w:rPr>
          <w:rFonts w:hint="eastAsia"/>
          <w:lang w:eastAsia="zh-CN"/>
        </w:rPr>
        <w:t>Adverse events (AEs) are recorded in the eCRF "Adverse Events" page, and their severity is graded according to NCI CTCAE v5.0. Treatment-related adverse events (TRAEs) in this study are defined as AEs occurring from the first administration of study drug to 28 days after the last dose that are assessed as definitely related, possibly related, or relatedness unknown to the study drug, as well as AEs with missing relatedness. This includes any AE that newly occurs after initiation of study treatment or any AE that worsens compared with baseline (pre-study treatment).</w:t>
      </w:r>
    </w:p>
    <w:p w14:paraId="08620921">
      <w:pPr>
        <w:pStyle w:val="12"/>
        <w:spacing w:after="156"/>
        <w:ind w:firstLine="480"/>
        <w:rPr>
          <w:rFonts w:hint="eastAsia"/>
          <w:lang w:eastAsia="zh-CN"/>
        </w:rPr>
      </w:pPr>
      <w:r>
        <w:rPr>
          <w:rFonts w:hint="eastAsia"/>
          <w:lang w:eastAsia="zh-CN"/>
        </w:rPr>
        <w:t>All AE summary tables will be based on TRAEs in subjects in the Safety Set (SS) and will be described separately for hematologic and non-hematologic toxicities. For incidence calculations, the severity grade for any AE will be the highest (worst) grade experienced by each subject during the study period. Other AEs will be provided in listings only. Summary analyses will be provided for the following categories of TRAEs:</w:t>
      </w:r>
    </w:p>
    <w:p w14:paraId="083B0299">
      <w:pPr>
        <w:pStyle w:val="12"/>
        <w:spacing w:after="156"/>
        <w:ind w:firstLine="480"/>
        <w:rPr>
          <w:rFonts w:hint="eastAsia"/>
          <w:lang w:eastAsia="zh-CN"/>
        </w:rPr>
      </w:pPr>
      <w:r>
        <w:rPr>
          <w:rFonts w:hint="eastAsia"/>
          <w:lang w:eastAsia="zh-CN"/>
        </w:rPr>
        <w:t>TRAEs leading to dose reduction of any study drug</w:t>
      </w:r>
    </w:p>
    <w:p w14:paraId="77A60B96">
      <w:pPr>
        <w:pStyle w:val="12"/>
        <w:spacing w:after="156"/>
        <w:ind w:firstLine="480"/>
        <w:rPr>
          <w:rFonts w:hint="eastAsia"/>
          <w:lang w:eastAsia="zh-CN"/>
        </w:rPr>
      </w:pPr>
      <w:r>
        <w:rPr>
          <w:rFonts w:hint="eastAsia"/>
          <w:lang w:eastAsia="zh-CN"/>
        </w:rPr>
        <w:t>TRAEs leading to dose delay of any study drug</w:t>
      </w:r>
    </w:p>
    <w:p w14:paraId="5B97FFC1">
      <w:pPr>
        <w:pStyle w:val="12"/>
        <w:spacing w:after="156"/>
        <w:ind w:firstLine="480"/>
        <w:rPr>
          <w:rFonts w:hint="eastAsia"/>
          <w:lang w:eastAsia="zh-CN"/>
        </w:rPr>
      </w:pPr>
      <w:r>
        <w:rPr>
          <w:rFonts w:hint="eastAsia"/>
          <w:lang w:eastAsia="zh-CN"/>
        </w:rPr>
        <w:t>TRAEs leading to discontinuation (end) of study treatment</w:t>
      </w:r>
    </w:p>
    <w:p w14:paraId="5B90786C">
      <w:pPr>
        <w:pStyle w:val="12"/>
        <w:spacing w:after="156"/>
        <w:ind w:firstLine="480"/>
        <w:rPr>
          <w:rFonts w:hint="eastAsia"/>
          <w:lang w:eastAsia="zh-CN"/>
        </w:rPr>
      </w:pPr>
      <w:r>
        <w:rPr>
          <w:rFonts w:hint="eastAsia"/>
          <w:lang w:val="en-US" w:eastAsia="zh-CN"/>
        </w:rPr>
        <w:t>SAE</w:t>
      </w:r>
    </w:p>
    <w:p w14:paraId="22AD47FB">
      <w:pPr>
        <w:pStyle w:val="12"/>
        <w:spacing w:after="156"/>
        <w:ind w:firstLine="480"/>
        <w:rPr>
          <w:rFonts w:hint="eastAsia"/>
          <w:lang w:eastAsia="zh-CN"/>
        </w:rPr>
      </w:pPr>
      <w:r>
        <w:rPr>
          <w:rFonts w:hint="eastAsia"/>
          <w:lang w:eastAsia="zh-CN"/>
        </w:rPr>
        <w:t>A dose reduction of any study drug is defined as a decrease of ≥20% in unit dose compared with the previous cycle; a dose delay of any study drug is defined as a delay of &gt;14 days relative to the planned dosing date.</w:t>
      </w:r>
    </w:p>
    <w:p w14:paraId="218B921F">
      <w:pPr>
        <w:pStyle w:val="12"/>
        <w:spacing w:after="156"/>
        <w:ind w:firstLine="480"/>
        <w:rPr>
          <w:lang w:eastAsia="zh-CN"/>
        </w:rPr>
      </w:pPr>
      <w:r>
        <w:rPr>
          <w:rFonts w:hint="eastAsia"/>
          <w:lang w:eastAsia="zh-CN"/>
        </w:rPr>
        <w:t>In addition, TRAEs will be summarized by hematologic versus non-hematologic toxicity and further stratified by CTCAE grade. If the same AE occurs multiple times in a subject during the study, it will be counted only once using the highest severity grade.</w:t>
      </w:r>
    </w:p>
    <w:p w14:paraId="11A3E709">
      <w:pPr>
        <w:pStyle w:val="2"/>
        <w:spacing w:after="156"/>
        <w:ind w:firstLine="199" w:firstLineChars="83"/>
      </w:pPr>
      <w:bookmarkStart w:id="91" w:name="_Toc31449"/>
      <w:r>
        <w:t>References</w:t>
      </w:r>
      <w:bookmarkEnd w:id="91"/>
    </w:p>
    <w:p w14:paraId="690FDA95">
      <w:pPr>
        <w:pStyle w:val="12"/>
        <w:numPr>
          <w:ilvl w:val="0"/>
          <w:numId w:val="7"/>
        </w:numPr>
        <w:spacing w:after="156"/>
        <w:ind w:firstLine="480"/>
        <w:rPr>
          <w:lang w:val="en-US" w:eastAsia="zh-CN"/>
        </w:rPr>
      </w:pPr>
      <w:r>
        <w:rPr>
          <w:lang w:val="en-US" w:eastAsia="zh-CN"/>
        </w:rPr>
        <w:t xml:space="preserve">Reiss KA, Mick R, Teitelbaum U, O'Hara M, Schneider C, Massa R, Karasic T, Tondon R, Onyiah C, Gosselin MK, Donze A, Domchek SM, Vonderheide RH. Niraparib plus nivolumab or niraparib plus ipilimumab in patients with platinum-sensitive advanced pancreatic cancer: a randomised, phase 1b/2 trial. Lancet Oncol. 2022 Aug;23(8):1009-1020. doi: 10.1016/S1470-2045(22)00369-2. Epub 2022 Jul 7. </w:t>
      </w:r>
    </w:p>
    <w:p w14:paraId="628AE23E">
      <w:pPr>
        <w:pStyle w:val="12"/>
        <w:spacing w:after="156"/>
        <w:ind w:firstLine="480"/>
        <w:rPr>
          <w:lang w:val="en-US" w:eastAsia="zh-CN"/>
        </w:rPr>
      </w:pPr>
      <w:r>
        <w:rPr>
          <w:rFonts w:hint="eastAsia"/>
          <w:lang w:val="en-US" w:eastAsia="zh-CN"/>
        </w:rPr>
        <w:t>[2]</w:t>
      </w:r>
      <w:r>
        <w:rPr>
          <w:rFonts w:ascii="Segoe UI" w:hAnsi="Segoe UI" w:cs="Segoe UI" w:eastAsiaTheme="minorEastAsia"/>
          <w:snapToGrid/>
          <w:color w:val="212121"/>
          <w:kern w:val="2"/>
          <w:sz w:val="22"/>
          <w:shd w:val="clear" w:color="auto" w:fill="FFFFFF"/>
          <w:lang w:val="en-US" w:eastAsia="zh-CN"/>
          <w14:ligatures w14:val="standardContextual"/>
        </w:rPr>
        <w:t xml:space="preserve"> </w:t>
      </w:r>
      <w:r>
        <w:rPr>
          <w:lang w:val="en-US" w:eastAsia="zh-CN"/>
        </w:rPr>
        <w:t>Dahan L, Williet N, Le Malicot K, Phelip JM, Desrame J, Bouché O, Petorin C, Malka D, Rebischung C, Aparicio T, Lecaille C, Rinaldi Y, Turpin A, Bignon AL, Bachet JB, Seitz JF, Lepage C, François E; PRODIGE 35 Investigators/Collaborators. Randomized Phase II Trial Evaluating Two Sequential Treatments in First Line of Metastatic Pancreatic Cancer: Results of the PANOPTIMOX-PRODIGE 35 Trial. J Clin Oncol. 2021 Oct 10;39(29):3242-3250. doi: 10.1200/JCO.20.03329. Epub 2021 Jul 21. PMID: 34288696.</w:t>
      </w:r>
    </w:p>
    <w:p w14:paraId="46C182B4">
      <w:pPr>
        <w:pStyle w:val="12"/>
        <w:spacing w:after="156"/>
        <w:ind w:firstLine="480"/>
        <w:rPr>
          <w:lang w:val="en-US" w:eastAsia="zh-CN"/>
        </w:rPr>
      </w:pPr>
      <w:r>
        <w:rPr>
          <w:rFonts w:hint="eastAsia"/>
          <w:lang w:val="en-US" w:eastAsia="zh-CN"/>
        </w:rPr>
        <w:t>[3]</w:t>
      </w:r>
      <w:r>
        <w:rPr>
          <w:rFonts w:ascii="Segoe UI" w:hAnsi="Segoe UI" w:eastAsia="Segoe UI" w:cs="Segoe UI"/>
          <w:sz w:val="10"/>
          <w:szCs w:val="10"/>
          <w:shd w:val="clear" w:color="auto" w:fill="F0F0F0"/>
          <w:lang w:val="en-US"/>
        </w:rPr>
        <w:t xml:space="preserve"> </w:t>
      </w:r>
      <w:r>
        <w:rPr>
          <w:rFonts w:ascii="Times New Roman" w:hAnsi="Times New Roman" w:eastAsia="宋体" w:cs="Times New Roman"/>
          <w:sz w:val="24"/>
          <w:szCs w:val="24"/>
          <w:shd w:val="clear" w:color="auto" w:fill="auto"/>
          <w:lang w:val="en-US"/>
        </w:rPr>
        <w:t>Ueno H, Ioka T, Ikeda M, Ohkawa S, Yanagimoto H, Boku N, Fukutomi A, Sugimori K, Baba H, Yamao K, Shimamura T, Sho M, Kitano M, Cheng AL, Mizumoto K, Chen JS, Furuse J, Funakoshi A, Hatori T, Yamaguchi T, Egawa S, Sato A, Ohashi Y, Okusaka T, Tanaka M. Randomized phase III study of gemcitabine plus S-1, S-1 alone, or gemcitabine alone in patients with locally advanced and metastatic pancreatic cancer in Japan and Taiwan: GEST study. J Clin Oncol. 2013 May 1;31(13):1640-8. doi: 10.1200/JCO.2012.43.3680. Epub 2013 Apr 1. PMID: 23547081.</w:t>
      </w:r>
    </w:p>
    <w:p w14:paraId="31C0E506">
      <w:pPr>
        <w:pStyle w:val="12"/>
        <w:spacing w:after="156"/>
        <w:ind w:firstLine="480"/>
        <w:rPr>
          <w:lang w:val="en-US" w:eastAsia="zh-CN"/>
        </w:rPr>
      </w:pPr>
      <w:r>
        <w:rPr>
          <w:rFonts w:hint="eastAsia"/>
          <w:lang w:val="en-US" w:eastAsia="zh-CN"/>
        </w:rPr>
        <w:t>[4]</w:t>
      </w:r>
      <w:r>
        <w:rPr>
          <w:lang w:val="en-US"/>
        </w:rPr>
        <w:t xml:space="preserve"> Von Hoff DD, Ervin T, Arena FP, Chiorean EG, Infante J, Moore M, Seay T, Tjulandin SA, Ma WW, Saleh MN, Harris M, Reni M, Dowden S, Laheru D, Bahary N, Ramanathan RK, Tabernero J, Hidalgo M, Goldstein D, Van Cutsem E, Wei X, Iglesias J, Renschler MF. Increased survival in pancreatic cancer with nab-paclitaxel plus gemcitabine. N Engl J Med. 2013 Oct 31;369(18):1691-703. doi: 10.1056/NEJMoa1304369. Epub 2013 Oct 16. PMID: 24131140; PMCID: PMC4631139.</w:t>
      </w:r>
    </w:p>
    <w:p w14:paraId="64C1E571">
      <w:pPr>
        <w:pStyle w:val="12"/>
        <w:spacing w:after="156"/>
        <w:ind w:firstLine="480"/>
        <w:rPr>
          <w:lang w:val="en-US"/>
        </w:rPr>
      </w:pPr>
      <w:r>
        <w:rPr>
          <w:rFonts w:hint="eastAsia"/>
          <w:lang w:val="en-US" w:eastAsia="zh-CN"/>
        </w:rPr>
        <w:t>[5]</w:t>
      </w:r>
      <w:r>
        <w:rPr>
          <w:rFonts w:ascii="Arial" w:hAnsi="Arial" w:cs="Arial"/>
          <w:b/>
          <w:color w:val="000000"/>
          <w:sz w:val="20"/>
          <w:lang w:val="en-US"/>
        </w:rPr>
        <w:t xml:space="preserve"> </w:t>
      </w:r>
      <w:r>
        <w:rPr>
          <w:lang w:val="en-US"/>
        </w:rPr>
        <w:t>Wu, Jianrong. 2015. 'Sample size calculation for the one-sample log-rank test', Pharmaceutical Statistics, Volume 14, pages 26-33.</w:t>
      </w:r>
    </w:p>
    <w:p w14:paraId="7D8C05BA">
      <w:pPr>
        <w:pStyle w:val="12"/>
        <w:spacing w:after="156"/>
        <w:ind w:firstLine="480"/>
        <w:rPr>
          <w:lang w:val="en-US"/>
        </w:rPr>
      </w:pPr>
      <w:r>
        <w:rPr>
          <w:rFonts w:hint="eastAsia"/>
          <w:lang w:val="en-US" w:eastAsia="zh-CN"/>
        </w:rPr>
        <w:t>[6]</w:t>
      </w:r>
      <w:r>
        <w:rPr>
          <w:rFonts w:ascii="Arial" w:hAnsi="Arial" w:cs="Arial"/>
          <w:b/>
          <w:color w:val="000000"/>
          <w:sz w:val="20"/>
          <w:lang w:val="en-US"/>
        </w:rPr>
        <w:t xml:space="preserve"> </w:t>
      </w:r>
      <w:r>
        <w:rPr>
          <w:lang w:val="en-US"/>
        </w:rPr>
        <w:t>Wu, Jianrong. 2014. 'A New One-Sample Log-Rank Test', J Biomet Biostat 5; 210.</w:t>
      </w:r>
    </w:p>
    <w:p w14:paraId="34CA6F9E">
      <w:pPr>
        <w:pStyle w:val="12"/>
        <w:spacing w:after="156"/>
        <w:ind w:firstLine="480"/>
        <w:rPr>
          <w:lang w:val="en-US"/>
        </w:rPr>
      </w:pPr>
      <w:r>
        <w:rPr>
          <w:rFonts w:hint="eastAsia"/>
          <w:lang w:val="en-US" w:eastAsia="zh-CN"/>
        </w:rPr>
        <w:t>[7]</w:t>
      </w:r>
      <w:r>
        <w:rPr>
          <w:rFonts w:ascii="Arial" w:hAnsi="Arial" w:cs="Arial"/>
          <w:b/>
          <w:color w:val="000000"/>
          <w:sz w:val="20"/>
          <w:lang w:val="en-US"/>
        </w:rPr>
        <w:t xml:space="preserve"> </w:t>
      </w:r>
      <w:r>
        <w:rPr>
          <w:lang w:val="en-US"/>
        </w:rPr>
        <w:t>Finkelstein D, Muzikansky A, Schoenfeld D. 2003. 'Comparing Survival of a Sample to That of a Standard Population', Journal of the National Cancer</w:t>
      </w:r>
      <w:r>
        <w:rPr>
          <w:rFonts w:hint="eastAsia"/>
          <w:lang w:val="en-US" w:eastAsia="zh-CN"/>
        </w:rPr>
        <w:t xml:space="preserve"> </w:t>
      </w:r>
      <w:r>
        <w:rPr>
          <w:lang w:val="en-US"/>
        </w:rPr>
        <w:t>Institute, 95, pages 1434-1439.</w:t>
      </w:r>
    </w:p>
    <w:p w14:paraId="16EDDA03">
      <w:pPr>
        <w:pStyle w:val="12"/>
        <w:spacing w:after="156"/>
        <w:ind w:firstLine="480"/>
        <w:rPr>
          <w:lang w:val="en-US"/>
        </w:rPr>
      </w:pPr>
      <w:r>
        <w:rPr>
          <w:rFonts w:hint="eastAsia"/>
          <w:lang w:val="en-US" w:eastAsia="zh-CN"/>
        </w:rPr>
        <w:t>[8]</w:t>
      </w:r>
      <w:r>
        <w:rPr>
          <w:lang w:val="en-US"/>
        </w:rPr>
        <w:t>Sun X, Peng P, Tu D. 2011. 'Phase II cancer clinical trials with a one-sample log-rank test and its corrections based on the Edgeworth expansion',Contemporary Clinical Trials, 32, pages 108-113.</w:t>
      </w:r>
    </w:p>
    <w:p w14:paraId="66BE3DA9">
      <w:pPr>
        <w:pStyle w:val="12"/>
        <w:spacing w:after="156"/>
        <w:ind w:firstLine="480"/>
        <w:rPr>
          <w:lang w:val="en-US" w:eastAsia="zh-CN"/>
        </w:rPr>
      </w:pPr>
      <w:r>
        <w:rPr>
          <w:rFonts w:hint="eastAsia"/>
          <w:lang w:val="en-US" w:eastAsia="zh-CN"/>
        </w:rPr>
        <w:t>[9]</w:t>
      </w:r>
      <w:r>
        <w:rPr>
          <w:lang w:val="en-US"/>
        </w:rPr>
        <w:t>Schmidt R., Kwiecien R, Faldum A, Berthold F, Hero B, Ligges S. 2015. 'Sample size calculation for the one-sample log-rank test', Stat Med, 34(6), pages</w:t>
      </w:r>
      <w:r>
        <w:rPr>
          <w:rFonts w:hint="eastAsia"/>
          <w:lang w:val="en-US" w:eastAsia="zh-CN"/>
        </w:rPr>
        <w:t xml:space="preserve"> </w:t>
      </w:r>
      <w:r>
        <w:rPr>
          <w:lang w:val="en-US" w:eastAsia="zh-CN"/>
        </w:rPr>
        <w:t>1031-40.</w:t>
      </w:r>
    </w:p>
    <w:p w14:paraId="2941685E">
      <w:pPr>
        <w:pStyle w:val="2"/>
        <w:rPr>
          <w:highlight w:val="none"/>
        </w:rPr>
      </w:pPr>
      <w:bookmarkStart w:id="92" w:name="_Toc21617"/>
      <w:r>
        <w:rPr>
          <w:highlight w:val="none"/>
        </w:rPr>
        <w:t xml:space="preserve">Amendment </w:t>
      </w:r>
      <w:r>
        <w:rPr>
          <w:rFonts w:hint="eastAsia"/>
          <w:highlight w:val="none"/>
        </w:rPr>
        <w:t>T</w:t>
      </w:r>
      <w:r>
        <w:rPr>
          <w:highlight w:val="none"/>
        </w:rPr>
        <w:t xml:space="preserve">o </w:t>
      </w:r>
      <w:r>
        <w:rPr>
          <w:rFonts w:hint="eastAsia"/>
          <w:highlight w:val="none"/>
        </w:rPr>
        <w:t>T</w:t>
      </w:r>
      <w:r>
        <w:rPr>
          <w:highlight w:val="none"/>
        </w:rPr>
        <w:t xml:space="preserve">he </w:t>
      </w:r>
      <w:r>
        <w:rPr>
          <w:rFonts w:hint="eastAsia"/>
          <w:highlight w:val="none"/>
        </w:rPr>
        <w:t>O</w:t>
      </w:r>
      <w:r>
        <w:rPr>
          <w:highlight w:val="none"/>
        </w:rPr>
        <w:t xml:space="preserve">riginal </w:t>
      </w:r>
      <w:r>
        <w:rPr>
          <w:rFonts w:hint="eastAsia"/>
          <w:highlight w:val="none"/>
        </w:rPr>
        <w:t>A</w:t>
      </w:r>
      <w:r>
        <w:rPr>
          <w:highlight w:val="none"/>
        </w:rPr>
        <w:t xml:space="preserve">nalysis </w:t>
      </w:r>
      <w:r>
        <w:rPr>
          <w:rFonts w:hint="eastAsia"/>
          <w:highlight w:val="none"/>
        </w:rPr>
        <w:t>P</w:t>
      </w:r>
      <w:r>
        <w:rPr>
          <w:highlight w:val="none"/>
        </w:rPr>
        <w:t>lan</w:t>
      </w:r>
      <w:bookmarkEnd w:id="92"/>
    </w:p>
    <w:p w14:paraId="60F3BBEB">
      <w:pPr>
        <w:pStyle w:val="12"/>
        <w:spacing w:after="156"/>
        <w:ind w:firstLine="480"/>
        <w:rPr>
          <w:rFonts w:hint="eastAsia"/>
          <w:highlight w:val="none"/>
          <w:lang w:eastAsia="zh-CN"/>
        </w:rPr>
      </w:pPr>
      <w:r>
        <w:rPr>
          <w:rFonts w:hint="eastAsia"/>
          <w:highlight w:val="none"/>
          <w:lang w:eastAsia="zh-CN"/>
        </w:rPr>
        <w:t>To further explore disease control, postoperative R0/R1 resection outcomes, and post-treatment biomarker (CA19-9) changes in subjects with locally advanced pancreatic cancer treated with nab-paclitaxel (paclitaxel for injection [albumin-bound]) in combination with S-1, the following additional statistical analyses will be performed:</w:t>
      </w:r>
    </w:p>
    <w:p w14:paraId="587B795D">
      <w:pPr>
        <w:pStyle w:val="12"/>
        <w:spacing w:after="156"/>
        <w:ind w:firstLine="480"/>
        <w:rPr>
          <w:rFonts w:hint="eastAsia"/>
          <w:highlight w:val="none"/>
          <w:lang w:eastAsia="zh-CN"/>
        </w:rPr>
      </w:pPr>
      <w:r>
        <w:rPr>
          <w:rFonts w:hint="eastAsia"/>
          <w:highlight w:val="none"/>
          <w:lang w:eastAsia="zh-CN"/>
        </w:rPr>
        <w:t>Disease Control Rate (DCR)</w:t>
      </w:r>
    </w:p>
    <w:p w14:paraId="3C88D3C4">
      <w:pPr>
        <w:pStyle w:val="12"/>
        <w:spacing w:after="156"/>
        <w:ind w:firstLine="480"/>
        <w:rPr>
          <w:rFonts w:hint="eastAsia"/>
          <w:highlight w:val="none"/>
          <w:lang w:eastAsia="zh-CN"/>
        </w:rPr>
      </w:pPr>
      <w:r>
        <w:rPr>
          <w:rFonts w:hint="eastAsia"/>
          <w:highlight w:val="none"/>
          <w:lang w:eastAsia="zh-CN"/>
        </w:rPr>
        <w:t>R0/R1 Resection Rate</w:t>
      </w:r>
    </w:p>
    <w:p w14:paraId="7297A9C6">
      <w:pPr>
        <w:pStyle w:val="12"/>
        <w:spacing w:after="156"/>
        <w:ind w:firstLine="480"/>
        <w:rPr>
          <w:rFonts w:hint="eastAsia"/>
          <w:highlight w:val="none"/>
          <w:lang w:eastAsia="zh-CN"/>
        </w:rPr>
      </w:pPr>
      <w:r>
        <w:rPr>
          <w:rFonts w:hint="eastAsia"/>
          <w:highlight w:val="none"/>
          <w:lang w:eastAsia="zh-CN"/>
        </w:rPr>
        <w:t>Best percent change from baseline in post-treatment CA19-9 (for subjects with abnormal baseline)</w:t>
      </w:r>
    </w:p>
    <w:p w14:paraId="036BEB85">
      <w:pPr>
        <w:pStyle w:val="12"/>
        <w:spacing w:after="156"/>
        <w:ind w:firstLine="480"/>
        <w:rPr>
          <w:rFonts w:hint="eastAsia"/>
          <w:highlight w:val="none"/>
          <w:lang w:eastAsia="zh-CN"/>
        </w:rPr>
      </w:pPr>
      <w:r>
        <w:rPr>
          <w:rFonts w:hint="eastAsia"/>
          <w:highlight w:val="none"/>
          <w:lang w:eastAsia="zh-CN"/>
        </w:rPr>
        <w:t>Proportion with≥50% decrease from baseline in post-treatment CA19-9 (for subjects with abnormal baseline)</w:t>
      </w:r>
    </w:p>
    <w:p w14:paraId="25224E73">
      <w:pPr>
        <w:pStyle w:val="12"/>
        <w:spacing w:after="156"/>
        <w:ind w:firstLine="480"/>
        <w:rPr>
          <w:rFonts w:hint="eastAsia"/>
          <w:highlight w:val="none"/>
          <w:lang w:eastAsia="zh-CN"/>
        </w:rPr>
      </w:pPr>
      <w:r>
        <w:rPr>
          <w:rFonts w:hint="eastAsia"/>
          <w:highlight w:val="none"/>
          <w:lang w:eastAsia="zh-CN"/>
        </w:rPr>
        <w:t>Proportion with≥70% decrease from baseline in post-treatment CA19-9 (for subjects with abnormal baseline)</w:t>
      </w:r>
    </w:p>
    <w:p w14:paraId="3E91BC99">
      <w:pPr>
        <w:pStyle w:val="12"/>
        <w:spacing w:after="156"/>
        <w:ind w:firstLine="480"/>
        <w:rPr>
          <w:rFonts w:hint="eastAsia"/>
          <w:highlight w:val="none"/>
          <w:lang w:eastAsia="zh-CN"/>
        </w:rPr>
      </w:pPr>
      <w:r>
        <w:rPr>
          <w:rFonts w:hint="eastAsia"/>
          <w:highlight w:val="none"/>
          <w:lang w:eastAsia="zh-CN"/>
        </w:rPr>
        <w:t>Proportion with CA19-9 normalization after treatment (for subjects with abnormal baseline)</w:t>
      </w:r>
    </w:p>
    <w:p w14:paraId="4721C764">
      <w:pPr>
        <w:pStyle w:val="12"/>
        <w:spacing w:after="156"/>
        <w:ind w:firstLine="480"/>
        <w:rPr>
          <w:rFonts w:hint="eastAsia"/>
          <w:highlight w:val="none"/>
          <w:lang w:eastAsia="zh-CN"/>
        </w:rPr>
      </w:pPr>
      <w:r>
        <w:rPr>
          <w:rFonts w:hint="eastAsia"/>
          <w:highlight w:val="none"/>
          <w:lang w:eastAsia="zh-CN"/>
        </w:rPr>
        <w:t>Disease Control Rate (DCR) is defined as the proportion of subjects whose response is assessed as complete response (CR), partial response (PR), or stable disease (SD) according to RECIST 1.1. Subjects without tumor assessment will be treated as not achieving DCR and will be included in the denominator for the calculation. The number and percentage of subjects whose best overall tumor response during induction therapy achieves DCR will be summarized, and the 95% confidence interval will be calculated using the Clopper–Pearson method.</w:t>
      </w:r>
    </w:p>
    <w:p w14:paraId="1F06FB8E">
      <w:pPr>
        <w:pStyle w:val="12"/>
        <w:spacing w:after="156"/>
        <w:ind w:firstLine="480"/>
        <w:rPr>
          <w:rFonts w:hint="eastAsia"/>
          <w:highlight w:val="none"/>
          <w:lang w:eastAsia="zh-CN"/>
        </w:rPr>
      </w:pPr>
      <w:r>
        <w:rPr>
          <w:rFonts w:hint="eastAsia"/>
          <w:highlight w:val="none"/>
          <w:lang w:eastAsia="zh-CN"/>
        </w:rPr>
        <w:t>R0/R1 Resection Rate is defined as the proportion of subjects with a postoperative resection assessment of R0 or R1. R0 resection is defined as macroscopically complete tumor resection with no tumor cell infiltration within 1 mm of the resection margin; R1 resection is defined as macroscopically complete tumor resection with tumor cell infiltration identified within 1 mm of the surgical margin. Only subjects who underwent surgery will be included in the denominator. The number and percentage of subjects achieving R0/R1 resection will be summarized, and the 95% confidence interval will be calculated using the Clopper–Pearson method.</w:t>
      </w:r>
    </w:p>
    <w:p w14:paraId="25C8B771">
      <w:pPr>
        <w:pStyle w:val="12"/>
        <w:spacing w:after="156"/>
        <w:ind w:firstLine="480"/>
        <w:rPr>
          <w:rFonts w:hint="eastAsia"/>
          <w:highlight w:val="none"/>
          <w:lang w:eastAsia="zh-CN"/>
        </w:rPr>
      </w:pPr>
      <w:r>
        <w:rPr>
          <w:rFonts w:hint="eastAsia"/>
          <w:highlight w:val="none"/>
          <w:lang w:eastAsia="zh-CN"/>
        </w:rPr>
        <w:t>Best percent change from baseline in CA19-9 after treatment will be calculated in the population of subjects who have at least one CA19-9 assessment both before and after treatment and have an abnormal baseline CA19-9 value. Best percent change is defined as the percent change of the lowest post-treatment CA19-9 value relative to baseline. A waterfall plot is planned to display the change for each subject.</w:t>
      </w:r>
    </w:p>
    <w:p w14:paraId="7B895BD8">
      <w:pPr>
        <w:pStyle w:val="12"/>
        <w:spacing w:after="156"/>
        <w:ind w:firstLine="480"/>
        <w:rPr>
          <w:rFonts w:hint="eastAsia"/>
          <w:highlight w:val="none"/>
          <w:lang w:eastAsia="zh-CN"/>
        </w:rPr>
      </w:pPr>
      <w:r>
        <w:rPr>
          <w:rFonts w:hint="eastAsia"/>
          <w:highlight w:val="none"/>
          <w:lang w:eastAsia="zh-CN"/>
        </w:rPr>
        <w:t>Proportion with ≥50% decrease from baseline in CA19-9 after treatment will be calculated in the population of subjects who have at least one CA19-9 assessment both before and after treatment and have an abnormal baseline CA19-9 value. This endpoint is defined as the percentage of subjects whose lowest post-treatment CA19-9 value shows a decrease of ≥50% from baseline. The number and percentage will be summarized.</w:t>
      </w:r>
    </w:p>
    <w:p w14:paraId="43F3AE09">
      <w:pPr>
        <w:pStyle w:val="12"/>
        <w:spacing w:after="156"/>
        <w:ind w:firstLine="480"/>
        <w:rPr>
          <w:rFonts w:hint="eastAsia"/>
          <w:highlight w:val="none"/>
          <w:lang w:eastAsia="zh-CN"/>
        </w:rPr>
      </w:pPr>
      <w:r>
        <w:rPr>
          <w:rFonts w:hint="eastAsia"/>
          <w:highlight w:val="none"/>
          <w:lang w:eastAsia="zh-CN"/>
        </w:rPr>
        <w:t>Proportion with ≥70% decrease from baseline in CA19-9 after treatment will be calculated in the population of subjects who have at least one CA19-9 assessment both before and after treatment and have an abnormal baseline CA19-9 value. This endpoint is defined as the percentage of subjects whose lowest post-treatment CA19-9 value shows a decrease of ≥70% from baseline. The number and percentage will be summarized.</w:t>
      </w:r>
    </w:p>
    <w:p w14:paraId="7D272842">
      <w:pPr>
        <w:pStyle w:val="12"/>
        <w:spacing w:after="156"/>
        <w:ind w:firstLine="480"/>
        <w:rPr>
          <w:highlight w:val="none"/>
          <w:lang w:val="en-US" w:eastAsia="zh-CN"/>
        </w:rPr>
      </w:pPr>
      <w:r>
        <w:rPr>
          <w:rFonts w:hint="eastAsia"/>
          <w:highlight w:val="none"/>
          <w:lang w:eastAsia="zh-CN"/>
        </w:rPr>
        <w:t>Proportion with CA19-9 normalization after treatment will be calculated in the population of subjects who have at least one CA19-9 assessment both before and after treatment and have an abnormal baseline CA19-9 value. This endpoint is defined as the percentage of subjects whose lowest post-treatment CA19-9 value falls within the normal range. The number and percentage will be summarized.</w:t>
      </w:r>
    </w:p>
    <w:p w14:paraId="5B061EE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 New Roman Bold">
    <w:altName w:val="Times New Roman"/>
    <w:panose1 w:val="02020803070505020304"/>
    <w:charset w:val="00"/>
    <w:family w:val="auto"/>
    <w:pitch w:val="default"/>
    <w:sig w:usb0="00000000" w:usb1="00000000" w:usb2="00000009" w:usb3="00000000" w:csb0="000001FF" w:csb1="00000000"/>
  </w:font>
  <w:font w:name="Arial-BoldMT">
    <w:altName w:val="Arial"/>
    <w:panose1 w:val="00000000000000000000"/>
    <w:charset w:val="00"/>
    <w:family w:val="roman"/>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31"/>
      </w:rPr>
      <w:id w:val="-433132742"/>
    </w:sdtPr>
    <w:sdtEndPr>
      <w:rPr>
        <w:rStyle w:val="31"/>
      </w:rPr>
    </w:sdtEndPr>
    <w:sdtContent>
      <w:p w14:paraId="63AF9B8B">
        <w:pPr>
          <w:pStyle w:val="17"/>
          <w:framePr w:wrap="auto" w:vAnchor="text" w:hAnchor="margin" w:xAlign="center" w:y="1"/>
          <w:rPr>
            <w:rStyle w:val="31"/>
            <w:rFonts w:hint="eastAsia"/>
          </w:rPr>
        </w:pPr>
        <w:r>
          <w:rPr>
            <w:rStyle w:val="31"/>
          </w:rPr>
          <w:fldChar w:fldCharType="begin"/>
        </w:r>
        <w:r>
          <w:rPr>
            <w:rStyle w:val="31"/>
          </w:rPr>
          <w:instrText xml:space="preserve"> PAGE </w:instrText>
        </w:r>
        <w:r>
          <w:rPr>
            <w:rStyle w:val="31"/>
          </w:rPr>
          <w:fldChar w:fldCharType="separate"/>
        </w:r>
        <w:r>
          <w:rPr>
            <w:rStyle w:val="31"/>
          </w:rPr>
          <w:t>21</w:t>
        </w:r>
        <w:r>
          <w:rPr>
            <w:rStyle w:val="31"/>
          </w:rPr>
          <w:fldChar w:fldCharType="end"/>
        </w:r>
      </w:p>
    </w:sdtContent>
  </w:sdt>
  <w:p w14:paraId="219B6361">
    <w:pPr>
      <w:pStyle w:val="1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31"/>
      </w:rPr>
      <w:id w:val="-1650588632"/>
    </w:sdtPr>
    <w:sdtEndPr>
      <w:rPr>
        <w:rStyle w:val="31"/>
      </w:rPr>
    </w:sdtEndPr>
    <w:sdtContent>
      <w:p w14:paraId="7DF07725">
        <w:pPr>
          <w:pStyle w:val="17"/>
          <w:framePr w:wrap="auto" w:vAnchor="text" w:hAnchor="margin" w:xAlign="center" w:y="1"/>
          <w:rPr>
            <w:rStyle w:val="31"/>
            <w:rFonts w:hint="eastAsia"/>
          </w:rPr>
        </w:pPr>
        <w:r>
          <w:rPr>
            <w:rStyle w:val="31"/>
          </w:rPr>
          <w:fldChar w:fldCharType="begin"/>
        </w:r>
        <w:r>
          <w:rPr>
            <w:rStyle w:val="31"/>
          </w:rPr>
          <w:instrText xml:space="preserve"> PAGE </w:instrText>
        </w:r>
        <w:r>
          <w:rPr>
            <w:rStyle w:val="31"/>
            <w:rFonts w:hint="eastAsia"/>
          </w:rPr>
          <w:fldChar w:fldCharType="separate"/>
        </w:r>
        <w:r>
          <w:rPr>
            <w:rStyle w:val="31"/>
          </w:rPr>
          <w:fldChar w:fldCharType="end"/>
        </w:r>
      </w:p>
    </w:sdtContent>
  </w:sdt>
  <w:p w14:paraId="0072255D">
    <w:pPr>
      <w:pStyle w:val="17"/>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DB4AE">
    <w:pPr>
      <w:pStyle w:val="18"/>
      <w:spacing w:after="0"/>
      <w:jc w:val="distribute"/>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04C9D8"/>
    <w:multiLevelType w:val="singleLevel"/>
    <w:tmpl w:val="0E04C9D8"/>
    <w:lvl w:ilvl="0" w:tentative="0">
      <w:start w:val="1"/>
      <w:numFmt w:val="decimal"/>
      <w:lvlText w:val="[%1]"/>
      <w:lvlJc w:val="left"/>
      <w:pPr>
        <w:tabs>
          <w:tab w:val="left" w:pos="312"/>
        </w:tabs>
      </w:pPr>
    </w:lvl>
  </w:abstractNum>
  <w:abstractNum w:abstractNumId="1">
    <w:nsid w:val="187321C2"/>
    <w:multiLevelType w:val="multilevel"/>
    <w:tmpl w:val="187321C2"/>
    <w:lvl w:ilvl="0" w:tentative="0">
      <w:start w:val="1"/>
      <w:numFmt w:val="decimal"/>
      <w:pStyle w:val="2"/>
      <w:suff w:val="space"/>
      <w:lvlText w:val="%1."/>
      <w:lvlJc w:val="left"/>
      <w:pPr>
        <w:ind w:left="0" w:firstLine="0"/>
      </w:pPr>
      <w:rPr>
        <w:rFonts w:hint="eastAsia"/>
      </w:rPr>
    </w:lvl>
    <w:lvl w:ilvl="1" w:tentative="0">
      <w:start w:val="1"/>
      <w:numFmt w:val="decimal"/>
      <w:pStyle w:val="3"/>
      <w:suff w:val="space"/>
      <w:lvlText w:val="%1.%2."/>
      <w:lvlJc w:val="left"/>
      <w:pPr>
        <w:ind w:left="0" w:firstLine="0"/>
      </w:pPr>
      <w:rPr>
        <w:rFonts w:hint="eastAsia"/>
      </w:rPr>
    </w:lvl>
    <w:lvl w:ilvl="2" w:tentative="0">
      <w:start w:val="1"/>
      <w:numFmt w:val="decimal"/>
      <w:pStyle w:val="4"/>
      <w:suff w:val="space"/>
      <w:lvlText w:val="%1.%2.%3."/>
      <w:lvlJc w:val="left"/>
      <w:pPr>
        <w:ind w:left="0" w:firstLine="0"/>
      </w:pPr>
      <w:rPr>
        <w:rFonts w:hint="eastAsia"/>
      </w:rPr>
    </w:lvl>
    <w:lvl w:ilvl="3" w:tentative="0">
      <w:start w:val="1"/>
      <w:numFmt w:val="decimal"/>
      <w:pStyle w:val="5"/>
      <w:suff w:val="space"/>
      <w:lvlText w:val="%1.%2.%3.%4."/>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33B96DC0"/>
    <w:multiLevelType w:val="multilevel"/>
    <w:tmpl w:val="33B96DC0"/>
    <w:lvl w:ilvl="0" w:tentative="0">
      <w:start w:val="1"/>
      <w:numFmt w:val="bullet"/>
      <w:lvlText w:val=""/>
      <w:lvlJc w:val="left"/>
      <w:pPr>
        <w:ind w:left="360" w:hanging="360"/>
      </w:pPr>
      <w:rPr>
        <w:rFonts w:hint="default" w:ascii="Symbol" w:hAnsi="Symbol"/>
        <w:b/>
        <w:i w:val="0"/>
        <w:smallCaps/>
        <w:sz w:val="32"/>
      </w:rPr>
    </w:lvl>
    <w:lvl w:ilvl="1" w:tentative="0">
      <w:start w:val="1"/>
      <w:numFmt w:val="decimal"/>
      <w:lvlText w:val="%1.%2."/>
      <w:lvlJc w:val="left"/>
      <w:pPr>
        <w:ind w:left="792" w:hanging="432"/>
      </w:pPr>
    </w:lvl>
    <w:lvl w:ilvl="2" w:tentative="0">
      <w:start w:val="1"/>
      <w:numFmt w:val="bullet"/>
      <w:pStyle w:val="98"/>
      <w:lvlText w:val=""/>
      <w:lvlJc w:val="left"/>
      <w:pPr>
        <w:ind w:left="1224" w:hanging="504"/>
      </w:pPr>
      <w:rPr>
        <w:rFonts w:hint="default" w:ascii="Symbol" w:hAnsi="Symbol"/>
      </w:r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3">
    <w:nsid w:val="387475C0"/>
    <w:multiLevelType w:val="multilevel"/>
    <w:tmpl w:val="387475C0"/>
    <w:lvl w:ilvl="0" w:tentative="0">
      <w:start w:val="1"/>
      <w:numFmt w:val="bullet"/>
      <w:lvlText w:val=""/>
      <w:lvlJc w:val="left"/>
      <w:pPr>
        <w:ind w:left="1041" w:hanging="420"/>
      </w:pPr>
      <w:rPr>
        <w:rFonts w:hint="default" w:ascii="Wingdings" w:hAnsi="Wingdings"/>
        <w:color w:val="auto"/>
      </w:rPr>
    </w:lvl>
    <w:lvl w:ilvl="1" w:tentative="0">
      <w:start w:val="1"/>
      <w:numFmt w:val="bullet"/>
      <w:lvlText w:val=""/>
      <w:lvlJc w:val="left"/>
      <w:pPr>
        <w:ind w:left="1461" w:hanging="420"/>
      </w:pPr>
      <w:rPr>
        <w:rFonts w:hint="default" w:ascii="Wingdings" w:hAnsi="Wingdings"/>
      </w:rPr>
    </w:lvl>
    <w:lvl w:ilvl="2" w:tentative="0">
      <w:start w:val="1"/>
      <w:numFmt w:val="bullet"/>
      <w:lvlText w:val=""/>
      <w:lvlJc w:val="left"/>
      <w:pPr>
        <w:ind w:left="1881" w:hanging="420"/>
      </w:pPr>
      <w:rPr>
        <w:rFonts w:hint="default" w:ascii="Wingdings" w:hAnsi="Wingdings"/>
      </w:rPr>
    </w:lvl>
    <w:lvl w:ilvl="3" w:tentative="0">
      <w:start w:val="1"/>
      <w:numFmt w:val="bullet"/>
      <w:lvlText w:val=""/>
      <w:lvlJc w:val="left"/>
      <w:pPr>
        <w:ind w:left="2301" w:hanging="420"/>
      </w:pPr>
      <w:rPr>
        <w:rFonts w:hint="default" w:ascii="Wingdings" w:hAnsi="Wingdings"/>
      </w:rPr>
    </w:lvl>
    <w:lvl w:ilvl="4" w:tentative="0">
      <w:start w:val="1"/>
      <w:numFmt w:val="bullet"/>
      <w:lvlText w:val=""/>
      <w:lvlJc w:val="left"/>
      <w:pPr>
        <w:ind w:left="2721" w:hanging="420"/>
      </w:pPr>
      <w:rPr>
        <w:rFonts w:hint="default" w:ascii="Wingdings" w:hAnsi="Wingdings"/>
      </w:rPr>
    </w:lvl>
    <w:lvl w:ilvl="5" w:tentative="0">
      <w:start w:val="1"/>
      <w:numFmt w:val="bullet"/>
      <w:lvlText w:val=""/>
      <w:lvlJc w:val="left"/>
      <w:pPr>
        <w:ind w:left="3141" w:hanging="420"/>
      </w:pPr>
      <w:rPr>
        <w:rFonts w:hint="default" w:ascii="Wingdings" w:hAnsi="Wingdings"/>
      </w:rPr>
    </w:lvl>
    <w:lvl w:ilvl="6" w:tentative="0">
      <w:start w:val="1"/>
      <w:numFmt w:val="bullet"/>
      <w:lvlText w:val=""/>
      <w:lvlJc w:val="left"/>
      <w:pPr>
        <w:ind w:left="3561" w:hanging="420"/>
      </w:pPr>
      <w:rPr>
        <w:rFonts w:hint="default" w:ascii="Wingdings" w:hAnsi="Wingdings"/>
      </w:rPr>
    </w:lvl>
    <w:lvl w:ilvl="7" w:tentative="0">
      <w:start w:val="1"/>
      <w:numFmt w:val="bullet"/>
      <w:lvlText w:val=""/>
      <w:lvlJc w:val="left"/>
      <w:pPr>
        <w:ind w:left="3981" w:hanging="420"/>
      </w:pPr>
      <w:rPr>
        <w:rFonts w:hint="default" w:ascii="Wingdings" w:hAnsi="Wingdings"/>
      </w:rPr>
    </w:lvl>
    <w:lvl w:ilvl="8" w:tentative="0">
      <w:start w:val="1"/>
      <w:numFmt w:val="bullet"/>
      <w:lvlText w:val=""/>
      <w:lvlJc w:val="left"/>
      <w:pPr>
        <w:ind w:left="4401" w:hanging="420"/>
      </w:pPr>
      <w:rPr>
        <w:rFonts w:hint="default" w:ascii="Wingdings" w:hAnsi="Wingdings"/>
      </w:rPr>
    </w:lvl>
  </w:abstractNum>
  <w:abstractNum w:abstractNumId="4">
    <w:nsid w:val="56CA3F63"/>
    <w:multiLevelType w:val="multilevel"/>
    <w:tmpl w:val="56CA3F63"/>
    <w:lvl w:ilvl="0" w:tentative="0">
      <w:start w:val="1"/>
      <w:numFmt w:val="bullet"/>
      <w:lvlText w:val=""/>
      <w:lvlJc w:val="left"/>
      <w:pPr>
        <w:ind w:left="900" w:hanging="420"/>
      </w:pPr>
      <w:rPr>
        <w:rFonts w:hint="default" w:ascii="Wingdings" w:hAnsi="Wingdings"/>
        <w:color w:val="auto"/>
        <w:sz w:val="20"/>
        <w:szCs w:val="20"/>
      </w:rPr>
    </w:lvl>
    <w:lvl w:ilvl="1" w:tentative="0">
      <w:start w:val="0"/>
      <w:numFmt w:val="bullet"/>
      <w:lvlText w:val="-"/>
      <w:lvlJc w:val="left"/>
      <w:pPr>
        <w:ind w:left="1320" w:hanging="420"/>
      </w:pPr>
      <w:rPr>
        <w:rFonts w:hint="default" w:ascii="Times New Roman" w:hAnsi="Times New Roman" w:cs="Times New Roman" w:eastAsiaTheme="minorEastAsia"/>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64EC7117"/>
    <w:multiLevelType w:val="multilevel"/>
    <w:tmpl w:val="64EC7117"/>
    <w:lvl w:ilvl="0" w:tentative="0">
      <w:start w:val="1"/>
      <w:numFmt w:val="bullet"/>
      <w:pStyle w:val="79"/>
      <w:lvlText w:val=""/>
      <w:lvlJc w:val="left"/>
      <w:pPr>
        <w:tabs>
          <w:tab w:val="left" w:pos="1992"/>
        </w:tabs>
        <w:ind w:left="1992" w:hanging="998"/>
      </w:pPr>
      <w:rPr>
        <w:rFonts w:hint="default" w:ascii="Symbol" w:hAnsi="Symbol"/>
      </w:rPr>
    </w:lvl>
    <w:lvl w:ilvl="1" w:tentative="0">
      <w:start w:val="1"/>
      <w:numFmt w:val="bullet"/>
      <w:lvlText w:val=""/>
      <w:lvlJc w:val="left"/>
      <w:pPr>
        <w:tabs>
          <w:tab w:val="left" w:pos="2434"/>
        </w:tabs>
        <w:ind w:left="2434" w:hanging="360"/>
      </w:pPr>
      <w:rPr>
        <w:rFonts w:hint="default" w:ascii="Symbol" w:hAnsi="Symbol"/>
      </w:rPr>
    </w:lvl>
    <w:lvl w:ilvl="2" w:tentative="0">
      <w:start w:val="1"/>
      <w:numFmt w:val="bullet"/>
      <w:lvlText w:val=""/>
      <w:lvlJc w:val="left"/>
      <w:pPr>
        <w:tabs>
          <w:tab w:val="left" w:pos="3154"/>
        </w:tabs>
        <w:ind w:left="3154" w:hanging="360"/>
      </w:pPr>
      <w:rPr>
        <w:rFonts w:hint="default" w:ascii="Wingdings" w:hAnsi="Wingdings"/>
      </w:rPr>
    </w:lvl>
    <w:lvl w:ilvl="3" w:tentative="0">
      <w:start w:val="1"/>
      <w:numFmt w:val="bullet"/>
      <w:lvlText w:val=""/>
      <w:lvlJc w:val="left"/>
      <w:pPr>
        <w:tabs>
          <w:tab w:val="left" w:pos="3874"/>
        </w:tabs>
        <w:ind w:left="3874" w:hanging="360"/>
      </w:pPr>
      <w:rPr>
        <w:rFonts w:hint="default" w:ascii="Symbol" w:hAnsi="Symbol"/>
      </w:rPr>
    </w:lvl>
    <w:lvl w:ilvl="4" w:tentative="0">
      <w:start w:val="1"/>
      <w:numFmt w:val="bullet"/>
      <w:lvlText w:val="o"/>
      <w:lvlJc w:val="left"/>
      <w:pPr>
        <w:tabs>
          <w:tab w:val="left" w:pos="4594"/>
        </w:tabs>
        <w:ind w:left="4594" w:hanging="360"/>
      </w:pPr>
      <w:rPr>
        <w:rFonts w:hint="default" w:ascii="Courier New" w:hAnsi="Courier New"/>
      </w:rPr>
    </w:lvl>
    <w:lvl w:ilvl="5" w:tentative="0">
      <w:start w:val="1"/>
      <w:numFmt w:val="bullet"/>
      <w:lvlText w:val=""/>
      <w:lvlJc w:val="left"/>
      <w:pPr>
        <w:tabs>
          <w:tab w:val="left" w:pos="5314"/>
        </w:tabs>
        <w:ind w:left="5314" w:hanging="360"/>
      </w:pPr>
      <w:rPr>
        <w:rFonts w:hint="default" w:ascii="Wingdings" w:hAnsi="Wingdings"/>
      </w:rPr>
    </w:lvl>
    <w:lvl w:ilvl="6" w:tentative="0">
      <w:start w:val="1"/>
      <w:numFmt w:val="bullet"/>
      <w:lvlText w:val=""/>
      <w:lvlJc w:val="left"/>
      <w:pPr>
        <w:tabs>
          <w:tab w:val="left" w:pos="6034"/>
        </w:tabs>
        <w:ind w:left="6034" w:hanging="360"/>
      </w:pPr>
      <w:rPr>
        <w:rFonts w:hint="default" w:ascii="Symbol" w:hAnsi="Symbol"/>
      </w:rPr>
    </w:lvl>
    <w:lvl w:ilvl="7" w:tentative="0">
      <w:start w:val="1"/>
      <w:numFmt w:val="bullet"/>
      <w:lvlText w:val="o"/>
      <w:lvlJc w:val="left"/>
      <w:pPr>
        <w:tabs>
          <w:tab w:val="left" w:pos="6754"/>
        </w:tabs>
        <w:ind w:left="6754" w:hanging="360"/>
      </w:pPr>
      <w:rPr>
        <w:rFonts w:hint="default" w:ascii="Courier New" w:hAnsi="Courier New"/>
      </w:rPr>
    </w:lvl>
    <w:lvl w:ilvl="8" w:tentative="0">
      <w:start w:val="1"/>
      <w:numFmt w:val="bullet"/>
      <w:lvlText w:val=""/>
      <w:lvlJc w:val="left"/>
      <w:pPr>
        <w:tabs>
          <w:tab w:val="left" w:pos="7474"/>
        </w:tabs>
        <w:ind w:left="7474" w:hanging="360"/>
      </w:pPr>
      <w:rPr>
        <w:rFonts w:hint="default" w:ascii="Wingdings" w:hAnsi="Wingdings"/>
      </w:rPr>
    </w:lvl>
  </w:abstractNum>
  <w:abstractNum w:abstractNumId="6">
    <w:nsid w:val="7AE035B4"/>
    <w:multiLevelType w:val="multilevel"/>
    <w:tmpl w:val="7AE035B4"/>
    <w:lvl w:ilvl="0" w:tentative="0">
      <w:start w:val="1"/>
      <w:numFmt w:val="decimal"/>
      <w:pStyle w:val="90"/>
      <w:lvlText w:val="%1."/>
      <w:lvlJc w:val="left"/>
      <w:pPr>
        <w:ind w:left="720" w:hanging="360"/>
      </w:pPr>
      <w:rPr>
        <w:rFonts w:ascii="Times New Roman" w:hAnsi="Times New Roman"/>
        <w:bCs w:val="0"/>
        <w:i w:val="0"/>
        <w:iCs w:val="0"/>
        <w:smallCaps w:val="0"/>
        <w:strike w:val="0"/>
        <w:dstrike w:val="0"/>
        <w:outline w:val="0"/>
        <w:shadow w:val="0"/>
        <w:emboss w:val="0"/>
        <w:imprint w:val="0"/>
        <w:vanish w:val="0"/>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pStyle w:val="88"/>
      <w:isLgl/>
      <w:lvlText w:val="%1.%2"/>
      <w:lvlJc w:val="left"/>
      <w:pPr>
        <w:ind w:left="1080" w:hanging="720"/>
      </w:pPr>
      <w:rPr>
        <w:rFonts w:hint="default" w:ascii="Times New Roman" w:hAnsi="Times New Roman" w:cs="Times New Roman"/>
      </w:rPr>
    </w:lvl>
    <w:lvl w:ilvl="2" w:tentative="0">
      <w:start w:val="1"/>
      <w:numFmt w:val="decimal"/>
      <w:pStyle w:val="87"/>
      <w:isLgl/>
      <w:lvlText w:val="%1.%2.%3"/>
      <w:lvlJc w:val="left"/>
      <w:pPr>
        <w:ind w:left="1080" w:hanging="720"/>
      </w:pPr>
      <w:rPr>
        <w:rFonts w:hint="default"/>
      </w:rPr>
    </w:lvl>
    <w:lvl w:ilvl="3" w:tentative="0">
      <w:start w:val="1"/>
      <w:numFmt w:val="decimal"/>
      <w:pStyle w:val="91"/>
      <w:isLgl/>
      <w:lvlText w:val="%1.%2.%3.%4"/>
      <w:lvlJc w:val="left"/>
      <w:pPr>
        <w:ind w:left="1440" w:hanging="1080"/>
      </w:pPr>
      <w:rPr>
        <w:rFonts w:hint="default"/>
      </w:rPr>
    </w:lvl>
    <w:lvl w:ilvl="4" w:tentative="0">
      <w:start w:val="1"/>
      <w:numFmt w:val="decimal"/>
      <w:pStyle w:val="93"/>
      <w:isLgl/>
      <w:lvlText w:val="%1.%2.%3.%4.%5"/>
      <w:lvlJc w:val="left"/>
      <w:pPr>
        <w:ind w:left="1800" w:hanging="144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520" w:hanging="2160"/>
      </w:pPr>
      <w:rPr>
        <w:rFonts w:hint="default"/>
      </w:rPr>
    </w:lvl>
    <w:lvl w:ilvl="8" w:tentative="0">
      <w:start w:val="1"/>
      <w:numFmt w:val="decimal"/>
      <w:isLgl/>
      <w:lvlText w:val="%1.%2.%3.%4.%5.%6.%7.%8.%9"/>
      <w:lvlJc w:val="left"/>
      <w:pPr>
        <w:ind w:left="2520" w:hanging="2160"/>
      </w:pPr>
      <w:rPr>
        <w:rFonts w:hint="default"/>
      </w:rPr>
    </w:lvl>
  </w:abstractNum>
  <w:num w:numId="1">
    <w:abstractNumId w:val="1"/>
  </w:num>
  <w:num w:numId="2">
    <w:abstractNumId w:val="5"/>
  </w:num>
  <w:num w:numId="3">
    <w:abstractNumId w:val="6"/>
  </w:num>
  <w:num w:numId="4">
    <w:abstractNumId w:val="2"/>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C8D"/>
    <w:rsid w:val="00004109"/>
    <w:rsid w:val="0000673B"/>
    <w:rsid w:val="00006C13"/>
    <w:rsid w:val="000158DA"/>
    <w:rsid w:val="000336BE"/>
    <w:rsid w:val="000356F4"/>
    <w:rsid w:val="0004723D"/>
    <w:rsid w:val="000602FD"/>
    <w:rsid w:val="00066C36"/>
    <w:rsid w:val="0009511E"/>
    <w:rsid w:val="000A3533"/>
    <w:rsid w:val="000B39E3"/>
    <w:rsid w:val="000B6E08"/>
    <w:rsid w:val="000C4261"/>
    <w:rsid w:val="000E1FA9"/>
    <w:rsid w:val="000F6F4F"/>
    <w:rsid w:val="001138FD"/>
    <w:rsid w:val="001B5D09"/>
    <w:rsid w:val="001C1F98"/>
    <w:rsid w:val="001C205E"/>
    <w:rsid w:val="001D2A0C"/>
    <w:rsid w:val="001E2AFC"/>
    <w:rsid w:val="00220A25"/>
    <w:rsid w:val="002343F2"/>
    <w:rsid w:val="00244F6E"/>
    <w:rsid w:val="00245C8E"/>
    <w:rsid w:val="00252A70"/>
    <w:rsid w:val="00254CF8"/>
    <w:rsid w:val="00255378"/>
    <w:rsid w:val="00273787"/>
    <w:rsid w:val="002A55F9"/>
    <w:rsid w:val="002B271C"/>
    <w:rsid w:val="002B35E8"/>
    <w:rsid w:val="0031194B"/>
    <w:rsid w:val="00357B69"/>
    <w:rsid w:val="00363488"/>
    <w:rsid w:val="0036771C"/>
    <w:rsid w:val="003750FD"/>
    <w:rsid w:val="003C1804"/>
    <w:rsid w:val="003C338C"/>
    <w:rsid w:val="003D29EA"/>
    <w:rsid w:val="003D3A05"/>
    <w:rsid w:val="004159A9"/>
    <w:rsid w:val="00456CFB"/>
    <w:rsid w:val="00473C40"/>
    <w:rsid w:val="00483C70"/>
    <w:rsid w:val="004C676C"/>
    <w:rsid w:val="004E08AE"/>
    <w:rsid w:val="00503C8D"/>
    <w:rsid w:val="005045CF"/>
    <w:rsid w:val="00510B7B"/>
    <w:rsid w:val="00542D97"/>
    <w:rsid w:val="00550B4F"/>
    <w:rsid w:val="00556F5F"/>
    <w:rsid w:val="00565A2F"/>
    <w:rsid w:val="00571E58"/>
    <w:rsid w:val="0059124A"/>
    <w:rsid w:val="005B09EE"/>
    <w:rsid w:val="005D5670"/>
    <w:rsid w:val="006058BD"/>
    <w:rsid w:val="00613FE5"/>
    <w:rsid w:val="00625581"/>
    <w:rsid w:val="006515C1"/>
    <w:rsid w:val="006602A0"/>
    <w:rsid w:val="006874EA"/>
    <w:rsid w:val="006A7EF7"/>
    <w:rsid w:val="006B6CA8"/>
    <w:rsid w:val="006C4347"/>
    <w:rsid w:val="006D3890"/>
    <w:rsid w:val="006E258C"/>
    <w:rsid w:val="00750B2F"/>
    <w:rsid w:val="007A17AC"/>
    <w:rsid w:val="007A58A6"/>
    <w:rsid w:val="00804BA1"/>
    <w:rsid w:val="008353F9"/>
    <w:rsid w:val="00855ABD"/>
    <w:rsid w:val="00877935"/>
    <w:rsid w:val="008A0A7D"/>
    <w:rsid w:val="008B0527"/>
    <w:rsid w:val="008D28AE"/>
    <w:rsid w:val="008E3079"/>
    <w:rsid w:val="00904EA3"/>
    <w:rsid w:val="009161FA"/>
    <w:rsid w:val="00917AC7"/>
    <w:rsid w:val="00926611"/>
    <w:rsid w:val="00927053"/>
    <w:rsid w:val="00943658"/>
    <w:rsid w:val="009457BC"/>
    <w:rsid w:val="009506D3"/>
    <w:rsid w:val="00952DDC"/>
    <w:rsid w:val="00977F43"/>
    <w:rsid w:val="00985C59"/>
    <w:rsid w:val="00986600"/>
    <w:rsid w:val="009B443B"/>
    <w:rsid w:val="009C15CA"/>
    <w:rsid w:val="00A03F73"/>
    <w:rsid w:val="00A10A8C"/>
    <w:rsid w:val="00A13467"/>
    <w:rsid w:val="00A223F3"/>
    <w:rsid w:val="00A3545E"/>
    <w:rsid w:val="00A44EE2"/>
    <w:rsid w:val="00A47342"/>
    <w:rsid w:val="00A5626F"/>
    <w:rsid w:val="00AA1DC1"/>
    <w:rsid w:val="00AF10FE"/>
    <w:rsid w:val="00B0004E"/>
    <w:rsid w:val="00B00D4E"/>
    <w:rsid w:val="00B06F02"/>
    <w:rsid w:val="00B25279"/>
    <w:rsid w:val="00B4176B"/>
    <w:rsid w:val="00B47623"/>
    <w:rsid w:val="00B54832"/>
    <w:rsid w:val="00B74F1B"/>
    <w:rsid w:val="00B76751"/>
    <w:rsid w:val="00C103BA"/>
    <w:rsid w:val="00C167DB"/>
    <w:rsid w:val="00C262DC"/>
    <w:rsid w:val="00C34EE1"/>
    <w:rsid w:val="00C4218E"/>
    <w:rsid w:val="00C44B45"/>
    <w:rsid w:val="00C44D34"/>
    <w:rsid w:val="00C46C00"/>
    <w:rsid w:val="00C52283"/>
    <w:rsid w:val="00C62E82"/>
    <w:rsid w:val="00C821DE"/>
    <w:rsid w:val="00C93C36"/>
    <w:rsid w:val="00C97430"/>
    <w:rsid w:val="00CB05F0"/>
    <w:rsid w:val="00CB5271"/>
    <w:rsid w:val="00CD1773"/>
    <w:rsid w:val="00CE1961"/>
    <w:rsid w:val="00CE4C4A"/>
    <w:rsid w:val="00D016D1"/>
    <w:rsid w:val="00D25196"/>
    <w:rsid w:val="00D30306"/>
    <w:rsid w:val="00D305C5"/>
    <w:rsid w:val="00D34336"/>
    <w:rsid w:val="00D416DD"/>
    <w:rsid w:val="00D4621A"/>
    <w:rsid w:val="00D84E84"/>
    <w:rsid w:val="00D93B28"/>
    <w:rsid w:val="00D9751F"/>
    <w:rsid w:val="00DB28C8"/>
    <w:rsid w:val="00DB5400"/>
    <w:rsid w:val="00DD041F"/>
    <w:rsid w:val="00DF7CCE"/>
    <w:rsid w:val="00E222EE"/>
    <w:rsid w:val="00E277D7"/>
    <w:rsid w:val="00E30AC9"/>
    <w:rsid w:val="00E3173E"/>
    <w:rsid w:val="00E32C27"/>
    <w:rsid w:val="00E368E8"/>
    <w:rsid w:val="00E613B7"/>
    <w:rsid w:val="00E65911"/>
    <w:rsid w:val="00E7369F"/>
    <w:rsid w:val="00E7473D"/>
    <w:rsid w:val="00E7639C"/>
    <w:rsid w:val="00E81BCA"/>
    <w:rsid w:val="00E94A94"/>
    <w:rsid w:val="00EC3B7D"/>
    <w:rsid w:val="00EF4DD0"/>
    <w:rsid w:val="00F341C8"/>
    <w:rsid w:val="00F42A5A"/>
    <w:rsid w:val="00F54D54"/>
    <w:rsid w:val="00F5629F"/>
    <w:rsid w:val="00FC58F9"/>
    <w:rsid w:val="00FD6CE5"/>
    <w:rsid w:val="00FF29CD"/>
    <w:rsid w:val="00FF77C6"/>
    <w:rsid w:val="03BE614D"/>
    <w:rsid w:val="07F56D2A"/>
    <w:rsid w:val="0AD03D48"/>
    <w:rsid w:val="0BED3754"/>
    <w:rsid w:val="0E3E4246"/>
    <w:rsid w:val="0F930DBE"/>
    <w:rsid w:val="175D59D2"/>
    <w:rsid w:val="1A861C11"/>
    <w:rsid w:val="1F620C91"/>
    <w:rsid w:val="22094576"/>
    <w:rsid w:val="2B755339"/>
    <w:rsid w:val="2BD001FB"/>
    <w:rsid w:val="2D8E7BD2"/>
    <w:rsid w:val="339061CA"/>
    <w:rsid w:val="339137FF"/>
    <w:rsid w:val="33EE75D0"/>
    <w:rsid w:val="36AB3C94"/>
    <w:rsid w:val="37BC6800"/>
    <w:rsid w:val="3B53405D"/>
    <w:rsid w:val="3CCC0EA2"/>
    <w:rsid w:val="3CD3190B"/>
    <w:rsid w:val="3FFB4648"/>
    <w:rsid w:val="5E0E77ED"/>
    <w:rsid w:val="612352D0"/>
    <w:rsid w:val="63855469"/>
    <w:rsid w:val="641726C7"/>
    <w:rsid w:val="67F851DF"/>
    <w:rsid w:val="69EA76CB"/>
    <w:rsid w:val="6A1F0864"/>
    <w:rsid w:val="6DA90E5E"/>
    <w:rsid w:val="6E6935BC"/>
    <w:rsid w:val="7A665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35"/>
    <w:qFormat/>
    <w:uiPriority w:val="0"/>
    <w:pPr>
      <w:keepNext/>
      <w:keepLines/>
      <w:numPr>
        <w:ilvl w:val="0"/>
        <w:numId w:val="1"/>
      </w:numPr>
      <w:spacing w:after="0" w:line="360" w:lineRule="auto"/>
      <w:outlineLvl w:val="0"/>
    </w:pPr>
    <w:rPr>
      <w:rFonts w:ascii="Times New Roman" w:hAnsi="Times New Roman" w:eastAsia="宋体" w:cstheme="majorBidi"/>
      <w:sz w:val="24"/>
      <w:szCs w:val="48"/>
    </w:rPr>
  </w:style>
  <w:style w:type="paragraph" w:styleId="3">
    <w:name w:val="heading 2"/>
    <w:basedOn w:val="1"/>
    <w:next w:val="1"/>
    <w:link w:val="36"/>
    <w:unhideWhenUsed/>
    <w:qFormat/>
    <w:uiPriority w:val="0"/>
    <w:pPr>
      <w:keepNext/>
      <w:keepLines/>
      <w:numPr>
        <w:ilvl w:val="1"/>
        <w:numId w:val="1"/>
      </w:numPr>
      <w:spacing w:after="0" w:line="360" w:lineRule="auto"/>
      <w:outlineLvl w:val="1"/>
    </w:pPr>
    <w:rPr>
      <w:rFonts w:ascii="Times New Roman" w:hAnsi="Times New Roman" w:eastAsia="宋体" w:cstheme="majorBidi"/>
      <w:sz w:val="24"/>
      <w:szCs w:val="40"/>
    </w:rPr>
  </w:style>
  <w:style w:type="paragraph" w:styleId="4">
    <w:name w:val="heading 3"/>
    <w:basedOn w:val="1"/>
    <w:next w:val="1"/>
    <w:link w:val="37"/>
    <w:unhideWhenUsed/>
    <w:qFormat/>
    <w:uiPriority w:val="0"/>
    <w:pPr>
      <w:keepNext/>
      <w:keepLines/>
      <w:numPr>
        <w:ilvl w:val="2"/>
        <w:numId w:val="1"/>
      </w:numPr>
      <w:spacing w:after="0" w:line="360" w:lineRule="auto"/>
      <w:outlineLvl w:val="2"/>
    </w:pPr>
    <w:rPr>
      <w:rFonts w:ascii="Times New Roman" w:hAnsi="Times New Roman" w:eastAsia="宋体" w:cstheme="majorBidi"/>
      <w:sz w:val="24"/>
      <w:szCs w:val="32"/>
    </w:rPr>
  </w:style>
  <w:style w:type="paragraph" w:styleId="5">
    <w:name w:val="heading 4"/>
    <w:basedOn w:val="1"/>
    <w:next w:val="1"/>
    <w:link w:val="38"/>
    <w:unhideWhenUsed/>
    <w:qFormat/>
    <w:uiPriority w:val="0"/>
    <w:pPr>
      <w:keepNext/>
      <w:keepLines/>
      <w:numPr>
        <w:ilvl w:val="3"/>
        <w:numId w:val="1"/>
      </w:numPr>
      <w:spacing w:after="0" w:line="360" w:lineRule="auto"/>
      <w:outlineLvl w:val="3"/>
    </w:pPr>
    <w:rPr>
      <w:rFonts w:ascii="Times New Roman" w:hAnsi="Times New Roman" w:eastAsia="宋体" w:cstheme="majorBidi"/>
      <w:sz w:val="24"/>
      <w:szCs w:val="28"/>
    </w:rPr>
  </w:style>
  <w:style w:type="paragraph" w:styleId="6">
    <w:name w:val="heading 5"/>
    <w:basedOn w:val="1"/>
    <w:next w:val="1"/>
    <w:link w:val="39"/>
    <w:unhideWhenUsed/>
    <w:qFormat/>
    <w:uiPriority w:val="0"/>
    <w:pPr>
      <w:keepNext/>
      <w:keepLines/>
      <w:spacing w:after="0" w:line="360" w:lineRule="auto"/>
      <w:outlineLvl w:val="4"/>
    </w:pPr>
    <w:rPr>
      <w:rFonts w:ascii="Times New Roman" w:hAnsi="Times New Roman" w:eastAsia="宋体" w:cstheme="majorBidi"/>
      <w:sz w:val="24"/>
    </w:rPr>
  </w:style>
  <w:style w:type="paragraph" w:styleId="7">
    <w:name w:val="heading 6"/>
    <w:basedOn w:val="1"/>
    <w:next w:val="1"/>
    <w:link w:val="40"/>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4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2"/>
    <w:unhideWhenUsed/>
    <w:qFormat/>
    <w:uiPriority w:val="35"/>
    <w:pPr>
      <w:spacing w:after="240" w:line="360" w:lineRule="auto"/>
      <w:jc w:val="center"/>
    </w:pPr>
    <w:rPr>
      <w:rFonts w:ascii="Times New Roman" w:hAnsi="Times New Roman" w:eastAsia="宋体" w:cstheme="majorBidi"/>
      <w:b/>
      <w:sz w:val="21"/>
      <w:szCs w:val="20"/>
      <w14:ligatures w14:val="none"/>
    </w:rPr>
  </w:style>
  <w:style w:type="paragraph" w:customStyle="1" w:styleId="12">
    <w:name w:val="HR正文格式"/>
    <w:basedOn w:val="1"/>
    <w:link w:val="61"/>
    <w:qFormat/>
    <w:uiPriority w:val="0"/>
    <w:pPr>
      <w:widowControl/>
      <w:adjustRightInd w:val="0"/>
      <w:snapToGrid w:val="0"/>
      <w:spacing w:after="50" w:afterLines="50" w:line="360" w:lineRule="auto"/>
      <w:ind w:firstLine="200" w:firstLineChars="200"/>
      <w:contextualSpacing/>
      <w:jc w:val="both"/>
    </w:pPr>
    <w:rPr>
      <w:rFonts w:ascii="Times New Roman" w:hAnsi="Times New Roman" w:eastAsia="宋体" w:cs="Times New Roman"/>
      <w:snapToGrid w:val="0"/>
      <w:kern w:val="0"/>
      <w:sz w:val="24"/>
      <w:lang w:val="zh-CN" w:eastAsia="en-US"/>
      <w14:ligatures w14:val="none"/>
    </w:rPr>
  </w:style>
  <w:style w:type="paragraph" w:styleId="13">
    <w:name w:val="annotation text"/>
    <w:basedOn w:val="1"/>
    <w:link w:val="56"/>
    <w:unhideWhenUsed/>
    <w:qFormat/>
    <w:uiPriority w:val="99"/>
    <w:pPr>
      <w:spacing w:after="0" w:line="240" w:lineRule="auto"/>
    </w:pPr>
    <w:rPr>
      <w:sz w:val="21"/>
      <w:szCs w:val="22"/>
      <w14:ligatures w14:val="none"/>
    </w:rPr>
  </w:style>
  <w:style w:type="paragraph" w:styleId="14">
    <w:name w:val="toc 3"/>
    <w:basedOn w:val="12"/>
    <w:next w:val="1"/>
    <w:autoRedefine/>
    <w:unhideWhenUsed/>
    <w:qFormat/>
    <w:uiPriority w:val="39"/>
    <w:pPr>
      <w:spacing w:after="100" w:line="259" w:lineRule="auto"/>
      <w:ind w:left="442" w:firstLine="0" w:firstLineChars="0"/>
    </w:pPr>
    <w:rPr>
      <w:szCs w:val="22"/>
    </w:rPr>
  </w:style>
  <w:style w:type="paragraph" w:styleId="15">
    <w:name w:val="endnote text"/>
    <w:basedOn w:val="1"/>
    <w:link w:val="57"/>
    <w:semiHidden/>
    <w:unhideWhenUsed/>
    <w:qFormat/>
    <w:uiPriority w:val="99"/>
    <w:pPr>
      <w:snapToGrid w:val="0"/>
      <w:spacing w:after="0" w:line="240" w:lineRule="auto"/>
    </w:pPr>
    <w:rPr>
      <w:sz w:val="21"/>
      <w:szCs w:val="22"/>
      <w14:ligatures w14:val="none"/>
    </w:rPr>
  </w:style>
  <w:style w:type="paragraph" w:styleId="16">
    <w:name w:val="Balloon Text"/>
    <w:basedOn w:val="1"/>
    <w:link w:val="58"/>
    <w:semiHidden/>
    <w:unhideWhenUsed/>
    <w:qFormat/>
    <w:uiPriority w:val="99"/>
    <w:pPr>
      <w:spacing w:after="0" w:line="240" w:lineRule="auto"/>
      <w:jc w:val="both"/>
    </w:pPr>
    <w:rPr>
      <w:sz w:val="18"/>
      <w:szCs w:val="18"/>
      <w14:ligatures w14:val="none"/>
    </w:rPr>
  </w:style>
  <w:style w:type="paragraph" w:styleId="17">
    <w:name w:val="footer"/>
    <w:basedOn w:val="1"/>
    <w:link w:val="54"/>
    <w:unhideWhenUsed/>
    <w:qFormat/>
    <w:uiPriority w:val="99"/>
    <w:pPr>
      <w:tabs>
        <w:tab w:val="center" w:pos="4153"/>
        <w:tab w:val="right" w:pos="8306"/>
      </w:tabs>
      <w:snapToGrid w:val="0"/>
      <w:spacing w:line="240" w:lineRule="auto"/>
    </w:pPr>
    <w:rPr>
      <w:sz w:val="18"/>
      <w:szCs w:val="18"/>
    </w:rPr>
  </w:style>
  <w:style w:type="paragraph" w:styleId="18">
    <w:name w:val="header"/>
    <w:basedOn w:val="1"/>
    <w:link w:val="53"/>
    <w:unhideWhenUsed/>
    <w:qFormat/>
    <w:uiPriority w:val="99"/>
    <w:pPr>
      <w:tabs>
        <w:tab w:val="center" w:pos="4153"/>
        <w:tab w:val="right" w:pos="8306"/>
      </w:tabs>
      <w:snapToGrid w:val="0"/>
      <w:spacing w:line="240" w:lineRule="auto"/>
      <w:jc w:val="center"/>
    </w:pPr>
    <w:rPr>
      <w:sz w:val="18"/>
      <w:szCs w:val="18"/>
    </w:rPr>
  </w:style>
  <w:style w:type="paragraph" w:styleId="19">
    <w:name w:val="toc 1"/>
    <w:basedOn w:val="12"/>
    <w:next w:val="1"/>
    <w:autoRedefine/>
    <w:unhideWhenUsed/>
    <w:qFormat/>
    <w:uiPriority w:val="39"/>
    <w:pPr>
      <w:tabs>
        <w:tab w:val="right" w:leader="dot" w:pos="8296"/>
      </w:tabs>
      <w:spacing w:after="100" w:line="259" w:lineRule="auto"/>
      <w:ind w:firstLine="0" w:firstLineChars="0"/>
    </w:pPr>
    <w:rPr>
      <w:szCs w:val="22"/>
    </w:rPr>
  </w:style>
  <w:style w:type="paragraph" w:styleId="20">
    <w:name w:val="Subtitle"/>
    <w:basedOn w:val="1"/>
    <w:next w:val="1"/>
    <w:link w:val="4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table of figures"/>
    <w:basedOn w:val="12"/>
    <w:next w:val="1"/>
    <w:unhideWhenUsed/>
    <w:qFormat/>
    <w:uiPriority w:val="99"/>
    <w:pPr>
      <w:ind w:left="200" w:leftChars="200" w:firstLine="0" w:firstLineChars="0"/>
    </w:pPr>
  </w:style>
  <w:style w:type="paragraph" w:styleId="22">
    <w:name w:val="toc 2"/>
    <w:basedOn w:val="12"/>
    <w:next w:val="1"/>
    <w:autoRedefine/>
    <w:unhideWhenUsed/>
    <w:qFormat/>
    <w:uiPriority w:val="39"/>
    <w:pPr>
      <w:spacing w:after="100" w:line="259" w:lineRule="auto"/>
      <w:ind w:left="221" w:firstLine="0" w:firstLineChars="0"/>
    </w:pPr>
    <w:rPr>
      <w:szCs w:val="22"/>
    </w:rPr>
  </w:style>
  <w:style w:type="paragraph" w:styleId="23">
    <w:name w:val="Normal (Web)"/>
    <w:basedOn w:val="1"/>
    <w:unhideWhenUsed/>
    <w:qFormat/>
    <w:uiPriority w:val="99"/>
    <w:pPr>
      <w:spacing w:after="0" w:line="240" w:lineRule="auto"/>
      <w:jc w:val="both"/>
    </w:pPr>
    <w:rPr>
      <w:rFonts w:ascii="Times New Roman" w:hAnsi="Times New Roman" w:eastAsia="宋体" w:cs="Times New Roman"/>
      <w:sz w:val="24"/>
      <w14:ligatures w14:val="none"/>
    </w:rPr>
  </w:style>
  <w:style w:type="paragraph" w:styleId="24">
    <w:name w:val="Title"/>
    <w:basedOn w:val="1"/>
    <w:next w:val="1"/>
    <w:link w:val="4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25">
    <w:name w:val="annotation subject"/>
    <w:basedOn w:val="13"/>
    <w:next w:val="13"/>
    <w:link w:val="60"/>
    <w:semiHidden/>
    <w:unhideWhenUsed/>
    <w:qFormat/>
    <w:uiPriority w:val="99"/>
    <w:rPr>
      <w:b/>
      <w:bCs/>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endnote reference"/>
    <w:basedOn w:val="28"/>
    <w:semiHidden/>
    <w:unhideWhenUsed/>
    <w:qFormat/>
    <w:uiPriority w:val="99"/>
    <w:rPr>
      <w:vertAlign w:val="superscript"/>
    </w:rPr>
  </w:style>
  <w:style w:type="character" w:styleId="31">
    <w:name w:val="page number"/>
    <w:basedOn w:val="28"/>
    <w:semiHidden/>
    <w:unhideWhenUsed/>
    <w:qFormat/>
    <w:uiPriority w:val="99"/>
  </w:style>
  <w:style w:type="character" w:styleId="32">
    <w:name w:val="Emphasis"/>
    <w:basedOn w:val="28"/>
    <w:qFormat/>
    <w:uiPriority w:val="20"/>
    <w:rPr>
      <w:i/>
      <w:iCs/>
    </w:rPr>
  </w:style>
  <w:style w:type="character" w:styleId="33">
    <w:name w:val="Hyperlink"/>
    <w:basedOn w:val="28"/>
    <w:unhideWhenUsed/>
    <w:qFormat/>
    <w:uiPriority w:val="99"/>
    <w:rPr>
      <w:color w:val="467886" w:themeColor="hyperlink"/>
      <w:u w:val="single"/>
      <w14:textFill>
        <w14:solidFill>
          <w14:schemeClr w14:val="hlink"/>
        </w14:solidFill>
      </w14:textFill>
    </w:rPr>
  </w:style>
  <w:style w:type="character" w:styleId="34">
    <w:name w:val="annotation reference"/>
    <w:basedOn w:val="28"/>
    <w:unhideWhenUsed/>
    <w:qFormat/>
    <w:uiPriority w:val="0"/>
    <w:rPr>
      <w:sz w:val="21"/>
      <w:szCs w:val="21"/>
    </w:rPr>
  </w:style>
  <w:style w:type="character" w:customStyle="1" w:styleId="35">
    <w:name w:val="标题 1 字符"/>
    <w:basedOn w:val="28"/>
    <w:link w:val="2"/>
    <w:qFormat/>
    <w:uiPriority w:val="0"/>
    <w:rPr>
      <w:rFonts w:ascii="Times New Roman" w:hAnsi="Times New Roman" w:eastAsia="宋体" w:cstheme="majorBidi"/>
      <w:sz w:val="24"/>
      <w:szCs w:val="48"/>
    </w:rPr>
  </w:style>
  <w:style w:type="character" w:customStyle="1" w:styleId="36">
    <w:name w:val="标题 2 字符"/>
    <w:basedOn w:val="28"/>
    <w:link w:val="3"/>
    <w:qFormat/>
    <w:uiPriority w:val="0"/>
    <w:rPr>
      <w:rFonts w:ascii="Times New Roman" w:hAnsi="Times New Roman" w:eastAsia="宋体" w:cstheme="majorBidi"/>
      <w:sz w:val="24"/>
      <w:szCs w:val="40"/>
    </w:rPr>
  </w:style>
  <w:style w:type="character" w:customStyle="1" w:styleId="37">
    <w:name w:val="标题 3 字符"/>
    <w:basedOn w:val="28"/>
    <w:link w:val="4"/>
    <w:qFormat/>
    <w:uiPriority w:val="0"/>
    <w:rPr>
      <w:rFonts w:ascii="Times New Roman" w:hAnsi="Times New Roman" w:eastAsia="宋体" w:cstheme="majorBidi"/>
      <w:sz w:val="24"/>
      <w:szCs w:val="32"/>
    </w:rPr>
  </w:style>
  <w:style w:type="character" w:customStyle="1" w:styleId="38">
    <w:name w:val="标题 4 字符"/>
    <w:basedOn w:val="28"/>
    <w:link w:val="5"/>
    <w:qFormat/>
    <w:uiPriority w:val="0"/>
    <w:rPr>
      <w:rFonts w:ascii="Times New Roman" w:hAnsi="Times New Roman" w:eastAsia="宋体" w:cstheme="majorBidi"/>
      <w:sz w:val="24"/>
      <w:szCs w:val="28"/>
    </w:rPr>
  </w:style>
  <w:style w:type="character" w:customStyle="1" w:styleId="39">
    <w:name w:val="标题 5 字符"/>
    <w:basedOn w:val="28"/>
    <w:link w:val="6"/>
    <w:qFormat/>
    <w:uiPriority w:val="0"/>
    <w:rPr>
      <w:rFonts w:ascii="Times New Roman" w:hAnsi="Times New Roman" w:eastAsia="宋体" w:cstheme="majorBidi"/>
      <w:sz w:val="24"/>
    </w:rPr>
  </w:style>
  <w:style w:type="character" w:customStyle="1" w:styleId="40">
    <w:name w:val="标题 6 字符"/>
    <w:basedOn w:val="28"/>
    <w:link w:val="7"/>
    <w:semiHidden/>
    <w:qFormat/>
    <w:uiPriority w:val="9"/>
    <w:rPr>
      <w:rFonts w:cstheme="majorBidi"/>
      <w:b/>
      <w:bCs/>
      <w:color w:val="104862" w:themeColor="accent1" w:themeShade="BF"/>
    </w:rPr>
  </w:style>
  <w:style w:type="character" w:customStyle="1" w:styleId="41">
    <w:name w:val="标题 7 字符"/>
    <w:basedOn w:val="2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2">
    <w:name w:val="标题 8 字符"/>
    <w:basedOn w:val="2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3">
    <w:name w:val="标题 9 字符"/>
    <w:basedOn w:val="2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4">
    <w:name w:val="标题 字符"/>
    <w:basedOn w:val="28"/>
    <w:link w:val="24"/>
    <w:qFormat/>
    <w:uiPriority w:val="10"/>
    <w:rPr>
      <w:rFonts w:asciiTheme="majorHAnsi" w:hAnsiTheme="majorHAnsi" w:eastAsiaTheme="majorEastAsia" w:cstheme="majorBidi"/>
      <w:spacing w:val="-10"/>
      <w:kern w:val="28"/>
      <w:sz w:val="56"/>
      <w:szCs w:val="56"/>
    </w:rPr>
  </w:style>
  <w:style w:type="character" w:customStyle="1" w:styleId="45">
    <w:name w:val="副标题 字符"/>
    <w:basedOn w:val="28"/>
    <w:link w:val="20"/>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6">
    <w:name w:val="Quote"/>
    <w:basedOn w:val="1"/>
    <w:next w:val="1"/>
    <w:link w:val="4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7">
    <w:name w:val="引用 字符"/>
    <w:basedOn w:val="28"/>
    <w:link w:val="46"/>
    <w:qFormat/>
    <w:uiPriority w:val="29"/>
    <w:rPr>
      <w:i/>
      <w:iCs/>
      <w:color w:val="404040" w:themeColor="text1" w:themeTint="BF"/>
      <w14:textFill>
        <w14:solidFill>
          <w14:schemeClr w14:val="tx1">
            <w14:lumMod w14:val="75000"/>
            <w14:lumOff w14:val="25000"/>
          </w14:schemeClr>
        </w14:solidFill>
      </w14:textFill>
    </w:rPr>
  </w:style>
  <w:style w:type="paragraph" w:styleId="48">
    <w:name w:val="List Paragraph"/>
    <w:basedOn w:val="1"/>
    <w:link w:val="69"/>
    <w:qFormat/>
    <w:uiPriority w:val="34"/>
    <w:pPr>
      <w:ind w:left="720"/>
      <w:contextualSpacing/>
    </w:pPr>
  </w:style>
  <w:style w:type="character" w:customStyle="1" w:styleId="49">
    <w:name w:val="明显强调1"/>
    <w:basedOn w:val="28"/>
    <w:qFormat/>
    <w:uiPriority w:val="21"/>
    <w:rPr>
      <w:i/>
      <w:iCs/>
      <w:color w:val="104862" w:themeColor="accent1" w:themeShade="BF"/>
    </w:rPr>
  </w:style>
  <w:style w:type="paragraph" w:styleId="50">
    <w:name w:val="Intense Quote"/>
    <w:basedOn w:val="1"/>
    <w:next w:val="1"/>
    <w:link w:val="5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51">
    <w:name w:val="明显引用 字符"/>
    <w:basedOn w:val="28"/>
    <w:link w:val="50"/>
    <w:qFormat/>
    <w:uiPriority w:val="30"/>
    <w:rPr>
      <w:i/>
      <w:iCs/>
      <w:color w:val="104862" w:themeColor="accent1" w:themeShade="BF"/>
    </w:rPr>
  </w:style>
  <w:style w:type="character" w:customStyle="1" w:styleId="52">
    <w:name w:val="明显参考1"/>
    <w:basedOn w:val="28"/>
    <w:qFormat/>
    <w:uiPriority w:val="32"/>
    <w:rPr>
      <w:b/>
      <w:bCs/>
      <w:smallCaps/>
      <w:color w:val="104862" w:themeColor="accent1" w:themeShade="BF"/>
      <w:spacing w:val="5"/>
    </w:rPr>
  </w:style>
  <w:style w:type="character" w:customStyle="1" w:styleId="53">
    <w:name w:val="页眉 字符"/>
    <w:basedOn w:val="28"/>
    <w:link w:val="18"/>
    <w:qFormat/>
    <w:uiPriority w:val="99"/>
    <w:rPr>
      <w:sz w:val="18"/>
      <w:szCs w:val="18"/>
    </w:rPr>
  </w:style>
  <w:style w:type="character" w:customStyle="1" w:styleId="54">
    <w:name w:val="页脚 字符"/>
    <w:basedOn w:val="28"/>
    <w:link w:val="17"/>
    <w:qFormat/>
    <w:uiPriority w:val="99"/>
    <w:rPr>
      <w:sz w:val="18"/>
      <w:szCs w:val="18"/>
    </w:rPr>
  </w:style>
  <w:style w:type="paragraph" w:customStyle="1" w:styleId="55">
    <w:name w:val="！正文"/>
    <w:link w:val="78"/>
    <w:qFormat/>
    <w:uiPriority w:val="0"/>
    <w:pPr>
      <w:widowControl w:val="0"/>
      <w:topLinePunct/>
      <w:adjustRightInd w:val="0"/>
      <w:snapToGrid w:val="0"/>
      <w:spacing w:after="50" w:afterLines="50"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56">
    <w:name w:val="批注文字 字符"/>
    <w:basedOn w:val="28"/>
    <w:link w:val="13"/>
    <w:qFormat/>
    <w:uiPriority w:val="99"/>
    <w:rPr>
      <w:sz w:val="21"/>
      <w:szCs w:val="22"/>
      <w14:ligatures w14:val="none"/>
    </w:rPr>
  </w:style>
  <w:style w:type="character" w:customStyle="1" w:styleId="57">
    <w:name w:val="尾注文本 字符"/>
    <w:basedOn w:val="28"/>
    <w:link w:val="15"/>
    <w:semiHidden/>
    <w:qFormat/>
    <w:uiPriority w:val="99"/>
    <w:rPr>
      <w:sz w:val="21"/>
      <w:szCs w:val="22"/>
      <w14:ligatures w14:val="none"/>
    </w:rPr>
  </w:style>
  <w:style w:type="character" w:customStyle="1" w:styleId="58">
    <w:name w:val="批注框文本 字符"/>
    <w:basedOn w:val="28"/>
    <w:link w:val="16"/>
    <w:semiHidden/>
    <w:qFormat/>
    <w:uiPriority w:val="99"/>
    <w:rPr>
      <w:sz w:val="18"/>
      <w:szCs w:val="18"/>
      <w14:ligatures w14:val="none"/>
    </w:rPr>
  </w:style>
  <w:style w:type="paragraph" w:customStyle="1" w:styleId="59">
    <w:name w:val="Paragraph"/>
    <w:link w:val="73"/>
    <w:qFormat/>
    <w:uiPriority w:val="0"/>
    <w:pPr>
      <w:spacing w:after="240"/>
    </w:pPr>
    <w:rPr>
      <w:rFonts w:ascii="Times New Roman" w:hAnsi="Times New Roman" w:eastAsia="宋体" w:cs="Times New Roman"/>
      <w:sz w:val="24"/>
      <w:szCs w:val="24"/>
      <w:lang w:val="en-US" w:eastAsia="zh-CN" w:bidi="ar-SA"/>
    </w:rPr>
  </w:style>
  <w:style w:type="character" w:customStyle="1" w:styleId="60">
    <w:name w:val="批注主题 字符"/>
    <w:basedOn w:val="56"/>
    <w:link w:val="25"/>
    <w:semiHidden/>
    <w:qFormat/>
    <w:uiPriority w:val="99"/>
    <w:rPr>
      <w:b/>
      <w:bCs/>
      <w:sz w:val="21"/>
      <w:szCs w:val="22"/>
      <w14:ligatures w14:val="none"/>
    </w:rPr>
  </w:style>
  <w:style w:type="character" w:customStyle="1" w:styleId="61">
    <w:name w:val="HR正文格式 Char"/>
    <w:basedOn w:val="28"/>
    <w:link w:val="12"/>
    <w:qFormat/>
    <w:uiPriority w:val="0"/>
    <w:rPr>
      <w:rFonts w:ascii="Times New Roman" w:hAnsi="Times New Roman" w:eastAsia="宋体" w:cs="Times New Roman"/>
      <w:snapToGrid w:val="0"/>
      <w:kern w:val="0"/>
      <w:sz w:val="24"/>
      <w:lang w:val="zh-CN" w:eastAsia="en-US"/>
      <w14:ligatures w14:val="none"/>
    </w:rPr>
  </w:style>
  <w:style w:type="character" w:customStyle="1" w:styleId="62">
    <w:name w:val="标题 1 字符1"/>
    <w:basedOn w:val="28"/>
    <w:qFormat/>
    <w:uiPriority w:val="0"/>
    <w:rPr>
      <w:rFonts w:ascii="Times New Roman" w:hAnsi="Times New Roman" w:eastAsia="宋体"/>
      <w:b/>
      <w:bCs/>
      <w:kern w:val="44"/>
      <w:sz w:val="28"/>
      <w:szCs w:val="28"/>
    </w:rPr>
  </w:style>
  <w:style w:type="paragraph" w:customStyle="1" w:styleId="63">
    <w:name w:val="HR图题"/>
    <w:basedOn w:val="11"/>
    <w:next w:val="12"/>
    <w:qFormat/>
    <w:uiPriority w:val="0"/>
    <w:pPr>
      <w:keepLines/>
      <w:widowControl/>
    </w:pPr>
  </w:style>
  <w:style w:type="paragraph" w:customStyle="1" w:styleId="64">
    <w:name w:val="HR图"/>
    <w:basedOn w:val="11"/>
    <w:next w:val="63"/>
    <w:qFormat/>
    <w:uiPriority w:val="0"/>
    <w:pPr>
      <w:keepNext/>
      <w:widowControl/>
      <w:spacing w:line="276" w:lineRule="auto"/>
    </w:pPr>
    <w:rPr>
      <w:b w:val="0"/>
    </w:rPr>
  </w:style>
  <w:style w:type="paragraph" w:customStyle="1" w:styleId="65">
    <w:name w:val="HR表题"/>
    <w:basedOn w:val="11"/>
    <w:next w:val="66"/>
    <w:qFormat/>
    <w:uiPriority w:val="0"/>
    <w:pPr>
      <w:keepNext/>
      <w:keepLines/>
      <w:widowControl/>
      <w:spacing w:after="0"/>
    </w:pPr>
  </w:style>
  <w:style w:type="paragraph" w:customStyle="1" w:styleId="66">
    <w:name w:val="HR表"/>
    <w:basedOn w:val="1"/>
    <w:next w:val="12"/>
    <w:qFormat/>
    <w:uiPriority w:val="0"/>
    <w:pPr>
      <w:keepLines/>
      <w:widowControl/>
      <w:overflowPunct w:val="0"/>
      <w:autoSpaceDE w:val="0"/>
      <w:autoSpaceDN w:val="0"/>
      <w:adjustRightInd w:val="0"/>
      <w:spacing w:after="0" w:line="240" w:lineRule="auto"/>
      <w:contextualSpacing/>
      <w:jc w:val="center"/>
      <w:textAlignment w:val="baseline"/>
    </w:pPr>
    <w:rPr>
      <w:rFonts w:ascii="Times New Roman" w:hAnsi="Times New Roman" w:eastAsia="宋体" w:cs="Times New Roman"/>
      <w:kern w:val="0"/>
      <w:sz w:val="21"/>
      <w:lang w:eastAsia="en-US"/>
      <w14:ligatures w14:val="none"/>
    </w:rPr>
  </w:style>
  <w:style w:type="paragraph" w:customStyle="1" w:styleId="67">
    <w:name w:val="TOC 标题1"/>
    <w:basedOn w:val="2"/>
    <w:next w:val="1"/>
    <w:unhideWhenUsed/>
    <w:qFormat/>
    <w:uiPriority w:val="39"/>
    <w:pPr>
      <w:widowControl/>
      <w:spacing w:before="240" w:line="259" w:lineRule="auto"/>
      <w:outlineLvl w:val="9"/>
    </w:pPr>
    <w:rPr>
      <w:kern w:val="0"/>
      <w:sz w:val="32"/>
      <w:szCs w:val="32"/>
      <w14:ligatures w14:val="none"/>
    </w:rPr>
  </w:style>
  <w:style w:type="character" w:customStyle="1" w:styleId="68">
    <w:name w:val="书籍标题1"/>
    <w:basedOn w:val="28"/>
    <w:qFormat/>
    <w:uiPriority w:val="33"/>
    <w:rPr>
      <w:b/>
      <w:bCs/>
      <w:smallCaps/>
      <w:spacing w:val="5"/>
    </w:rPr>
  </w:style>
  <w:style w:type="character" w:customStyle="1" w:styleId="69">
    <w:name w:val="列表段落 字符"/>
    <w:basedOn w:val="28"/>
    <w:link w:val="48"/>
    <w:qFormat/>
    <w:uiPriority w:val="34"/>
  </w:style>
  <w:style w:type="paragraph" w:customStyle="1" w:styleId="70">
    <w:name w:val="列出段落1"/>
    <w:basedOn w:val="1"/>
    <w:qFormat/>
    <w:uiPriority w:val="34"/>
    <w:pPr>
      <w:spacing w:after="0" w:line="240" w:lineRule="auto"/>
      <w:ind w:firstLine="420" w:firstLineChars="200"/>
      <w:jc w:val="both"/>
    </w:pPr>
    <w:rPr>
      <w:rFonts w:ascii="Calibri" w:hAnsi="Calibri" w:eastAsia="宋体" w:cs="Times New Roman"/>
      <w:sz w:val="21"/>
      <w:szCs w:val="22"/>
      <w14:ligatures w14:val="none"/>
    </w:rPr>
  </w:style>
  <w:style w:type="paragraph" w:customStyle="1" w:styleId="71">
    <w:name w:val="C-Body Text"/>
    <w:link w:val="72"/>
    <w:qFormat/>
    <w:uiPriority w:val="0"/>
    <w:pPr>
      <w:spacing w:before="120" w:after="120" w:line="280" w:lineRule="atLeast"/>
    </w:pPr>
    <w:rPr>
      <w:rFonts w:ascii="Times New Roman" w:hAnsi="Times New Roman" w:eastAsia="宋体" w:cs="Times New Roman"/>
      <w:sz w:val="24"/>
      <w:lang w:val="en-US" w:eastAsia="en-US" w:bidi="ar-SA"/>
    </w:rPr>
  </w:style>
  <w:style w:type="character" w:customStyle="1" w:styleId="72">
    <w:name w:val="C-Body Text Char"/>
    <w:link w:val="71"/>
    <w:qFormat/>
    <w:locked/>
    <w:uiPriority w:val="0"/>
    <w:rPr>
      <w:rFonts w:ascii="Times New Roman" w:hAnsi="Times New Roman" w:eastAsia="宋体" w:cs="Times New Roman"/>
      <w:kern w:val="0"/>
      <w:sz w:val="24"/>
      <w:szCs w:val="20"/>
      <w:lang w:eastAsia="en-US"/>
      <w14:ligatures w14:val="none"/>
    </w:rPr>
  </w:style>
  <w:style w:type="character" w:customStyle="1" w:styleId="73">
    <w:name w:val="Paragraph Char"/>
    <w:link w:val="59"/>
    <w:qFormat/>
    <w:uiPriority w:val="0"/>
    <w:rPr>
      <w:rFonts w:ascii="Times New Roman" w:hAnsi="Times New Roman" w:eastAsia="宋体" w:cs="Times New Roman"/>
      <w:kern w:val="0"/>
      <w:sz w:val="24"/>
      <w14:ligatures w14:val="none"/>
    </w:rPr>
  </w:style>
  <w:style w:type="paragraph" w:customStyle="1" w:styleId="74">
    <w:name w:val="！方案摘要"/>
    <w:next w:val="1"/>
    <w:qFormat/>
    <w:uiPriority w:val="99"/>
    <w:pPr>
      <w:topLinePunct/>
      <w:adjustRightInd w:val="0"/>
      <w:snapToGrid w:val="0"/>
      <w:spacing w:line="360" w:lineRule="auto"/>
      <w:jc w:val="center"/>
      <w:outlineLvl w:val="0"/>
    </w:pPr>
    <w:rPr>
      <w:rFonts w:ascii="Times New Roman" w:hAnsi="Times New Roman" w:eastAsia="黑体" w:cs="Times New Roman"/>
      <w:kern w:val="2"/>
      <w:sz w:val="24"/>
      <w:szCs w:val="24"/>
      <w:lang w:val="en-US" w:eastAsia="zh-CN" w:bidi="ar-SA"/>
    </w:rPr>
  </w:style>
  <w:style w:type="character" w:customStyle="1" w:styleId="75">
    <w:name w:val="Blue Replace"/>
    <w:qFormat/>
    <w:uiPriority w:val="0"/>
    <w:rPr>
      <w:color w:val="0000FF"/>
    </w:rPr>
  </w:style>
  <w:style w:type="paragraph" w:customStyle="1" w:styleId="76">
    <w:name w:val="正文缩进1"/>
    <w:basedOn w:val="1"/>
    <w:qFormat/>
    <w:uiPriority w:val="0"/>
    <w:pPr>
      <w:spacing w:after="0" w:line="240" w:lineRule="auto"/>
      <w:ind w:firstLine="420" w:firstLineChars="200"/>
      <w:jc w:val="both"/>
    </w:pPr>
    <w:rPr>
      <w:rFonts w:ascii="Times New Roman" w:hAnsi="Times New Roman" w:eastAsia="宋体" w:cs="Times New Roman"/>
      <w:sz w:val="21"/>
      <w14:ligatures w14:val="none"/>
    </w:rPr>
  </w:style>
  <w:style w:type="paragraph" w:customStyle="1" w:styleId="77">
    <w:name w:val="Default"/>
    <w:qFormat/>
    <w:uiPriority w:val="0"/>
    <w:pPr>
      <w:widowControl w:val="0"/>
      <w:autoSpaceDE w:val="0"/>
      <w:autoSpaceDN w:val="0"/>
      <w:adjustRightInd w:val="0"/>
    </w:pPr>
    <w:rPr>
      <w:rFonts w:ascii="Calibri" w:hAnsi="Calibri" w:cs="Calibri" w:eastAsiaTheme="minorEastAsia"/>
      <w:color w:val="000000"/>
      <w:sz w:val="24"/>
      <w:szCs w:val="24"/>
      <w:lang w:val="en-US" w:eastAsia="zh-CN" w:bidi="ar-SA"/>
    </w:rPr>
  </w:style>
  <w:style w:type="character" w:customStyle="1" w:styleId="78">
    <w:name w:val="！正文 Char"/>
    <w:link w:val="55"/>
    <w:qFormat/>
    <w:locked/>
    <w:uiPriority w:val="0"/>
    <w:rPr>
      <w:rFonts w:ascii="Times New Roman" w:hAnsi="Times New Roman" w:eastAsia="宋体" w:cs="Times New Roman"/>
      <w:sz w:val="24"/>
      <w14:ligatures w14:val="none"/>
    </w:rPr>
  </w:style>
  <w:style w:type="paragraph" w:customStyle="1" w:styleId="79">
    <w:name w:val="A-List Bullet"/>
    <w:link w:val="80"/>
    <w:qFormat/>
    <w:uiPriority w:val="0"/>
    <w:pPr>
      <w:numPr>
        <w:ilvl w:val="0"/>
        <w:numId w:val="2"/>
      </w:numPr>
      <w:spacing w:after="240" w:line="280" w:lineRule="atLeast"/>
    </w:pPr>
    <w:rPr>
      <w:rFonts w:ascii="Times New Roman" w:hAnsi="Times New Roman" w:eastAsia="宋体" w:cs="Times New Roman"/>
      <w:sz w:val="24"/>
      <w:lang w:val="en-GB" w:eastAsia="en-US" w:bidi="ar-SA"/>
    </w:rPr>
  </w:style>
  <w:style w:type="character" w:customStyle="1" w:styleId="80">
    <w:name w:val="A-List Bullet Char"/>
    <w:link w:val="79"/>
    <w:qFormat/>
    <w:locked/>
    <w:uiPriority w:val="0"/>
    <w:rPr>
      <w:rFonts w:ascii="Times New Roman" w:hAnsi="Times New Roman" w:eastAsia="宋体" w:cs="Times New Roman"/>
      <w:kern w:val="0"/>
      <w:sz w:val="24"/>
      <w:szCs w:val="20"/>
      <w:lang w:val="en-GB" w:eastAsia="en-US"/>
      <w14:ligatures w14:val="none"/>
    </w:rPr>
  </w:style>
  <w:style w:type="paragraph" w:customStyle="1" w:styleId="81">
    <w:name w:val="Appendix 1"/>
    <w:next w:val="59"/>
    <w:qFormat/>
    <w:uiPriority w:val="0"/>
    <w:pPr>
      <w:keepNext/>
      <w:spacing w:after="240"/>
    </w:pPr>
    <w:rPr>
      <w:rFonts w:ascii="Times New Roman Bold" w:hAnsi="Times New Roman Bold" w:eastAsia="宋体" w:cs="Times New Roman"/>
      <w:b/>
      <w:sz w:val="24"/>
      <w:szCs w:val="24"/>
      <w:lang w:val="en-US" w:eastAsia="en-US" w:bidi="ar-SA"/>
    </w:rPr>
  </w:style>
  <w:style w:type="paragraph" w:customStyle="1" w:styleId="82">
    <w:name w:val="body"/>
    <w:basedOn w:val="1"/>
    <w:link w:val="83"/>
    <w:qFormat/>
    <w:uiPriority w:val="0"/>
    <w:pPr>
      <w:widowControl/>
      <w:spacing w:after="0" w:line="240" w:lineRule="auto"/>
    </w:pPr>
    <w:rPr>
      <w:rFonts w:ascii="Times New Roman" w:hAnsi="Times New Roman" w:eastAsia="宋体" w:cs="Times New Roman"/>
      <w:kern w:val="0"/>
      <w:szCs w:val="20"/>
      <w:lang w:eastAsia="en-US"/>
      <w14:ligatures w14:val="none"/>
    </w:rPr>
  </w:style>
  <w:style w:type="character" w:customStyle="1" w:styleId="83">
    <w:name w:val="body Char"/>
    <w:link w:val="82"/>
    <w:qFormat/>
    <w:locked/>
    <w:uiPriority w:val="0"/>
    <w:rPr>
      <w:rFonts w:ascii="Times New Roman" w:hAnsi="Times New Roman" w:eastAsia="宋体" w:cs="Times New Roman"/>
      <w:kern w:val="0"/>
      <w:szCs w:val="20"/>
      <w:lang w:eastAsia="en-US"/>
      <w14:ligatures w14:val="none"/>
    </w:rPr>
  </w:style>
  <w:style w:type="character" w:customStyle="1" w:styleId="84">
    <w:name w:val="C-Instruction Text Char"/>
    <w:basedOn w:val="28"/>
    <w:link w:val="85"/>
    <w:qFormat/>
    <w:locked/>
    <w:uiPriority w:val="0"/>
    <w:rPr>
      <w:i/>
      <w:color w:val="0000FF"/>
      <w:sz w:val="24"/>
      <w:lang w:eastAsia="en-US"/>
    </w:rPr>
  </w:style>
  <w:style w:type="paragraph" w:customStyle="1" w:styleId="85">
    <w:name w:val="C-Instruction Text"/>
    <w:link w:val="84"/>
    <w:qFormat/>
    <w:uiPriority w:val="0"/>
    <w:pPr>
      <w:spacing w:before="120" w:after="120" w:line="280" w:lineRule="atLeast"/>
    </w:pPr>
    <w:rPr>
      <w:rFonts w:asciiTheme="minorHAnsi" w:hAnsiTheme="minorHAnsi" w:eastAsiaTheme="minorEastAsia" w:cstheme="minorBidi"/>
      <w:i/>
      <w:color w:val="0000FF"/>
      <w:kern w:val="2"/>
      <w:sz w:val="24"/>
      <w:szCs w:val="24"/>
      <w:lang w:val="en-US" w:eastAsia="en-US" w:bidi="ar-SA"/>
      <w14:ligatures w14:val="standardContextual"/>
    </w:rPr>
  </w:style>
  <w:style w:type="table" w:customStyle="1" w:styleId="86">
    <w:name w:val="Table Grid1"/>
    <w:basedOn w:val="26"/>
    <w:qFormat/>
    <w:uiPriority w:val="59"/>
    <w:rPr>
      <w:szCs w:val="22"/>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7">
    <w:name w:val="Level 3"/>
    <w:basedOn w:val="48"/>
    <w:next w:val="1"/>
    <w:qFormat/>
    <w:uiPriority w:val="0"/>
    <w:pPr>
      <w:keepNext/>
      <w:widowControl/>
      <w:numPr>
        <w:ilvl w:val="2"/>
        <w:numId w:val="3"/>
      </w:numPr>
      <w:autoSpaceDE w:val="0"/>
      <w:autoSpaceDN w:val="0"/>
      <w:adjustRightInd w:val="0"/>
      <w:spacing w:before="120" w:after="120" w:line="240" w:lineRule="auto"/>
      <w:ind w:left="720" w:firstLine="0"/>
      <w:contextualSpacing w:val="0"/>
      <w:jc w:val="both"/>
      <w:outlineLvl w:val="2"/>
    </w:pPr>
    <w:rPr>
      <w:rFonts w:ascii="Times New Roman" w:hAnsi="Times New Roman" w:eastAsia="宋体" w:cs="Times New Roman"/>
      <w:b/>
      <w:kern w:val="0"/>
      <w:sz w:val="24"/>
      <w:szCs w:val="22"/>
      <w14:ligatures w14:val="none"/>
    </w:rPr>
  </w:style>
  <w:style w:type="paragraph" w:customStyle="1" w:styleId="88">
    <w:name w:val="Level 2"/>
    <w:basedOn w:val="48"/>
    <w:next w:val="89"/>
    <w:qFormat/>
    <w:uiPriority w:val="0"/>
    <w:pPr>
      <w:keepNext/>
      <w:widowControl/>
      <w:numPr>
        <w:ilvl w:val="1"/>
        <w:numId w:val="3"/>
      </w:numPr>
      <w:autoSpaceDE w:val="0"/>
      <w:autoSpaceDN w:val="0"/>
      <w:adjustRightInd w:val="0"/>
      <w:spacing w:before="120" w:after="120" w:line="240" w:lineRule="auto"/>
      <w:ind w:left="720" w:firstLine="0"/>
      <w:contextualSpacing w:val="0"/>
      <w:jc w:val="both"/>
      <w:outlineLvl w:val="1"/>
    </w:pPr>
    <w:rPr>
      <w:rFonts w:ascii="Times New Roman" w:hAnsi="Times New Roman" w:eastAsia="宋体" w:cs="Arial"/>
      <w:b/>
      <w:caps/>
      <w:kern w:val="0"/>
      <w:sz w:val="24"/>
      <w:szCs w:val="22"/>
      <w14:ligatures w14:val="none"/>
    </w:rPr>
  </w:style>
  <w:style w:type="paragraph" w:customStyle="1" w:styleId="89">
    <w:name w:val="Main Text-EN"/>
    <w:basedOn w:val="1"/>
    <w:link w:val="94"/>
    <w:qFormat/>
    <w:uiPriority w:val="0"/>
    <w:pPr>
      <w:widowControl/>
      <w:spacing w:before="120" w:after="120" w:line="240" w:lineRule="auto"/>
      <w:jc w:val="both"/>
    </w:pPr>
    <w:rPr>
      <w:rFonts w:ascii="Times New Roman" w:hAnsi="Times New Roman" w:eastAsia="Times New Roman" w:cs="宋体"/>
      <w:kern w:val="0"/>
      <w:sz w:val="24"/>
      <w:szCs w:val="22"/>
      <w14:ligatures w14:val="none"/>
    </w:rPr>
  </w:style>
  <w:style w:type="paragraph" w:customStyle="1" w:styleId="90">
    <w:name w:val="Level 1"/>
    <w:basedOn w:val="48"/>
    <w:next w:val="89"/>
    <w:qFormat/>
    <w:uiPriority w:val="0"/>
    <w:pPr>
      <w:keepNext/>
      <w:pageBreakBefore/>
      <w:widowControl/>
      <w:numPr>
        <w:ilvl w:val="0"/>
        <w:numId w:val="3"/>
      </w:numPr>
      <w:autoSpaceDE w:val="0"/>
      <w:autoSpaceDN w:val="0"/>
      <w:adjustRightInd w:val="0"/>
      <w:spacing w:before="120" w:after="120" w:line="240" w:lineRule="auto"/>
      <w:ind w:left="357" w:hanging="357"/>
      <w:contextualSpacing w:val="0"/>
      <w:jc w:val="both"/>
      <w:outlineLvl w:val="0"/>
    </w:pPr>
    <w:rPr>
      <w:rFonts w:ascii="Times New Roman" w:hAnsi="Times New Roman" w:eastAsia="宋体" w:cs="Arial"/>
      <w:b/>
      <w:caps/>
      <w:kern w:val="0"/>
      <w:sz w:val="28"/>
      <w:szCs w:val="32"/>
      <w14:ligatures w14:val="none"/>
    </w:rPr>
  </w:style>
  <w:style w:type="paragraph" w:customStyle="1" w:styleId="91">
    <w:name w:val="Level 4"/>
    <w:basedOn w:val="48"/>
    <w:next w:val="89"/>
    <w:link w:val="92"/>
    <w:qFormat/>
    <w:uiPriority w:val="0"/>
    <w:pPr>
      <w:keepNext/>
      <w:widowControl/>
      <w:numPr>
        <w:ilvl w:val="3"/>
        <w:numId w:val="3"/>
      </w:numPr>
      <w:autoSpaceDE w:val="0"/>
      <w:autoSpaceDN w:val="0"/>
      <w:adjustRightInd w:val="0"/>
      <w:spacing w:before="120" w:after="120" w:line="240" w:lineRule="auto"/>
      <w:ind w:left="990" w:hanging="990"/>
      <w:contextualSpacing w:val="0"/>
      <w:jc w:val="both"/>
      <w:outlineLvl w:val="3"/>
    </w:pPr>
    <w:rPr>
      <w:rFonts w:ascii="Times New Roman" w:hAnsi="Times New Roman" w:eastAsia="宋体" w:cs="Times New Roman"/>
      <w:i/>
      <w:kern w:val="0"/>
      <w:sz w:val="24"/>
      <w:szCs w:val="22"/>
      <w14:ligatures w14:val="none"/>
    </w:rPr>
  </w:style>
  <w:style w:type="character" w:customStyle="1" w:styleId="92">
    <w:name w:val="Level 4 Char"/>
    <w:basedOn w:val="69"/>
    <w:link w:val="91"/>
    <w:qFormat/>
    <w:uiPriority w:val="0"/>
    <w:rPr>
      <w:rFonts w:ascii="Times New Roman" w:hAnsi="Times New Roman" w:eastAsia="宋体" w:cs="Times New Roman"/>
      <w:i/>
      <w:kern w:val="0"/>
      <w:sz w:val="24"/>
      <w:szCs w:val="22"/>
      <w14:ligatures w14:val="none"/>
    </w:rPr>
  </w:style>
  <w:style w:type="paragraph" w:customStyle="1" w:styleId="93">
    <w:name w:val="Level 5"/>
    <w:basedOn w:val="1"/>
    <w:next w:val="1"/>
    <w:qFormat/>
    <w:uiPriority w:val="0"/>
    <w:pPr>
      <w:keepNext/>
      <w:widowControl/>
      <w:numPr>
        <w:ilvl w:val="4"/>
        <w:numId w:val="3"/>
      </w:numPr>
      <w:spacing w:before="120" w:after="120" w:line="240" w:lineRule="auto"/>
      <w:ind w:left="992" w:hanging="992"/>
      <w:jc w:val="both"/>
      <w:outlineLvl w:val="4"/>
    </w:pPr>
    <w:rPr>
      <w:rFonts w:ascii="Times New Roman" w:hAnsi="Times New Roman" w:eastAsia="宋体" w:cs="宋体"/>
      <w:kern w:val="0"/>
      <w:sz w:val="24"/>
      <w:u w:val="single"/>
      <w14:ligatures w14:val="none"/>
    </w:rPr>
  </w:style>
  <w:style w:type="character" w:customStyle="1" w:styleId="94">
    <w:name w:val="Main Text-EN 字符"/>
    <w:basedOn w:val="28"/>
    <w:link w:val="89"/>
    <w:qFormat/>
    <w:uiPriority w:val="0"/>
    <w:rPr>
      <w:rFonts w:ascii="Times New Roman" w:hAnsi="Times New Roman" w:eastAsia="Times New Roman" w:cs="宋体"/>
      <w:kern w:val="0"/>
      <w:sz w:val="24"/>
      <w:szCs w:val="22"/>
      <w14:ligatures w14:val="none"/>
    </w:rPr>
  </w:style>
  <w:style w:type="table" w:customStyle="1" w:styleId="95">
    <w:name w:val="FullBoder"/>
    <w:basedOn w:val="26"/>
    <w:qFormat/>
    <w:uiPriority w:val="99"/>
    <w:pPr>
      <w:jc w:val="center"/>
    </w:pPr>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keepNext/>
        <w:keepLines w:val="0"/>
        <w:pageBreakBefore w:val="0"/>
        <w:widowControl w:val="0"/>
        <w:suppressLineNumbers w:val="0"/>
        <w:suppressAutoHyphens w:val="0"/>
        <w:wordWrap/>
        <w:adjustRightInd w:val="0"/>
        <w:snapToGrid w:val="0"/>
        <w:spacing w:before="0" w:beforeLines="0" w:beforeAutospacing="0" w:after="0" w:afterLines="0" w:afterAutospacing="0" w:line="240" w:lineRule="auto"/>
        <w:ind w:left="0" w:leftChars="0" w:right="0" w:rightChars="0" w:firstLine="0" w:firstLineChars="0"/>
        <w:contextualSpacing w:val="0"/>
        <w:jc w:val="center"/>
        <w:outlineLvl w:val="9"/>
      </w:pPr>
      <w:rPr>
        <w:rFonts w:ascii="Times New Roman" w:hAnsi="Times New Roman" w:eastAsia="宋体"/>
        <w:b/>
        <w:i w:val="0"/>
        <w:caps w:val="0"/>
        <w:smallCaps w:val="0"/>
        <w:strike w:val="0"/>
        <w:dstrike w:val="0"/>
        <w:vanish w:val="0"/>
        <w:sz w:val="21"/>
        <w:u w:val="none"/>
        <w:vertAlign w:val="baseline"/>
      </w:rPr>
      <w:tblPr/>
      <w:trPr>
        <w:tblHeader/>
      </w:trPr>
    </w:tblStylePr>
    <w:tblStylePr w:type="firstCol">
      <w:pPr>
        <w:keepNext w:val="0"/>
        <w:keepLines w:val="0"/>
        <w:pageBreakBefore w:val="0"/>
        <w:widowControl w:val="0"/>
        <w:suppressLineNumbers w:val="0"/>
        <w:suppressAutoHyphens w:val="0"/>
        <w:wordWrap/>
        <w:adjustRightInd w:val="0"/>
        <w:snapToGrid w:val="0"/>
        <w:spacing w:before="0" w:beforeLines="0" w:beforeAutospacing="0" w:after="0" w:afterLines="0" w:afterAutospacing="0" w:line="240" w:lineRule="auto"/>
        <w:ind w:left="0" w:leftChars="0" w:right="0" w:rightChars="0" w:firstLine="0" w:firstLineChars="0"/>
        <w:contextualSpacing w:val="0"/>
        <w:jc w:val="left"/>
        <w:outlineLvl w:val="9"/>
      </w:pPr>
      <w:rPr>
        <w:rFonts w:ascii="Times New Roman" w:hAnsi="Times New Roman" w:eastAsia="宋体"/>
        <w:b w:val="0"/>
        <w:i w:val="0"/>
        <w:caps w:val="0"/>
        <w:smallCaps w:val="0"/>
        <w:strike w:val="0"/>
        <w:dstrike w:val="0"/>
        <w:vanish w:val="0"/>
        <w:color w:val="auto"/>
        <w:sz w:val="21"/>
        <w:u w:val="none"/>
        <w:vertAlign w:val="baseline"/>
      </w:rPr>
    </w:tblStylePr>
  </w:style>
  <w:style w:type="character" w:customStyle="1" w:styleId="96">
    <w:name w:val="fontstyle01"/>
    <w:basedOn w:val="28"/>
    <w:qFormat/>
    <w:uiPriority w:val="0"/>
    <w:rPr>
      <w:rFonts w:hint="default" w:ascii="Arial-BoldMT" w:hAnsi="Arial-BoldMT"/>
      <w:b/>
      <w:bCs/>
      <w:color w:val="000000"/>
      <w:sz w:val="26"/>
      <w:szCs w:val="26"/>
    </w:rPr>
  </w:style>
  <w:style w:type="paragraph" w:customStyle="1" w:styleId="97">
    <w:name w:val="app:head1"/>
    <w:basedOn w:val="2"/>
    <w:next w:val="1"/>
    <w:qFormat/>
    <w:uiPriority w:val="0"/>
    <w:pPr>
      <w:keepLines w:val="0"/>
      <w:widowControl/>
      <w:tabs>
        <w:tab w:val="left" w:pos="2160"/>
      </w:tabs>
      <w:spacing w:before="120" w:after="240" w:line="240" w:lineRule="auto"/>
      <w:ind w:left="2160" w:hanging="2160"/>
      <w:outlineLvl w:val="9"/>
    </w:pPr>
    <w:rPr>
      <w:rFonts w:ascii="Arial" w:hAnsi="Arial" w:cs="Arial"/>
      <w:b/>
      <w:bCs/>
      <w:caps/>
      <w:kern w:val="0"/>
      <w:sz w:val="28"/>
      <w:szCs w:val="28"/>
      <w:lang w:val="en-GB" w:eastAsia="en-US"/>
      <w14:ligatures w14:val="none"/>
    </w:rPr>
  </w:style>
  <w:style w:type="paragraph" w:customStyle="1" w:styleId="98">
    <w:name w:val="03. Bullet 1 SAP Textl"/>
    <w:basedOn w:val="1"/>
    <w:qFormat/>
    <w:uiPriority w:val="0"/>
    <w:pPr>
      <w:widowControl/>
      <w:numPr>
        <w:ilvl w:val="2"/>
        <w:numId w:val="4"/>
      </w:numPr>
      <w:snapToGrid w:val="0"/>
      <w:spacing w:before="120" w:after="240" w:line="240" w:lineRule="auto"/>
      <w:ind w:left="709" w:hanging="709"/>
      <w:outlineLvl w:val="1"/>
    </w:pPr>
    <w:rPr>
      <w:rFonts w:ascii="Calibri" w:hAnsi="Calibri" w:cs="Calibri"/>
      <w:bCs/>
      <w:sz w:val="21"/>
      <w:szCs w:val="22"/>
      <w:lang w:val="en-GB" w:eastAsia="en-GB"/>
      <w14:ligatures w14:val="none"/>
    </w:rPr>
  </w:style>
  <w:style w:type="paragraph" w:customStyle="1" w:styleId="99">
    <w:name w:val="样式1"/>
    <w:basedOn w:val="4"/>
    <w:link w:val="101"/>
    <w:qFormat/>
    <w:uiPriority w:val="0"/>
    <w:pPr>
      <w:keepNext w:val="0"/>
      <w:topLinePunct/>
      <w:snapToGrid w:val="0"/>
      <w:spacing w:before="240"/>
      <w:ind w:left="77" w:leftChars="100" w:right="100" w:rightChars="100"/>
      <w:contextualSpacing/>
    </w:pPr>
    <w:rPr>
      <w:rFonts w:cs="Times New Roman"/>
      <w:b/>
      <w:bCs/>
      <w:snapToGrid w:val="0"/>
      <w14:ligatures w14:val="none"/>
    </w:rPr>
  </w:style>
  <w:style w:type="paragraph" w:customStyle="1" w:styleId="100">
    <w:name w:val="样式2"/>
    <w:basedOn w:val="99"/>
    <w:link w:val="102"/>
    <w:qFormat/>
    <w:uiPriority w:val="0"/>
    <w:pPr>
      <w:ind w:left="1757" w:right="0" w:rightChars="0" w:hanging="907"/>
    </w:pPr>
  </w:style>
  <w:style w:type="character" w:customStyle="1" w:styleId="101">
    <w:name w:val="样式1 字符"/>
    <w:basedOn w:val="37"/>
    <w:link w:val="99"/>
    <w:qFormat/>
    <w:uiPriority w:val="0"/>
    <w:rPr>
      <w:rFonts w:ascii="Times New Roman" w:hAnsi="Times New Roman" w:eastAsia="宋体" w:cs="Times New Roman"/>
      <w:b/>
      <w:bCs/>
      <w:snapToGrid w:val="0"/>
      <w:sz w:val="24"/>
      <w:szCs w:val="32"/>
      <w14:ligatures w14:val="none"/>
    </w:rPr>
  </w:style>
  <w:style w:type="character" w:customStyle="1" w:styleId="102">
    <w:name w:val="样式2 字符"/>
    <w:basedOn w:val="101"/>
    <w:link w:val="100"/>
    <w:qFormat/>
    <w:uiPriority w:val="0"/>
    <w:rPr>
      <w:rFonts w:ascii="Times New Roman" w:hAnsi="Times New Roman" w:eastAsia="宋体" w:cs="Times New Roman"/>
      <w:snapToGrid w:val="0"/>
      <w:sz w:val="24"/>
      <w:szCs w:val="32"/>
      <w14:ligatures w14:val="none"/>
    </w:rPr>
  </w:style>
  <w:style w:type="character" w:customStyle="1" w:styleId="103">
    <w:name w:val="未处理的提及1"/>
    <w:basedOn w:val="28"/>
    <w:semiHidden/>
    <w:unhideWhenUsed/>
    <w:qFormat/>
    <w:uiPriority w:val="99"/>
    <w:rPr>
      <w:color w:val="605E5C"/>
      <w:shd w:val="clear" w:color="auto" w:fill="E1DFDD"/>
    </w:rPr>
  </w:style>
  <w:style w:type="paragraph" w:customStyle="1" w:styleId="104">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5">
    <w:name w:val="TOC 标题2"/>
    <w:basedOn w:val="2"/>
    <w:next w:val="1"/>
    <w:unhideWhenUsed/>
    <w:qFormat/>
    <w:uiPriority w:val="39"/>
    <w:pPr>
      <w:widowControl/>
      <w:numPr>
        <w:numId w:val="0"/>
      </w:numPr>
      <w:spacing w:before="240" w:line="259" w:lineRule="auto"/>
      <w:outlineLvl w:val="9"/>
    </w:pPr>
    <w:rPr>
      <w:rFonts w:asciiTheme="majorHAnsi" w:hAnsiTheme="majorHAnsi" w:eastAsiaTheme="majorEastAsia"/>
      <w:color w:val="104862" w:themeColor="accent1" w:themeShade="BF"/>
      <w:kern w:val="0"/>
      <w:sz w:val="32"/>
      <w:szCs w:val="32"/>
      <w14:ligatures w14:val="none"/>
    </w:rPr>
  </w:style>
  <w:style w:type="paragraph" w:customStyle="1" w:styleId="106">
    <w:name w:val="修订2"/>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107">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75CEB-7A52-4078-A60C-39143445B14C}">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3760</Words>
  <Characters>20300</Characters>
  <Lines>438</Lines>
  <Paragraphs>422</Paragraphs>
  <TotalTime>0</TotalTime>
  <ScaleCrop>false</ScaleCrop>
  <LinksUpToDate>false</LinksUpToDate>
  <CharactersWithSpaces>23858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2026-02-01T16:19:00Z</dcterms:created>
  <dc:creator>Haoxuan Cao</dc:creator>
  <cp:lastModifiedBy>弥赛亚</cp:lastModifiedBy>
  <dcterms:modified xsi:type="dcterms:W3CDTF">2026-03-21T03:40:38Z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eyJoZGlkIjoiMGI0ZGE2OTgwNDFhNDlkZmQwOTVkMzI4NjE3YjVjMDYiLCJ1c2VySWQiOiIzMDYwMjQ3NjQifQ==</vt:lpwstr>
  </property>
  <property fmtid="{D5CDD505-2E9C-101B-9397-08002B2CF9AE}" pid="3" name="KSOProductBuildVer">
    <vt:lpwstr>2052-12.1.0.25225</vt:lpwstr>
  </property>
  <property fmtid="{D5CDD505-2E9C-101B-9397-08002B2CF9AE}" pid="4" name="ICV">
    <vt:lpwstr>0FF8F143428D45E78E6D6A0CB6D58214_13</vt:lpwstr>
  </property>
</Properties>
</file>