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7CF4D" w14:textId="77777777" w:rsidR="00EC7C85" w:rsidRDefault="00EC7C85" w:rsidP="00F125EE">
      <w:pPr>
        <w:rPr>
          <w:sz w:val="36"/>
          <w:szCs w:val="36"/>
        </w:rPr>
      </w:pPr>
    </w:p>
    <w:p w14:paraId="33788641" w14:textId="77777777" w:rsidR="00F125EE" w:rsidRDefault="00F125EE" w:rsidP="00FA1481">
      <w:pPr>
        <w:jc w:val="center"/>
        <w:rPr>
          <w:sz w:val="36"/>
          <w:szCs w:val="36"/>
        </w:rPr>
      </w:pPr>
    </w:p>
    <w:p w14:paraId="31C337D1" w14:textId="77777777" w:rsidR="00D04BCF" w:rsidRPr="003B40E6" w:rsidRDefault="00BB2D2A" w:rsidP="00FA1481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</w:t>
      </w:r>
      <w:r w:rsidR="009743A9">
        <w:rPr>
          <w:sz w:val="36"/>
          <w:szCs w:val="36"/>
        </w:rPr>
        <w:t xml:space="preserve"> for</w:t>
      </w:r>
    </w:p>
    <w:p w14:paraId="29411C5A" w14:textId="77777777" w:rsidR="005001AC" w:rsidRDefault="005001AC"/>
    <w:p w14:paraId="41E970DA" w14:textId="0BD87800" w:rsidR="002C030F" w:rsidRDefault="00A4506E" w:rsidP="003B40E6">
      <w:pPr>
        <w:jc w:val="center"/>
        <w:rPr>
          <w:sz w:val="28"/>
          <w:szCs w:val="28"/>
        </w:rPr>
      </w:pPr>
      <w:r w:rsidRPr="00A4506E">
        <w:rPr>
          <w:sz w:val="28"/>
          <w:szCs w:val="28"/>
        </w:rPr>
        <w:t>TCR-mimic bispecific nanobody-based T cell engager targeting intracellular tumor antigens for cancer immunotherapy</w:t>
      </w:r>
    </w:p>
    <w:p w14:paraId="339B31F7" w14:textId="77777777" w:rsidR="00015F74" w:rsidRPr="007108F5" w:rsidRDefault="00015F74" w:rsidP="003B40E6">
      <w:pPr>
        <w:jc w:val="center"/>
        <w:rPr>
          <w:sz w:val="28"/>
          <w:szCs w:val="28"/>
        </w:rPr>
      </w:pPr>
    </w:p>
    <w:p w14:paraId="63D8913E" w14:textId="6F9D67C9" w:rsidR="002C030F" w:rsidRDefault="00A4506E" w:rsidP="005001AC">
      <w:pPr>
        <w:jc w:val="center"/>
        <w:rPr>
          <w:szCs w:val="24"/>
        </w:rPr>
      </w:pPr>
      <w:proofErr w:type="spellStart"/>
      <w:r w:rsidRPr="00135816">
        <w:rPr>
          <w:rFonts w:eastAsia="宋体"/>
          <w:color w:val="000000" w:themeColor="text1"/>
          <w:lang w:val="en-AU"/>
        </w:rPr>
        <w:t>Ziqiang</w:t>
      </w:r>
      <w:proofErr w:type="spellEnd"/>
      <w:r w:rsidRPr="00135816">
        <w:rPr>
          <w:rFonts w:eastAsia="宋体"/>
          <w:color w:val="000000" w:themeColor="text1"/>
          <w:lang w:val="en-AU"/>
        </w:rPr>
        <w:t xml:space="preserve"> Ding</w:t>
      </w:r>
      <w:r w:rsidRPr="00135816">
        <w:rPr>
          <w:rFonts w:eastAsia="宋体"/>
          <w:color w:val="000000" w:themeColor="text1"/>
          <w:vertAlign w:val="superscript"/>
          <w:lang w:val="en-AU"/>
        </w:rPr>
        <w:t>1, 2#</w:t>
      </w:r>
      <w:r w:rsidRPr="00135816">
        <w:rPr>
          <w:rFonts w:eastAsia="宋体"/>
          <w:color w:val="000000" w:themeColor="text1"/>
          <w:lang w:val="en-AU"/>
        </w:rPr>
        <w:t xml:space="preserve">, </w:t>
      </w:r>
      <w:proofErr w:type="spellStart"/>
      <w:r w:rsidRPr="00135816">
        <w:rPr>
          <w:rFonts w:eastAsia="宋体"/>
          <w:color w:val="000000" w:themeColor="text1"/>
          <w:lang w:val="en-AU"/>
        </w:rPr>
        <w:t>Shuyang</w:t>
      </w:r>
      <w:proofErr w:type="spellEnd"/>
      <w:r w:rsidRPr="00135816">
        <w:rPr>
          <w:rFonts w:eastAsia="宋体"/>
          <w:color w:val="000000" w:themeColor="text1"/>
          <w:lang w:val="en-AU"/>
        </w:rPr>
        <w:t xml:space="preserve"> Sun</w:t>
      </w:r>
      <w:r w:rsidRPr="00135816">
        <w:rPr>
          <w:rFonts w:eastAsia="宋体"/>
          <w:color w:val="000000" w:themeColor="text1"/>
          <w:vertAlign w:val="superscript"/>
          <w:lang w:val="en-AU"/>
        </w:rPr>
        <w:t>1#</w:t>
      </w:r>
      <w:r w:rsidRPr="00135816">
        <w:rPr>
          <w:rFonts w:eastAsia="宋体"/>
          <w:color w:val="000000" w:themeColor="text1"/>
          <w:lang w:val="en-AU"/>
        </w:rPr>
        <w:t>, Xiaomei Yang</w:t>
      </w:r>
      <w:r w:rsidRPr="00135816">
        <w:rPr>
          <w:rFonts w:eastAsia="宋体"/>
          <w:color w:val="000000" w:themeColor="text1"/>
          <w:vertAlign w:val="superscript"/>
          <w:lang w:val="en-AU"/>
        </w:rPr>
        <w:t>1</w:t>
      </w:r>
      <w:r w:rsidRPr="00135816">
        <w:rPr>
          <w:rFonts w:eastAsia="宋体"/>
          <w:color w:val="000000" w:themeColor="text1"/>
          <w:lang w:val="en-AU"/>
        </w:rPr>
        <w:t xml:space="preserve">, </w:t>
      </w:r>
      <w:proofErr w:type="spellStart"/>
      <w:r w:rsidRPr="00135816">
        <w:rPr>
          <w:rFonts w:eastAsia="宋体"/>
          <w:color w:val="000000" w:themeColor="text1"/>
          <w:lang w:val="en-AU"/>
        </w:rPr>
        <w:t>Xianing</w:t>
      </w:r>
      <w:proofErr w:type="spellEnd"/>
      <w:r w:rsidRPr="00135816">
        <w:rPr>
          <w:rFonts w:eastAsia="宋体"/>
          <w:color w:val="000000" w:themeColor="text1"/>
          <w:lang w:val="en-AU"/>
        </w:rPr>
        <w:t xml:space="preserve"> Huang</w:t>
      </w:r>
      <w:r w:rsidRPr="00135816">
        <w:rPr>
          <w:rFonts w:eastAsia="宋体"/>
          <w:color w:val="000000" w:themeColor="text1"/>
          <w:vertAlign w:val="superscript"/>
          <w:lang w:val="en-AU"/>
        </w:rPr>
        <w:t>1</w:t>
      </w:r>
      <w:r w:rsidRPr="00135816">
        <w:rPr>
          <w:rFonts w:eastAsia="宋体"/>
          <w:color w:val="000000" w:themeColor="text1"/>
          <w:lang w:val="en-AU"/>
        </w:rPr>
        <w:t xml:space="preserve">, </w:t>
      </w:r>
      <w:proofErr w:type="spellStart"/>
      <w:r w:rsidRPr="00135816">
        <w:rPr>
          <w:rFonts w:eastAsia="宋体"/>
          <w:color w:val="000000" w:themeColor="text1"/>
          <w:lang w:val="en-AU"/>
        </w:rPr>
        <w:t>Xiaoqiong</w:t>
      </w:r>
      <w:proofErr w:type="spellEnd"/>
      <w:r w:rsidRPr="00135816">
        <w:rPr>
          <w:rFonts w:eastAsia="宋体"/>
          <w:color w:val="000000" w:themeColor="text1"/>
          <w:lang w:val="en-AU"/>
        </w:rPr>
        <w:t xml:space="preserve"> Hou</w:t>
      </w:r>
      <w:r w:rsidRPr="00135816">
        <w:rPr>
          <w:rFonts w:eastAsia="宋体"/>
          <w:color w:val="000000" w:themeColor="text1"/>
          <w:vertAlign w:val="superscript"/>
          <w:lang w:val="en-AU"/>
        </w:rPr>
        <w:t>1</w:t>
      </w:r>
      <w:r w:rsidRPr="00135816">
        <w:rPr>
          <w:rFonts w:eastAsia="宋体"/>
          <w:color w:val="000000" w:themeColor="text1"/>
          <w:lang w:val="en-AU"/>
        </w:rPr>
        <w:t xml:space="preserve">, </w:t>
      </w:r>
      <w:proofErr w:type="spellStart"/>
      <w:r w:rsidRPr="00135816">
        <w:rPr>
          <w:rFonts w:eastAsia="宋体"/>
          <w:color w:val="000000" w:themeColor="text1"/>
          <w:lang w:val="en-AU"/>
        </w:rPr>
        <w:t>ShenXia</w:t>
      </w:r>
      <w:proofErr w:type="spellEnd"/>
      <w:r w:rsidRPr="00135816">
        <w:rPr>
          <w:rFonts w:eastAsia="宋体"/>
          <w:color w:val="000000" w:themeColor="text1"/>
          <w:lang w:val="en-AU"/>
        </w:rPr>
        <w:t xml:space="preserve"> Xie</w:t>
      </w:r>
      <w:r w:rsidRPr="00135816">
        <w:rPr>
          <w:rFonts w:eastAsia="宋体"/>
          <w:color w:val="000000" w:themeColor="text1"/>
          <w:vertAlign w:val="superscript"/>
          <w:lang w:val="en-AU"/>
        </w:rPr>
        <w:t>1</w:t>
      </w:r>
      <w:r w:rsidRPr="00135816">
        <w:rPr>
          <w:rFonts w:eastAsia="宋体"/>
          <w:color w:val="000000" w:themeColor="text1"/>
          <w:lang w:val="en-AU"/>
        </w:rPr>
        <w:t xml:space="preserve">, </w:t>
      </w:r>
      <w:proofErr w:type="spellStart"/>
      <w:r w:rsidRPr="00135816">
        <w:rPr>
          <w:rFonts w:eastAsia="宋体"/>
          <w:color w:val="000000" w:themeColor="text1"/>
          <w:lang w:val="en-AU"/>
        </w:rPr>
        <w:t>Aiqun</w:t>
      </w:r>
      <w:proofErr w:type="spellEnd"/>
      <w:r w:rsidRPr="00135816">
        <w:rPr>
          <w:rFonts w:eastAsia="宋体"/>
          <w:color w:val="000000" w:themeColor="text1"/>
          <w:lang w:val="en-AU"/>
        </w:rPr>
        <w:t xml:space="preserve"> Liu</w:t>
      </w:r>
      <w:r w:rsidRPr="00135816">
        <w:rPr>
          <w:rFonts w:eastAsia="宋体"/>
          <w:color w:val="000000" w:themeColor="text1"/>
          <w:vertAlign w:val="superscript"/>
          <w:lang w:val="en-AU"/>
        </w:rPr>
        <w:t>1</w:t>
      </w:r>
      <w:r w:rsidRPr="00135816">
        <w:rPr>
          <w:rFonts w:eastAsia="宋体"/>
          <w:color w:val="000000" w:themeColor="text1"/>
          <w:lang w:val="en-AU"/>
        </w:rPr>
        <w:t>, Xiaoling Lu</w:t>
      </w:r>
      <w:r w:rsidRPr="00135816">
        <w:rPr>
          <w:rFonts w:eastAsia="宋体"/>
          <w:color w:val="000000" w:themeColor="text1"/>
          <w:vertAlign w:val="superscript"/>
          <w:lang w:val="en-AU"/>
        </w:rPr>
        <w:t>1</w:t>
      </w:r>
      <w:r w:rsidRPr="00135816">
        <w:rPr>
          <w:rFonts w:eastAsia="宋体"/>
          <w:color w:val="000000" w:themeColor="text1"/>
          <w:lang w:val="en-AU"/>
        </w:rPr>
        <w:t>*</w:t>
      </w:r>
    </w:p>
    <w:p w14:paraId="0648E06D" w14:textId="77777777" w:rsidR="000F0DCE" w:rsidRDefault="000F0DCE" w:rsidP="005001AC">
      <w:pPr>
        <w:jc w:val="center"/>
        <w:rPr>
          <w:szCs w:val="24"/>
          <w:lang w:eastAsia="zh-CN"/>
        </w:rPr>
      </w:pPr>
    </w:p>
    <w:p w14:paraId="49B6CFA5" w14:textId="77777777" w:rsidR="00A4506E" w:rsidRPr="00135816" w:rsidRDefault="00A4506E" w:rsidP="00A4506E">
      <w:pPr>
        <w:jc w:val="center"/>
        <w:rPr>
          <w:rFonts w:eastAsia="宋体"/>
          <w:color w:val="000000" w:themeColor="text1"/>
          <w:lang w:val="en-AU"/>
        </w:rPr>
      </w:pPr>
      <w:r w:rsidRPr="00135816">
        <w:rPr>
          <w:rFonts w:eastAsia="宋体"/>
          <w:color w:val="000000" w:themeColor="text1"/>
          <w:vertAlign w:val="superscript"/>
          <w:lang w:val="en-AU"/>
        </w:rPr>
        <w:t xml:space="preserve">1 </w:t>
      </w:r>
      <w:r w:rsidRPr="00135816">
        <w:rPr>
          <w:rFonts w:eastAsia="宋体"/>
          <w:color w:val="000000" w:themeColor="text1"/>
          <w:lang w:val="en-AU"/>
        </w:rPr>
        <w:t xml:space="preserve">School of Basic Medical Sciences/ College of Stomatology/ Hospital of Stomatology/ Guangxi Key Laboratory of Nanobody Research/ Guangxi Nanobody Engineering Research </w:t>
      </w:r>
      <w:proofErr w:type="spellStart"/>
      <w:r w:rsidRPr="00135816">
        <w:rPr>
          <w:rFonts w:eastAsia="宋体"/>
          <w:color w:val="000000" w:themeColor="text1"/>
          <w:lang w:val="en-AU"/>
        </w:rPr>
        <w:t>Center</w:t>
      </w:r>
      <w:proofErr w:type="spellEnd"/>
      <w:r w:rsidRPr="00135816">
        <w:rPr>
          <w:rFonts w:eastAsia="宋体"/>
          <w:color w:val="000000" w:themeColor="text1"/>
          <w:lang w:val="en-AU"/>
        </w:rPr>
        <w:t>, Guangxi Medical University, Nanning 530021, China;</w:t>
      </w:r>
    </w:p>
    <w:p w14:paraId="0548C06B" w14:textId="77777777" w:rsidR="00A4506E" w:rsidRPr="00135816" w:rsidRDefault="00A4506E" w:rsidP="00A4506E">
      <w:pPr>
        <w:jc w:val="center"/>
        <w:rPr>
          <w:rFonts w:eastAsia="宋体"/>
          <w:color w:val="000000" w:themeColor="text1"/>
          <w:lang w:val="en-AU"/>
        </w:rPr>
      </w:pPr>
      <w:r w:rsidRPr="00135816">
        <w:rPr>
          <w:rFonts w:eastAsia="宋体"/>
          <w:color w:val="000000" w:themeColor="text1"/>
          <w:vertAlign w:val="superscript"/>
          <w:lang w:val="en-AU"/>
        </w:rPr>
        <w:t>2</w:t>
      </w:r>
      <w:r w:rsidRPr="00135816">
        <w:rPr>
          <w:rFonts w:eastAsia="宋体"/>
          <w:color w:val="000000" w:themeColor="text1"/>
          <w:lang w:val="en-AU"/>
        </w:rPr>
        <w:t xml:space="preserve"> Department of Laboratory Medicine, Nanjing Drum Tower Hospital, Affiliated Hospital of Medical School, Nanjing University,</w:t>
      </w:r>
      <w:r w:rsidRPr="00135816">
        <w:rPr>
          <w:color w:val="000000" w:themeColor="text1"/>
        </w:rPr>
        <w:t xml:space="preserve"> </w:t>
      </w:r>
      <w:r w:rsidRPr="00135816">
        <w:rPr>
          <w:rFonts w:eastAsia="宋体"/>
          <w:color w:val="000000" w:themeColor="text1"/>
          <w:lang w:val="en-AU"/>
        </w:rPr>
        <w:t>Nanjing 210008, China;</w:t>
      </w:r>
    </w:p>
    <w:p w14:paraId="01D7AA8F" w14:textId="77777777" w:rsidR="00A4506E" w:rsidRPr="00A4506E" w:rsidRDefault="00A4506E" w:rsidP="005001AC">
      <w:pPr>
        <w:jc w:val="center"/>
        <w:rPr>
          <w:szCs w:val="24"/>
          <w:lang w:val="en-AU" w:eastAsia="zh-CN"/>
        </w:rPr>
      </w:pPr>
    </w:p>
    <w:p w14:paraId="03469707" w14:textId="77777777" w:rsidR="00A4506E" w:rsidRPr="00135816" w:rsidRDefault="00A4506E" w:rsidP="00A4506E">
      <w:pPr>
        <w:jc w:val="center"/>
        <w:rPr>
          <w:rFonts w:eastAsia="宋体"/>
          <w:color w:val="000000" w:themeColor="text1"/>
          <w:lang w:val="en-AU"/>
        </w:rPr>
      </w:pPr>
      <w:r w:rsidRPr="00135816">
        <w:rPr>
          <w:rFonts w:eastAsia="宋体"/>
          <w:color w:val="000000" w:themeColor="text1"/>
          <w:vertAlign w:val="superscript"/>
          <w:lang w:val="en-AU"/>
        </w:rPr>
        <w:t>#</w:t>
      </w:r>
      <w:r w:rsidRPr="00135816">
        <w:rPr>
          <w:rFonts w:eastAsia="宋体"/>
          <w:color w:val="000000" w:themeColor="text1"/>
          <w:lang w:val="en-AU"/>
        </w:rPr>
        <w:t xml:space="preserve"> These authors contributed equally to this work.</w:t>
      </w:r>
    </w:p>
    <w:p w14:paraId="34D67477" w14:textId="32969649" w:rsidR="004779CB" w:rsidRPr="00A4506E" w:rsidRDefault="00A4506E" w:rsidP="00A4506E">
      <w:pPr>
        <w:jc w:val="center"/>
        <w:rPr>
          <w:rFonts w:eastAsia="宋体"/>
          <w:color w:val="000000" w:themeColor="text1"/>
          <w:lang w:val="en-AU" w:eastAsia="zh-CN"/>
        </w:rPr>
      </w:pPr>
      <w:r w:rsidRPr="00135816">
        <w:rPr>
          <w:rFonts w:eastAsia="宋体"/>
          <w:color w:val="000000" w:themeColor="text1"/>
          <w:lang w:val="en-AU"/>
        </w:rPr>
        <w:t>* Correspondence to Xiaoling Lu (luxiaoling@gxmu.edu.cn).</w:t>
      </w:r>
    </w:p>
    <w:p w14:paraId="223EBBEB" w14:textId="77777777" w:rsidR="002C030F" w:rsidRDefault="002C030F"/>
    <w:p w14:paraId="5BBBF32C" w14:textId="77777777" w:rsidR="00015F74" w:rsidRDefault="00015F74">
      <w:pPr>
        <w:rPr>
          <w:b/>
        </w:rPr>
      </w:pPr>
    </w:p>
    <w:p w14:paraId="546CBFCA" w14:textId="77777777" w:rsidR="002C030F" w:rsidRPr="00262D72" w:rsidRDefault="009743A9">
      <w:pPr>
        <w:rPr>
          <w:b/>
        </w:rPr>
      </w:pPr>
      <w:r>
        <w:rPr>
          <w:b/>
        </w:rPr>
        <w:t xml:space="preserve">This PDF file </w:t>
      </w:r>
      <w:r w:rsidR="002C030F" w:rsidRPr="00262D72">
        <w:rPr>
          <w:b/>
        </w:rPr>
        <w:t>includes:</w:t>
      </w:r>
    </w:p>
    <w:p w14:paraId="6B069C4B" w14:textId="77777777" w:rsidR="002C030F" w:rsidRDefault="002C030F"/>
    <w:p w14:paraId="23718CE0" w14:textId="66E3A4F1" w:rsidR="00015F74" w:rsidRDefault="00A4506E" w:rsidP="00A4506E">
      <w:pPr>
        <w:ind w:left="720"/>
        <w:rPr>
          <w:lang w:eastAsia="zh-CN"/>
        </w:rPr>
      </w:pPr>
      <w:r w:rsidRPr="00AE5188">
        <w:t>Figures. S1 to S1</w:t>
      </w:r>
      <w:r w:rsidRPr="00AE5188">
        <w:rPr>
          <w:rFonts w:hint="eastAsia"/>
        </w:rPr>
        <w:t>2</w:t>
      </w:r>
    </w:p>
    <w:p w14:paraId="29D453A1" w14:textId="5D1E601D" w:rsidR="009A5287" w:rsidRDefault="00015F74" w:rsidP="00472B51">
      <w:pPr>
        <w:pStyle w:val="SMHeading"/>
        <w:rPr>
          <w:lang w:eastAsia="zh-CN"/>
        </w:rPr>
      </w:pPr>
      <w:r>
        <w:br w:type="page"/>
      </w:r>
      <w:bookmarkStart w:id="0" w:name="Tables"/>
      <w:bookmarkStart w:id="1" w:name="MaterialsMethods"/>
      <w:bookmarkEnd w:id="0"/>
      <w:bookmarkEnd w:id="1"/>
    </w:p>
    <w:p w14:paraId="5199005C" w14:textId="37892E8D" w:rsidR="009A5287" w:rsidRDefault="00121114" w:rsidP="00121114">
      <w:pPr>
        <w:pStyle w:val="SMcaption"/>
        <w:jc w:val="center"/>
        <w:rPr>
          <w:lang w:eastAsia="zh-CN"/>
        </w:rPr>
      </w:pPr>
      <w:r>
        <w:rPr>
          <w:rFonts w:hint="eastAsia"/>
          <w:noProof/>
          <w:lang w:eastAsia="zh-CN"/>
        </w:rPr>
        <w:lastRenderedPageBreak/>
        <w:drawing>
          <wp:inline distT="0" distB="0" distL="0" distR="0" wp14:anchorId="24CB9B1C" wp14:editId="4FD43079">
            <wp:extent cx="5092700" cy="5207000"/>
            <wp:effectExtent l="0" t="0" r="0" b="0"/>
            <wp:docPr id="17905551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555155" name="图片 179055515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520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0BBEF" w14:textId="53925F04" w:rsidR="00015F74" w:rsidRPr="00355362" w:rsidRDefault="007411A1" w:rsidP="00B9440A">
      <w:pPr>
        <w:pStyle w:val="SMHeading"/>
      </w:pPr>
      <w:r w:rsidRPr="00355362">
        <w:t>Fig</w:t>
      </w:r>
      <w:r w:rsidR="00821F38">
        <w:rPr>
          <w:rFonts w:hint="eastAsia"/>
          <w:lang w:eastAsia="zh-CN"/>
        </w:rPr>
        <w:t>ure</w:t>
      </w:r>
      <w:r w:rsidRPr="00355362">
        <w:t>. S1.</w:t>
      </w:r>
    </w:p>
    <w:p w14:paraId="4D46A919" w14:textId="378A7E41" w:rsidR="00015F74" w:rsidRPr="00472B51" w:rsidRDefault="00472B51" w:rsidP="00472B51">
      <w:pPr>
        <w:pStyle w:val="affc"/>
        <w:ind w:left="0"/>
        <w:jc w:val="both"/>
        <w:rPr>
          <w:color w:val="000000" w:themeColor="text1"/>
          <w:lang w:eastAsia="zh-CN"/>
        </w:rPr>
      </w:pPr>
      <w:r w:rsidRPr="00135816">
        <w:rPr>
          <w:b/>
          <w:bCs/>
          <w:color w:val="000000" w:themeColor="text1"/>
        </w:rPr>
        <w:t xml:space="preserve">Architectural overview of </w:t>
      </w:r>
      <w:proofErr w:type="spellStart"/>
      <w:r w:rsidRPr="00135816">
        <w:rPr>
          <w:b/>
          <w:bCs/>
          <w:color w:val="000000" w:themeColor="text1"/>
        </w:rPr>
        <w:t>TCRm</w:t>
      </w:r>
      <w:proofErr w:type="spellEnd"/>
      <w:r w:rsidRPr="00135816">
        <w:rPr>
          <w:b/>
          <w:bCs/>
          <w:color w:val="000000" w:themeColor="text1"/>
        </w:rPr>
        <w:t xml:space="preserve"> antibodies and their derivates.</w:t>
      </w:r>
      <w:r w:rsidRPr="00135816">
        <w:rPr>
          <w:color w:val="000000" w:themeColor="text1"/>
        </w:rPr>
        <w:t xml:space="preserve"> (</w:t>
      </w:r>
      <w:r>
        <w:rPr>
          <w:color w:val="000000" w:themeColor="text1"/>
        </w:rPr>
        <w:t>a</w:t>
      </w:r>
      <w:r w:rsidRPr="00135816">
        <w:rPr>
          <w:color w:val="000000" w:themeColor="text1"/>
        </w:rPr>
        <w:t xml:space="preserve">) Schematic illustration of conventional TCR-mimic </w:t>
      </w:r>
      <w:bookmarkStart w:id="2" w:name="OLE_LINK109"/>
      <w:r w:rsidRPr="00135816">
        <w:rPr>
          <w:color w:val="000000" w:themeColor="text1"/>
        </w:rPr>
        <w:t>monoclonal</w:t>
      </w:r>
      <w:bookmarkEnd w:id="2"/>
      <w:r w:rsidRPr="00135816">
        <w:rPr>
          <w:color w:val="000000" w:themeColor="text1"/>
        </w:rPr>
        <w:t xml:space="preserve"> antibodies (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mAb</w:t>
      </w:r>
      <w:proofErr w:type="spellEnd"/>
      <w:r w:rsidRPr="00135816">
        <w:rPr>
          <w:color w:val="000000" w:themeColor="text1"/>
        </w:rPr>
        <w:t xml:space="preserve">), engineered TCR,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scFv</w:t>
      </w:r>
      <w:proofErr w:type="spellEnd"/>
      <w:r w:rsidRPr="00135816">
        <w:rPr>
          <w:color w:val="000000" w:themeColor="text1"/>
        </w:rPr>
        <w:t xml:space="preserve"> and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Nb. Four representative formats incorporating anti-CD3 engagement modules are shown for comparison. Abbreviations: </w:t>
      </w:r>
      <w:proofErr w:type="spellStart"/>
      <w:r w:rsidRPr="00135816">
        <w:rPr>
          <w:color w:val="000000" w:themeColor="text1"/>
        </w:rPr>
        <w:t>BisAb</w:t>
      </w:r>
      <w:proofErr w:type="spellEnd"/>
      <w:r w:rsidRPr="00135816">
        <w:rPr>
          <w:color w:val="000000" w:themeColor="text1"/>
        </w:rPr>
        <w:t>: bispecific monoclonal antibody, ImmTAC: immune-</w:t>
      </w:r>
      <w:proofErr w:type="spellStart"/>
      <w:r w:rsidRPr="00135816">
        <w:rPr>
          <w:color w:val="000000" w:themeColor="text1"/>
        </w:rPr>
        <w:t>mobilising</w:t>
      </w:r>
      <w:proofErr w:type="spellEnd"/>
      <w:r w:rsidRPr="00135816">
        <w:rPr>
          <w:color w:val="000000" w:themeColor="text1"/>
        </w:rPr>
        <w:t xml:space="preserve"> monoclonal TCRs against cancer, </w:t>
      </w:r>
      <w:proofErr w:type="spellStart"/>
      <w:r w:rsidRPr="00135816">
        <w:rPr>
          <w:color w:val="000000" w:themeColor="text1"/>
        </w:rPr>
        <w:t>BiTE</w:t>
      </w:r>
      <w:proofErr w:type="spellEnd"/>
      <w:r w:rsidRPr="00135816">
        <w:rPr>
          <w:color w:val="000000" w:themeColor="text1"/>
        </w:rPr>
        <w:t>: bispecific T-cell engager,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>: bispecific nanobody-based T-cell engager.</w:t>
      </w:r>
    </w:p>
    <w:p w14:paraId="2AD205DD" w14:textId="77777777" w:rsidR="009A5287" w:rsidRDefault="009A5287" w:rsidP="00B9440A">
      <w:pPr>
        <w:pStyle w:val="SMcaption"/>
      </w:pPr>
    </w:p>
    <w:p w14:paraId="5637CAB2" w14:textId="4C31DC7A" w:rsidR="009A5287" w:rsidRDefault="0012732C" w:rsidP="0012732C">
      <w:pPr>
        <w:pStyle w:val="SMcaption"/>
        <w:jc w:val="center"/>
        <w:rPr>
          <w:lang w:eastAsia="zh-CN"/>
        </w:rPr>
      </w:pPr>
      <w:r>
        <w:rPr>
          <w:rFonts w:hint="eastAsia"/>
          <w:noProof/>
          <w:lang w:eastAsia="zh-CN"/>
        </w:rPr>
        <w:lastRenderedPageBreak/>
        <w:drawing>
          <wp:inline distT="0" distB="0" distL="0" distR="0" wp14:anchorId="2FE40638" wp14:editId="2AE354E9">
            <wp:extent cx="5133975" cy="8229600"/>
            <wp:effectExtent l="0" t="0" r="0" b="0"/>
            <wp:docPr id="8028826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882603" name="图片 80288260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7FF95" w14:textId="350BD889" w:rsidR="00112C5B" w:rsidRPr="00355362" w:rsidRDefault="00112C5B" w:rsidP="00B9440A">
      <w:pPr>
        <w:pStyle w:val="SMHeading"/>
      </w:pPr>
      <w:r w:rsidRPr="00355362">
        <w:lastRenderedPageBreak/>
        <w:t>Fig</w:t>
      </w:r>
      <w:r w:rsidR="00821F38">
        <w:rPr>
          <w:rFonts w:hint="eastAsia"/>
          <w:lang w:eastAsia="zh-CN"/>
        </w:rPr>
        <w:t>ure</w:t>
      </w:r>
      <w:r w:rsidRPr="00355362">
        <w:t>. S2</w:t>
      </w:r>
      <w:r w:rsidR="008218C4">
        <w:t>.</w:t>
      </w:r>
    </w:p>
    <w:p w14:paraId="71C4C6B3" w14:textId="3399CDB2" w:rsidR="00477182" w:rsidRPr="00472B51" w:rsidRDefault="00472B51" w:rsidP="00472B51">
      <w:pPr>
        <w:pStyle w:val="affc"/>
        <w:ind w:left="0"/>
        <w:jc w:val="both"/>
        <w:rPr>
          <w:b/>
          <w:bCs/>
          <w:color w:val="000000" w:themeColor="text1"/>
        </w:rPr>
      </w:pPr>
      <w:r w:rsidRPr="00135816">
        <w:rPr>
          <w:b/>
          <w:bCs/>
          <w:color w:val="000000" w:themeColor="text1"/>
        </w:rPr>
        <w:t xml:space="preserve">Optimization of induction conditions for </w:t>
      </w:r>
      <w:proofErr w:type="spellStart"/>
      <w:r w:rsidRPr="00135816">
        <w:rPr>
          <w:b/>
          <w:bCs/>
          <w:color w:val="000000" w:themeColor="text1"/>
        </w:rPr>
        <w:t>TCRm</w:t>
      </w:r>
      <w:proofErr w:type="spellEnd"/>
      <w:r w:rsidRPr="00135816">
        <w:rPr>
          <w:b/>
          <w:bCs/>
          <w:color w:val="000000" w:themeColor="text1"/>
        </w:rPr>
        <w:t xml:space="preserve"> Bi-</w:t>
      </w:r>
      <w:proofErr w:type="spellStart"/>
      <w:r w:rsidRPr="00135816">
        <w:rPr>
          <w:b/>
          <w:bCs/>
          <w:color w:val="000000" w:themeColor="text1"/>
        </w:rPr>
        <w:t>NbTE</w:t>
      </w:r>
      <w:proofErr w:type="spellEnd"/>
      <w:r w:rsidRPr="00135816">
        <w:rPr>
          <w:b/>
          <w:bCs/>
          <w:color w:val="000000" w:themeColor="text1"/>
        </w:rPr>
        <w:t xml:space="preserve"> protein expression. </w:t>
      </w:r>
      <w:r w:rsidRPr="00135816">
        <w:rPr>
          <w:color w:val="000000" w:themeColor="text1"/>
        </w:rPr>
        <w:t>(a, c, d) Expression profiles of HLA-A2/WT1</w:t>
      </w:r>
      <w:r w:rsidRPr="00135816">
        <w:rPr>
          <w:color w:val="000000" w:themeColor="text1"/>
          <w:vertAlign w:val="subscript"/>
        </w:rPr>
        <w:t>126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protein under various induction times, temperatures and IPTG concentrations. SDS–PAGE analysis showed that the optimal induction at 0.5 mM IPTG, 37 °C for 6 h. (b, e, f) Expression profiles of HLA-A2/GPC3</w:t>
      </w:r>
      <w:r w:rsidRPr="00135816">
        <w:rPr>
          <w:color w:val="000000" w:themeColor="text1"/>
          <w:vertAlign w:val="subscript"/>
        </w:rPr>
        <w:t>144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protein under various induction times, temperatures and IPTG concentrations. SDS</w:t>
      </w:r>
      <w:bookmarkStart w:id="3" w:name="OLE_LINK188"/>
      <w:r w:rsidRPr="00135816">
        <w:rPr>
          <w:color w:val="000000" w:themeColor="text1"/>
        </w:rPr>
        <w:t>–</w:t>
      </w:r>
      <w:bookmarkEnd w:id="3"/>
      <w:r w:rsidRPr="00135816">
        <w:rPr>
          <w:color w:val="000000" w:themeColor="text1"/>
        </w:rPr>
        <w:t>PAGE analysis showed that the optimal induction at 0.5 mM IPTG, 16 °C for 16 h</w:t>
      </w:r>
      <w:r w:rsidR="00477182">
        <w:t>.</w:t>
      </w:r>
    </w:p>
    <w:p w14:paraId="2507BD7C" w14:textId="77777777" w:rsidR="00670299" w:rsidRDefault="00670299" w:rsidP="00670299">
      <w:pPr>
        <w:pStyle w:val="SMcaption"/>
      </w:pPr>
    </w:p>
    <w:p w14:paraId="34FD0CA6" w14:textId="646D84CC" w:rsidR="009A5287" w:rsidRDefault="00667D08" w:rsidP="0012732C">
      <w:pPr>
        <w:pStyle w:val="SMcaption"/>
        <w:jc w:val="center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6C4D0A98" wp14:editId="18ADE4A0">
            <wp:extent cx="5264238" cy="3888000"/>
            <wp:effectExtent l="0" t="0" r="0" b="0"/>
            <wp:docPr id="3519188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918812" name="图片 3519188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238" cy="38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9D981" w14:textId="074B18BF" w:rsidR="00112C5B" w:rsidRPr="00355362" w:rsidRDefault="00112C5B" w:rsidP="00B9440A">
      <w:pPr>
        <w:pStyle w:val="SMHeading"/>
      </w:pPr>
      <w:r w:rsidRPr="00355362">
        <w:t>Fig</w:t>
      </w:r>
      <w:r w:rsidR="00821F38">
        <w:rPr>
          <w:rFonts w:hint="eastAsia"/>
          <w:lang w:eastAsia="zh-CN"/>
        </w:rPr>
        <w:t>ure</w:t>
      </w:r>
      <w:r w:rsidRPr="00355362">
        <w:t>. S</w:t>
      </w:r>
      <w:r w:rsidR="00355362">
        <w:t>3</w:t>
      </w:r>
      <w:r w:rsidR="008218C4">
        <w:t>.</w:t>
      </w:r>
    </w:p>
    <w:p w14:paraId="1CAA732D" w14:textId="77777777" w:rsidR="00472B51" w:rsidRDefault="00472B51" w:rsidP="00472B51">
      <w:pPr>
        <w:pStyle w:val="affc"/>
        <w:ind w:left="0"/>
        <w:jc w:val="both"/>
        <w:rPr>
          <w:color w:val="000000" w:themeColor="text1"/>
        </w:rPr>
      </w:pPr>
      <w:r w:rsidRPr="00135816">
        <w:rPr>
          <w:b/>
          <w:bCs/>
          <w:color w:val="000000" w:themeColor="text1"/>
        </w:rPr>
        <w:t xml:space="preserve">Purification of </w:t>
      </w:r>
      <w:proofErr w:type="spellStart"/>
      <w:r w:rsidRPr="00135816">
        <w:rPr>
          <w:b/>
          <w:bCs/>
          <w:color w:val="000000" w:themeColor="text1"/>
        </w:rPr>
        <w:t>TCRm</w:t>
      </w:r>
      <w:proofErr w:type="spellEnd"/>
      <w:r w:rsidRPr="00135816">
        <w:rPr>
          <w:b/>
          <w:bCs/>
          <w:color w:val="000000" w:themeColor="text1"/>
        </w:rPr>
        <w:t xml:space="preserve"> Bi-</w:t>
      </w:r>
      <w:proofErr w:type="spellStart"/>
      <w:r w:rsidRPr="00135816">
        <w:rPr>
          <w:b/>
          <w:bCs/>
          <w:color w:val="000000" w:themeColor="text1"/>
        </w:rPr>
        <w:t>NbTE</w:t>
      </w:r>
      <w:proofErr w:type="spellEnd"/>
      <w:r w:rsidRPr="00135816">
        <w:rPr>
          <w:b/>
          <w:bCs/>
          <w:color w:val="000000" w:themeColor="text1"/>
        </w:rPr>
        <w:t xml:space="preserve"> proteins.</w:t>
      </w:r>
      <w:r w:rsidRPr="00135816">
        <w:rPr>
          <w:color w:val="000000" w:themeColor="text1"/>
        </w:rPr>
        <w:t xml:space="preserve"> (a, b)</w:t>
      </w:r>
      <w:r w:rsidRPr="00135816" w:rsidDel="00E91180">
        <w:rPr>
          <w:color w:val="000000" w:themeColor="text1"/>
        </w:rPr>
        <w:t xml:space="preserve"> </w:t>
      </w:r>
      <w:r w:rsidRPr="00135816">
        <w:rPr>
          <w:color w:val="000000" w:themeColor="text1"/>
        </w:rPr>
        <w:t>SDS–PAGE analysis of elution fractions from Ni</w:t>
      </w:r>
      <w:r w:rsidRPr="00135816">
        <w:rPr>
          <w:color w:val="000000" w:themeColor="text1"/>
          <w:vertAlign w:val="superscript"/>
        </w:rPr>
        <w:t>2+</w:t>
      </w:r>
      <w:r w:rsidRPr="00135816">
        <w:rPr>
          <w:color w:val="000000" w:themeColor="text1"/>
        </w:rPr>
        <w:t>–NTA resin purification of (a) HLA-A2/WT1</w:t>
      </w:r>
      <w:r w:rsidRPr="00135816">
        <w:rPr>
          <w:color w:val="000000" w:themeColor="text1"/>
          <w:vertAlign w:val="subscript"/>
        </w:rPr>
        <w:t>126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and (b) HLA-A2/GPC3</w:t>
      </w:r>
      <w:r w:rsidRPr="00135816">
        <w:rPr>
          <w:color w:val="000000" w:themeColor="text1"/>
          <w:vertAlign w:val="subscript"/>
        </w:rPr>
        <w:t xml:space="preserve">144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using a stepwise imidazole gradient. (c, d)</w:t>
      </w:r>
      <w:r w:rsidRPr="00135816">
        <w:rPr>
          <w:rFonts w:hint="eastAsia"/>
          <w:color w:val="000000" w:themeColor="text1"/>
        </w:rPr>
        <w:t xml:space="preserve"> S</w:t>
      </w:r>
      <w:r w:rsidRPr="00135816">
        <w:rPr>
          <w:color w:val="000000" w:themeColor="text1"/>
        </w:rPr>
        <w:t>EC–HPLC profiles of the final purified (c) HLA-A2/WT1</w:t>
      </w:r>
      <w:r w:rsidRPr="00135816">
        <w:rPr>
          <w:color w:val="000000" w:themeColor="text1"/>
          <w:vertAlign w:val="subscript"/>
        </w:rPr>
        <w:t>126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and (d) HLA-A2/GPC3</w:t>
      </w:r>
      <w:r w:rsidRPr="00135816">
        <w:rPr>
          <w:color w:val="000000" w:themeColor="text1"/>
          <w:vertAlign w:val="subscript"/>
        </w:rPr>
        <w:t xml:space="preserve">144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respectively, confirming high monomeric purity.</w:t>
      </w:r>
    </w:p>
    <w:p w14:paraId="64D69A9E" w14:textId="77777777" w:rsidR="00472B51" w:rsidRDefault="00472B51" w:rsidP="00472B51">
      <w:pPr>
        <w:pStyle w:val="SMcaption"/>
        <w:rPr>
          <w:lang w:eastAsia="zh-CN"/>
        </w:rPr>
      </w:pPr>
    </w:p>
    <w:p w14:paraId="17F698B6" w14:textId="473882E5" w:rsidR="00472B51" w:rsidRDefault="0012732C" w:rsidP="0012732C">
      <w:pPr>
        <w:pStyle w:val="SMcaption"/>
        <w:jc w:val="center"/>
        <w:rPr>
          <w:lang w:eastAsia="zh-CN"/>
        </w:rPr>
      </w:pPr>
      <w:r>
        <w:rPr>
          <w:rFonts w:hint="eastAsia"/>
          <w:noProof/>
          <w:lang w:eastAsia="zh-CN"/>
        </w:rPr>
        <w:lastRenderedPageBreak/>
        <w:drawing>
          <wp:inline distT="0" distB="0" distL="0" distR="0" wp14:anchorId="5E02682D" wp14:editId="4D0525D2">
            <wp:extent cx="5274000" cy="3558823"/>
            <wp:effectExtent l="0" t="0" r="0" b="0"/>
            <wp:docPr id="54254407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544076" name="图片 54254407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55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D3483" w14:textId="7BA99E34" w:rsidR="00472B51" w:rsidRPr="00355362" w:rsidRDefault="00472B51" w:rsidP="00472B51">
      <w:pPr>
        <w:pStyle w:val="SMHeading"/>
      </w:pP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rPr>
          <w:rFonts w:hint="eastAsia"/>
          <w:lang w:eastAsia="zh-CN"/>
        </w:rPr>
        <w:t>4</w:t>
      </w:r>
      <w:r>
        <w:t>.</w:t>
      </w:r>
    </w:p>
    <w:p w14:paraId="3EFE6C9C" w14:textId="77777777" w:rsidR="00472B51" w:rsidRDefault="00472B51" w:rsidP="00472B51">
      <w:pPr>
        <w:pStyle w:val="affc"/>
        <w:ind w:left="0"/>
        <w:jc w:val="both"/>
        <w:rPr>
          <w:color w:val="000000" w:themeColor="text1"/>
        </w:rPr>
      </w:pPr>
      <w:r w:rsidRPr="00135816">
        <w:rPr>
          <w:b/>
          <w:bCs/>
          <w:color w:val="000000" w:themeColor="text1"/>
        </w:rPr>
        <w:t xml:space="preserve">Specific binding capacity of </w:t>
      </w:r>
      <w:proofErr w:type="spellStart"/>
      <w:r w:rsidRPr="00135816">
        <w:rPr>
          <w:b/>
          <w:bCs/>
          <w:color w:val="000000" w:themeColor="text1"/>
        </w:rPr>
        <w:t>TCRm</w:t>
      </w:r>
      <w:proofErr w:type="spellEnd"/>
      <w:r w:rsidRPr="00135816">
        <w:rPr>
          <w:b/>
          <w:bCs/>
          <w:color w:val="000000" w:themeColor="text1"/>
        </w:rPr>
        <w:t xml:space="preserve"> Bi-</w:t>
      </w:r>
      <w:proofErr w:type="spellStart"/>
      <w:r w:rsidRPr="00135816">
        <w:rPr>
          <w:b/>
          <w:bCs/>
          <w:color w:val="000000" w:themeColor="text1"/>
        </w:rPr>
        <w:t>NbTE</w:t>
      </w:r>
      <w:proofErr w:type="spellEnd"/>
      <w:r w:rsidRPr="00135816">
        <w:rPr>
          <w:b/>
          <w:bCs/>
          <w:color w:val="000000" w:themeColor="text1"/>
        </w:rPr>
        <w:t xml:space="preserve"> determined by flow cytometry.</w:t>
      </w:r>
      <w:r w:rsidRPr="00135816">
        <w:rPr>
          <w:color w:val="000000" w:themeColor="text1"/>
        </w:rPr>
        <w:t xml:space="preserve"> (a) Binding analysis of HLA-A2/WT1</w:t>
      </w:r>
      <w:r w:rsidRPr="00135816">
        <w:rPr>
          <w:color w:val="000000" w:themeColor="text1"/>
          <w:vertAlign w:val="subscript"/>
        </w:rPr>
        <w:t>126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or HLA-A2/GPC3</w:t>
      </w:r>
      <w:r w:rsidRPr="00135816">
        <w:rPr>
          <w:color w:val="000000" w:themeColor="text1"/>
          <w:vertAlign w:val="subscript"/>
        </w:rPr>
        <w:t xml:space="preserve">144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to </w:t>
      </w:r>
      <w:proofErr w:type="spellStart"/>
      <w:r w:rsidRPr="00135816">
        <w:rPr>
          <w:color w:val="000000" w:themeColor="text1"/>
        </w:rPr>
        <w:t>unpulsed</w:t>
      </w:r>
      <w:proofErr w:type="spellEnd"/>
      <w:r w:rsidRPr="00135816">
        <w:rPr>
          <w:color w:val="000000" w:themeColor="text1"/>
        </w:rPr>
        <w:t xml:space="preserve"> T2 controls by flow cytometry. (b, c) Quantitative bar graphs showing the binding of HLA-A2/WT1</w:t>
      </w:r>
      <w:r w:rsidRPr="00135816">
        <w:rPr>
          <w:color w:val="000000" w:themeColor="text1"/>
          <w:vertAlign w:val="subscript"/>
        </w:rPr>
        <w:t xml:space="preserve">126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to T2 cells pulsed with the cognate WT1</w:t>
      </w:r>
      <w:r w:rsidRPr="00135816">
        <w:rPr>
          <w:color w:val="000000" w:themeColor="text1"/>
          <w:vertAlign w:val="subscript"/>
        </w:rPr>
        <w:t>126-134</w:t>
      </w:r>
      <w:r w:rsidRPr="00135816">
        <w:rPr>
          <w:color w:val="000000" w:themeColor="text1"/>
        </w:rPr>
        <w:t xml:space="preserve"> peptide, irrelevant peptides, or </w:t>
      </w:r>
      <w:proofErr w:type="spellStart"/>
      <w:r w:rsidRPr="00135816">
        <w:rPr>
          <w:color w:val="000000" w:themeColor="text1"/>
        </w:rPr>
        <w:t>unpulsed</w:t>
      </w:r>
      <w:proofErr w:type="spellEnd"/>
      <w:r w:rsidRPr="00135816">
        <w:rPr>
          <w:color w:val="000000" w:themeColor="text1"/>
        </w:rPr>
        <w:t xml:space="preserve">, as well as to K562 cells (HLA-A2⁻/WT1⁺), OVCAR3 cells (HLA-A2⁺/WT1⁺), primary human T cells </w:t>
      </w:r>
      <w:bookmarkStart w:id="4" w:name="OLE_LINK189"/>
      <w:r w:rsidRPr="00135816">
        <w:rPr>
          <w:color w:val="000000" w:themeColor="text1"/>
        </w:rPr>
        <w:t>with or without pre-blocking by soluble recombinant CD3ε protein</w:t>
      </w:r>
      <w:bookmarkEnd w:id="4"/>
      <w:r w:rsidRPr="00135816">
        <w:rPr>
          <w:color w:val="000000" w:themeColor="text1"/>
        </w:rPr>
        <w:t>. (d, e) Quantitative bar graphs showing the binding of HLA-A2/GPC3</w:t>
      </w:r>
      <w:r w:rsidRPr="00135816">
        <w:rPr>
          <w:color w:val="000000" w:themeColor="text1"/>
          <w:vertAlign w:val="subscript"/>
        </w:rPr>
        <w:t>144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to T2 cells pulsed with the cognate GPC3</w:t>
      </w:r>
      <w:r w:rsidRPr="00135816">
        <w:rPr>
          <w:color w:val="000000" w:themeColor="text1"/>
          <w:vertAlign w:val="subscript"/>
        </w:rPr>
        <w:t>144-152</w:t>
      </w:r>
      <w:r w:rsidRPr="00135816">
        <w:rPr>
          <w:color w:val="000000" w:themeColor="text1"/>
        </w:rPr>
        <w:t xml:space="preserve"> peptide, irrelevant peptides, or </w:t>
      </w:r>
      <w:proofErr w:type="spellStart"/>
      <w:r w:rsidRPr="00135816">
        <w:rPr>
          <w:color w:val="000000" w:themeColor="text1"/>
        </w:rPr>
        <w:t>unpulsed</w:t>
      </w:r>
      <w:proofErr w:type="spellEnd"/>
      <w:r w:rsidRPr="00135816">
        <w:rPr>
          <w:color w:val="000000" w:themeColor="text1"/>
        </w:rPr>
        <w:t>, as well as to Huh</w:t>
      </w:r>
      <w:r w:rsidRPr="00135816">
        <w:rPr>
          <w:rFonts w:hint="eastAsia"/>
          <w:color w:val="000000" w:themeColor="text1"/>
        </w:rPr>
        <w:t>-</w:t>
      </w:r>
      <w:r w:rsidRPr="00135816">
        <w:rPr>
          <w:color w:val="000000" w:themeColor="text1"/>
        </w:rPr>
        <w:t xml:space="preserve">7 cells (HLA-A2⁻/GPC3⁺), HepG2 cells (HLA-A2⁺/GPC3⁺), primary human T cells, with or without pre-blocking by soluble recombinant CD3ε protein. </w:t>
      </w:r>
      <w:r w:rsidRPr="005C466E">
        <w:rPr>
          <w:color w:val="000000" w:themeColor="text1"/>
        </w:rPr>
        <w:t>Data are representative of three independent experiments</w:t>
      </w:r>
      <w:r>
        <w:rPr>
          <w:rFonts w:hint="eastAsia"/>
          <w:color w:val="000000" w:themeColor="text1"/>
        </w:rPr>
        <w:t>.</w:t>
      </w:r>
      <w:r w:rsidRPr="00135816">
        <w:rPr>
          <w:color w:val="000000" w:themeColor="text1"/>
        </w:rPr>
        <w:t xml:space="preserve"> ****</w:t>
      </w:r>
      <w:r w:rsidRPr="00135816">
        <w:rPr>
          <w:i/>
          <w:iCs/>
          <w:color w:val="000000" w:themeColor="text1"/>
        </w:rPr>
        <w:t>P</w:t>
      </w:r>
      <w:r w:rsidRPr="00135816">
        <w:rPr>
          <w:color w:val="000000" w:themeColor="text1"/>
        </w:rPr>
        <w:t> &lt; 0.0001.</w:t>
      </w:r>
    </w:p>
    <w:p w14:paraId="0F2FD6F5" w14:textId="77777777" w:rsidR="00472B51" w:rsidRDefault="00472B51" w:rsidP="00472B51">
      <w:pPr>
        <w:pStyle w:val="SMcaption"/>
      </w:pPr>
    </w:p>
    <w:p w14:paraId="11694E6C" w14:textId="29D0C1F7" w:rsidR="00472B51" w:rsidRDefault="0012732C" w:rsidP="0012732C">
      <w:pPr>
        <w:pStyle w:val="SMcaption"/>
        <w:jc w:val="center"/>
        <w:rPr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48ADF58D" wp14:editId="01E24061">
            <wp:extent cx="5274000" cy="1826742"/>
            <wp:effectExtent l="0" t="0" r="0" b="2540"/>
            <wp:docPr id="97905859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058599" name="图片 97905859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182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23FE8" w14:textId="485B341E" w:rsidR="00472B51" w:rsidRPr="00355362" w:rsidRDefault="00472B51" w:rsidP="00472B51">
      <w:pPr>
        <w:pStyle w:val="SMHeading"/>
      </w:pPr>
      <w:r w:rsidRPr="00355362">
        <w:lastRenderedPageBreak/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rPr>
          <w:rFonts w:hint="eastAsia"/>
          <w:lang w:eastAsia="zh-CN"/>
        </w:rPr>
        <w:t>5</w:t>
      </w:r>
      <w:r>
        <w:t>.</w:t>
      </w:r>
    </w:p>
    <w:p w14:paraId="14E73292" w14:textId="77777777" w:rsidR="00472B51" w:rsidRDefault="00472B51" w:rsidP="00472B51">
      <w:pPr>
        <w:pStyle w:val="affc"/>
        <w:ind w:left="0"/>
        <w:jc w:val="both"/>
        <w:rPr>
          <w:color w:val="000000" w:themeColor="text1"/>
        </w:rPr>
      </w:pPr>
      <w:r w:rsidRPr="00135816">
        <w:rPr>
          <w:b/>
          <w:bCs/>
          <w:color w:val="000000" w:themeColor="text1"/>
        </w:rPr>
        <w:t xml:space="preserve">Binding kinetics of </w:t>
      </w:r>
      <w:proofErr w:type="spellStart"/>
      <w:r w:rsidRPr="00135816">
        <w:rPr>
          <w:b/>
          <w:bCs/>
          <w:color w:val="000000" w:themeColor="text1"/>
        </w:rPr>
        <w:t>TCRm</w:t>
      </w:r>
      <w:proofErr w:type="spellEnd"/>
      <w:r w:rsidRPr="00135816">
        <w:rPr>
          <w:b/>
          <w:bCs/>
          <w:color w:val="000000" w:themeColor="text1"/>
        </w:rPr>
        <w:t xml:space="preserve"> Bi-</w:t>
      </w:r>
      <w:proofErr w:type="spellStart"/>
      <w:r w:rsidRPr="00135816">
        <w:rPr>
          <w:b/>
          <w:bCs/>
          <w:color w:val="000000" w:themeColor="text1"/>
        </w:rPr>
        <w:t>NbTE</w:t>
      </w:r>
      <w:proofErr w:type="spellEnd"/>
      <w:r w:rsidRPr="00135816">
        <w:rPr>
          <w:b/>
          <w:bCs/>
          <w:color w:val="000000" w:themeColor="text1"/>
        </w:rPr>
        <w:t xml:space="preserve"> determined by biolayer interferometry. </w:t>
      </w:r>
      <w:r w:rsidRPr="00135816">
        <w:rPr>
          <w:color w:val="000000" w:themeColor="text1"/>
        </w:rPr>
        <w:t>(a-c)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Streptavidin biosensor coated with (a)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biotinylated human CD3ε protein, (b)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biotinylated human HLA-A2/WT1</w:t>
      </w:r>
      <w:r w:rsidRPr="00135816">
        <w:rPr>
          <w:color w:val="000000" w:themeColor="text1"/>
          <w:vertAlign w:val="subscript"/>
        </w:rPr>
        <w:t>126-134</w:t>
      </w:r>
      <w:r w:rsidRPr="00135816">
        <w:rPr>
          <w:color w:val="000000" w:themeColor="text1"/>
        </w:rPr>
        <w:t xml:space="preserve"> complex protein </w:t>
      </w:r>
      <w:bookmarkStart w:id="5" w:name="OLE_LINK190"/>
      <w:r w:rsidRPr="00135816">
        <w:rPr>
          <w:color w:val="000000" w:themeColor="text1"/>
        </w:rPr>
        <w:t>or (c) mimetic peptide</w:t>
      </w:r>
      <w:bookmarkEnd w:id="5"/>
      <w:r w:rsidRPr="00135816">
        <w:rPr>
          <w:color w:val="000000" w:themeColor="text1"/>
        </w:rPr>
        <w:t xml:space="preserve"> was incubated with increasing concentrations of HLA-A2/WT1</w:t>
      </w:r>
      <w:r w:rsidRPr="00135816">
        <w:rPr>
          <w:color w:val="000000" w:themeColor="text1"/>
          <w:vertAlign w:val="subscript"/>
        </w:rPr>
        <w:t>126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>. (d-f)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Streptavidin biosensor coated with (d)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biotinylated human CD3ε protein, (e)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biotinylated human HLA-A2/GPC3</w:t>
      </w:r>
      <w:r w:rsidRPr="00135816">
        <w:rPr>
          <w:color w:val="000000" w:themeColor="text1"/>
          <w:vertAlign w:val="subscript"/>
        </w:rPr>
        <w:t>144</w:t>
      </w:r>
      <w:r w:rsidRPr="00135816">
        <w:rPr>
          <w:rFonts w:hint="eastAsia"/>
          <w:color w:val="000000" w:themeColor="text1"/>
          <w:vertAlign w:val="subscript"/>
        </w:rPr>
        <w:t>-</w:t>
      </w:r>
      <w:r w:rsidRPr="00135816">
        <w:rPr>
          <w:color w:val="000000" w:themeColor="text1"/>
          <w:vertAlign w:val="subscript"/>
        </w:rPr>
        <w:t>152</w:t>
      </w:r>
      <w:r w:rsidRPr="00135816">
        <w:rPr>
          <w:color w:val="000000" w:themeColor="text1"/>
        </w:rPr>
        <w:t xml:space="preserve"> complex protein or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(f) mimetic peptide w</w:t>
      </w:r>
      <w:r>
        <w:rPr>
          <w:rFonts w:hint="eastAsia"/>
          <w:color w:val="000000" w:themeColor="text1"/>
        </w:rPr>
        <w:t>as</w:t>
      </w:r>
      <w:r w:rsidRPr="00135816">
        <w:rPr>
          <w:color w:val="000000" w:themeColor="text1"/>
        </w:rPr>
        <w:t xml:space="preserve"> incubated with increasing concentrations of HLA-A2/GPC3</w:t>
      </w:r>
      <w:r w:rsidRPr="00135816">
        <w:rPr>
          <w:color w:val="000000" w:themeColor="text1"/>
          <w:vertAlign w:val="subscript"/>
        </w:rPr>
        <w:t>144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. Association and dissociation phases are shown, with binding responses increasing in a concentration-dependent manner to both </w:t>
      </w:r>
      <w:proofErr w:type="spellStart"/>
      <w:r w:rsidRPr="00135816">
        <w:rPr>
          <w:color w:val="000000" w:themeColor="text1"/>
        </w:rPr>
        <w:t>pMHC</w:t>
      </w:r>
      <w:proofErr w:type="spellEnd"/>
      <w:r w:rsidRPr="00135816">
        <w:rPr>
          <w:color w:val="000000" w:themeColor="text1"/>
        </w:rPr>
        <w:t xml:space="preserve"> and CD3ε targets.</w:t>
      </w:r>
    </w:p>
    <w:p w14:paraId="67132746" w14:textId="77777777" w:rsidR="00472B51" w:rsidRDefault="00472B51" w:rsidP="00472B51">
      <w:pPr>
        <w:pStyle w:val="SMcaption"/>
      </w:pPr>
    </w:p>
    <w:p w14:paraId="6167E26A" w14:textId="066E878A" w:rsidR="00472B51" w:rsidRDefault="0012732C" w:rsidP="0012732C">
      <w:pPr>
        <w:pStyle w:val="SMcaption"/>
        <w:jc w:val="center"/>
        <w:rPr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595265DD" wp14:editId="5F7ABBE0">
            <wp:extent cx="5274000" cy="3584742"/>
            <wp:effectExtent l="0" t="0" r="0" b="0"/>
            <wp:docPr id="96629693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296934" name="图片 96629693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58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5E315" w14:textId="450F0C19" w:rsidR="00472B51" w:rsidRPr="00355362" w:rsidRDefault="00472B51" w:rsidP="00472B51">
      <w:pPr>
        <w:pStyle w:val="SMHeading"/>
      </w:pP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rPr>
          <w:rFonts w:hint="eastAsia"/>
          <w:lang w:eastAsia="zh-CN"/>
        </w:rPr>
        <w:t>6</w:t>
      </w:r>
      <w:r>
        <w:t>.</w:t>
      </w:r>
    </w:p>
    <w:p w14:paraId="7E3E5969" w14:textId="77777777" w:rsidR="00472B51" w:rsidRDefault="00472B51" w:rsidP="00472B51">
      <w:pPr>
        <w:pStyle w:val="affc"/>
        <w:ind w:left="0"/>
        <w:jc w:val="both"/>
        <w:rPr>
          <w:color w:val="000000" w:themeColor="text1"/>
        </w:rPr>
      </w:pPr>
      <w:r w:rsidRPr="00135816">
        <w:rPr>
          <w:b/>
          <w:bCs/>
          <w:color w:val="000000" w:themeColor="text1"/>
        </w:rPr>
        <w:t xml:space="preserve">Cross-reactivity profiling and epitope mapping of </w:t>
      </w:r>
      <w:proofErr w:type="spellStart"/>
      <w:r w:rsidRPr="00135816">
        <w:rPr>
          <w:b/>
          <w:bCs/>
          <w:color w:val="000000" w:themeColor="text1"/>
        </w:rPr>
        <w:t>TCRm</w:t>
      </w:r>
      <w:proofErr w:type="spellEnd"/>
      <w:r w:rsidRPr="00135816">
        <w:rPr>
          <w:b/>
          <w:bCs/>
          <w:color w:val="000000" w:themeColor="text1"/>
        </w:rPr>
        <w:t xml:space="preserve"> Bi-</w:t>
      </w:r>
      <w:proofErr w:type="spellStart"/>
      <w:r w:rsidRPr="00135816">
        <w:rPr>
          <w:b/>
          <w:bCs/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>. (a, b)</w:t>
      </w:r>
      <w:r w:rsidRPr="00135816" w:rsidDel="0065421B">
        <w:rPr>
          <w:color w:val="000000" w:themeColor="text1"/>
        </w:rPr>
        <w:t xml:space="preserve"> </w:t>
      </w:r>
      <w:r w:rsidRPr="00135816">
        <w:rPr>
          <w:color w:val="000000" w:themeColor="text1"/>
        </w:rPr>
        <w:t>Representative flow cytometry diagrams showing binding of (a) HLA-A2/WT1</w:t>
      </w:r>
      <w:r w:rsidRPr="00135816">
        <w:rPr>
          <w:color w:val="000000" w:themeColor="text1"/>
          <w:vertAlign w:val="subscript"/>
        </w:rPr>
        <w:t>126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and (b) HLA-A2/GPC3</w:t>
      </w:r>
      <w:r w:rsidRPr="00135816">
        <w:rPr>
          <w:color w:val="000000" w:themeColor="text1"/>
          <w:vertAlign w:val="subscript"/>
        </w:rPr>
        <w:t>144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to T2 cells </w:t>
      </w:r>
      <w:bookmarkStart w:id="6" w:name="OLE_LINK116"/>
      <w:r w:rsidRPr="00135816">
        <w:rPr>
          <w:color w:val="000000" w:themeColor="text1"/>
        </w:rPr>
        <w:t>pulsed</w:t>
      </w:r>
      <w:bookmarkEnd w:id="6"/>
      <w:r w:rsidRPr="00135816">
        <w:rPr>
          <w:color w:val="000000" w:themeColor="text1"/>
        </w:rPr>
        <w:t xml:space="preserve"> with top-ranked predicted cross-reactive peptides identified by the </w:t>
      </w:r>
      <w:proofErr w:type="spellStart"/>
      <w:r w:rsidRPr="00135816">
        <w:rPr>
          <w:color w:val="000000" w:themeColor="text1"/>
        </w:rPr>
        <w:t>sCRAP</w:t>
      </w:r>
      <w:proofErr w:type="spellEnd"/>
      <w:r w:rsidRPr="00135816">
        <w:rPr>
          <w:color w:val="000000" w:themeColor="text1"/>
        </w:rPr>
        <w:t xml:space="preserve"> algorithm. No significant off-target binding was detected. (c, d)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 xml:space="preserve">Alanine scanning mutagenesis and flow cytometry analysis reveals critical contact residues within the (c) RMFPNAPYL and (d) FVGEFFTDV epitopes for </w:t>
      </w:r>
      <w:r w:rsidRPr="00135816">
        <w:rPr>
          <w:rFonts w:hint="eastAsia"/>
          <w:color w:val="000000" w:themeColor="text1"/>
        </w:rPr>
        <w:t xml:space="preserve">respective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recognition. Substitutions at Arg1, Asn5, Ala6, and Leu9 significantly diminished HLA-A2/WT1</w:t>
      </w:r>
      <w:r w:rsidRPr="00135816">
        <w:rPr>
          <w:color w:val="000000" w:themeColor="text1"/>
          <w:vertAlign w:val="subscript"/>
        </w:rPr>
        <w:t>126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binding, and residues Val2, Gly3, Phe5, and Val9 are particularly important for recognition by HLA-A2/GPC3</w:t>
      </w:r>
      <w:r w:rsidRPr="00135816">
        <w:rPr>
          <w:color w:val="000000" w:themeColor="text1"/>
          <w:vertAlign w:val="subscript"/>
        </w:rPr>
        <w:t>144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>.</w:t>
      </w:r>
    </w:p>
    <w:p w14:paraId="75B6A29F" w14:textId="77777777" w:rsidR="00472B51" w:rsidRPr="00472B51" w:rsidRDefault="00472B51" w:rsidP="00477182">
      <w:pPr>
        <w:pStyle w:val="SMcaption"/>
        <w:rPr>
          <w:lang w:eastAsia="zh-CN"/>
        </w:rPr>
      </w:pPr>
    </w:p>
    <w:p w14:paraId="12CF194F" w14:textId="03B46F21" w:rsidR="00472B51" w:rsidRDefault="0012732C" w:rsidP="0012732C">
      <w:pPr>
        <w:pStyle w:val="SMcaption"/>
        <w:jc w:val="center"/>
        <w:rPr>
          <w:lang w:eastAsia="zh-CN"/>
        </w:rPr>
      </w:pPr>
      <w:r>
        <w:rPr>
          <w:rFonts w:hint="eastAsia"/>
          <w:noProof/>
          <w:lang w:eastAsia="zh-CN"/>
        </w:rPr>
        <w:lastRenderedPageBreak/>
        <w:drawing>
          <wp:inline distT="0" distB="0" distL="0" distR="0" wp14:anchorId="3C17E8BB" wp14:editId="03368E45">
            <wp:extent cx="5274000" cy="7609779"/>
            <wp:effectExtent l="0" t="0" r="0" b="0"/>
            <wp:docPr id="12202015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20150" name="图片 12202015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7609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A98E2" w14:textId="6FD91AD0" w:rsidR="00472B51" w:rsidRPr="00355362" w:rsidRDefault="00472B51" w:rsidP="00472B51">
      <w:pPr>
        <w:pStyle w:val="SMHeading"/>
      </w:pPr>
      <w:r w:rsidRPr="00355362">
        <w:lastRenderedPageBreak/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rPr>
          <w:rFonts w:hint="eastAsia"/>
          <w:lang w:eastAsia="zh-CN"/>
        </w:rPr>
        <w:t>7</w:t>
      </w:r>
      <w:r>
        <w:t>.</w:t>
      </w:r>
    </w:p>
    <w:p w14:paraId="7C584B59" w14:textId="77777777" w:rsidR="00472B51" w:rsidRDefault="00472B51" w:rsidP="00472B51">
      <w:pPr>
        <w:pStyle w:val="affc"/>
        <w:ind w:left="0"/>
        <w:jc w:val="both"/>
        <w:rPr>
          <w:color w:val="000000" w:themeColor="text1"/>
        </w:rPr>
      </w:pPr>
      <w:r w:rsidRPr="00135816">
        <w:rPr>
          <w:b/>
          <w:bCs/>
          <w:color w:val="000000" w:themeColor="text1"/>
        </w:rPr>
        <w:t>Representative flow cytometry profiles of T cell activation and memory phenotypes.</w:t>
      </w:r>
      <w:r w:rsidRPr="00135816">
        <w:rPr>
          <w:color w:val="000000" w:themeColor="text1"/>
        </w:rPr>
        <w:t xml:space="preserve"> (a, c)</w:t>
      </w:r>
      <w:r w:rsidRPr="00135816" w:rsidDel="00EF5ADB">
        <w:rPr>
          <w:color w:val="000000" w:themeColor="text1"/>
        </w:rPr>
        <w:t xml:space="preserve"> </w:t>
      </w:r>
      <w:r w:rsidRPr="00135816">
        <w:rPr>
          <w:color w:val="000000" w:themeColor="text1"/>
        </w:rPr>
        <w:t xml:space="preserve">Overlaid histograms showing the expression levels of CD25, CD69, and CD107a, and histograms of CFSE dilution in T cells co-cultured with target cells </w:t>
      </w:r>
      <w:r w:rsidRPr="00135816">
        <w:rPr>
          <w:rFonts w:hint="eastAsia"/>
          <w:color w:val="000000" w:themeColor="text1"/>
        </w:rPr>
        <w:t>in the presence of</w:t>
      </w:r>
      <w:r w:rsidRPr="00135816">
        <w:rPr>
          <w:color w:val="000000" w:themeColor="text1"/>
        </w:rPr>
        <w:t xml:space="preserve"> </w:t>
      </w:r>
      <w:bookmarkStart w:id="7" w:name="OLE_LINK120"/>
      <w:r w:rsidRPr="00135816">
        <w:rPr>
          <w:color w:val="000000" w:themeColor="text1"/>
        </w:rPr>
        <w:t>(a) HLA-A2/WT1</w:t>
      </w:r>
      <w:r w:rsidRPr="00135816">
        <w:rPr>
          <w:color w:val="000000" w:themeColor="text1"/>
          <w:vertAlign w:val="subscript"/>
        </w:rPr>
        <w:t>126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or (c)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HLA-A2/GPC3</w:t>
      </w:r>
      <w:r w:rsidRPr="00135816">
        <w:rPr>
          <w:color w:val="000000" w:themeColor="text1"/>
          <w:vertAlign w:val="subscript"/>
        </w:rPr>
        <w:t>144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bookmarkEnd w:id="7"/>
      <w:proofErr w:type="spellEnd"/>
      <w:r w:rsidRPr="00135816">
        <w:rPr>
          <w:color w:val="000000" w:themeColor="text1"/>
        </w:rPr>
        <w:t xml:space="preserve">, compared to the Irrelevant 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or </w:t>
      </w:r>
      <w:r>
        <w:rPr>
          <w:color w:val="000000" w:themeColor="text1"/>
        </w:rPr>
        <w:t>B</w:t>
      </w:r>
      <w:r w:rsidRPr="00135816">
        <w:rPr>
          <w:rFonts w:hint="eastAsia"/>
          <w:color w:val="000000" w:themeColor="text1"/>
        </w:rPr>
        <w:t>l</w:t>
      </w:r>
      <w:r w:rsidRPr="00135816">
        <w:rPr>
          <w:color w:val="000000" w:themeColor="text1"/>
        </w:rPr>
        <w:t>ank ctr. (b, d)</w:t>
      </w:r>
      <w:r w:rsidRPr="00135816" w:rsidDel="00115494">
        <w:rPr>
          <w:color w:val="000000" w:themeColor="text1"/>
        </w:rPr>
        <w:t xml:space="preserve"> </w:t>
      </w:r>
      <w:r w:rsidRPr="00135816">
        <w:rPr>
          <w:color w:val="000000" w:themeColor="text1"/>
        </w:rPr>
        <w:t xml:space="preserve">Representative histograms displaying CCR7 and CD45RA expression profiles to evaluate memory T cell subsets </w:t>
      </w:r>
      <w:bookmarkStart w:id="8" w:name="OLE_LINK195"/>
      <w:r w:rsidRPr="00135816">
        <w:rPr>
          <w:rFonts w:hint="eastAsia"/>
          <w:color w:val="000000" w:themeColor="text1"/>
        </w:rPr>
        <w:t>in the presence of</w:t>
      </w:r>
      <w:bookmarkEnd w:id="8"/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(b) HLA-A2/ WT1</w:t>
      </w:r>
      <w:r w:rsidRPr="00135816">
        <w:rPr>
          <w:color w:val="000000" w:themeColor="text1"/>
          <w:vertAlign w:val="subscript"/>
        </w:rPr>
        <w:t>126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or (d)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HLA-A2/GPC3</w:t>
      </w:r>
      <w:r w:rsidRPr="00135816">
        <w:rPr>
          <w:color w:val="000000" w:themeColor="text1"/>
          <w:vertAlign w:val="subscript"/>
        </w:rPr>
        <w:t>144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>.</w:t>
      </w:r>
    </w:p>
    <w:p w14:paraId="0C9948DD" w14:textId="77777777" w:rsidR="00472B51" w:rsidRPr="00472B51" w:rsidRDefault="00472B51" w:rsidP="00477182">
      <w:pPr>
        <w:pStyle w:val="SMcaption"/>
        <w:rPr>
          <w:lang w:eastAsia="zh-CN"/>
        </w:rPr>
      </w:pPr>
    </w:p>
    <w:p w14:paraId="48280164" w14:textId="6F2595E3" w:rsidR="00472B51" w:rsidRDefault="0012732C" w:rsidP="0012732C">
      <w:pPr>
        <w:pStyle w:val="SMcaption"/>
        <w:jc w:val="center"/>
        <w:rPr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0FF40800" wp14:editId="1AC55A6F">
            <wp:extent cx="5274000" cy="6446000"/>
            <wp:effectExtent l="0" t="0" r="0" b="5715"/>
            <wp:docPr id="137238693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386939" name="图片 137238693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644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A2E72" w14:textId="61CDE10B" w:rsidR="00472B51" w:rsidRPr="00355362" w:rsidRDefault="00472B51" w:rsidP="00472B51">
      <w:pPr>
        <w:pStyle w:val="SMHeading"/>
      </w:pPr>
      <w:r w:rsidRPr="00355362">
        <w:lastRenderedPageBreak/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rPr>
          <w:rFonts w:hint="eastAsia"/>
          <w:lang w:eastAsia="zh-CN"/>
        </w:rPr>
        <w:t>8</w:t>
      </w:r>
      <w:r>
        <w:t>.</w:t>
      </w:r>
    </w:p>
    <w:p w14:paraId="3330DE8F" w14:textId="77777777" w:rsidR="00472B51" w:rsidRDefault="00472B51" w:rsidP="00472B51">
      <w:pPr>
        <w:pStyle w:val="affc"/>
        <w:ind w:left="0"/>
        <w:jc w:val="both"/>
        <w:rPr>
          <w:color w:val="000000" w:themeColor="text1"/>
        </w:rPr>
      </w:pPr>
      <w:r w:rsidRPr="00135816">
        <w:rPr>
          <w:b/>
          <w:bCs/>
          <w:color w:val="000000" w:themeColor="text1"/>
        </w:rPr>
        <w:t xml:space="preserve">Analysis of WT1 and GPC3 expression in public datasets. </w:t>
      </w:r>
      <w:bookmarkStart w:id="9" w:name="OLE_LINK197"/>
      <w:r w:rsidRPr="00135816">
        <w:rPr>
          <w:color w:val="000000" w:themeColor="text1"/>
        </w:rPr>
        <w:t>(a, b) t-SNE visualization of single-cell RNA-seq data from acute myeloid leukemia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 xml:space="preserve">(GSE154109) </w:t>
      </w:r>
      <w:r w:rsidRPr="00135816">
        <w:rPr>
          <w:rFonts w:hint="eastAsia"/>
          <w:color w:val="000000" w:themeColor="text1"/>
        </w:rPr>
        <w:t>and o</w:t>
      </w:r>
      <w:r w:rsidRPr="00135816">
        <w:rPr>
          <w:color w:val="000000" w:themeColor="text1"/>
        </w:rPr>
        <w:t>varian cancer (GSE154600), with a bar chart quantifying WT1 expression level across distinct cell clusters.</w:t>
      </w:r>
      <w:bookmarkEnd w:id="9"/>
      <w:r w:rsidRPr="00135816">
        <w:rPr>
          <w:color w:val="000000" w:themeColor="text1"/>
        </w:rPr>
        <w:t xml:space="preserve"> (c) t-SNE visualization of single-cell RNA-seq data from liver hepatocellular carcinoma (GSE166635), with a bar chart quantifying GPC3 expression level across distinct cell clusters. (d, f) WT1 expression</w:t>
      </w:r>
      <w:bookmarkStart w:id="10" w:name="OLE_LINK192"/>
      <w:r w:rsidRPr="00135816">
        <w:rPr>
          <w:color w:val="000000" w:themeColor="text1"/>
        </w:rPr>
        <w:t xml:space="preserve"> across cell lines derived from </w:t>
      </w:r>
      <w:bookmarkEnd w:id="10"/>
      <w:r w:rsidRPr="00135816">
        <w:rPr>
          <w:color w:val="000000" w:themeColor="text1"/>
        </w:rPr>
        <w:t>CCLE database. (e, g) GPC3 expression across cell lines derived from CCLE database.</w:t>
      </w:r>
    </w:p>
    <w:p w14:paraId="0ED4F9D3" w14:textId="77777777" w:rsidR="00472B51" w:rsidRPr="00472B51" w:rsidRDefault="00472B51" w:rsidP="00477182">
      <w:pPr>
        <w:pStyle w:val="SMcaption"/>
        <w:rPr>
          <w:lang w:eastAsia="zh-CN"/>
        </w:rPr>
      </w:pPr>
    </w:p>
    <w:p w14:paraId="261E6987" w14:textId="1B389C52" w:rsidR="00472B51" w:rsidRDefault="0012732C" w:rsidP="0012732C">
      <w:pPr>
        <w:pStyle w:val="SMcaption"/>
        <w:jc w:val="center"/>
        <w:rPr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65D1A930" wp14:editId="49282CAB">
            <wp:extent cx="5274000" cy="4386548"/>
            <wp:effectExtent l="0" t="0" r="0" b="0"/>
            <wp:docPr id="23760025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600257" name="图片 23760025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4386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316AA" w14:textId="4454B2A2" w:rsidR="00472B51" w:rsidRPr="00355362" w:rsidRDefault="00472B51" w:rsidP="00472B51">
      <w:pPr>
        <w:pStyle w:val="SMHeading"/>
      </w:pP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rPr>
          <w:rFonts w:hint="eastAsia"/>
          <w:lang w:eastAsia="zh-CN"/>
        </w:rPr>
        <w:t>9</w:t>
      </w:r>
      <w:r>
        <w:t>.</w:t>
      </w:r>
    </w:p>
    <w:p w14:paraId="77E92D7E" w14:textId="77777777" w:rsidR="00472B51" w:rsidRPr="00E8445E" w:rsidRDefault="00472B51" w:rsidP="00472B51">
      <w:pPr>
        <w:pStyle w:val="affc"/>
        <w:ind w:left="0"/>
        <w:jc w:val="both"/>
        <w:rPr>
          <w:b/>
          <w:bCs/>
          <w:color w:val="000000" w:themeColor="text1"/>
        </w:rPr>
      </w:pPr>
      <w:r w:rsidRPr="00135816">
        <w:rPr>
          <w:b/>
          <w:bCs/>
          <w:color w:val="000000" w:themeColor="text1"/>
        </w:rPr>
        <w:t xml:space="preserve">Antigen-specificity and T cell-dependent cytotoxicity mediated by </w:t>
      </w:r>
      <w:proofErr w:type="spellStart"/>
      <w:r w:rsidRPr="00135816">
        <w:rPr>
          <w:b/>
          <w:bCs/>
          <w:color w:val="000000" w:themeColor="text1"/>
        </w:rPr>
        <w:t>TCRm</w:t>
      </w:r>
      <w:proofErr w:type="spellEnd"/>
      <w:r w:rsidRPr="00135816">
        <w:rPr>
          <w:b/>
          <w:bCs/>
          <w:color w:val="000000" w:themeColor="text1"/>
        </w:rPr>
        <w:t xml:space="preserve"> Bi-</w:t>
      </w:r>
      <w:proofErr w:type="spellStart"/>
      <w:r w:rsidRPr="00135816">
        <w:rPr>
          <w:b/>
          <w:bCs/>
          <w:color w:val="000000" w:themeColor="text1"/>
        </w:rPr>
        <w:t>NbTE</w:t>
      </w:r>
      <w:proofErr w:type="spellEnd"/>
      <w:r w:rsidRPr="00135816">
        <w:rPr>
          <w:b/>
          <w:bCs/>
          <w:color w:val="000000" w:themeColor="text1"/>
        </w:rPr>
        <w:t>.</w:t>
      </w:r>
      <w:r w:rsidRPr="00135816">
        <w:rPr>
          <w:color w:val="000000" w:themeColor="text1"/>
        </w:rPr>
        <w:t xml:space="preserve"> (a-c)</w:t>
      </w:r>
      <w:r w:rsidRPr="00135816" w:rsidDel="005B0B55">
        <w:rPr>
          <w:color w:val="000000" w:themeColor="text1"/>
        </w:rPr>
        <w:t xml:space="preserve"> </w:t>
      </w:r>
      <w:r w:rsidRPr="00135816">
        <w:rPr>
          <w:color w:val="000000" w:themeColor="text1"/>
        </w:rPr>
        <w:t>T cell activation assays using (a) ARH77 (HLA-A2</w:t>
      </w:r>
      <w:r w:rsidRPr="00135816">
        <w:rPr>
          <w:color w:val="000000" w:themeColor="text1"/>
          <w:vertAlign w:val="superscript"/>
        </w:rPr>
        <w:t>+</w:t>
      </w:r>
      <w:r w:rsidRPr="00135816">
        <w:rPr>
          <w:color w:val="000000" w:themeColor="text1"/>
        </w:rPr>
        <w:t>/WT1</w:t>
      </w:r>
      <w:r w:rsidRPr="00135816">
        <w:rPr>
          <w:color w:val="000000" w:themeColor="text1"/>
          <w:vertAlign w:val="superscript"/>
        </w:rPr>
        <w:t>-</w:t>
      </w:r>
      <w:r w:rsidRPr="00135816">
        <w:rPr>
          <w:color w:val="000000" w:themeColor="text1"/>
        </w:rPr>
        <w:t>), (b) SW480 (HLA-A2</w:t>
      </w:r>
      <w:r w:rsidRPr="00135816">
        <w:rPr>
          <w:color w:val="000000" w:themeColor="text1"/>
          <w:vertAlign w:val="superscript"/>
        </w:rPr>
        <w:t>+</w:t>
      </w:r>
      <w:r w:rsidRPr="00135816">
        <w:rPr>
          <w:color w:val="000000" w:themeColor="text1"/>
        </w:rPr>
        <w:t>/GPC3</w:t>
      </w:r>
      <w:r w:rsidRPr="00135816">
        <w:rPr>
          <w:color w:val="000000" w:themeColor="text1"/>
          <w:vertAlign w:val="superscript"/>
        </w:rPr>
        <w:t>-</w:t>
      </w:r>
      <w:r w:rsidRPr="00135816">
        <w:rPr>
          <w:color w:val="000000" w:themeColor="text1"/>
        </w:rPr>
        <w:t>), (c) CD34</w:t>
      </w:r>
      <w:r w:rsidRPr="00135816">
        <w:rPr>
          <w:color w:val="000000" w:themeColor="text1"/>
          <w:vertAlign w:val="superscript"/>
        </w:rPr>
        <w:t>+</w:t>
      </w:r>
      <w:r w:rsidRPr="00135816">
        <w:rPr>
          <w:color w:val="000000" w:themeColor="text1"/>
        </w:rPr>
        <w:t xml:space="preserve"> cells </w:t>
      </w:r>
      <w:proofErr w:type="spellStart"/>
      <w:r w:rsidRPr="00135816">
        <w:rPr>
          <w:color w:val="000000" w:themeColor="text1"/>
        </w:rPr>
        <w:t>coculured</w:t>
      </w:r>
      <w:proofErr w:type="spellEnd"/>
      <w:r w:rsidRPr="00135816">
        <w:rPr>
          <w:color w:val="000000" w:themeColor="text1"/>
        </w:rPr>
        <w:t xml:space="preserve"> with</w:t>
      </w:r>
      <w:r w:rsidRPr="00135816" w:rsidDel="006B26EA">
        <w:rPr>
          <w:color w:val="000000" w:themeColor="text1"/>
        </w:rPr>
        <w:t xml:space="preserve"> </w:t>
      </w:r>
      <w:r w:rsidRPr="00135816">
        <w:rPr>
          <w:color w:val="000000" w:themeColor="text1"/>
        </w:rPr>
        <w:t>T cells in the presence of indicated</w:t>
      </w:r>
      <w:r w:rsidRPr="00135816" w:rsidDel="006B26EA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. </w:t>
      </w:r>
      <w:r w:rsidRPr="00135816">
        <w:rPr>
          <w:rFonts w:hint="eastAsia"/>
          <w:color w:val="000000" w:themeColor="text1"/>
        </w:rPr>
        <w:t>N</w:t>
      </w:r>
      <w:r w:rsidRPr="00135816">
        <w:rPr>
          <w:color w:val="000000" w:themeColor="text1"/>
        </w:rPr>
        <w:t>o significant T cell activation was observed</w:t>
      </w:r>
      <w:r w:rsidRPr="00135816">
        <w:rPr>
          <w:rFonts w:hint="eastAsia"/>
          <w:color w:val="000000" w:themeColor="text1"/>
        </w:rPr>
        <w:t>.</w:t>
      </w:r>
      <w:r w:rsidRPr="00135816">
        <w:rPr>
          <w:color w:val="000000" w:themeColor="text1"/>
        </w:rPr>
        <w:t xml:space="preserve"> (d, e)</w:t>
      </w:r>
      <w:r w:rsidRPr="00135816" w:rsidDel="00EA0134">
        <w:rPr>
          <w:color w:val="000000" w:themeColor="text1"/>
        </w:rPr>
        <w:t xml:space="preserve"> </w:t>
      </w:r>
      <w:r w:rsidRPr="00135816">
        <w:rPr>
          <w:color w:val="000000" w:themeColor="text1"/>
        </w:rPr>
        <w:t xml:space="preserve">Cytotoxicity assays were performed on (d) OVCAR3 and (e) HepG2 cells in the presence or absence of T cells, treated with indicated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, the corresponding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Nb</w:t>
      </w:r>
      <w:r w:rsidRPr="00135816">
        <w:rPr>
          <w:rFonts w:hint="eastAsia"/>
          <w:color w:val="000000" w:themeColor="text1"/>
        </w:rPr>
        <w:t xml:space="preserve"> or other control </w:t>
      </w:r>
      <w:r w:rsidRPr="00135816">
        <w:rPr>
          <w:color w:val="000000" w:themeColor="text1"/>
        </w:rPr>
        <w:t>molecules</w:t>
      </w:r>
      <w:r w:rsidRPr="00135816">
        <w:rPr>
          <w:rFonts w:hint="eastAsia"/>
          <w:color w:val="000000" w:themeColor="text1"/>
        </w:rPr>
        <w:t>.</w:t>
      </w:r>
      <w:r w:rsidRPr="00135816">
        <w:rPr>
          <w:color w:val="000000" w:themeColor="text1"/>
        </w:rPr>
        <w:t xml:space="preserve"> Specific lysis was observed in the presence of both T cells and the corresponding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>, confirming T cell–dependent cytotoxicity.</w:t>
      </w:r>
      <w:r>
        <w:rPr>
          <w:rFonts w:hint="eastAsia"/>
          <w:color w:val="000000" w:themeColor="text1"/>
        </w:rPr>
        <w:t xml:space="preserve"> </w:t>
      </w:r>
      <w:r w:rsidRPr="00807DA6">
        <w:rPr>
          <w:color w:val="000000" w:themeColor="text1"/>
        </w:rPr>
        <w:t>***</w:t>
      </w:r>
      <w:r w:rsidRPr="00807DA6">
        <w:rPr>
          <w:i/>
          <w:iCs/>
          <w:color w:val="000000" w:themeColor="text1"/>
        </w:rPr>
        <w:t>P</w:t>
      </w:r>
      <w:r w:rsidRPr="00807DA6">
        <w:rPr>
          <w:color w:val="000000" w:themeColor="text1"/>
        </w:rPr>
        <w:t> &lt; 0.001</w:t>
      </w:r>
      <w:r w:rsidRPr="00807DA6">
        <w:rPr>
          <w:rFonts w:hint="eastAsia"/>
          <w:color w:val="000000" w:themeColor="text1"/>
        </w:rPr>
        <w:t xml:space="preserve">; </w:t>
      </w:r>
      <w:r w:rsidRPr="00807DA6">
        <w:rPr>
          <w:color w:val="000000" w:themeColor="text1"/>
        </w:rPr>
        <w:t>****</w:t>
      </w:r>
      <w:r w:rsidRPr="00807DA6">
        <w:rPr>
          <w:i/>
          <w:iCs/>
          <w:color w:val="000000" w:themeColor="text1"/>
        </w:rPr>
        <w:t>P</w:t>
      </w:r>
      <w:r w:rsidRPr="00807DA6">
        <w:rPr>
          <w:color w:val="000000" w:themeColor="text1"/>
        </w:rPr>
        <w:t> &lt; 0.0001; ns not significant</w:t>
      </w:r>
      <w:r w:rsidRPr="00807DA6">
        <w:rPr>
          <w:rFonts w:hint="eastAsia"/>
          <w:color w:val="000000" w:themeColor="text1"/>
        </w:rPr>
        <w:t>.</w:t>
      </w:r>
    </w:p>
    <w:p w14:paraId="08DC9151" w14:textId="77777777" w:rsidR="00C50C6D" w:rsidRDefault="00C50C6D" w:rsidP="00477182">
      <w:pPr>
        <w:pStyle w:val="SMcaption"/>
      </w:pPr>
    </w:p>
    <w:p w14:paraId="243070B6" w14:textId="224F5F10" w:rsidR="00472B51" w:rsidRDefault="0012732C" w:rsidP="0012732C">
      <w:pPr>
        <w:pStyle w:val="SMcaption"/>
        <w:jc w:val="center"/>
        <w:rPr>
          <w:lang w:eastAsia="zh-CN"/>
        </w:rPr>
      </w:pPr>
      <w:r>
        <w:rPr>
          <w:rFonts w:hint="eastAsia"/>
          <w:noProof/>
          <w:lang w:eastAsia="zh-CN"/>
        </w:rPr>
        <w:lastRenderedPageBreak/>
        <w:drawing>
          <wp:inline distT="0" distB="0" distL="0" distR="0" wp14:anchorId="59FEB264" wp14:editId="7DEB7262">
            <wp:extent cx="5274000" cy="2128758"/>
            <wp:effectExtent l="0" t="0" r="0" b="5080"/>
            <wp:docPr id="260236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23613" name="图片 2602361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212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0ADB6" w14:textId="587A7AD6" w:rsidR="00472B51" w:rsidRPr="00355362" w:rsidRDefault="00472B51" w:rsidP="00472B51">
      <w:pPr>
        <w:pStyle w:val="SMHeading"/>
      </w:pP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rPr>
          <w:rFonts w:hint="eastAsia"/>
          <w:lang w:eastAsia="zh-CN"/>
        </w:rPr>
        <w:t>10</w:t>
      </w:r>
      <w:r>
        <w:t>.</w:t>
      </w:r>
    </w:p>
    <w:p w14:paraId="1622D091" w14:textId="77777777" w:rsidR="00472B51" w:rsidRDefault="00472B51" w:rsidP="00472B51">
      <w:pPr>
        <w:pStyle w:val="affc"/>
        <w:ind w:left="0"/>
        <w:jc w:val="both"/>
        <w:rPr>
          <w:color w:val="000000" w:themeColor="text1"/>
        </w:rPr>
      </w:pPr>
      <w:r w:rsidRPr="00135816">
        <w:rPr>
          <w:b/>
          <w:bCs/>
          <w:color w:val="000000" w:themeColor="text1"/>
        </w:rPr>
        <w:t>Body weight monitoring in mouse xenograft models</w:t>
      </w:r>
      <w:r w:rsidRPr="00135816">
        <w:rPr>
          <w:color w:val="000000" w:themeColor="text1"/>
        </w:rPr>
        <w:t xml:space="preserve"> </w:t>
      </w:r>
      <w:r w:rsidRPr="00135816">
        <w:rPr>
          <w:b/>
          <w:bCs/>
          <w:color w:val="000000" w:themeColor="text1"/>
        </w:rPr>
        <w:t xml:space="preserve">during </w:t>
      </w:r>
      <w:proofErr w:type="spellStart"/>
      <w:r w:rsidRPr="00135816">
        <w:rPr>
          <w:b/>
          <w:bCs/>
          <w:color w:val="000000" w:themeColor="text1"/>
        </w:rPr>
        <w:t>TCRm</w:t>
      </w:r>
      <w:proofErr w:type="spellEnd"/>
      <w:r w:rsidRPr="00135816">
        <w:rPr>
          <w:b/>
          <w:bCs/>
          <w:color w:val="000000" w:themeColor="text1"/>
        </w:rPr>
        <w:t xml:space="preserve"> Bi-</w:t>
      </w:r>
      <w:proofErr w:type="spellStart"/>
      <w:r w:rsidRPr="00135816">
        <w:rPr>
          <w:b/>
          <w:bCs/>
          <w:color w:val="000000" w:themeColor="text1"/>
        </w:rPr>
        <w:t>NbTE</w:t>
      </w:r>
      <w:proofErr w:type="spellEnd"/>
      <w:r w:rsidRPr="00135816">
        <w:rPr>
          <w:b/>
          <w:bCs/>
          <w:color w:val="000000" w:themeColor="text1"/>
        </w:rPr>
        <w:t xml:space="preserve"> treatment.</w:t>
      </w:r>
      <w:r w:rsidRPr="00135816">
        <w:rPr>
          <w:color w:val="000000" w:themeColor="text1"/>
        </w:rPr>
        <w:t xml:space="preserve"> (a, b)</w:t>
      </w:r>
      <w:r w:rsidRPr="00135816" w:rsidDel="00A22D45">
        <w:rPr>
          <w:color w:val="000000" w:themeColor="text1"/>
        </w:rPr>
        <w:t xml:space="preserve"> </w:t>
      </w:r>
      <w:r w:rsidRPr="00135816">
        <w:rPr>
          <w:color w:val="000000" w:themeColor="text1"/>
        </w:rPr>
        <w:t>Body weight curves of mice bearing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(a) OVCAR3 tumors or (b) PDX tumors over the treatment period. No significant weight loss was observed in any treatment group</w:t>
      </w:r>
      <w:r>
        <w:rPr>
          <w:color w:val="000000" w:themeColor="text1"/>
        </w:rPr>
        <w:t>,</w:t>
      </w:r>
      <w:r w:rsidRPr="00807DA6">
        <w:rPr>
          <w:color w:val="000000" w:themeColor="text1"/>
        </w:rPr>
        <w:t xml:space="preserve"> ns not significant</w:t>
      </w:r>
      <w:r w:rsidRPr="00807DA6">
        <w:rPr>
          <w:rFonts w:hint="eastAsia"/>
          <w:color w:val="000000" w:themeColor="text1"/>
        </w:rPr>
        <w:t>.</w:t>
      </w:r>
    </w:p>
    <w:p w14:paraId="10BF7DE9" w14:textId="77777777" w:rsidR="00B9440A" w:rsidRDefault="00B9440A" w:rsidP="00B9440A">
      <w:pPr>
        <w:pStyle w:val="SMcaption"/>
        <w:rPr>
          <w:lang w:eastAsia="zh-CN"/>
        </w:rPr>
      </w:pPr>
    </w:p>
    <w:p w14:paraId="2E4F9AFA" w14:textId="6CC191F7" w:rsidR="00472B51" w:rsidRDefault="00515F02" w:rsidP="0012732C">
      <w:pPr>
        <w:pStyle w:val="SMcaption"/>
        <w:jc w:val="center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237FAE5A" wp14:editId="59099CDA">
            <wp:extent cx="5240807" cy="1584000"/>
            <wp:effectExtent l="0" t="0" r="4445" b="3810"/>
            <wp:docPr id="144791919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919196" name="图片 144791919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40807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946C8" w14:textId="4336AFF0" w:rsidR="00472B51" w:rsidRPr="00355362" w:rsidRDefault="00472B51" w:rsidP="00472B51">
      <w:pPr>
        <w:pStyle w:val="SMHeading"/>
      </w:pP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rPr>
          <w:rFonts w:hint="eastAsia"/>
          <w:lang w:eastAsia="zh-CN"/>
        </w:rPr>
        <w:t>11</w:t>
      </w:r>
      <w:r>
        <w:t>.</w:t>
      </w:r>
    </w:p>
    <w:p w14:paraId="32DB36AD" w14:textId="77777777" w:rsidR="00472B51" w:rsidRDefault="00472B51" w:rsidP="00472B51">
      <w:pPr>
        <w:pStyle w:val="affc"/>
        <w:ind w:left="0"/>
        <w:jc w:val="both"/>
        <w:rPr>
          <w:color w:val="000000" w:themeColor="text1"/>
        </w:rPr>
      </w:pPr>
      <w:r w:rsidRPr="00135816">
        <w:rPr>
          <w:b/>
          <w:bCs/>
          <w:color w:val="000000" w:themeColor="text1"/>
        </w:rPr>
        <w:t xml:space="preserve">Assessment of treatment-related adverse effects via serum analysis. </w:t>
      </w:r>
      <w:bookmarkStart w:id="11" w:name="OLE_LINK194"/>
      <w:r w:rsidRPr="00135816">
        <w:rPr>
          <w:color w:val="000000" w:themeColor="text1"/>
        </w:rPr>
        <w:t>(a-c)</w:t>
      </w:r>
      <w:r w:rsidRPr="00135816">
        <w:rPr>
          <w:b/>
          <w:bCs/>
          <w:color w:val="000000" w:themeColor="text1"/>
        </w:rPr>
        <w:t xml:space="preserve"> </w:t>
      </w:r>
      <w:bookmarkEnd w:id="11"/>
      <w:r w:rsidRPr="00135816">
        <w:rPr>
          <w:color w:val="000000" w:themeColor="text1"/>
        </w:rPr>
        <w:t xml:space="preserve">Serum biochemical analysis </w:t>
      </w:r>
      <w:r w:rsidRPr="00135816">
        <w:rPr>
          <w:rFonts w:hint="eastAsia"/>
          <w:color w:val="000000" w:themeColor="text1"/>
        </w:rPr>
        <w:t>of</w:t>
      </w:r>
      <w:r w:rsidRPr="00135816">
        <w:rPr>
          <w:color w:val="000000" w:themeColor="text1"/>
        </w:rPr>
        <w:t xml:space="preserve"> (a)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ALT/</w:t>
      </w:r>
      <w:proofErr w:type="spellStart"/>
      <w:r w:rsidRPr="00135816">
        <w:rPr>
          <w:color w:val="000000" w:themeColor="text1"/>
        </w:rPr>
        <w:t>AST·ratios</w:t>
      </w:r>
      <w:proofErr w:type="spellEnd"/>
      <w:r w:rsidRPr="00135816">
        <w:rPr>
          <w:color w:val="000000" w:themeColor="text1"/>
        </w:rPr>
        <w:t>, (b)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ALT levels, and (c)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 xml:space="preserve">AST levels in mice treated </w:t>
      </w:r>
      <w:r w:rsidRPr="00135816">
        <w:rPr>
          <w:rFonts w:hint="eastAsia"/>
          <w:color w:val="000000" w:themeColor="text1"/>
        </w:rPr>
        <w:t xml:space="preserve">with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or</w:t>
      </w:r>
      <w:r w:rsidRPr="00135816">
        <w:rPr>
          <w:rFonts w:hint="eastAsia"/>
          <w:color w:val="000000" w:themeColor="text1"/>
        </w:rPr>
        <w:t xml:space="preserve"> controls</w:t>
      </w:r>
      <w:r w:rsidRPr="00135816">
        <w:rPr>
          <w:color w:val="000000" w:themeColor="text1"/>
        </w:rPr>
        <w:t>. (d, e)</w:t>
      </w:r>
      <w:r w:rsidRPr="00135816">
        <w:rPr>
          <w:b/>
          <w:bCs/>
          <w:color w:val="000000" w:themeColor="text1"/>
        </w:rPr>
        <w:t xml:space="preserve"> </w:t>
      </w:r>
      <w:r w:rsidRPr="00135816">
        <w:rPr>
          <w:color w:val="000000" w:themeColor="text1"/>
        </w:rPr>
        <w:t xml:space="preserve">Serum cytokine analysis </w:t>
      </w:r>
      <w:r w:rsidRPr="00135816">
        <w:rPr>
          <w:rFonts w:hint="eastAsia"/>
          <w:color w:val="000000" w:themeColor="text1"/>
        </w:rPr>
        <w:t>of</w:t>
      </w:r>
      <w:r w:rsidRPr="00135816">
        <w:rPr>
          <w:color w:val="000000" w:themeColor="text1"/>
        </w:rPr>
        <w:t xml:space="preserve"> (d) IL-6 and (e) IL-1β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levels</w:t>
      </w:r>
      <w:r w:rsidRPr="00135816">
        <w:rPr>
          <w:rFonts w:hint="eastAsia"/>
          <w:color w:val="000000" w:themeColor="text1"/>
        </w:rPr>
        <w:t>,</w:t>
      </w:r>
      <w:r w:rsidRPr="00135816">
        <w:rPr>
          <w:color w:val="000000" w:themeColor="text1"/>
        </w:rPr>
        <w:t xml:space="preserve"> suggesting minimal cytokine release ri</w:t>
      </w:r>
      <w:r w:rsidRPr="00A375FC">
        <w:rPr>
          <w:color w:val="000000" w:themeColor="text1"/>
        </w:rPr>
        <w:t>sk</w:t>
      </w:r>
      <w:r>
        <w:rPr>
          <w:color w:val="000000" w:themeColor="text1"/>
        </w:rPr>
        <w:t>,</w:t>
      </w:r>
      <w:r w:rsidRPr="00A375FC">
        <w:rPr>
          <w:rFonts w:hint="eastAsia"/>
          <w:color w:val="000000" w:themeColor="text1"/>
        </w:rPr>
        <w:t xml:space="preserve"> </w:t>
      </w:r>
      <w:r w:rsidRPr="00A375FC">
        <w:rPr>
          <w:color w:val="000000" w:themeColor="text1"/>
        </w:rPr>
        <w:t>ns not significant</w:t>
      </w:r>
      <w:r w:rsidRPr="00A375FC">
        <w:rPr>
          <w:rFonts w:hint="eastAsia"/>
          <w:color w:val="000000" w:themeColor="text1"/>
        </w:rPr>
        <w:t>.</w:t>
      </w:r>
    </w:p>
    <w:p w14:paraId="2F3F6698" w14:textId="77777777" w:rsidR="00472B51" w:rsidRPr="00472B51" w:rsidRDefault="00472B51" w:rsidP="00B9440A">
      <w:pPr>
        <w:pStyle w:val="SMcaption"/>
        <w:rPr>
          <w:lang w:eastAsia="zh-CN"/>
        </w:rPr>
      </w:pPr>
    </w:p>
    <w:p w14:paraId="41D3FEF7" w14:textId="666D6A8B" w:rsidR="00472B51" w:rsidRDefault="0012732C" w:rsidP="0012732C">
      <w:pPr>
        <w:pStyle w:val="SMcaption"/>
        <w:jc w:val="center"/>
        <w:rPr>
          <w:lang w:eastAsia="zh-CN"/>
        </w:rPr>
      </w:pPr>
      <w:r>
        <w:rPr>
          <w:rFonts w:hint="eastAsia"/>
          <w:noProof/>
          <w:lang w:eastAsia="zh-CN"/>
        </w:rPr>
        <w:lastRenderedPageBreak/>
        <w:drawing>
          <wp:inline distT="0" distB="0" distL="0" distR="0" wp14:anchorId="0E9D3FC6" wp14:editId="7AE42847">
            <wp:extent cx="5274000" cy="7807978"/>
            <wp:effectExtent l="0" t="0" r="0" b="2540"/>
            <wp:docPr id="6214514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451423" name="图片 62145142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7807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92750" w14:textId="14F3B4A1" w:rsidR="00472B51" w:rsidRPr="00355362" w:rsidRDefault="00472B51" w:rsidP="00472B51">
      <w:pPr>
        <w:pStyle w:val="SMHeading"/>
      </w:pPr>
      <w:r w:rsidRPr="00355362">
        <w:lastRenderedPageBreak/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rPr>
          <w:rFonts w:hint="eastAsia"/>
          <w:lang w:eastAsia="zh-CN"/>
        </w:rPr>
        <w:t>12</w:t>
      </w:r>
      <w:r>
        <w:t>.</w:t>
      </w:r>
    </w:p>
    <w:p w14:paraId="1DC54853" w14:textId="5D19A7B0" w:rsidR="00472B51" w:rsidRPr="00003628" w:rsidRDefault="00472B51" w:rsidP="00003628">
      <w:pPr>
        <w:pStyle w:val="affc"/>
        <w:ind w:left="0"/>
        <w:jc w:val="both"/>
        <w:rPr>
          <w:color w:val="000000" w:themeColor="text1"/>
          <w:lang w:eastAsia="zh-CN"/>
        </w:rPr>
      </w:pPr>
      <w:r w:rsidRPr="00135816">
        <w:rPr>
          <w:b/>
          <w:bCs/>
          <w:color w:val="000000" w:themeColor="text1"/>
        </w:rPr>
        <w:t xml:space="preserve">Flow cytometry analysis of T cell infiltration </w:t>
      </w:r>
      <w:r w:rsidRPr="00135816">
        <w:rPr>
          <w:rFonts w:hint="eastAsia"/>
          <w:b/>
          <w:bCs/>
          <w:color w:val="000000" w:themeColor="text1"/>
        </w:rPr>
        <w:t>after</w:t>
      </w:r>
      <w:r w:rsidRPr="00135816">
        <w:rPr>
          <w:b/>
          <w:bCs/>
          <w:color w:val="000000" w:themeColor="text1"/>
        </w:rPr>
        <w:t xml:space="preserve"> </w:t>
      </w:r>
      <w:proofErr w:type="spellStart"/>
      <w:r w:rsidRPr="00135816">
        <w:rPr>
          <w:b/>
          <w:bCs/>
          <w:color w:val="000000" w:themeColor="text1"/>
        </w:rPr>
        <w:t>TCRm</w:t>
      </w:r>
      <w:proofErr w:type="spellEnd"/>
      <w:r w:rsidRPr="00135816">
        <w:rPr>
          <w:b/>
          <w:bCs/>
          <w:color w:val="000000" w:themeColor="text1"/>
        </w:rPr>
        <w:t xml:space="preserve"> Bi-</w:t>
      </w:r>
      <w:proofErr w:type="spellStart"/>
      <w:r w:rsidRPr="00135816">
        <w:rPr>
          <w:b/>
          <w:bCs/>
          <w:color w:val="000000" w:themeColor="text1"/>
        </w:rPr>
        <w:t>NbTE</w:t>
      </w:r>
      <w:proofErr w:type="spellEnd"/>
      <w:r w:rsidRPr="00135816">
        <w:rPr>
          <w:b/>
          <w:bCs/>
          <w:color w:val="000000" w:themeColor="text1"/>
        </w:rPr>
        <w:t xml:space="preserve"> treatment. </w:t>
      </w:r>
      <w:r w:rsidRPr="00135816">
        <w:rPr>
          <w:color w:val="000000" w:themeColor="text1"/>
        </w:rPr>
        <w:t>(a, b)</w:t>
      </w:r>
      <w:r w:rsidRPr="00135816">
        <w:rPr>
          <w:b/>
          <w:bCs/>
          <w:color w:val="000000" w:themeColor="text1"/>
        </w:rPr>
        <w:t xml:space="preserve"> </w:t>
      </w:r>
      <w:r w:rsidRPr="00135816">
        <w:rPr>
          <w:color w:val="000000" w:themeColor="text1"/>
        </w:rPr>
        <w:t>Representative flow cytometry plots showing CD3⁺ T cell populations in tumor tissues, spleens, and peripheral blood of mice treated with (a) HLA-A2/WT1</w:t>
      </w:r>
      <w:r w:rsidRPr="00135816">
        <w:rPr>
          <w:color w:val="000000" w:themeColor="text1"/>
          <w:vertAlign w:val="subscript"/>
        </w:rPr>
        <w:t>126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or (b)</w:t>
      </w:r>
      <w:r w:rsidRPr="00135816">
        <w:rPr>
          <w:rFonts w:hint="eastAsia"/>
          <w:color w:val="000000" w:themeColor="text1"/>
        </w:rPr>
        <w:t xml:space="preserve"> </w:t>
      </w:r>
      <w:r w:rsidRPr="00135816">
        <w:rPr>
          <w:color w:val="000000" w:themeColor="text1"/>
        </w:rPr>
        <w:t>HLA-A2/GPC3</w:t>
      </w:r>
      <w:r w:rsidRPr="00135816">
        <w:rPr>
          <w:color w:val="000000" w:themeColor="text1"/>
          <w:vertAlign w:val="subscript"/>
        </w:rPr>
        <w:t>144</w:t>
      </w:r>
      <w:r w:rsidRPr="00135816">
        <w:rPr>
          <w:color w:val="000000" w:themeColor="text1"/>
        </w:rPr>
        <w:t xml:space="preserve">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. Data demonstrate increased T cell infiltration and distribution, supporting the role of </w:t>
      </w:r>
      <w:proofErr w:type="spellStart"/>
      <w:r w:rsidRPr="00135816">
        <w:rPr>
          <w:color w:val="000000" w:themeColor="text1"/>
        </w:rPr>
        <w:t>TCRm</w:t>
      </w:r>
      <w:proofErr w:type="spellEnd"/>
      <w:r w:rsidRPr="00135816">
        <w:rPr>
          <w:color w:val="000000" w:themeColor="text1"/>
        </w:rPr>
        <w:t xml:space="preserve"> Bi-</w:t>
      </w:r>
      <w:proofErr w:type="spellStart"/>
      <w:r w:rsidRPr="00135816">
        <w:rPr>
          <w:color w:val="000000" w:themeColor="text1"/>
        </w:rPr>
        <w:t>NbTE</w:t>
      </w:r>
      <w:proofErr w:type="spellEnd"/>
      <w:r w:rsidRPr="00135816">
        <w:rPr>
          <w:color w:val="000000" w:themeColor="text1"/>
        </w:rPr>
        <w:t xml:space="preserve"> in promoting T cell recruitment and expansion</w:t>
      </w:r>
      <w:r w:rsidRPr="00135816">
        <w:rPr>
          <w:i/>
          <w:iCs/>
          <w:color w:val="000000" w:themeColor="text1"/>
        </w:rPr>
        <w:t xml:space="preserve"> in vivo</w:t>
      </w:r>
      <w:r w:rsidRPr="00135816">
        <w:rPr>
          <w:color w:val="000000" w:themeColor="text1"/>
        </w:rPr>
        <w:t>.</w:t>
      </w:r>
    </w:p>
    <w:sectPr w:rsidR="00472B51" w:rsidRPr="00003628" w:rsidSect="00E853D5">
      <w:headerReference w:type="default" r:id="rId19"/>
      <w:footerReference w:type="default" r:id="rId2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E618F" w14:textId="77777777" w:rsidR="00F875FF" w:rsidRDefault="00F875FF">
      <w:r>
        <w:separator/>
      </w:r>
    </w:p>
  </w:endnote>
  <w:endnote w:type="continuationSeparator" w:id="0">
    <w:p w14:paraId="6B020D1F" w14:textId="77777777" w:rsidR="00F875FF" w:rsidRDefault="00F87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EA3E" w14:textId="32DFF1A6" w:rsidR="00F125EE" w:rsidRDefault="00114193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3C790" w14:textId="77777777" w:rsidR="00F875FF" w:rsidRDefault="00F875FF">
      <w:r>
        <w:separator/>
      </w:r>
    </w:p>
  </w:footnote>
  <w:footnote w:type="continuationSeparator" w:id="0">
    <w:p w14:paraId="02F80520" w14:textId="77777777" w:rsidR="00F875FF" w:rsidRDefault="00F87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7559326">
    <w:abstractNumId w:val="9"/>
  </w:num>
  <w:num w:numId="2" w16cid:durableId="1971939501">
    <w:abstractNumId w:val="7"/>
  </w:num>
  <w:num w:numId="3" w16cid:durableId="63186527">
    <w:abstractNumId w:val="6"/>
  </w:num>
  <w:num w:numId="4" w16cid:durableId="445271220">
    <w:abstractNumId w:val="5"/>
  </w:num>
  <w:num w:numId="5" w16cid:durableId="1922451460">
    <w:abstractNumId w:val="4"/>
  </w:num>
  <w:num w:numId="6" w16cid:durableId="1087382534">
    <w:abstractNumId w:val="8"/>
  </w:num>
  <w:num w:numId="7" w16cid:durableId="1529566181">
    <w:abstractNumId w:val="3"/>
  </w:num>
  <w:num w:numId="8" w16cid:durableId="547647379">
    <w:abstractNumId w:val="2"/>
  </w:num>
  <w:num w:numId="9" w16cid:durableId="1080373686">
    <w:abstractNumId w:val="1"/>
  </w:num>
  <w:num w:numId="10" w16cid:durableId="166487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03628"/>
    <w:rsid w:val="00006805"/>
    <w:rsid w:val="00015F74"/>
    <w:rsid w:val="00065EBD"/>
    <w:rsid w:val="00083B44"/>
    <w:rsid w:val="000850DC"/>
    <w:rsid w:val="000C2771"/>
    <w:rsid w:val="000D46F4"/>
    <w:rsid w:val="000F0DCE"/>
    <w:rsid w:val="000F6BE3"/>
    <w:rsid w:val="00112C5B"/>
    <w:rsid w:val="00114193"/>
    <w:rsid w:val="00115A38"/>
    <w:rsid w:val="0011687B"/>
    <w:rsid w:val="00121114"/>
    <w:rsid w:val="00124F82"/>
    <w:rsid w:val="0012732C"/>
    <w:rsid w:val="0016337A"/>
    <w:rsid w:val="00164269"/>
    <w:rsid w:val="00192319"/>
    <w:rsid w:val="001A1BDE"/>
    <w:rsid w:val="001F0876"/>
    <w:rsid w:val="001F167C"/>
    <w:rsid w:val="001F5E91"/>
    <w:rsid w:val="002077B9"/>
    <w:rsid w:val="00262D72"/>
    <w:rsid w:val="00294FBB"/>
    <w:rsid w:val="002B3205"/>
    <w:rsid w:val="002C030F"/>
    <w:rsid w:val="00331D75"/>
    <w:rsid w:val="00355362"/>
    <w:rsid w:val="00363E44"/>
    <w:rsid w:val="00395E86"/>
    <w:rsid w:val="003A2FD8"/>
    <w:rsid w:val="003B40E6"/>
    <w:rsid w:val="003E74FB"/>
    <w:rsid w:val="003F6E14"/>
    <w:rsid w:val="00405336"/>
    <w:rsid w:val="004571D5"/>
    <w:rsid w:val="00461D81"/>
    <w:rsid w:val="0046356B"/>
    <w:rsid w:val="00472B51"/>
    <w:rsid w:val="00477182"/>
    <w:rsid w:val="004779CB"/>
    <w:rsid w:val="004E42D8"/>
    <w:rsid w:val="004E7BA2"/>
    <w:rsid w:val="004F7EDF"/>
    <w:rsid w:val="005001AC"/>
    <w:rsid w:val="00515F02"/>
    <w:rsid w:val="00527D71"/>
    <w:rsid w:val="005520A8"/>
    <w:rsid w:val="005607DD"/>
    <w:rsid w:val="005A558C"/>
    <w:rsid w:val="005C6562"/>
    <w:rsid w:val="005E28F8"/>
    <w:rsid w:val="005E6513"/>
    <w:rsid w:val="00651114"/>
    <w:rsid w:val="00664560"/>
    <w:rsid w:val="00667D08"/>
    <w:rsid w:val="00670299"/>
    <w:rsid w:val="00691985"/>
    <w:rsid w:val="006A1B64"/>
    <w:rsid w:val="007108F5"/>
    <w:rsid w:val="00713E5B"/>
    <w:rsid w:val="007402FC"/>
    <w:rsid w:val="007411A1"/>
    <w:rsid w:val="00793072"/>
    <w:rsid w:val="00807D35"/>
    <w:rsid w:val="008218C4"/>
    <w:rsid w:val="00821F38"/>
    <w:rsid w:val="00867A98"/>
    <w:rsid w:val="00870867"/>
    <w:rsid w:val="00885C9B"/>
    <w:rsid w:val="00885CCA"/>
    <w:rsid w:val="008D5D2A"/>
    <w:rsid w:val="00914B63"/>
    <w:rsid w:val="009354F3"/>
    <w:rsid w:val="009447DC"/>
    <w:rsid w:val="00961BA5"/>
    <w:rsid w:val="009743A9"/>
    <w:rsid w:val="009A5287"/>
    <w:rsid w:val="009B2AC5"/>
    <w:rsid w:val="009B7984"/>
    <w:rsid w:val="009F4BED"/>
    <w:rsid w:val="009F7D93"/>
    <w:rsid w:val="00A3403B"/>
    <w:rsid w:val="00A4506E"/>
    <w:rsid w:val="00A51A12"/>
    <w:rsid w:val="00A627D4"/>
    <w:rsid w:val="00A74DA2"/>
    <w:rsid w:val="00AB399E"/>
    <w:rsid w:val="00AC59D0"/>
    <w:rsid w:val="00AD16B1"/>
    <w:rsid w:val="00AD499C"/>
    <w:rsid w:val="00B36869"/>
    <w:rsid w:val="00B43B31"/>
    <w:rsid w:val="00B47CFA"/>
    <w:rsid w:val="00B57F00"/>
    <w:rsid w:val="00B77B2A"/>
    <w:rsid w:val="00B82C22"/>
    <w:rsid w:val="00B93DBA"/>
    <w:rsid w:val="00B9440A"/>
    <w:rsid w:val="00BB2D2A"/>
    <w:rsid w:val="00BC3E04"/>
    <w:rsid w:val="00BD58CF"/>
    <w:rsid w:val="00BF0C92"/>
    <w:rsid w:val="00C04CC1"/>
    <w:rsid w:val="00C4096C"/>
    <w:rsid w:val="00C50C6D"/>
    <w:rsid w:val="00C52F6B"/>
    <w:rsid w:val="00C600D9"/>
    <w:rsid w:val="00C92B22"/>
    <w:rsid w:val="00CC1384"/>
    <w:rsid w:val="00CC743F"/>
    <w:rsid w:val="00CD3720"/>
    <w:rsid w:val="00CF1848"/>
    <w:rsid w:val="00CF5C2F"/>
    <w:rsid w:val="00D04BCF"/>
    <w:rsid w:val="00D143D9"/>
    <w:rsid w:val="00D5511B"/>
    <w:rsid w:val="00D766F1"/>
    <w:rsid w:val="00E257C8"/>
    <w:rsid w:val="00E41512"/>
    <w:rsid w:val="00E4519A"/>
    <w:rsid w:val="00E853D5"/>
    <w:rsid w:val="00E9773B"/>
    <w:rsid w:val="00EA6F42"/>
    <w:rsid w:val="00EC13A3"/>
    <w:rsid w:val="00EC7C85"/>
    <w:rsid w:val="00ED293B"/>
    <w:rsid w:val="00EE75D8"/>
    <w:rsid w:val="00F125EE"/>
    <w:rsid w:val="00F12E98"/>
    <w:rsid w:val="00F22029"/>
    <w:rsid w:val="00F515FB"/>
    <w:rsid w:val="00F630EA"/>
    <w:rsid w:val="00F7007E"/>
    <w:rsid w:val="00F73193"/>
    <w:rsid w:val="00F74F95"/>
    <w:rsid w:val="00F80705"/>
    <w:rsid w:val="00F875FF"/>
    <w:rsid w:val="00FA1481"/>
    <w:rsid w:val="00FF04E3"/>
    <w:rsid w:val="00FF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4:defaultImageDpi w14:val="32767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文本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文本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a1"/>
    <w:next w:val="a1"/>
    <w:autoRedefine/>
    <w:semiHidden/>
    <w:rsid w:val="00405336"/>
  </w:style>
  <w:style w:type="paragraph" w:styleId="TOC2">
    <w:name w:val="toc 2"/>
    <w:basedOn w:val="a1"/>
    <w:next w:val="a1"/>
    <w:autoRedefine/>
    <w:semiHidden/>
    <w:rsid w:val="00405336"/>
    <w:pPr>
      <w:ind w:left="240"/>
    </w:pPr>
  </w:style>
  <w:style w:type="paragraph" w:styleId="TOC3">
    <w:name w:val="toc 3"/>
    <w:basedOn w:val="a1"/>
    <w:next w:val="a1"/>
    <w:autoRedefine/>
    <w:semiHidden/>
    <w:rsid w:val="00405336"/>
    <w:pPr>
      <w:ind w:left="480"/>
    </w:pPr>
  </w:style>
  <w:style w:type="paragraph" w:styleId="TOC4">
    <w:name w:val="toc 4"/>
    <w:basedOn w:val="a1"/>
    <w:next w:val="a1"/>
    <w:autoRedefine/>
    <w:semiHidden/>
    <w:rsid w:val="00405336"/>
    <w:pPr>
      <w:ind w:left="720"/>
    </w:pPr>
  </w:style>
  <w:style w:type="paragraph" w:styleId="TOC5">
    <w:name w:val="toc 5"/>
    <w:basedOn w:val="a1"/>
    <w:next w:val="a1"/>
    <w:autoRedefine/>
    <w:semiHidden/>
    <w:rsid w:val="00405336"/>
    <w:pPr>
      <w:ind w:left="960"/>
    </w:pPr>
  </w:style>
  <w:style w:type="paragraph" w:styleId="TOC6">
    <w:name w:val="toc 6"/>
    <w:basedOn w:val="a1"/>
    <w:next w:val="a1"/>
    <w:autoRedefine/>
    <w:semiHidden/>
    <w:rsid w:val="00405336"/>
    <w:pPr>
      <w:ind w:left="1200"/>
    </w:pPr>
  </w:style>
  <w:style w:type="paragraph" w:styleId="TOC7">
    <w:name w:val="toc 7"/>
    <w:basedOn w:val="a1"/>
    <w:next w:val="a1"/>
    <w:autoRedefine/>
    <w:semiHidden/>
    <w:rsid w:val="00405336"/>
    <w:pPr>
      <w:ind w:left="1440"/>
    </w:pPr>
  </w:style>
  <w:style w:type="paragraph" w:styleId="TOC8">
    <w:name w:val="toc 8"/>
    <w:basedOn w:val="a1"/>
    <w:next w:val="a1"/>
    <w:autoRedefine/>
    <w:semiHidden/>
    <w:rsid w:val="00405336"/>
    <w:pPr>
      <w:ind w:left="1680"/>
    </w:pPr>
  </w:style>
  <w:style w:type="paragraph" w:styleId="TOC9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semiHidden/>
    <w:rsid w:val="007402FC"/>
    <w:rPr>
      <w:color w:val="0000FF"/>
      <w:u w:val="single"/>
    </w:rPr>
  </w:style>
  <w:style w:type="character" w:styleId="affff6">
    <w:name w:val="FollowedHyperlink"/>
    <w:semiHidden/>
    <w:unhideWhenUsed/>
    <w:rsid w:val="00793072"/>
    <w:rPr>
      <w:color w:val="800080"/>
      <w:u w:val="single"/>
    </w:rPr>
  </w:style>
  <w:style w:type="character" w:styleId="affff7">
    <w:name w:val="annotation reference"/>
    <w:semiHidden/>
    <w:unhideWhenUsed/>
    <w:rsid w:val="00793072"/>
    <w:rPr>
      <w:sz w:val="16"/>
      <w:szCs w:val="16"/>
    </w:rPr>
  </w:style>
  <w:style w:type="character" w:styleId="affff8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image" Target="media/image7.tif"/><Relationship Id="rId18" Type="http://schemas.openxmlformats.org/officeDocument/2006/relationships/image" Target="media/image12.ti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tif"/><Relationship Id="rId12" Type="http://schemas.openxmlformats.org/officeDocument/2006/relationships/image" Target="media/image6.tif"/><Relationship Id="rId17" Type="http://schemas.openxmlformats.org/officeDocument/2006/relationships/image" Target="media/image11.tif"/><Relationship Id="rId2" Type="http://schemas.openxmlformats.org/officeDocument/2006/relationships/styles" Target="styles.xml"/><Relationship Id="rId16" Type="http://schemas.openxmlformats.org/officeDocument/2006/relationships/image" Target="media/image10.ti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"/><Relationship Id="rId5" Type="http://schemas.openxmlformats.org/officeDocument/2006/relationships/footnotes" Target="footnotes.xml"/><Relationship Id="rId15" Type="http://schemas.openxmlformats.org/officeDocument/2006/relationships/image" Target="media/image9.tif"/><Relationship Id="rId10" Type="http://schemas.openxmlformats.org/officeDocument/2006/relationships/image" Target="media/image4.tif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image" Target="media/image8.ti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12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7631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Microsoft Office User</cp:lastModifiedBy>
  <cp:revision>11</cp:revision>
  <cp:lastPrinted>2018-01-11T19:53:00Z</cp:lastPrinted>
  <dcterms:created xsi:type="dcterms:W3CDTF">2026-02-26T12:07:00Z</dcterms:created>
  <dcterms:modified xsi:type="dcterms:W3CDTF">2026-04-09T08:35:00Z</dcterms:modified>
</cp:coreProperties>
</file>