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7CF4D">
      <w:pPr>
        <w:rPr>
          <w:sz w:val="36"/>
          <w:szCs w:val="36"/>
        </w:rPr>
      </w:pPr>
    </w:p>
    <w:p w14:paraId="33788641">
      <w:pPr>
        <w:jc w:val="center"/>
        <w:rPr>
          <w:sz w:val="36"/>
          <w:szCs w:val="36"/>
        </w:rPr>
      </w:pPr>
    </w:p>
    <w:p w14:paraId="31C337D1">
      <w:pPr>
        <w:jc w:val="center"/>
        <w:rPr>
          <w:sz w:val="36"/>
          <w:szCs w:val="36"/>
        </w:rPr>
      </w:pPr>
      <w:r>
        <w:rPr>
          <w:sz w:val="36"/>
          <w:szCs w:val="36"/>
        </w:rPr>
        <w:t>Supplementary Materials for</w:t>
      </w:r>
    </w:p>
    <w:p w14:paraId="29411C5A"/>
    <w:p w14:paraId="4CBEFF8C">
      <w:pPr>
        <w:jc w:val="center"/>
        <w:rPr>
          <w:sz w:val="28"/>
          <w:szCs w:val="28"/>
        </w:rPr>
      </w:pPr>
      <w:r>
        <w:rPr>
          <w:sz w:val="28"/>
          <w:szCs w:val="28"/>
        </w:rPr>
        <w:t>Transketolase-like 1 potentiates PD-1 blockade in hepatocellular carcinoma by glycolysis to prime dendritic cell lactylation</w:t>
      </w:r>
    </w:p>
    <w:p w14:paraId="339B31F7">
      <w:pPr>
        <w:jc w:val="center"/>
        <w:rPr>
          <w:sz w:val="28"/>
          <w:szCs w:val="28"/>
        </w:rPr>
      </w:pPr>
    </w:p>
    <w:p w14:paraId="63D8913E">
      <w:pPr>
        <w:jc w:val="center"/>
        <w:rPr>
          <w:szCs w:val="24"/>
        </w:rPr>
      </w:pPr>
      <w:r>
        <w:rPr>
          <w:szCs w:val="24"/>
        </w:rPr>
        <w:t>Hengsong Cao</w:t>
      </w:r>
      <w:r>
        <w:rPr>
          <w:szCs w:val="24"/>
          <w:vertAlign w:val="superscript"/>
        </w:rPr>
        <w:t>1,2#</w:t>
      </w:r>
      <w:r>
        <w:rPr>
          <w:szCs w:val="24"/>
        </w:rPr>
        <w:t>, Tian Huang</w:t>
      </w:r>
      <w:r>
        <w:rPr>
          <w:szCs w:val="24"/>
          <w:vertAlign w:val="superscript"/>
        </w:rPr>
        <w:t>3#</w:t>
      </w:r>
      <w:r>
        <w:rPr>
          <w:szCs w:val="24"/>
        </w:rPr>
        <w:t>, Yue Chai</w:t>
      </w:r>
      <w:r>
        <w:rPr>
          <w:szCs w:val="24"/>
          <w:vertAlign w:val="superscript"/>
        </w:rPr>
        <w:t>1#</w:t>
      </w:r>
      <w:r>
        <w:rPr>
          <w:szCs w:val="24"/>
        </w:rPr>
        <w:t>, Zhengqing Lu</w:t>
      </w:r>
      <w:r>
        <w:rPr>
          <w:szCs w:val="24"/>
          <w:vertAlign w:val="superscript"/>
        </w:rPr>
        <w:t>1#</w:t>
      </w:r>
      <w:r>
        <w:rPr>
          <w:szCs w:val="24"/>
        </w:rPr>
        <w:t>, Shipeng Dai</w:t>
      </w:r>
      <w:r>
        <w:rPr>
          <w:szCs w:val="24"/>
          <w:vertAlign w:val="superscript"/>
        </w:rPr>
        <w:t>1#</w:t>
      </w:r>
      <w:r>
        <w:rPr>
          <w:szCs w:val="24"/>
        </w:rPr>
        <w:t>, Danyang Xu</w:t>
      </w:r>
      <w:r>
        <w:rPr>
          <w:szCs w:val="24"/>
          <w:vertAlign w:val="superscript"/>
        </w:rPr>
        <w:t>4</w:t>
      </w:r>
      <w:r>
        <w:rPr>
          <w:szCs w:val="24"/>
        </w:rPr>
        <w:t>, Yanshu He</w:t>
      </w:r>
      <w:r>
        <w:rPr>
          <w:szCs w:val="24"/>
          <w:vertAlign w:val="superscript"/>
        </w:rPr>
        <w:t>1</w:t>
      </w:r>
      <w:r>
        <w:rPr>
          <w:szCs w:val="24"/>
        </w:rPr>
        <w:t>, Na Yu</w:t>
      </w:r>
      <w:r>
        <w:rPr>
          <w:szCs w:val="24"/>
          <w:vertAlign w:val="superscript"/>
        </w:rPr>
        <w:t>4</w:t>
      </w:r>
      <w:r>
        <w:rPr>
          <w:szCs w:val="24"/>
        </w:rPr>
        <w:t>, Yuliang Wang</w:t>
      </w:r>
      <w:r>
        <w:rPr>
          <w:szCs w:val="24"/>
          <w:vertAlign w:val="superscript"/>
        </w:rPr>
        <w:t>5</w:t>
      </w:r>
      <w:r>
        <w:rPr>
          <w:szCs w:val="24"/>
        </w:rPr>
        <w:t>, Ziyuan Liu</w:t>
      </w:r>
      <w:r>
        <w:rPr>
          <w:szCs w:val="24"/>
          <w:vertAlign w:val="superscript"/>
        </w:rPr>
        <w:t>1</w:t>
      </w:r>
      <w:r>
        <w:rPr>
          <w:szCs w:val="24"/>
        </w:rPr>
        <w:t>, Yidong Xia</w:t>
      </w:r>
      <w:r>
        <w:rPr>
          <w:szCs w:val="24"/>
          <w:vertAlign w:val="superscript"/>
        </w:rPr>
        <w:t>1</w:t>
      </w:r>
      <w:r>
        <w:rPr>
          <w:szCs w:val="24"/>
        </w:rPr>
        <w:t>, Jie Zhao</w:t>
      </w:r>
      <w:r>
        <w:rPr>
          <w:szCs w:val="24"/>
          <w:vertAlign w:val="superscript"/>
        </w:rPr>
        <w:t>1</w:t>
      </w:r>
      <w:r>
        <w:rPr>
          <w:szCs w:val="24"/>
        </w:rPr>
        <w:t>, Hongyu Wang</w:t>
      </w:r>
      <w:r>
        <w:rPr>
          <w:szCs w:val="24"/>
          <w:vertAlign w:val="superscript"/>
        </w:rPr>
        <w:t>1</w:t>
      </w:r>
      <w:r>
        <w:rPr>
          <w:szCs w:val="24"/>
        </w:rPr>
        <w:t>, Dawei Rong</w:t>
      </w:r>
      <w:r>
        <w:rPr>
          <w:szCs w:val="24"/>
          <w:vertAlign w:val="superscript"/>
        </w:rPr>
        <w:t>1</w:t>
      </w:r>
      <w:r>
        <w:rPr>
          <w:szCs w:val="24"/>
        </w:rPr>
        <w:t>, Yuchen Xie</w:t>
      </w:r>
      <w:r>
        <w:rPr>
          <w:szCs w:val="24"/>
          <w:vertAlign w:val="superscript"/>
        </w:rPr>
        <w:t>1</w:t>
      </w:r>
      <w:r>
        <w:rPr>
          <w:szCs w:val="24"/>
        </w:rPr>
        <w:t>, Chongyu Wang</w:t>
      </w:r>
      <w:r>
        <w:rPr>
          <w:szCs w:val="24"/>
          <w:vertAlign w:val="superscript"/>
        </w:rPr>
        <w:t>1</w:t>
      </w:r>
      <w:r>
        <w:rPr>
          <w:szCs w:val="24"/>
        </w:rPr>
        <w:t>, Pengyu Chen</w:t>
      </w:r>
      <w:r>
        <w:rPr>
          <w:szCs w:val="24"/>
          <w:vertAlign w:val="superscript"/>
        </w:rPr>
        <w:t>1</w:t>
      </w:r>
      <w:r>
        <w:rPr>
          <w:szCs w:val="24"/>
        </w:rPr>
        <w:t>, Juyue Zhou</w:t>
      </w:r>
      <w:r>
        <w:rPr>
          <w:szCs w:val="24"/>
          <w:vertAlign w:val="superscript"/>
        </w:rPr>
        <w:t>6</w:t>
      </w:r>
      <w:r>
        <w:rPr>
          <w:szCs w:val="24"/>
        </w:rPr>
        <w:t>, Li Liu</w:t>
      </w:r>
      <w:r>
        <w:rPr>
          <w:szCs w:val="24"/>
          <w:vertAlign w:val="superscript"/>
        </w:rPr>
        <w:t>6</w:t>
      </w:r>
      <w:r>
        <w:rPr>
          <w:szCs w:val="24"/>
        </w:rPr>
        <w:t>, Zhuozheng Li</w:t>
      </w:r>
      <w:r>
        <w:rPr>
          <w:szCs w:val="24"/>
          <w:vertAlign w:val="superscript"/>
        </w:rPr>
        <w:t>7</w:t>
      </w:r>
      <w:r>
        <w:rPr>
          <w:szCs w:val="24"/>
        </w:rPr>
        <w:t>, Hanyuan Liu</w:t>
      </w:r>
      <w:r>
        <w:rPr>
          <w:szCs w:val="24"/>
          <w:vertAlign w:val="superscript"/>
        </w:rPr>
        <w:t>3</w:t>
      </w:r>
      <w:r>
        <w:rPr>
          <w:szCs w:val="24"/>
        </w:rPr>
        <w:t>, Xiao Li</w:t>
      </w:r>
      <w:r>
        <w:rPr>
          <w:szCs w:val="24"/>
          <w:vertAlign w:val="superscript"/>
        </w:rPr>
        <w:t>2</w:t>
      </w:r>
      <w:r>
        <w:rPr>
          <w:szCs w:val="24"/>
        </w:rPr>
        <w:t>, Xuehao Wang</w:t>
      </w:r>
      <w:r>
        <w:rPr>
          <w:szCs w:val="24"/>
          <w:vertAlign w:val="superscript"/>
        </w:rPr>
        <w:t>1*</w:t>
      </w:r>
      <w:r>
        <w:rPr>
          <w:szCs w:val="24"/>
        </w:rPr>
        <w:t>, Weiwei Tang</w:t>
      </w:r>
      <w:r>
        <w:rPr>
          <w:szCs w:val="24"/>
          <w:vertAlign w:val="superscript"/>
        </w:rPr>
        <w:t>1*</w:t>
      </w:r>
      <w:r>
        <w:rPr>
          <w:szCs w:val="24"/>
        </w:rPr>
        <w:t>, Yongxiang Xia</w:t>
      </w:r>
      <w:r>
        <w:rPr>
          <w:szCs w:val="24"/>
          <w:vertAlign w:val="superscript"/>
        </w:rPr>
        <w:t>1</w:t>
      </w:r>
    </w:p>
    <w:p w14:paraId="0648E06D">
      <w:pPr>
        <w:jc w:val="center"/>
        <w:rPr>
          <w:szCs w:val="24"/>
        </w:rPr>
      </w:pPr>
    </w:p>
    <w:p w14:paraId="4451D062">
      <w:pPr>
        <w:jc w:val="center"/>
      </w:pPr>
      <w:r>
        <w:rPr>
          <w:szCs w:val="24"/>
        </w:rPr>
        <w:t xml:space="preserve">Correspondence to: </w:t>
      </w:r>
      <w:r>
        <w:t>Dr. Yongxiang Xia;E-mail:yx_xia@njmu.edu.cn</w:t>
      </w:r>
    </w:p>
    <w:p w14:paraId="11B4285B">
      <w:pPr>
        <w:jc w:val="center"/>
      </w:pPr>
      <w:r>
        <w:t>Dr. Weiwei Tang;E-mail:1243773473twww@sina.com</w:t>
      </w:r>
    </w:p>
    <w:p w14:paraId="477CDBFD">
      <w:pPr>
        <w:jc w:val="center"/>
      </w:pPr>
      <w:r>
        <w:t>Dr. Xuehao Wang;E-mail:wangxh@njmu.edu.cn</w:t>
      </w:r>
    </w:p>
    <w:p w14:paraId="34D67477">
      <w:pPr>
        <w:jc w:val="center"/>
        <w:rPr>
          <w:szCs w:val="24"/>
        </w:rPr>
      </w:pPr>
    </w:p>
    <w:p w14:paraId="223EBBEB"/>
    <w:p w14:paraId="5BBBF32C">
      <w:pPr>
        <w:rPr>
          <w:b/>
        </w:rPr>
      </w:pPr>
    </w:p>
    <w:p w14:paraId="546CBFCA">
      <w:pPr>
        <w:rPr>
          <w:b/>
        </w:rPr>
      </w:pPr>
      <w:r>
        <w:rPr>
          <w:b/>
        </w:rPr>
        <w:t>This PDF file includes:</w:t>
      </w:r>
    </w:p>
    <w:p w14:paraId="6B069C4B"/>
    <w:p w14:paraId="116E066E">
      <w:pPr>
        <w:ind w:firstLine="720" w:firstLineChars="300"/>
      </w:pPr>
      <w:r>
        <w:t>supplementary Fig.1 to 22</w:t>
      </w:r>
    </w:p>
    <w:p w14:paraId="36A77313">
      <w:pPr>
        <w:ind w:firstLine="720" w:firstLineChars="300"/>
        <w:rPr>
          <w:lang w:eastAsia="zh-CN"/>
        </w:rPr>
      </w:pPr>
      <w:r>
        <w:t xml:space="preserve">supplementary Table.1 to </w:t>
      </w:r>
      <w:r>
        <w:rPr>
          <w:rFonts w:hint="eastAsia"/>
          <w:lang w:eastAsia="zh-CN"/>
        </w:rPr>
        <w:t>2</w:t>
      </w:r>
    </w:p>
    <w:p w14:paraId="56364198">
      <w:pPr>
        <w:pStyle w:val="101"/>
        <w:rPr>
          <w:lang w:eastAsia="zh-CN"/>
        </w:rPr>
      </w:pPr>
      <w:r>
        <w:br w:type="page"/>
      </w:r>
      <w:bookmarkStart w:id="0" w:name="Tables"/>
      <w:bookmarkEnd w:id="0"/>
      <w:bookmarkStart w:id="1" w:name="MaterialsMethods"/>
      <w:bookmarkEnd w:id="1"/>
      <w:r>
        <w:t>Materials and Methods</w:t>
      </w:r>
    </w:p>
    <w:p w14:paraId="2AC093AA">
      <w:pPr>
        <w:pStyle w:val="102"/>
      </w:pPr>
      <w:r>
        <w:t xml:space="preserve">Clinical Specimens and Patient Cohorts </w:t>
      </w:r>
    </w:p>
    <w:p w14:paraId="38EDBDBF">
      <w:pPr>
        <w:pStyle w:val="103"/>
      </w:pPr>
      <w:r>
        <w:t>Tumor and adjacent non-tumorous tissues were collected from 98 HCC patients undergoing curative resection at the Hepatobiliary Surgery Center of the First Affiliated Hospital of Nanjing Medical University (2016-2024). All patients provided written informed consent under Institutional Review Board approval (2019-SR-332). Fresh tissue samples from the NCT04297202 trial cohort were stratified into responders and non-responders according to mRECIST criteria. Subsets of these fresh specimens were subjected to multi-omics analyses: RNA sequencing was performed on 6 responders and 4 non-responders, while proteomic profiling included 5 responders and 7 non-responders.</w:t>
      </w:r>
    </w:p>
    <w:p w14:paraId="13950BD3">
      <w:pPr>
        <w:pStyle w:val="103"/>
      </w:pPr>
      <w:r>
        <w:t xml:space="preserve"> </w:t>
      </w:r>
    </w:p>
    <w:p w14:paraId="57F36369">
      <w:pPr>
        <w:pStyle w:val="102"/>
      </w:pPr>
      <w:r>
        <w:t xml:space="preserve">RNA and Proteomics Sequencing </w:t>
      </w:r>
    </w:p>
    <w:p w14:paraId="2F39911B">
      <w:pPr>
        <w:pStyle w:val="103"/>
      </w:pPr>
      <w:r>
        <w:t xml:space="preserve">We processed cancer samples with Trizol for lysis, followed by RNA sequencing. The RNA sequencing data was then evaluated by Berry Genomics (Beijing, China). For </w:t>
      </w:r>
      <w:r>
        <w:rPr>
          <w:iCs/>
        </w:rPr>
        <w:t xml:space="preserve">proteomics sequencing, </w:t>
      </w:r>
      <w:r>
        <w:t>cell pellets /tissue were suspended on ice in 200 μL lysis buffer. Peptides were labeled with TMT (Tandem Mass Tag) reagents according to the manufacturer’s instructions (Thermo Fisher Scientific, USA). TMT-labeled peptides mixture was fractionated using a Waters XBridge BEH130 column on Agilent 1290 HPLC operating at 0.3 mL/min. Buffer A consisted of 10mM ammonium formate and buffer B consisted of 10mM ammonium formate with 90% acetonitrile; both buffers were adjusted to pH 10 with ammonium hydroxide. The fractions were dried for nano LC-MS/MS analysis (Shanghai Bioprofile, China).</w:t>
      </w:r>
    </w:p>
    <w:p w14:paraId="4E808A1B">
      <w:pPr>
        <w:pStyle w:val="103"/>
      </w:pPr>
      <w:r>
        <w:t xml:space="preserve"> </w:t>
      </w:r>
    </w:p>
    <w:p w14:paraId="343F0AB9">
      <w:pPr>
        <w:pStyle w:val="102"/>
      </w:pPr>
      <w:r>
        <w:t>Immunohistochemistry (IHC) and Immunofluorescence (IF)</w:t>
      </w:r>
    </w:p>
    <w:p w14:paraId="718B17AC">
      <w:pPr>
        <w:pStyle w:val="103"/>
      </w:pPr>
      <w:r>
        <w:t>The paraffin-embedded sections underwent a process of removing wax and rehydration in preparation for immunohistochemical analysis. The activity of peroxidase was effectively blocked by a 3% hydrogen peroxide solution from Beyotime in China. Following an overnight incubation at 4°C with primary antibodies, the tissue sections were treated with a biotinylated secondary antibody. Subsequently, the sections were exposed to a combination of streptavidin-horseradish peroxidase (Beyotime, China).</w:t>
      </w:r>
    </w:p>
    <w:p w14:paraId="001811BB">
      <w:pPr>
        <w:pStyle w:val="103"/>
      </w:pPr>
      <w:r>
        <w:t xml:space="preserve"> </w:t>
      </w:r>
    </w:p>
    <w:p w14:paraId="366CEA4E">
      <w:pPr>
        <w:pStyle w:val="103"/>
      </w:pPr>
      <w:r>
        <w:t>In the process of conducting fluorescent immunohistochemistry, the initial step involved fixing the sample at room temperature using a 4% solution of paraformaldehyde for a duration of 20 minutes. Subsequently, the sample was subjected to immersion in a 0.05% solution of Triton X-100 for a period of 5 minutes. Following these treatments, the samples were sealed overnight in a solution containing 2% BSA PBS and were exposed to primary antibodies at a temperature of 4℃. The treated samples were then linked with either Alexa Fluorite or HRP (Beyotime, China) at room temperature. A combined secondary antibody was applied and left to incubate for 1 hour. To maintain the integrity of the nucleus, DAPI staining (Beyotime, China) was utilized. Subsequent to drying, images were captured utilizing a laser scanning confocal microscope from Zeiss, Germany. A detailed list of the antibodies employed in this investigation can be found in supplementary table.2.</w:t>
      </w:r>
    </w:p>
    <w:p w14:paraId="0B659519">
      <w:pPr>
        <w:pStyle w:val="103"/>
      </w:pPr>
      <w:r>
        <w:t xml:space="preserve"> </w:t>
      </w:r>
    </w:p>
    <w:p w14:paraId="53158A44">
      <w:pPr>
        <w:pStyle w:val="102"/>
      </w:pPr>
      <w:r>
        <w:t xml:space="preserve">Animal models </w:t>
      </w:r>
    </w:p>
    <w:p w14:paraId="7C6636A7">
      <w:pPr>
        <w:pStyle w:val="103"/>
      </w:pPr>
      <w:r>
        <w:t>The experimental protocols were approved by the Institutional Animal Care and Use Committee (IACUC) of the First Affiliated Hospital of Nanjing Medical University (Approval ID: IACUC-2404094). All procedures complied with the institutional guidelines established by the Nanjing Medical University Animal Experiment Center. To mitigate potential biases, all experimental procedures employed stratified randomization of animals across treatment groups based on baseline tumor volume/body weight. All mice were 6-week-old C57BL/6 mice at the start of experiments, with an initial body weight range of 18-22 g.Processing order (e.g., drug administration, measurements) was systematically rotated daily. Cage position within racks was alternated every 48 hours to eliminate microenvironmental gradients (light/temperature). Outcome assessments (tumor measurements, behavioral tests) were performed by blinded operators using standardized protocols. Experimental mice were included based on verified tumor establishment (subcutaneous: 100–150 mm³; orthotopic/PDX: imaging-confirmed lesions; chemically induced: histopathological HCC confirmation), baseline health (body weight loss ≤ 10%, no systemic distress), and successful PDX engraftment (F1). Animals were excluded for health deterioration (body weight loss &gt; 20%, spontaneous ulceration/necrosis), treatment-related complications (nanosystem toxicity, inadequate drug uptake), or technical failures (implantation errors, poor biodistribution). All exclusions required objective validation (imaging/histology/behavioral scoring), with immediate euthanasia if ethical thresholds (body weight loss &gt; 20% or severe distress) were breached. For survival curve statistics, we defined a 20% or more weight loss, severe mobility impairment, or a tumor size exceeding 1.5 cm as the humane survival endpoint.</w:t>
      </w:r>
    </w:p>
    <w:p w14:paraId="784BB0B5">
      <w:pPr>
        <w:pStyle w:val="103"/>
      </w:pPr>
      <w:r>
        <w:t xml:space="preserve"> </w:t>
      </w:r>
    </w:p>
    <w:p w14:paraId="0AC6FC54">
      <w:pPr>
        <w:pStyle w:val="103"/>
      </w:pPr>
      <w:r>
        <w:t>Subcutaneous Tumor Model Establishment: Six-week-old C57BL/6 mice were subcutaneously inoculated with Hepa1-6 cells (1 × 10⁶ cells/mouse) transduced with lentiviral vectors for TKTL1 overexpression (OE-TKTL1) or empty vector control (OE-VE), subsequently stratified into four tumor-bearing experimental groups (n=4/group): OE-VE, OE-TKTL1, OE-VE+anti-PD-1, and OE-TKTL1+anti-PD-1 (The random grouping scheme was generated by using SPSS to produce a random number table and then matching it with the ear tag reference table) , with anti-PD-1 monoclonal antibody (10 mg/kg) administered intraperitoneally three times per week commencing on day 8 post-implantation.</w:t>
      </w:r>
    </w:p>
    <w:p w14:paraId="0ECADDA3">
      <w:pPr>
        <w:pStyle w:val="103"/>
      </w:pPr>
      <w:r>
        <w:t xml:space="preserve"> </w:t>
      </w:r>
    </w:p>
    <w:p w14:paraId="17A575C2">
      <w:pPr>
        <w:pStyle w:val="103"/>
      </w:pPr>
      <w:r>
        <w:t>Orthotopic Transplantation Model: Lentivirus-transduced TKTL1-overexpressing (OE-TKTL1) or empty vector control (OE-VE) Hepa1-6 cells suspended in 100 μL sterile PBS were subcutaneously implanted into the right flank of 6-week-old C57BL/6 mice, with subsequent humane euthanasia upon xenografts reaching 800 mm³; excised tumors underwent meticulous dissection to remove necrotic and stromal tissues, whereafter viable specimens were aseptically minced into 2 mm³ fragments and orthotopically engrafted into hepatic parenchyma of recipient mice (n=5/group) under isoflurane anesthesia, followed by randomization into four cohorts: OE-VE, OE-TKTL1, OE-VE + anti-PD-1, and OE-TKTL1 + anti-PD-1 (The random grouping scheme was generated by using SPSS to produce a random number table and then matching it with the ear tag reference table) , with weekly tumor monitoring via in vivo bioluminescence imaging until terminal endpoint, where final tumor burden was quantified by digital caliper measurements using ellipsoid volume formula, supplemented by necropsy documentation, gravimetric analysis, and histopathological assessment.</w:t>
      </w:r>
    </w:p>
    <w:p w14:paraId="41A34827">
      <w:pPr>
        <w:pStyle w:val="103"/>
      </w:pPr>
      <w:r>
        <w:t xml:space="preserve"> </w:t>
      </w:r>
    </w:p>
    <w:p w14:paraId="3013CE3F">
      <w:pPr>
        <w:pStyle w:val="103"/>
      </w:pPr>
      <w:r>
        <w:t xml:space="preserve">DEN&amp;CCL4-induced Orthotopic Hepatocarcinogenesis Model: C57BL/6 mice underwent diethylnitrosamine (DEN, 25 mg/kg in 0.9% NaCl, 10 μL/g injection volume) priming via intraperitoneal administration, with pre-procedural identification through toe-clipping and comprehensive injection logs. At 4 weeks of age, subjects transitioned to ear-tag identification with concomitant fasting body weight documentation. Chronic liver injury was induced from week 4 through twice-weekly intraperitoneal delivery of 10% CCl4 (0.1 mL/mouse in corn oil vehicle) over 10 consecutive weeks, with monthly fasting weight monitoring. Hepatic tumorigenesis was longitudinally tracked via MRI commencing at 20 weeks of age. Upon confirmation of orthotopic hepatocellular carcinoma establishment, mice received single-stranded AAV-TKTL1 or control vectors through tail vein systemic delivery (The random grouping scheme was generated by using SPSS to produce a random number table and then matching it with the ear tag reference table) . Pharmacological interventions commenced 7 days post-viral transduction under stratified randomization, with tumor progression quantified through MRI volume measurements. </w:t>
      </w:r>
    </w:p>
    <w:p w14:paraId="02DC04B5">
      <w:pPr>
        <w:pStyle w:val="103"/>
      </w:pPr>
      <w:r>
        <w:t xml:space="preserve"> </w:t>
      </w:r>
    </w:p>
    <w:p w14:paraId="4DAD419C">
      <w:pPr>
        <w:pStyle w:val="103"/>
      </w:pPr>
      <w:r>
        <w:t>The PDTX model: All experiments were conducted using NCG mice. Two qualified xenografts were thawed and propagated subcutaneously in immunodeficient hosts until reaching 800 mm³, followed by humane euthanasia. Excised tumors underwent macro-dissection to remove necrotic cores and peritumoral stromal components, with viable tissues aseptically fragmented into 2 mm³ implants for secondary engraftment. When donor-derived tumors reached 80-120 mm³, recipient mice were stratified into cohorts (n=3 /group, n=5/group for OS) through block randomization balancing tumor burden and body weight (The random grouping scheme was generated by using SPSS to produce a random number table and then matching it with the ear tag reference table). On cohort assignment day (D0), human PBMCs were adoptively transferred via tail vein injection, with therapeutic interventions initiated 24 hours post-PBMC infusion according to protocol-defined dosing schedules. Longitudinal monitoring included biweekly tumor volumetry and body weight tracking at critical phases: pre-engraftment, pre-treatment , during treatment cycles, and pre-termination. Immune reconstitution was validated through serial flow cytometric analysis of peripheral hCD45</w:t>
      </w:r>
      <w:r>
        <w:rPr>
          <w:vertAlign w:val="superscript"/>
        </w:rPr>
        <w:t>+</w:t>
      </w:r>
      <w:r>
        <w:t xml:space="preserve"> populations at 2-day post-PBMC injection and terminal timepoints. Terminal endpoints comprised tumor excision, gravimetric analysis, macroscopic documentation, and histopathological correlation studies for efficacy evaluation.</w:t>
      </w:r>
    </w:p>
    <w:p w14:paraId="0ABADDD0">
      <w:pPr>
        <w:pStyle w:val="103"/>
      </w:pPr>
      <w:r>
        <w:t xml:space="preserve"> </w:t>
      </w:r>
    </w:p>
    <w:p w14:paraId="3DDC1A67">
      <w:pPr>
        <w:pStyle w:val="103"/>
      </w:pPr>
      <w:r>
        <w:t>Single-Cell RNA Sequencing and Mass Cytometry Analysis in Mouse Tumor Tissues</w:t>
      </w:r>
    </w:p>
    <w:p w14:paraId="3FEDB0D8">
      <w:pPr>
        <w:pStyle w:val="103"/>
      </w:pPr>
      <w:r>
        <w:t xml:space="preserve">Single-cell RNA sequencing (scRNA-seq) was performed on dissociated tumor tissues from C57BL/6 mice (sh-NC and sh-TKTL1 groups). Following tissue dissociation (Tumor Dissociation Kit, Miltenyi Biotec) and viability assessment, single-cell suspensions were processed using the MobiNova®-100. Data were analyzed with Cell Ranger and Seurat for clustering and annotation using canonical marker genes.  </w:t>
      </w:r>
    </w:p>
    <w:p w14:paraId="1CA616A1">
      <w:pPr>
        <w:pStyle w:val="103"/>
      </w:pPr>
      <w:r>
        <w:t xml:space="preserve"> </w:t>
      </w:r>
    </w:p>
    <w:p w14:paraId="2ABECEE5">
      <w:pPr>
        <w:pStyle w:val="103"/>
      </w:pPr>
      <w:r>
        <w:t>For mass cytometry (CyTOF), the treatment method of mouse tissue was referred to Miltenyi Biotec mouse tumor isolation Kit. Percoll removed impurities and split red. CyTOF staining steps included 194Pt staining-Fc block-surface antibody staining -overnight DNA staining-intracellular antibody staining-data collection on computer.</w:t>
      </w:r>
    </w:p>
    <w:p w14:paraId="7513E7B4">
      <w:pPr>
        <w:pStyle w:val="103"/>
      </w:pPr>
      <w:r>
        <w:t xml:space="preserve"> </w:t>
      </w:r>
    </w:p>
    <w:p w14:paraId="17ACCD4B">
      <w:pPr>
        <w:pStyle w:val="102"/>
      </w:pPr>
      <w:r>
        <w:t xml:space="preserve">Cell cultures </w:t>
      </w:r>
    </w:p>
    <w:p w14:paraId="5B4C751C">
      <w:pPr>
        <w:pStyle w:val="103"/>
      </w:pPr>
      <w:r>
        <w:t xml:space="preserve">Mice HCC cells (Hepa1-6) and human HCC cells (Hep-3B and HCC-LM3) were supplied by the Cell Bank of Type Culture Collection. </w:t>
      </w:r>
      <w:r>
        <w:rPr>
          <w:u w:val="single"/>
        </w:rPr>
        <w:br w:type="textWrapping"/>
      </w:r>
      <w:r>
        <w:t>Hepa1-6 cells, Hep-3B and HCC-LM3 cells were all cultured with DMEM medium (Gibco, USA). At 37°C and 5% CO2 in an incubator, all the cells were supplied with 10% fetal bovine serum (Gibco, USA) and 1% penicillin/streptomycin (Gibco, USA).</w:t>
      </w:r>
    </w:p>
    <w:p w14:paraId="1F359C39">
      <w:pPr>
        <w:pStyle w:val="103"/>
      </w:pPr>
      <w:r>
        <w:t xml:space="preserve"> </w:t>
      </w:r>
    </w:p>
    <w:p w14:paraId="66B70382">
      <w:pPr>
        <w:pStyle w:val="103"/>
      </w:pPr>
      <w:r>
        <w:t>DC2.4 murine dendritic cells were maintained in RPMI-1640 supplemented with 10% heat-inactivated FBS, 20 ng/mL recombinant murine GM-CSF, 100 U/mL penicillin, and 100 μg/mL streptomycin at 37°C/5% CO₂, with media replenished every 48 hours. Hepa1-6 murine hepatocellular carcinoma cells were cultured in DMEM containing 10% FBS under identical conditions. CD8⁺ T cells were isolated from C57BL/6 mouse spleens using a CD8⁺ T Cell Isolation Kit (Miltenyi Biotec,Germany) and pre-activated for 48 hours in RPMI-1640 complete medium with 2.5 μg/mL anti-CD3/CD28 antibodies and 100 U/mL recombinant murine IL-2. All cell lines were authenticated before the start of the experiment and were regularly tested for infections, including mycoplasma.</w:t>
      </w:r>
    </w:p>
    <w:p w14:paraId="160E7309">
      <w:pPr>
        <w:pStyle w:val="103"/>
      </w:pPr>
      <w:r>
        <w:t xml:space="preserve"> </w:t>
      </w:r>
    </w:p>
    <w:p w14:paraId="435FEDD2">
      <w:pPr>
        <w:pStyle w:val="102"/>
      </w:pPr>
      <w:r>
        <w:t>Cell transfection</w:t>
      </w:r>
    </w:p>
    <w:p w14:paraId="52336B0D">
      <w:pPr>
        <w:pStyle w:val="103"/>
      </w:pPr>
      <w:r>
        <w:t>TKTL1 expression was down regulated in human HCC cell lines by using shRNA (Genechem, China). For a whole day, we incubated 1×10</w:t>
      </w:r>
      <w:r>
        <w:rPr>
          <w:vertAlign w:val="superscript"/>
        </w:rPr>
        <w:t>5</w:t>
      </w:r>
      <w:r>
        <w:t xml:space="preserve"> cells in each well of a six-well plate with 2 ml of medium. Subsequently, the medium was increased to 1 ml, and 40 µL of polybrene (Sigma-Aldrich, USA) were combined with the relevant quantity of virus. Following a 12- to 16-hour incubation period, the cells were cultivated in standard media and puromycin was added for screening (Beyotime, China). Overexpression experiments   involved OE-TKTL1 lentivirus in mice or HCC cells were performed. We used qRT-PCR and Western blotting assays to monitor the transfection effectiveness. Sequences used in this study were listed in supplementary table.1.</w:t>
      </w:r>
    </w:p>
    <w:p w14:paraId="199EC2CB">
      <w:pPr>
        <w:pStyle w:val="103"/>
      </w:pPr>
      <w:r>
        <w:t xml:space="preserve"> </w:t>
      </w:r>
    </w:p>
    <w:p w14:paraId="7AA39CE4">
      <w:pPr>
        <w:pStyle w:val="103"/>
      </w:pPr>
      <w:r>
        <w:t>TRIM28 knockdown was achieved by transfecting species-specific constructs: mice-targeting siRNA (Transheep, China) into murine DC 2.4 cells. Cells were plated at 1×10⁵ density per well in 6-well plates containing 2 ml culture medium and incubated for 24 hours. The medium was then exchanged for 1 ml fresh medium supplemented with viral particles and 40 µL polybrene (Sigma-Aldrich, USA). Following 12-16 hours incubation, cells underwent puromycin selection in standard culture medium. Transduction efficiency was confirmed through qRT-PCR and Western blot analysis. Sequences used in this study were listed in supplementary table.1.</w:t>
      </w:r>
    </w:p>
    <w:p w14:paraId="71C6CB0A">
      <w:pPr>
        <w:pStyle w:val="103"/>
      </w:pPr>
      <w:r>
        <w:t xml:space="preserve"> </w:t>
      </w:r>
    </w:p>
    <w:p w14:paraId="72683458">
      <w:pPr>
        <w:pStyle w:val="102"/>
      </w:pPr>
      <w:r>
        <w:t xml:space="preserve">RNA extraction and qRT-PCR </w:t>
      </w:r>
    </w:p>
    <w:p w14:paraId="22ACFB99">
      <w:pPr>
        <w:pStyle w:val="103"/>
      </w:pPr>
      <w:r>
        <w:t>The Cell/Tissue Total RNA Isolation Kit (Vazyme, China) was used to extract total RNA from tissues and cells. We converted RNA into cDNA using a reverse transcription kit (Vazyme, China).Supplementary table.1 includes a list of all primer sequences. The levels of mRNA expression were normalised using the internal control (β-actin).</w:t>
      </w:r>
    </w:p>
    <w:p w14:paraId="613CD826">
      <w:pPr>
        <w:pStyle w:val="103"/>
      </w:pPr>
      <w:r>
        <w:t xml:space="preserve"> </w:t>
      </w:r>
    </w:p>
    <w:p w14:paraId="763D1327">
      <w:pPr>
        <w:pStyle w:val="102"/>
      </w:pPr>
      <w:r>
        <w:t>Western blotting</w:t>
      </w:r>
    </w:p>
    <w:p w14:paraId="2014A7D8">
      <w:pPr>
        <w:pStyle w:val="103"/>
      </w:pPr>
      <w:r>
        <w:t>Proteins were extracted from the cells using RIPA lysis buffer (Sigma-Aldrich, USA) containing protease and phosphatase inhibitor (Beyotime, China), separated by 10% SDS-PAGE (Sigma-Aldrich, USA), and transferred to polyvinylidene fluoride (PVDF) membranes (Millipore, USA) as per the manufacturer's operating manual. After blocking the membranes for 30 minutes with blocking buffer (NCM, China), the membranes were incubated with primary antibodies for a whole night at 4°C. The ECL signals were seen using an ECL Kit (NCM, China) following a one-hour incubation period with the corresponding secondary antibodies and three TBST-buffered saline washings every ten minutes. Antibodies used in this study were listed in Supplementary table.2.</w:t>
      </w:r>
    </w:p>
    <w:p w14:paraId="5377D9DE">
      <w:pPr>
        <w:pStyle w:val="103"/>
      </w:pPr>
      <w:r>
        <w:t xml:space="preserve"> </w:t>
      </w:r>
    </w:p>
    <w:p w14:paraId="37EDEFAB">
      <w:pPr>
        <w:pStyle w:val="102"/>
      </w:pPr>
      <w:r>
        <w:t xml:space="preserve">Cell proliferation assay </w:t>
      </w:r>
    </w:p>
    <w:p w14:paraId="3E103AAE">
      <w:pPr>
        <w:pStyle w:val="103"/>
      </w:pPr>
      <w:r>
        <w:t xml:space="preserve">In the clone forming experiment, HCC cells were seeded in 6-well plates at a density of 1000 cells/well. After 10 days, the cells were fixed using methanol, followed by staining with Giemsa (Sigma-Aldrich, USA), and the colonies were then imaged and counted. </w:t>
      </w:r>
    </w:p>
    <w:p w14:paraId="0FA7EA99">
      <w:pPr>
        <w:pStyle w:val="103"/>
      </w:pPr>
      <w:r>
        <w:t xml:space="preserve"> </w:t>
      </w:r>
    </w:p>
    <w:p w14:paraId="37DFAAB4">
      <w:pPr>
        <w:pStyle w:val="103"/>
      </w:pPr>
      <w:r>
        <w:t>Using Cell-Light 5-ethynyl-2’-deoxyuridine (EdU) DNA Cell Proliferation Kit (RiboBio, China), we performed the EdU experiment to assess cell proliferation. We plated 5×10</w:t>
      </w:r>
      <w:r>
        <w:rPr>
          <w:vertAlign w:val="superscript"/>
        </w:rPr>
        <w:t xml:space="preserve">4 </w:t>
      </w:r>
      <w:r>
        <w:t>HCC cells in 24-well plates, and the cells were then cultured for 24 h. The cell lines were fixed with 4% paraformaldehyde after incubating them with 50 mmol/L EdU solution for 2 h. Following the manufacturers protocol, we treated the cell lines with Apollo Dye Solution and DAPI, respectively. EdU cell lines were captured and counted under Olympus FSX100 microscope (Olympus, Japan).</w:t>
      </w:r>
    </w:p>
    <w:p w14:paraId="1AA47AEF">
      <w:pPr>
        <w:pStyle w:val="103"/>
      </w:pPr>
      <w:r>
        <w:t xml:space="preserve"> </w:t>
      </w:r>
    </w:p>
    <w:p w14:paraId="330CD780">
      <w:pPr>
        <w:pStyle w:val="102"/>
      </w:pPr>
      <w:r>
        <w:t>Transwell assay</w:t>
      </w:r>
    </w:p>
    <w:p w14:paraId="0EB41794">
      <w:pPr>
        <w:pStyle w:val="103"/>
      </w:pPr>
      <w:r>
        <w:t>By adhering to the manufacturer's guidelines, HCC cells were placed in the upper chambers with 200μl of serum-free RPMI 1640 medium (Gibco, USA). In preparation for the invasion and migration assays, the transwell chamber (Corning, USA) was coated with a matrigel mixture (BD Biosciences, USA). The bottom chamber was filled with DMEM medium (Gibco, USA) and 10% FBS (Gibco, USA) to serve as a cell attractant. Following a 48-hour incubation period, the top chambers were fixed and stained with crystal violet dye (Beyotime, China) for 15 minutes. Cell counting and imaging were conducted in 3 different fields for visualization purposes.</w:t>
      </w:r>
    </w:p>
    <w:p w14:paraId="2DF94695">
      <w:pPr>
        <w:pStyle w:val="103"/>
      </w:pPr>
      <w:r>
        <w:t xml:space="preserve"> </w:t>
      </w:r>
    </w:p>
    <w:p w14:paraId="4F159659">
      <w:pPr>
        <w:pStyle w:val="102"/>
      </w:pPr>
      <w:r>
        <w:t xml:space="preserve">Wound healing assay  </w:t>
      </w:r>
    </w:p>
    <w:p w14:paraId="0A35B478">
      <w:pPr>
        <w:pStyle w:val="103"/>
      </w:pPr>
      <w:r>
        <w:t>HCC cells were evenly distributed in 6-well culture plates. A standard 20-µl pipette tip was employed to create deliberate wounds on the confluent cell layer. The controlled elimination process aimed to segregate debris and floating cells at the well's base. Subsequently, a serum-free medium was introduced, and the plate was subjected to a 37°C incubation. The width of the scratch was measured using an inverted microscope and images were captured at 0 and 48 hours. This experimental procedure was repeated thrice to assess both the initial wound width and the extent of cell migration.</w:t>
      </w:r>
    </w:p>
    <w:p w14:paraId="495914CB">
      <w:pPr>
        <w:pStyle w:val="103"/>
      </w:pPr>
      <w:r>
        <w:t xml:space="preserve"> </w:t>
      </w:r>
    </w:p>
    <w:p w14:paraId="797F883C">
      <w:pPr>
        <w:pStyle w:val="102"/>
      </w:pPr>
      <w:r>
        <w:t xml:space="preserve">Flow cytometry detection and analysis </w:t>
      </w:r>
    </w:p>
    <w:p w14:paraId="2C9A537E">
      <w:pPr>
        <w:pStyle w:val="103"/>
      </w:pPr>
      <w:r>
        <w:t xml:space="preserve">Single-cell suspensions were prepared from spleens, lymph nodes, and tumor tissues. Initially, all cells were stained with Live/Dead dye (BioLegend) at 4 °C for 30 minutes. Regarding surface staining, cells were collected and washed twice with phosphate-buffered saline (PBS). Subsequently, they were stained in PBS supplemented with 2% fetal bovine serum (FBS) using antibodies at the recommended dilution on ice for 30 minutes in the dark. Prior to flow cytometry analysis, the cells were washed twice with PBS. For the intracellular staining of cells to quantify cytokines, cells were harvested and washed twice with PBS. They were then fixed, permeabilized, and stained using the Intracellular Fixation &amp; Permeabilization Buffer set (eBioscience, 88 - 8824) in accordance with the manufacturer's protocol. Before fluorescence-activated cell sorting (FACS) analysis, the stained cells were washed twice with PBS. Antibody information is detailed in Supplementary Supplementary table.2. Cells were initially gated based on forward scatter (FSC) and side scatter (SSC) characteristics to exclude debris. Subsequently, FSC - area (FSC - A) and FSC - height (FSC - H) were used for gating, followed by SSC - A and SSC - H to eliminate non-singlet cells. Target cells were then gated to obtain the population of interest through specific staining. Data were acquired using the CytoFLEX S system (Beckman) and analyzed with FlowJo (v.10.5.3). </w:t>
      </w:r>
    </w:p>
    <w:p w14:paraId="3781DF9E">
      <w:pPr>
        <w:pStyle w:val="103"/>
      </w:pPr>
      <w:r>
        <w:t xml:space="preserve"> </w:t>
      </w:r>
    </w:p>
    <w:p w14:paraId="0C6C77E2">
      <w:pPr>
        <w:pStyle w:val="102"/>
      </w:pPr>
      <w:r>
        <w:t xml:space="preserve">Metabolomics sequencing and detection </w:t>
      </w:r>
    </w:p>
    <w:p w14:paraId="383FD785">
      <w:pPr>
        <w:pStyle w:val="103"/>
      </w:pPr>
      <w:r>
        <w:t>A concoction of methanol, acetonitrile, and water was prepared in a 2:2:1 proportion. After cooling, 1 ml of this blend was sonicated for 60 minutes in ice water. The sample then underwent an hour-long incubation at -20°C. Centrifugation at 14,000 g at a temperature of 4°C was performed for 20 minutes to facilitate LC-MS analysis. The evaluation of metabolomics utilized a UPLC-ESI-Q-Orbitrap-MS system (UHPLC, Shimadzu Nexera X2 LC-30AD, Shimadzu, Japan), complemented by Q-Exactive Plus (Thermo Scientific, USA). Data were obtained via electrospray ionization (ESI) in both positive and negative modes. Quality control (QC) samples were made by combining all aliquots, followed by data normalization. Every six samples saw the injection of QC and blank samples (75% acetonitrile in water).</w:t>
      </w:r>
    </w:p>
    <w:p w14:paraId="043BC88F">
      <w:pPr>
        <w:pStyle w:val="103"/>
      </w:pPr>
      <w:r>
        <w:t xml:space="preserve"> </w:t>
      </w:r>
    </w:p>
    <w:p w14:paraId="0489D51E">
      <w:pPr>
        <w:pStyle w:val="102"/>
      </w:pPr>
      <w:r>
        <w:t>Metabolic Flux Analysis</w:t>
      </w:r>
    </w:p>
    <w:p w14:paraId="36C19818">
      <w:pPr>
        <w:pStyle w:val="103"/>
      </w:pPr>
      <w:r>
        <w:t>Cells were cultured in medium containing uniformly labeled [U-¹³C]glucose for 8-12 hours to achieve isotopic steady-state. Upon reaching metabolic equilibrium, pre-cooled extraction solvent was added to the culture. The mixture was vortexed, immediately snap-frozen in liquid nitrogen, and subjected to sonication. Following low-temperature incubation for ≥1 hour, the samples were centrifuged at low temperature. The resulting supernatant was collected, lyophilized, and reconstituted in solvent. After thorough dissolution, the solution was centrifuged again under cold conditions, and the final supernatant was transferred to LC-MS vials for analysis. LC-MS signals were matched to corresponding metabolites by comparison with a standard compound database and/or via algorithm-based prediction.</w:t>
      </w:r>
    </w:p>
    <w:p w14:paraId="3BF4B366">
      <w:pPr>
        <w:pStyle w:val="103"/>
      </w:pPr>
      <w:r>
        <w:t xml:space="preserve"> </w:t>
      </w:r>
    </w:p>
    <w:p w14:paraId="3593325D">
      <w:pPr>
        <w:pStyle w:val="102"/>
      </w:pPr>
      <w:r>
        <w:t>Seahorse assay</w:t>
      </w:r>
    </w:p>
    <w:p w14:paraId="6AFFD93F">
      <w:pPr>
        <w:pStyle w:val="103"/>
      </w:pPr>
      <w:r>
        <w:t>The extracellular flux analyzer, Seahorse XF96 (Agilent Seahorse XF Technology, USA), was used to assess the glycolytic activity of the HCC cells. In Seahorse XF96 well plates, cells were seeded at 12,000 cells per well. Right before the assays, these cells were changed from a culture medium to an assay medium and incubated for 1 h at 37 °C. Under baseline conditions and with the addition of Glucose (Agilent, USA), Oligomycin (Agilent, USA), and 2-deoxyglucose (Agilent, USA), the extracellular acidification rate (ECAR) was determined. By graphing the total ECAR as a function of time (mpH/min), respectively, in the XF96 Glycolysis report generator, the total ECAR was calculated. cells were immediately trypsinized and normalized individual well rate data to protein concentration after the completion of the experiment.</w:t>
      </w:r>
    </w:p>
    <w:p w14:paraId="743E4051">
      <w:pPr>
        <w:pStyle w:val="103"/>
      </w:pPr>
      <w:r>
        <w:t xml:space="preserve"> </w:t>
      </w:r>
    </w:p>
    <w:p w14:paraId="13365C23">
      <w:pPr>
        <w:pStyle w:val="102"/>
      </w:pPr>
      <w:r>
        <w:t>NADPH/NADP⁺Ratio in Tumor Cells</w:t>
      </w:r>
    </w:p>
    <w:p w14:paraId="2779762B">
      <w:pPr>
        <w:pStyle w:val="103"/>
      </w:pPr>
      <w:r>
        <w:t>Human hepatocellular carcinoma cells were cultured in DMEM high-glucose medium with 10% FBS, 100 U/mL penicillin and 100 μg/mL streptomycin at 37℃ with 5% CO₂. Logarithmic phase cells (70%~80% confluence) were lysed with pre-cooled RIPA buffer on ice, centrifuged, and the supernatant was collected. NADPH/NADP⁺ contents were detected using Promega kit (G9081): standard curves were prepared, 10 μL supernatant was added to 96-well plates (3 replicates), followed by detection buffer and enzyme mixture, incubated in dark for 30 min, and absorbance was measured at 560 nm. The NADPH/NADP⁺ ratio was calculated from standard curves, with 3 independent repeats</w:t>
      </w:r>
    </w:p>
    <w:p w14:paraId="79B72616">
      <w:pPr>
        <w:pStyle w:val="103"/>
      </w:pPr>
      <w:r>
        <w:t xml:space="preserve"> </w:t>
      </w:r>
    </w:p>
    <w:p w14:paraId="023D0B5D">
      <w:pPr>
        <w:pStyle w:val="102"/>
      </w:pPr>
      <w:r>
        <w:t>CUT&amp;Tag Assay</w:t>
      </w:r>
    </w:p>
    <w:p w14:paraId="7AE99B84">
      <w:pPr>
        <w:pStyle w:val="103"/>
      </w:pPr>
      <w:r>
        <w:t>Freshly harvested cells were counted and aliquoted into microcentrifuge tubes. Following low-speed centrifugation, the supernatant was discarded. Cells were resuspended in Digitonin Permeabilization Buffer and gently agitated. Concanavalin A-coated magnetic beads (ConA beads), pre-equilibrated in Binding Buffer, were added dropwise to the suspension. Samples were gently inverted for 5-10 min. After magnetic separation and buffer removal, cells were resuspended in ice-cold Antibody Buffer. Tubes were incubated on a rotator at room temperature for 2 h. Primary antibody was removed, and cells were washed. A 1:100 dilution of secondary antibody in Digitonin Permeabilization Buffer was added. Tubes were gently agitated and incubated on a rotator at room temperature for 30-60 min. Following washing, the CUT&amp;Tag Transposome complex was diluted 1:250 in Digitonin Permeabilization Buffer 2 and added dropwise to the cells. After gentle agitation, tubes were placed on a magnetic stand. The supernatant was discarded after bead capture. CUT&amp;Tag Activation Buffer (300 µL) was added, tubes were gently agitated, and incubated at 37°C for 1 h. DNA was extracted (1 h), amplified by PCR (1 h; including a 5 min 72°C step prior to cycling), purified (30 min), and subjected to sequencing.</w:t>
      </w:r>
    </w:p>
    <w:p w14:paraId="6F0001A7">
      <w:pPr>
        <w:pStyle w:val="103"/>
      </w:pPr>
      <w:r>
        <w:t xml:space="preserve"> </w:t>
      </w:r>
    </w:p>
    <w:p w14:paraId="6E4C4765">
      <w:pPr>
        <w:pStyle w:val="102"/>
      </w:pPr>
      <w:r>
        <w:t>Luciferase reporter assay</w:t>
      </w:r>
    </w:p>
    <w:p w14:paraId="7F5BE4E6">
      <w:pPr>
        <w:pStyle w:val="103"/>
      </w:pPr>
      <w:r>
        <w:t>The full-length human HK2 gene promoter was cloned into the pGL3-basic luciferase reporter vector (Genechem, China) to generate the wild-type reporter plasmid pGL3-HK2-WT. A series of HK2 promoter deletion fragments of different lengths were amplified by PCR and cloned individually into pGL3-basic to identify the minimal core region required for both basal and HIF-1α-induced HK2 promoter activity. Using a site-directed mutagenesis kit (Genechem, China), the HIF-1α core binding site in the HK2 promoter was mutated using pGL3-HK2-WT as the template, generating the mutant reporter plasmid pGL3-HK2-Mut. Reporter plasmids were co-transfected with the pRL-TK Renilla luciferase internal control plasmid into cells. At 48 h post-transfection, luciferase activity was measured using the Dual-Luciferase Reporter Assay System (Promega, USA), and results were expressed as the ratio of firefly to Renilla luciferase activity.</w:t>
      </w:r>
    </w:p>
    <w:p w14:paraId="03694B76">
      <w:pPr>
        <w:pStyle w:val="103"/>
      </w:pPr>
      <w:r>
        <w:t xml:space="preserve"> </w:t>
      </w:r>
    </w:p>
    <w:p w14:paraId="7980A3BD">
      <w:pPr>
        <w:pStyle w:val="102"/>
      </w:pPr>
      <w:r>
        <w:t>ChIP-qPCR assay</w:t>
      </w:r>
    </w:p>
    <w:p w14:paraId="57167A80">
      <w:pPr>
        <w:pStyle w:val="103"/>
      </w:pPr>
      <w:r>
        <w:t xml:space="preserve">We performed the ChIP assay using the EZ-Magna ChIP Chromatin Immunoprecipitation Kit (Abcam, UK), according to the manufacturer’s instructions. In brief, we fixed cells in 1% formaldehyde for 10 min at ambient temperature. The fixed cells were harvested, lysed, and sonicated for 10 cycles of 10s ON/20s OFF and 50% AMPL using Sonics VCX130 (Sonics &amp; Materials, USA). Antibodies against HIF-1α and rabbit IgG (Thermo Fisher, USA) were used for immunoprecipitation. PCR amplification of the precipitated DNA was performed. </w:t>
      </w:r>
    </w:p>
    <w:p w14:paraId="14666F9F">
      <w:pPr>
        <w:pStyle w:val="103"/>
      </w:pPr>
      <w:r>
        <w:t xml:space="preserve"> </w:t>
      </w:r>
    </w:p>
    <w:p w14:paraId="38D4E88D">
      <w:pPr>
        <w:pStyle w:val="102"/>
      </w:pPr>
      <w:r>
        <w:t xml:space="preserve">Immunoprecipitation (IP) assay </w:t>
      </w:r>
    </w:p>
    <w:p w14:paraId="5AEA2F21">
      <w:pPr>
        <w:pStyle w:val="103"/>
      </w:pPr>
      <w:r>
        <w:t>Cells were introduced with the specified plasmids and allowed to incubate for a period of 24 hours. Following this, the cells underwent lysis in an IP lysis buffer, which had protease and phosphatase inhibitor tablets, for half an hour. Post centrifugation at 12000 rpm at a temperature of 4 ℃, the supernatant, which contained the protein, was subjected to overnight incubation with protein G agarose beads (Beyotime, China) and specific antibodies at 4 ℃. Subsequently, the beads were thoroughly rinsed three times with buffers having 300mM and 150mM NaCl and then were treated with a 2×SDS loading buffer at 4 ℃ before executing the immunoblotting process.The information of antibodies could be found in Supplementary table.2.</w:t>
      </w:r>
    </w:p>
    <w:p w14:paraId="651EF0E2">
      <w:pPr>
        <w:pStyle w:val="103"/>
      </w:pPr>
      <w:r>
        <w:t xml:space="preserve"> </w:t>
      </w:r>
    </w:p>
    <w:p w14:paraId="6F0BFD84">
      <w:pPr>
        <w:pStyle w:val="102"/>
      </w:pPr>
      <w:r>
        <w:t>Immunoprecipitation-Mass Spectrometry (IP-MS)</w:t>
      </w:r>
    </w:p>
    <w:p w14:paraId="3A09B4FA">
      <w:pPr>
        <w:pStyle w:val="103"/>
      </w:pPr>
      <w:r>
        <w:t xml:space="preserve">Target protein gel bands were excised, destained (50% ACN/50mM NH₄HCO₃), and dehydrated (100% ACN). Reduction used 10mM TCEP (37°C, 30min); alkylation used 25mM iodoacetamide (RT, dark, 30min). After washing (50mM NH₄HCO₃) and dehydration, in-gel digestion used 2μg trypsin (50mM NH₄HCO₃, 37°C, overnight). Peptides were extracted (50% ACN/0.1% FA), SpeedVac-dried, and resuspended in 0.1% FA. LC separation (EASY nLC-1200, 400 nL/min) used: 2-7% B (1min), 7-35% B (35min), 35-55% B (9min), 55-100% B (7min), 100% B (8min). Mobile phase A: 0.1% FA; B: 0.1% FA/80% ACN. MS (Q Exactive HF-X) used nano-ESI (2.0 kV). Full MS: Orbitrap, 60,000 resolution. MS/MS: Top 20 precursors, NCE 27, Orbitrap 30,000 resolution, 20s dynamic exclusion. Data searched via Proteome Discoverer 2.4 against SwissProt Human (2023_09) with Trypsin/P (≤2 miscleavages). </w:t>
      </w:r>
    </w:p>
    <w:p w14:paraId="2170B6C2">
      <w:pPr>
        <w:pStyle w:val="103"/>
      </w:pPr>
      <w:r>
        <w:t xml:space="preserve"> </w:t>
      </w:r>
    </w:p>
    <w:p w14:paraId="7C200571">
      <w:pPr>
        <w:pStyle w:val="102"/>
      </w:pPr>
      <w:r>
        <w:t xml:space="preserve">GST Pull-down Assay </w:t>
      </w:r>
    </w:p>
    <w:p w14:paraId="737DBF80">
      <w:pPr>
        <w:pStyle w:val="103"/>
      </w:pPr>
      <w:r>
        <w:t>Purified recombinant protein (Abcam, UK) was incubated with glutathione agarose gel at 4°C for 1 hour, followed by washing with binding buffer. Target protein was added and incubated for another hour under the same conditions. The protein complex was washed and eluted using elution buffer. Eluted proteins were analyzed by SDS-PAGE and Western blotting. GST (glutathione S-transferase) protein was used as a negative control.</w:t>
      </w:r>
    </w:p>
    <w:p w14:paraId="3A2890A7">
      <w:pPr>
        <w:pStyle w:val="103"/>
      </w:pPr>
      <w:r>
        <w:t xml:space="preserve"> </w:t>
      </w:r>
    </w:p>
    <w:p w14:paraId="414239F3">
      <w:pPr>
        <w:pStyle w:val="102"/>
      </w:pPr>
      <w:r>
        <w:t xml:space="preserve">Mass Cytometry </w:t>
      </w:r>
    </w:p>
    <w:p w14:paraId="24B5EC9B">
      <w:pPr>
        <w:pStyle w:val="103"/>
      </w:pPr>
      <w:r>
        <w:t>Peripheral blood mononuclear cells (PBMCs) from 18 samples (from 9 HCC patients) underwent CyTOF analysis. CyTOF staining steps comprised 194Pt staining → Fc block → surface antibody staining → overnight DNA staining (191/193Ir) → intracellular antibody staining → collecting data on the computer. The data analysis steps comprised A. FlowJo pretreatment: circle and select single, live and complete CD45</w:t>
      </w:r>
      <w:r>
        <w:rPr>
          <w:vertAlign w:val="superscript"/>
        </w:rPr>
        <w:t>+</w:t>
      </w:r>
      <w:r>
        <w:t xml:space="preserve"> immune cells; B. Bio-information analysis: X-shift algorithm performs cell subpopulation clustering, manual annotation, TSNE dimensionality reduction visual display, as well as statistical analysis.</w:t>
      </w:r>
    </w:p>
    <w:p w14:paraId="7242BB2A">
      <w:pPr>
        <w:pStyle w:val="103"/>
      </w:pPr>
      <w:r>
        <w:t xml:space="preserve"> </w:t>
      </w:r>
    </w:p>
    <w:p w14:paraId="051337B1">
      <w:pPr>
        <w:pStyle w:val="102"/>
      </w:pPr>
      <w:r>
        <w:t xml:space="preserve">Chemokine Array </w:t>
      </w:r>
    </w:p>
    <w:p w14:paraId="4D4C3779">
      <w:pPr>
        <w:pStyle w:val="103"/>
      </w:pPr>
      <w:r>
        <w:t>Prepared samples were uniformly applied to the array membrane, ensuring complete coverage of all spot wells, and incubated at room temperature for 1-2 hours to facilitate specific binding of chemokines to the immobilized capture antibodies. Unbound components were subsequently removed by thorough washing with wash buffer. If required, a blocking agent was applied to minimize non-specific binding and reduce background noise. The membrane was then incubated with a biotinylated or enzyme-conjugated detection antibody specific for the captured chemokines, forming an antibody-chemokine-detection antibody sandwich complex. Finally, bound complexes were detected using an appropriate method.</w:t>
      </w:r>
    </w:p>
    <w:p w14:paraId="7FF9034E">
      <w:pPr>
        <w:pStyle w:val="103"/>
      </w:pPr>
      <w:r>
        <w:t xml:space="preserve"> </w:t>
      </w:r>
    </w:p>
    <w:p w14:paraId="0F00CC30">
      <w:pPr>
        <w:pStyle w:val="102"/>
      </w:pPr>
      <w:r>
        <w:t xml:space="preserve">Lactylation Detection  </w:t>
      </w:r>
    </w:p>
    <w:p w14:paraId="2CA602DD">
      <w:pPr>
        <w:pStyle w:val="103"/>
      </w:pPr>
      <w:r>
        <w:t>Lactylated proteins were immunoprecipitated from sample lysates using a lactylation-specific antibody to form antigen-antibody complexes. Biotin-conjugated secondary antibodies were then applied, and lactylated targets were specifically enriched via streptavidin-biotin affinity purification. Enriched proteins were resolved by SDS-PAGE according to molecular weight and subsequently transferred to PVDF membranes. Membranes were probed with a primary antibody specific for lactylation modifications, followed by an appropriate HRP- or fluorophore-conjugated secondary antibody. Immunocomplexes were detected using chemiluminescent or fluorescent imaging systems, enabling qualitative and semi-quantitative analysis of protein lactylation.</w:t>
      </w:r>
    </w:p>
    <w:p w14:paraId="77C89F50">
      <w:pPr>
        <w:pStyle w:val="103"/>
      </w:pPr>
      <w:r>
        <w:t xml:space="preserve"> </w:t>
      </w:r>
    </w:p>
    <w:p w14:paraId="6694C7C1">
      <w:pPr>
        <w:pStyle w:val="102"/>
      </w:pPr>
      <w:r>
        <w:t xml:space="preserve">Prediction of potential allosteric sites of TKTL1 and virtual screening </w:t>
      </w:r>
    </w:p>
    <w:p w14:paraId="74C03584">
      <w:pPr>
        <w:pStyle w:val="103"/>
      </w:pPr>
      <w:r>
        <w:t>Using AlphaFold, we estimated potential allosteric sites within the TKTL1 protein structure. To identify promising compounds, we conducted virtual screening using two commercial chemical libraries, each containing over 67,000 compounds. The screening process employed grid-based ligand docking facilitated by the GLIDE software (Schrödinger Maestro 11.4), meticulously targeting the expected locations. Subsequently, we procured the top 1 compounds with the highest scores from MCE for experimental investigation.</w:t>
      </w:r>
    </w:p>
    <w:p w14:paraId="0CD1F334">
      <w:pPr>
        <w:pStyle w:val="103"/>
      </w:pPr>
      <w:r>
        <w:t xml:space="preserve"> </w:t>
      </w:r>
    </w:p>
    <w:p w14:paraId="6D6BDB3E">
      <w:pPr>
        <w:pStyle w:val="102"/>
      </w:pPr>
      <w:r>
        <w:t>Microscale thermophoresis (MST)</w:t>
      </w:r>
    </w:p>
    <w:p w14:paraId="5DC6D30E">
      <w:pPr>
        <w:pStyle w:val="103"/>
      </w:pPr>
      <w:r>
        <w:t>With the use of conventional capillaries and Monolith NT.115 (NanoTemper Technologies GmbH, Germany), MST was used to ascertain the binding affinity of TKTL1 with Quercetin 3-glc-7-gent. Lysates from HEK-293T cells expressing GFP-TKTL1 were used as a source of fluorescently labelled TKTL1. HEK-293T cells were transfected with GFP-fused TKTL1 and lysed 24h after transfection. To assess the binding of Quercetin 3-glc-7-gent to TKTL1, cell lysates were diluted 1.5-fold with MST buffer (10 mM Na-phosphate buffer, pH 7.4, 1 mM MgCl2, 3 mM KCl, 150 mM NaCl, 0.05% Tween-20) to provide optimal fluorescence levels. Quercetin 3-glc-7-gent titration series (0-1mM) were incubated with diluted cell lysates. Measurements were performed in a high-quality coated capillary (NanoTemper Technologies GmbH, Germany) using an LED light source at 470 nm with 100% IR laser power and a temperature of 25℃. The fluorescence signal was normalized, and the Hill equation was fitted using MO Affinity Analysis v2.1.3 software (NanoTemper Technologies GmbH, Germany).</w:t>
      </w:r>
    </w:p>
    <w:p w14:paraId="2F9BB1E7">
      <w:pPr>
        <w:pStyle w:val="103"/>
      </w:pPr>
      <w:r>
        <w:t xml:space="preserve"> </w:t>
      </w:r>
    </w:p>
    <w:p w14:paraId="0304C164">
      <w:pPr>
        <w:pStyle w:val="102"/>
      </w:pPr>
      <w:r>
        <w:t>Synthesis of the CQLH nanosystem</w:t>
      </w:r>
    </w:p>
    <w:p w14:paraId="687BBDF7">
      <w:pPr>
        <w:pStyle w:val="103"/>
      </w:pPr>
      <w:r>
        <w:t>Synthesis of Hollow Mesoporous MnO₂ Nanoparticles (H-MnO₂ NPs): Hollow mesoporous MnO₂ nanoparticles were synthesized via a modified hydrothermal method. Briefly, 0.5 g KMnO₄ and 0.3 g CTAB were dissolved in 40 mL deionized water under vigorous stirring. The solution was transferred to a Teflon-lined autoclave and heated at 160°C for 6 h. The resulting brown precipitate was collected by centrifugation (12,000 rpm, 15 min), washed three times with ethanol/water (1:1 v/v), and dried at 60°C overnight.</w:t>
      </w:r>
    </w:p>
    <w:p w14:paraId="10E7B9DB">
      <w:pPr>
        <w:pStyle w:val="103"/>
        <w:rPr>
          <w:lang w:eastAsia="zh-CN"/>
        </w:rPr>
      </w:pPr>
    </w:p>
    <w:p w14:paraId="6E33A61D">
      <w:pPr>
        <w:pStyle w:val="103"/>
      </w:pPr>
      <w:r>
        <w:t>Co-Loading of Quercetin 3-glc-7-gent and Lactate Oxidase (LOX): H-MnO₂ NPs (10 mg) were dispersed in 5 mL PBS (pH 7.4) containing Quercetin 3-glc-7-gent (1 mg/mL) and LOX (20 μg/mg NPs). The mixture was gently agitated at 4°C for 24 h. The co-loaded nanoparticles (denoted as QL@MnO₂) were collected by centrifugation (10,000 rpm, 10 min) and washed twice with PBS to remove unbound cargo.</w:t>
      </w:r>
    </w:p>
    <w:p w14:paraId="20B4B096">
      <w:pPr>
        <w:pStyle w:val="103"/>
      </w:pPr>
    </w:p>
    <w:p w14:paraId="4E78A144">
      <w:pPr>
        <w:pStyle w:val="103"/>
      </w:pPr>
      <w:r>
        <w:t>HCC Cell Membrane Coating: Cell membranes were isolated from Hepa1-6 HCC cells using hypotonic lysis and differential centrifugation. Membrane protein concentration was quantified by BCA assay. QL@MnO₂ nanoparticles were mixed with HCC membrane fragments (1:1 w/w protein ratio) and co-extruded 10× through a 200-nm polycarbonate membrane using an Avanti mini-extruder to form the biomimetic CQLH nanosystem.</w:t>
      </w:r>
    </w:p>
    <w:p w14:paraId="04CF9BED">
      <w:pPr>
        <w:pStyle w:val="103"/>
      </w:pPr>
      <w:r>
        <w:t xml:space="preserve"> </w:t>
      </w:r>
    </w:p>
    <w:p w14:paraId="2B9D8DFE">
      <w:pPr>
        <w:pStyle w:val="102"/>
      </w:pPr>
      <w:r>
        <w:t>Characterization of the CQLH Nanosystem</w:t>
      </w:r>
    </w:p>
    <w:p w14:paraId="565D1A45">
      <w:pPr>
        <w:pStyle w:val="103"/>
      </w:pPr>
      <w:r>
        <w:t>TEM: Morphology of H-MnO₂ NPs and CQLH was analyzed by transmission electron microscopy (JEOL JEM-2100, 200 kV). Samples were drop-cast onto copper grids and air-dried.</w:t>
      </w:r>
    </w:p>
    <w:p w14:paraId="4CC5B078">
      <w:pPr>
        <w:pStyle w:val="103"/>
      </w:pPr>
      <w:r>
        <w:t>SEM-EDS: Elemental mapping (Mn, O, C, N) was performed using SEM coupled with EDS.</w:t>
      </w:r>
    </w:p>
    <w:p w14:paraId="570FB88B">
      <w:pPr>
        <w:pStyle w:val="103"/>
      </w:pPr>
      <w:r>
        <w:t>Size and Zeta Potential: Hydrodynamic diameter and surface charge of nanoparticles (H-MnO₂, QL@MnO₂, CQLH) were measured by dynamic light scattering (DLS, Malvern Zetasizer Nano ZS) in PBS.</w:t>
      </w:r>
    </w:p>
    <w:p w14:paraId="11279B3E">
      <w:pPr>
        <w:pStyle w:val="103"/>
      </w:pPr>
      <w:r>
        <w:t>Loading Efficiency: Quercetin 3-glc-7-gent loading was quantified via UV-Vis spectrophotometry (λ = 370 nm) after dissolving nanoparticles in DMSO. LOX loading was determined by BCA assay of the unbound supernatant.</w:t>
      </w:r>
    </w:p>
    <w:p w14:paraId="377B5ED5">
      <w:pPr>
        <w:pStyle w:val="103"/>
      </w:pPr>
      <w:r>
        <w:t>pH-Responsive Release: Quercetin 3-glc-7-gent release from CQLH was evaluated in PBS at pH 7.4, 6.5, and 5.0 using dialysis (MWCO 14 kDa). Samples were analyzed by HPLC at predetermined intervals.</w:t>
      </w:r>
    </w:p>
    <w:p w14:paraId="12F1EBE5">
      <w:pPr>
        <w:pStyle w:val="103"/>
      </w:pPr>
      <w:r>
        <w:t>Membrane Coating Validation: Protein profiles of HCC cell membranes and CQLH were compared by 10% SDS-PAGE.</w:t>
      </w:r>
    </w:p>
    <w:p w14:paraId="65F373DA">
      <w:pPr>
        <w:pStyle w:val="103"/>
      </w:pPr>
      <w:r>
        <w:t>AFP Immunoblotting: α-Fetoprotein (AFP) expression on CQLH was confirmed by Western blot using anti-AFP antibody (1:1000 dilution).</w:t>
      </w:r>
    </w:p>
    <w:p w14:paraId="47B04CDC">
      <w:pPr>
        <w:pStyle w:val="103"/>
      </w:pPr>
      <w:r>
        <w:t>Mn²⁺ Release: Mn²⁺ ions generated by CQLH in acetate buffer (pH 5.0) were quantified via o-phenanthroline assay and ICP-MS.</w:t>
      </w:r>
    </w:p>
    <w:p w14:paraId="51816585">
      <w:pPr>
        <w:pStyle w:val="103"/>
      </w:pPr>
      <w:r>
        <w:t>Catalytic Activity: LOX enzymatic activity was measured spectrophotometrically (λ = 570 nm) using an Amplex™ Red Lactate Assay Kit.</w:t>
      </w:r>
    </w:p>
    <w:p w14:paraId="6C2071BC">
      <w:pPr>
        <w:pStyle w:val="103"/>
      </w:pPr>
      <w:r>
        <w:t xml:space="preserve"> </w:t>
      </w:r>
    </w:p>
    <w:p w14:paraId="33B83202">
      <w:pPr>
        <w:pStyle w:val="102"/>
      </w:pPr>
      <w:r>
        <w:t>Statistical analysis</w:t>
      </w:r>
    </w:p>
    <w:p w14:paraId="0ABDC646">
      <w:pPr>
        <w:pStyle w:val="103"/>
      </w:pPr>
      <w:r>
        <w:t>All experiments were carried out based on independent biological replicates. Statistical analysis was performed using GraphPad Prism 10.0 software, with p &lt; 0.05 indicating statistically significant differences. The specific methods are as follows: For comparison between two groups, an unpaired t-test was used to analyze the differences between biological replicate samples of the two groups; for comparison among multiple groups, one-way ANOVA or two-way ANOVA was used to analyze the differences among biological replicate samples of three or more groups; for survival analysis, the Kaplan-Meier method was used to draw survival curves, and the log-rank test was used to compare the survival differences among biological replicate samples of different groups; for correlation analysis, the Pearson correlation coefficient was used to evaluate the linear association between two variables in biological replicate samples. The detailed results of all statistical analyses (including, test type, p-value, etc.) are indicated in the legends of the corresponding figures.</w:t>
      </w:r>
    </w:p>
    <w:p w14:paraId="06CF0296">
      <w:pPr>
        <w:pStyle w:val="103"/>
      </w:pPr>
    </w:p>
    <w:p w14:paraId="29F02276">
      <w:pPr>
        <w:pStyle w:val="102"/>
      </w:pPr>
      <w:r>
        <w:t>Schematic Generation Tools</w:t>
      </w:r>
    </w:p>
    <w:p w14:paraId="4C8F008D">
      <w:pPr>
        <w:pStyle w:val="103"/>
      </w:pPr>
      <w:r>
        <w:t>The illustrations in this article were created using Figure Draw and BioRender software, for which authorization licenses have been obtained.</w:t>
      </w:r>
    </w:p>
    <w:p w14:paraId="3260BBA1">
      <w:pPr>
        <w:pStyle w:val="103"/>
        <w:rPr>
          <w:lang w:eastAsia="zh-CN"/>
        </w:rPr>
      </w:pPr>
    </w:p>
    <w:p w14:paraId="5199005C">
      <w:pPr>
        <w:pStyle w:val="104"/>
        <w:jc w:val="center"/>
      </w:pPr>
      <w:r>
        <w:drawing>
          <wp:inline distT="0" distB="0" distL="0" distR="0">
            <wp:extent cx="5943600" cy="6815455"/>
            <wp:effectExtent l="0" t="0" r="0" b="4445"/>
            <wp:docPr id="8720655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65564"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943600" cy="6815455"/>
                    </a:xfrm>
                    <a:prstGeom prst="rect">
                      <a:avLst/>
                    </a:prstGeom>
                    <a:noFill/>
                    <a:ln>
                      <a:noFill/>
                    </a:ln>
                  </pic:spPr>
                </pic:pic>
              </a:graphicData>
            </a:graphic>
          </wp:inline>
        </w:drawing>
      </w:r>
    </w:p>
    <w:p w14:paraId="6D50BBEF">
      <w:pPr>
        <w:pStyle w:val="101"/>
      </w:pPr>
      <w:r>
        <w:t>Fig</w:t>
      </w:r>
      <w:r>
        <w:rPr>
          <w:rFonts w:hint="eastAsia"/>
          <w:lang w:eastAsia="zh-CN"/>
        </w:rPr>
        <w:t>ure</w:t>
      </w:r>
      <w:r>
        <w:t>. S1.</w:t>
      </w:r>
    </w:p>
    <w:p w14:paraId="66F83E71">
      <w:pPr>
        <w:pStyle w:val="104"/>
      </w:pPr>
      <w:r>
        <w:t>(a-c) Marker gene expression profile for each cell cluster: Hepatocytes (FGA, FGB, FGG, HNF4A), Lymphoid cells (CD2, CD3D, NKG7, CD79A), Malignant1 (FGA、FGB、FGG、HNF4A、CRP、CHI3L1、SPINK1、ATF5), Malignant2 (FGA, FGB, FGG, HNF4A, TKTL1, FLNC FAM151A, FXYD2), Myeloid cells (CD68, CD163, C1QC, TREM2, ARG1).</w:t>
      </w:r>
    </w:p>
    <w:p w14:paraId="5C8071F4">
      <w:pPr>
        <w:pStyle w:val="104"/>
      </w:pPr>
      <w:r>
        <w:t>(d) UMAP plot displaying TKTL1 expression distribution across the five cell clusters.</w:t>
      </w:r>
    </w:p>
    <w:p w14:paraId="46A095FA">
      <w:pPr>
        <w:pStyle w:val="104"/>
      </w:pPr>
      <w:r>
        <w:t>(e) Inset shows immunofluorescence staining of a representative HCC sample (Response Sample 1) with DAPI (nuclear stain) and TKTL1, corroborating TKTL1 protein expression in tumor cells. Scale bar: 50 µm.</w:t>
      </w:r>
    </w:p>
    <w:p w14:paraId="761FF11C">
      <w:r>
        <w:br w:type="page"/>
      </w:r>
    </w:p>
    <w:p w14:paraId="5637CAB2">
      <w:pPr>
        <w:pStyle w:val="104"/>
        <w:jc w:val="center"/>
        <w:rPr>
          <w:rFonts w:hint="eastAsia" w:eastAsiaTheme="minorEastAsia"/>
          <w:lang w:eastAsia="zh-CN"/>
        </w:rPr>
      </w:pPr>
      <w:r>
        <w:rPr>
          <w:rFonts w:hint="eastAsia" w:eastAsiaTheme="minorEastAsia"/>
          <w:lang w:eastAsia="zh-CN"/>
        </w:rPr>
        <w:drawing>
          <wp:inline distT="0" distB="0" distL="114300" distR="114300">
            <wp:extent cx="5911850" cy="8228330"/>
            <wp:effectExtent l="0" t="0" r="12700" b="1270"/>
            <wp:docPr id="3" name="图片 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2"/>
                    <pic:cNvPicPr>
                      <a:picLocks noChangeAspect="1"/>
                    </pic:cNvPicPr>
                  </pic:nvPicPr>
                  <pic:blipFill>
                    <a:blip r:embed="rId7"/>
                    <a:stretch>
                      <a:fillRect/>
                    </a:stretch>
                  </pic:blipFill>
                  <pic:spPr>
                    <a:xfrm>
                      <a:off x="0" y="0"/>
                      <a:ext cx="5911850" cy="8228330"/>
                    </a:xfrm>
                    <a:prstGeom prst="rect">
                      <a:avLst/>
                    </a:prstGeom>
                  </pic:spPr>
                </pic:pic>
              </a:graphicData>
            </a:graphic>
          </wp:inline>
        </w:drawing>
      </w:r>
    </w:p>
    <w:p w14:paraId="3567FF95">
      <w:pPr>
        <w:pStyle w:val="101"/>
      </w:pPr>
      <w:r>
        <w:t>Fig</w:t>
      </w:r>
      <w:r>
        <w:rPr>
          <w:rFonts w:hint="eastAsia"/>
          <w:lang w:eastAsia="zh-CN"/>
        </w:rPr>
        <w:t>ure</w:t>
      </w:r>
      <w:r>
        <w:t>. S2.</w:t>
      </w:r>
    </w:p>
    <w:p w14:paraId="1FB92413">
      <w:pPr>
        <w:pStyle w:val="104"/>
      </w:pPr>
      <w:r>
        <w:t>(a) Western blot of TKTL1 protein expression in HCC cell lines; validation of TKTL1 knockdown efficiency by three specific shRNAs (sh-TKTL1-1/2/3) and specificity (without affecting TKT and TKTL2) in HCC-LM3 and Hep-3B cells.</w:t>
      </w:r>
    </w:p>
    <w:p w14:paraId="1CA9A447">
      <w:pPr>
        <w:pStyle w:val="104"/>
      </w:pPr>
      <w:r>
        <w:t>(b) Drug sensitivity assay of apatinib in HCC-LM3 and Hep-3B cells with TKTL1 overexpression (OE-TKTL1) or vector control (OE-VE). Data are mean±SD (n=3, ns: not significant; Two-way ANOVA).</w:t>
      </w:r>
    </w:p>
    <w:p w14:paraId="330FF430">
      <w:pPr>
        <w:pStyle w:val="104"/>
      </w:pPr>
      <w:r>
        <w:t xml:space="preserve">(c-d) EdU incorporation assay to evaluate cell proliferation in HCC-LM3 and Hep-3B cells (sh-NC vs. sh-TKTL1, OE-VE vs. OE-TKTL1). Scale bar: 50 µm. Data are mean±SD (n=3, *p </w:t>
      </w:r>
      <w:r>
        <w:rPr>
          <w:rFonts w:hint="eastAsia"/>
          <w:lang w:eastAsia="zh-CN"/>
        </w:rPr>
        <w:t xml:space="preserve">&lt;0.05, </w:t>
      </w:r>
      <w:r>
        <w:t>**p &lt; 0.01; Student’s t-test).</w:t>
      </w:r>
    </w:p>
    <w:p w14:paraId="0617985A">
      <w:pPr>
        <w:pStyle w:val="104"/>
      </w:pPr>
      <w:r>
        <w:t>(e-f) Colony formation assay to assess long-term proliferative capacity of HCC-LM3 cells (sh-NC vs. sh-TKTL1, OE-VE vs. OE-TKTL1). Scale bar: 50 µm. Data are mean±SD (n=3, **p &lt; 0.01</w:t>
      </w:r>
      <w:bookmarkStart w:id="2" w:name="OLE_LINK2"/>
      <w:r>
        <w:t>, ***p &lt; 0.001</w:t>
      </w:r>
      <w:bookmarkEnd w:id="2"/>
      <w:r>
        <w:t>, ****p &lt; 0.0</w:t>
      </w:r>
      <w:r>
        <w:rPr>
          <w:rFonts w:hint="eastAsia"/>
          <w:lang w:eastAsia="zh-CN"/>
        </w:rPr>
        <w:t>0</w:t>
      </w:r>
      <w:r>
        <w:t>01; Student’s t-test).</w:t>
      </w:r>
    </w:p>
    <w:p w14:paraId="523C700A">
      <w:pPr>
        <w:pStyle w:val="104"/>
      </w:pPr>
      <w:r>
        <w:t>(g-h) Transwell assay to determine invasive and migration potential of HCC-LM3 and Hep-3B cells (sh-NC vs. sh-TKTL1, OE-VE vs. OE-TKTL1). Scale bar: 200 µm. Data are mean±SD (n=3, **p &lt; 0.01, ***p &lt; 0.001; Student’s t-test).</w:t>
      </w:r>
    </w:p>
    <w:p w14:paraId="6592E587">
      <w:pPr>
        <w:pStyle w:val="104"/>
        <w:rPr>
          <w:lang w:eastAsia="zh-CN"/>
        </w:rPr>
      </w:pPr>
      <w:r>
        <w:t>(i-j) Transwell migration assay to evaluate migratory capacity of HCC-LM3 and Hep-3B cells (sh-NC vs. sh-TKTL1, OE-VE vs. OE-TKTL1). Scale bar: 200 µm. Data are mean± SD (n=3, *p &lt; 0.0</w:t>
      </w:r>
      <w:r>
        <w:rPr>
          <w:rFonts w:hint="eastAsia"/>
          <w:lang w:val="en-US" w:eastAsia="zh-CN"/>
        </w:rPr>
        <w:t>5</w:t>
      </w:r>
      <w:r>
        <w:t>,**p &lt; 0.01, ****p &lt; 0.0001; Student’s t-test).</w:t>
      </w:r>
    </w:p>
    <w:p w14:paraId="6EC552EF">
      <w:r>
        <w:br w:type="page"/>
      </w:r>
    </w:p>
    <w:p w14:paraId="34FD0CA6">
      <w:pPr>
        <w:pStyle w:val="104"/>
        <w:jc w:val="center"/>
      </w:pPr>
      <w:r>
        <w:drawing>
          <wp:inline distT="0" distB="0" distL="0" distR="0">
            <wp:extent cx="5943600" cy="6332855"/>
            <wp:effectExtent l="0" t="0" r="0" b="0"/>
            <wp:docPr id="12395113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11314"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943600" cy="6332855"/>
                    </a:xfrm>
                    <a:prstGeom prst="rect">
                      <a:avLst/>
                    </a:prstGeom>
                    <a:noFill/>
                    <a:ln>
                      <a:noFill/>
                    </a:ln>
                  </pic:spPr>
                </pic:pic>
              </a:graphicData>
            </a:graphic>
          </wp:inline>
        </w:drawing>
      </w:r>
    </w:p>
    <w:p w14:paraId="6F49D981">
      <w:pPr>
        <w:pStyle w:val="101"/>
      </w:pPr>
      <w:bookmarkStart w:id="3" w:name="OLE_LINK3"/>
      <w:r>
        <w:t>Fig</w:t>
      </w:r>
      <w:r>
        <w:rPr>
          <w:rFonts w:hint="eastAsia"/>
          <w:lang w:eastAsia="zh-CN"/>
        </w:rPr>
        <w:t>ure</w:t>
      </w:r>
      <w:r>
        <w:t>. S3.</w:t>
      </w:r>
    </w:p>
    <w:p w14:paraId="71C5221C">
      <w:pPr>
        <w:pStyle w:val="104"/>
      </w:pPr>
      <w:r>
        <w:t>(a) Schematic of the subcutaneous tumor mouse model: C57BL/6 mice were implanted with Hepa1-6 cells transduced with OE-VE (vector control) or OE-TKTL1 (TKTL1 overexpression) lentiviruses on day 0. Anti-PD-1 monoclonal antibody was administered intraperitoneally once every 3 days starting on day 7. On day 35, in vivo bioluminescence imaging was performed prior to sample collection.</w:t>
      </w:r>
    </w:p>
    <w:p w14:paraId="32BA7F56">
      <w:pPr>
        <w:pStyle w:val="104"/>
      </w:pPr>
      <w:r>
        <w:t>(b-c) Tumor growth curves of subcutaneous models in OE-VE, OE-TKTL1, OE-VE+Anti-PD-1, and OE-TKTL1+Anti-PD-1 groups over 30 days. Data are mean ± SD (n=4, ns: not significant, **p &lt; 0.01, ****p &lt; 0.00</w:t>
      </w:r>
      <w:r>
        <w:rPr>
          <w:rFonts w:hint="eastAsia"/>
          <w:lang w:val="en-US" w:eastAsia="zh-CN"/>
        </w:rPr>
        <w:t>0</w:t>
      </w:r>
      <w:r>
        <w:t>1; Two-way ANOVA).</w:t>
      </w:r>
    </w:p>
    <w:p w14:paraId="37B3E720">
      <w:pPr>
        <w:pStyle w:val="104"/>
      </w:pPr>
      <w:r>
        <w:t>(d) Gating strategy for flow cytometry analysis in subcutaneous tumor tissues: Lymphocytes were gated based on viability, singlets, CD45⁺, CD3⁺, and CD8⁺ to isolate tumor-infiltrating CD8⁺ T cells.</w:t>
      </w:r>
    </w:p>
    <w:p w14:paraId="0BB68B26">
      <w:pPr>
        <w:pStyle w:val="104"/>
      </w:pPr>
      <w:r>
        <w:t>(e) Flow cytometry analysis of exhaustion markers (PD-1, CTLA-4, TOX) and effector cytokine (IFN-γ) expression in tumor-infiltrating CD8⁺ T cells from subcutaneous tumor tissues.</w:t>
      </w:r>
    </w:p>
    <w:p w14:paraId="7504E015">
      <w:pPr>
        <w:pStyle w:val="104"/>
      </w:pPr>
      <w:r>
        <w:t>(f) Flow cytometry gating strategy for identifying lymphocytes in orthotopic HCC tumor tissues: Representative plots showing gating of viable cells, singlets, CD45⁺ immune cells, CD3⁺ T cells, and CD8⁺ T cells.</w:t>
      </w:r>
    </w:p>
    <w:p w14:paraId="0B35D29F">
      <w:pPr>
        <w:pStyle w:val="104"/>
        <w:rPr>
          <w:lang w:eastAsia="zh-CN"/>
        </w:rPr>
      </w:pPr>
      <w:r>
        <w:t>(g) Flow cytometry gating strategy for identifying lymphocytes in a chemical-induced HCC tissues: Representative plots showing gating of viable cells, singlets, CD45⁺ immune cells, CD3⁺ T cells, and CD8⁺ T cells.</w:t>
      </w:r>
    </w:p>
    <w:p w14:paraId="45FF0320">
      <w:pPr>
        <w:rPr>
          <w:lang w:eastAsia="zh-CN"/>
        </w:rPr>
      </w:pPr>
      <w:r>
        <w:rPr>
          <w:lang w:eastAsia="zh-CN"/>
        </w:rPr>
        <w:br w:type="page"/>
      </w:r>
    </w:p>
    <w:p w14:paraId="05340164">
      <w:pPr>
        <w:pStyle w:val="104"/>
        <w:jc w:val="center"/>
        <w:rPr>
          <w:lang w:eastAsia="zh-CN"/>
        </w:rPr>
      </w:pPr>
      <w:r>
        <w:drawing>
          <wp:inline distT="0" distB="0" distL="0" distR="0">
            <wp:extent cx="5659120" cy="8229600"/>
            <wp:effectExtent l="0" t="0" r="0" b="0"/>
            <wp:docPr id="69307780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7780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659120" cy="8229600"/>
                    </a:xfrm>
                    <a:prstGeom prst="rect">
                      <a:avLst/>
                    </a:prstGeom>
                    <a:noFill/>
                    <a:ln>
                      <a:noFill/>
                    </a:ln>
                  </pic:spPr>
                </pic:pic>
              </a:graphicData>
            </a:graphic>
          </wp:inline>
        </w:drawing>
      </w:r>
    </w:p>
    <w:p w14:paraId="39DF4844">
      <w:pPr>
        <w:pStyle w:val="101"/>
      </w:pPr>
      <w:bookmarkStart w:id="4" w:name="OLE_LINK9"/>
      <w:r>
        <w:t>Fig</w:t>
      </w:r>
      <w:r>
        <w:rPr>
          <w:rFonts w:hint="eastAsia"/>
          <w:lang w:eastAsia="zh-CN"/>
        </w:rPr>
        <w:t>ure</w:t>
      </w:r>
      <w:r>
        <w:t>. S</w:t>
      </w:r>
      <w:r>
        <w:rPr>
          <w:rFonts w:hint="eastAsia"/>
          <w:lang w:eastAsia="zh-CN"/>
        </w:rPr>
        <w:t>4</w:t>
      </w:r>
      <w:r>
        <w:t>.</w:t>
      </w:r>
    </w:p>
    <w:bookmarkEnd w:id="4"/>
    <w:p w14:paraId="79B76AD4">
      <w:pPr>
        <w:pStyle w:val="104"/>
        <w:rPr>
          <w:lang w:eastAsia="zh-CN"/>
        </w:rPr>
      </w:pPr>
      <w:r>
        <w:rPr>
          <w:lang w:eastAsia="zh-CN"/>
        </w:rPr>
        <w:t>(a) KEGG pathway enrichment analysis of downregulated differentially expressed genes (DEGs) from RNA sequencing of TKTL1-knockdown Hep-3B cells.</w:t>
      </w:r>
    </w:p>
    <w:p w14:paraId="0C8A4A38">
      <w:pPr>
        <w:pStyle w:val="104"/>
        <w:rPr>
          <w:lang w:eastAsia="zh-CN"/>
        </w:rPr>
      </w:pPr>
      <w:r>
        <w:rPr>
          <w:lang w:eastAsia="zh-CN"/>
        </w:rPr>
        <w:t>(b) GO enrichment analysis of upregulated DEGs from RNA sequencing of TKTL1-knockdown Hep-3B cells.</w:t>
      </w:r>
    </w:p>
    <w:p w14:paraId="304DFBEB">
      <w:pPr>
        <w:pStyle w:val="104"/>
        <w:rPr>
          <w:lang w:eastAsia="zh-CN"/>
        </w:rPr>
      </w:pPr>
      <w:r>
        <w:rPr>
          <w:lang w:eastAsia="zh-CN"/>
        </w:rPr>
        <w:t>(c) GO enrichment analysis of downregulated DEGs from RNA sequencing of TKTL1-knockdown Hep-3B cells.</w:t>
      </w:r>
    </w:p>
    <w:p w14:paraId="3AC63B57">
      <w:pPr>
        <w:pStyle w:val="104"/>
        <w:rPr>
          <w:lang w:eastAsia="zh-CN"/>
        </w:rPr>
      </w:pPr>
      <w:r>
        <w:rPr>
          <w:lang w:eastAsia="zh-CN"/>
        </w:rPr>
        <w:t>(d) Partial least squares discriminant analysis (PLS-DA) score plot of non-targeted metabolomics data, showing separation between TKTL1-knockdown (Sh) and negative control (NC) groups.</w:t>
      </w:r>
    </w:p>
    <w:p w14:paraId="61DF51B2">
      <w:pPr>
        <w:pStyle w:val="104"/>
        <w:rPr>
          <w:lang w:eastAsia="zh-CN"/>
        </w:rPr>
      </w:pPr>
      <w:r>
        <w:rPr>
          <w:lang w:eastAsia="zh-CN"/>
        </w:rPr>
        <w:t>(e) Orthogonal partial least squares discriminant analysis (OPLS-DA) score plot of non-targeted metabolomics data, distinguishing TKTL1-knockdown and NC groups.</w:t>
      </w:r>
    </w:p>
    <w:p w14:paraId="4F4DF261">
      <w:pPr>
        <w:pStyle w:val="104"/>
        <w:rPr>
          <w:lang w:eastAsia="zh-CN"/>
        </w:rPr>
      </w:pPr>
      <w:r>
        <w:rPr>
          <w:lang w:eastAsia="zh-CN"/>
        </w:rPr>
        <w:t xml:space="preserve">(f-g) Comprehensive analysis of downregulated differentially expressed genes (RNA sequencing) and metabolites (untargeted metabolomics) highlighted the enrichment of glycolysis-related pathways and alterations in RNA levels of glycolysis-associated genes. Data are mean ± SD (n=3, </w:t>
      </w:r>
      <w:bookmarkStart w:id="5" w:name="OLE_LINK7"/>
      <w:r>
        <w:rPr>
          <w:lang w:eastAsia="zh-CN"/>
        </w:rPr>
        <w:t>**p &lt; 0.01, ***p &lt; 0.001,****p &lt; 0.0001</w:t>
      </w:r>
      <w:bookmarkEnd w:id="5"/>
      <w:r>
        <w:rPr>
          <w:lang w:eastAsia="zh-CN"/>
        </w:rPr>
        <w:t>; Student’s t-test).</w:t>
      </w:r>
    </w:p>
    <w:p w14:paraId="7C584F79">
      <w:pPr>
        <w:pStyle w:val="104"/>
        <w:rPr>
          <w:lang w:eastAsia="zh-CN"/>
        </w:rPr>
      </w:pPr>
      <w:r>
        <w:rPr>
          <w:lang w:eastAsia="zh-CN"/>
        </w:rPr>
        <w:t>(h) Western blot analysis of glycolytic enzymes (GLUT1, HK2, PKM2, ENO1, LDHA) and TKTL1 in HCC-LM3 and Hep-3B cells with TKTL1 knockdown (Sh-TKTL1) or overexpression (OE-TKTL1), compared to respective controls (Sh-NC, OE-VE). β-actin serves as a loading control. Data are mean ± SD (n=3, *p &lt; 0.05, **p &lt; 0.01, ***p &lt; 0.001,****p &lt; 0.0001; Student’s t-test).</w:t>
      </w:r>
    </w:p>
    <w:p w14:paraId="62EDC5CC">
      <w:pPr>
        <w:pStyle w:val="104"/>
        <w:rPr>
          <w:lang w:eastAsia="zh-CN"/>
        </w:rPr>
      </w:pPr>
      <w:r>
        <w:rPr>
          <w:lang w:eastAsia="zh-CN"/>
        </w:rPr>
        <w:t xml:space="preserve">(i) Transwell invasion assay of TKTL1-overexpressing HCC-LM3 and Hep-3B cells treated with or without the glycolysis inhibitor 2-DG. Scale bar: 200 µm. Data are mean ± SD (n=3, </w:t>
      </w:r>
      <w:bookmarkStart w:id="6" w:name="OLE_LINK8"/>
      <w:r>
        <w:rPr>
          <w:lang w:eastAsia="zh-CN"/>
        </w:rPr>
        <w:t>ns: not significant, *p &lt; 0.05, **p &lt; 0.01, ***p &lt; 0.001,****p &lt; 0.0001</w:t>
      </w:r>
      <w:bookmarkEnd w:id="6"/>
      <w:r>
        <w:rPr>
          <w:lang w:eastAsia="zh-CN"/>
        </w:rPr>
        <w:t>; One-way ANOVA).</w:t>
      </w:r>
    </w:p>
    <w:p w14:paraId="56CA123A">
      <w:pPr>
        <w:pStyle w:val="104"/>
        <w:rPr>
          <w:lang w:eastAsia="zh-CN"/>
        </w:rPr>
      </w:pPr>
      <w:r>
        <w:rPr>
          <w:lang w:eastAsia="zh-CN"/>
        </w:rPr>
        <w:t>(j) Colony formation assay of TKTL1-overexpressing HCC-LM3 and Hep-3B cells treated with or without 2-DG. Data are mean ± SD (n=3, ns: not significant, **p &lt; 0.01, ***p &lt; 0.001,****p &lt; 0.0001; One-way ANOVA).</w:t>
      </w:r>
    </w:p>
    <w:p w14:paraId="0B1A48D5">
      <w:pPr>
        <w:rPr>
          <w:lang w:eastAsia="zh-CN"/>
        </w:rPr>
      </w:pPr>
      <w:r>
        <w:rPr>
          <w:lang w:eastAsia="zh-CN"/>
        </w:rPr>
        <w:br w:type="page"/>
      </w:r>
    </w:p>
    <w:p w14:paraId="3CDDB1A4">
      <w:pPr>
        <w:pStyle w:val="104"/>
        <w:jc w:val="center"/>
        <w:rPr>
          <w:lang w:eastAsia="zh-CN"/>
        </w:rPr>
      </w:pPr>
      <w:r>
        <w:drawing>
          <wp:inline distT="0" distB="0" distL="0" distR="0">
            <wp:extent cx="4834255" cy="8229600"/>
            <wp:effectExtent l="0" t="0" r="4445" b="0"/>
            <wp:docPr id="135026208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62083"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34255" cy="8229600"/>
                    </a:xfrm>
                    <a:prstGeom prst="rect">
                      <a:avLst/>
                    </a:prstGeom>
                    <a:noFill/>
                    <a:ln>
                      <a:noFill/>
                    </a:ln>
                  </pic:spPr>
                </pic:pic>
              </a:graphicData>
            </a:graphic>
          </wp:inline>
        </w:drawing>
      </w:r>
    </w:p>
    <w:p w14:paraId="0B1C06FC">
      <w:pPr>
        <w:pStyle w:val="101"/>
      </w:pPr>
      <w:bookmarkStart w:id="7" w:name="OLE_LINK10"/>
      <w:r>
        <w:t>Fig</w:t>
      </w:r>
      <w:r>
        <w:rPr>
          <w:rFonts w:hint="eastAsia"/>
          <w:lang w:eastAsia="zh-CN"/>
        </w:rPr>
        <w:t>ure</w:t>
      </w:r>
      <w:r>
        <w:t>. S</w:t>
      </w:r>
      <w:r>
        <w:rPr>
          <w:rFonts w:hint="eastAsia"/>
          <w:lang w:eastAsia="zh-CN"/>
        </w:rPr>
        <w:t>5</w:t>
      </w:r>
      <w:r>
        <w:t>.</w:t>
      </w:r>
    </w:p>
    <w:bookmarkEnd w:id="7"/>
    <w:p w14:paraId="72B890DC">
      <w:pPr>
        <w:pStyle w:val="104"/>
        <w:numPr>
          <w:ilvl w:val="0"/>
          <w:numId w:val="11"/>
        </w:numPr>
        <w:rPr>
          <w:lang w:eastAsia="zh-CN"/>
        </w:rPr>
      </w:pPr>
      <w:r>
        <w:rPr>
          <w:lang w:eastAsia="zh-CN"/>
        </w:rPr>
        <w:t>Principal component analysis (PCA) score plot of metabolite classes (Amino Acids, Carbohydrates, Carboxylic acids and derivatives, Organic Acids, Organooxygen compounds, Unknown) in TKTL1-knockdown (Sh) and negative control (NC) HCC cells.</w:t>
      </w:r>
    </w:p>
    <w:p w14:paraId="2D9A35B1">
      <w:pPr>
        <w:pStyle w:val="104"/>
        <w:rPr>
          <w:lang w:eastAsia="zh-CN"/>
        </w:rPr>
      </w:pPr>
      <w:r>
        <w:rPr>
          <w:lang w:eastAsia="zh-CN"/>
        </w:rPr>
        <w:t>(b) Comparative analysis of ¹³C-labeled metabolite abundances between NC and Sh groups.</w:t>
      </w:r>
    </w:p>
    <w:p w14:paraId="100AA530">
      <w:pPr>
        <w:pStyle w:val="104"/>
        <w:rPr>
          <w:lang w:eastAsia="zh-CN"/>
        </w:rPr>
      </w:pPr>
      <w:r>
        <w:rPr>
          <w:lang w:eastAsia="zh-CN"/>
        </w:rPr>
        <w:t xml:space="preserve">(c) Quantification of ¹³C-labeled glycolytic intermediates: Glucose-6-phosphate(G-6-P_M6), Fructose-6-phosphate(F-6-P_M6), Fructose-1,6-bisphosphate(F-6-P_M6), Pyruvate_M3 and Lactate_M3 in NC and Sh cells. </w:t>
      </w:r>
    </w:p>
    <w:p w14:paraId="036FECC5">
      <w:pPr>
        <w:pStyle w:val="104"/>
        <w:rPr>
          <w:lang w:eastAsia="zh-CN"/>
        </w:rPr>
      </w:pPr>
      <w:r>
        <w:rPr>
          <w:lang w:eastAsia="zh-CN"/>
        </w:rPr>
        <w:t>(d) Quantification of ¹³C-labeled pentose phosphate pathway (PPP) intermediates: Ribulose-5-phosphate_M5, Fructose-6-phosphate(F-6-P_M6), Glyceraldehyde-3-phosphate(GAP_M3), Erythrose-4-phosphate_M4, Sedoheptulose-7-phosphate_M7 and Xylulose-5-phosphate in NC and Sh cells.</w:t>
      </w:r>
    </w:p>
    <w:p w14:paraId="77DAFC3B">
      <w:pPr>
        <w:pStyle w:val="104"/>
        <w:rPr>
          <w:lang w:eastAsia="zh-CN"/>
        </w:rPr>
      </w:pPr>
      <w:r>
        <w:rPr>
          <w:lang w:eastAsia="zh-CN"/>
        </w:rPr>
        <w:t>(e) Determination of the ratio of NADPH to NADP+ after knockdown of TKTL1 NC and Sh in HCC cells. Data are mean ± SD (n=3, ns: not significant; One-way ANOVA).</w:t>
      </w:r>
    </w:p>
    <w:p w14:paraId="3397BDAB">
      <w:pPr>
        <w:rPr>
          <w:lang w:eastAsia="zh-CN"/>
        </w:rPr>
      </w:pPr>
      <w:r>
        <w:rPr>
          <w:lang w:eastAsia="zh-CN"/>
        </w:rPr>
        <w:br w:type="page"/>
      </w:r>
    </w:p>
    <w:p w14:paraId="0A57FAEA">
      <w:pPr>
        <w:pStyle w:val="104"/>
        <w:jc w:val="center"/>
        <w:rPr>
          <w:lang w:eastAsia="zh-CN"/>
        </w:rPr>
      </w:pPr>
      <w:r>
        <w:drawing>
          <wp:inline distT="0" distB="0" distL="0" distR="0">
            <wp:extent cx="5943600" cy="8189595"/>
            <wp:effectExtent l="0" t="0" r="0" b="1905"/>
            <wp:docPr id="61147749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77491"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943600" cy="8189595"/>
                    </a:xfrm>
                    <a:prstGeom prst="rect">
                      <a:avLst/>
                    </a:prstGeom>
                    <a:noFill/>
                    <a:ln>
                      <a:noFill/>
                    </a:ln>
                  </pic:spPr>
                </pic:pic>
              </a:graphicData>
            </a:graphic>
          </wp:inline>
        </w:drawing>
      </w:r>
    </w:p>
    <w:p w14:paraId="2027E4A7">
      <w:pPr>
        <w:pStyle w:val="101"/>
      </w:pPr>
      <w:bookmarkStart w:id="8" w:name="OLE_LINK11"/>
      <w:bookmarkStart w:id="9" w:name="OLE_LINK12"/>
      <w:r>
        <w:t>Fig</w:t>
      </w:r>
      <w:r>
        <w:rPr>
          <w:rFonts w:hint="eastAsia"/>
          <w:lang w:eastAsia="zh-CN"/>
        </w:rPr>
        <w:t>ure</w:t>
      </w:r>
      <w:r>
        <w:t>. S</w:t>
      </w:r>
      <w:r>
        <w:rPr>
          <w:rFonts w:hint="eastAsia"/>
          <w:lang w:eastAsia="zh-CN"/>
        </w:rPr>
        <w:t>6</w:t>
      </w:r>
      <w:r>
        <w:t>.</w:t>
      </w:r>
    </w:p>
    <w:bookmarkEnd w:id="8"/>
    <w:p w14:paraId="43FB9A36">
      <w:pPr>
        <w:pStyle w:val="104"/>
        <w:rPr>
          <w:lang w:eastAsia="zh-CN"/>
        </w:rPr>
      </w:pPr>
      <w:r>
        <w:rPr>
          <w:lang w:eastAsia="zh-CN"/>
        </w:rPr>
        <w:t>(a) CUT&amp;Tag assay profile showing the binding signal of HIF-1α and IgG control across the HK2 gene locus, with the transcription start site (TSS).</w:t>
      </w:r>
    </w:p>
    <w:p w14:paraId="2657E063">
      <w:pPr>
        <w:pStyle w:val="104"/>
        <w:rPr>
          <w:lang w:eastAsia="zh-CN"/>
        </w:rPr>
      </w:pPr>
      <w:r>
        <w:rPr>
          <w:lang w:eastAsia="zh-CN"/>
        </w:rPr>
        <w:t>(b) Genome browser visualization of HIF-1α binding peaks (from CUT&amp;Tag assay) and predicted HIF-1α target genes around the HK2 promoter region.</w:t>
      </w:r>
    </w:p>
    <w:p w14:paraId="144804DE">
      <w:pPr>
        <w:pStyle w:val="104"/>
        <w:rPr>
          <w:lang w:eastAsia="zh-CN"/>
        </w:rPr>
      </w:pPr>
      <w:r>
        <w:rPr>
          <w:lang w:eastAsia="zh-CN"/>
        </w:rPr>
        <w:t>(c) Chromatin immunoprecipitation (ChIP) assay followed by PCR validation, showing enrichment of the HK2 promoter region in HIF-1α immunoprecipitates (IP: HIF-1α) compared to IgG control and input samples.Data are mean ± SD (**p &lt; 0.01, ****p &lt; 0.0001; One-way ANOVA).</w:t>
      </w:r>
    </w:p>
    <w:p w14:paraId="29EF7664">
      <w:pPr>
        <w:pStyle w:val="104"/>
        <w:rPr>
          <w:rFonts w:hint="default" w:ascii="Times New Roman" w:hAnsi="Times New Roman" w:cs="Times New Roman"/>
          <w:lang w:eastAsia="zh-CN"/>
        </w:rPr>
      </w:pPr>
      <w:r>
        <w:rPr>
          <w:lang w:eastAsia="zh-CN"/>
        </w:rPr>
        <w:t xml:space="preserve">(d) </w:t>
      </w:r>
      <w:r>
        <w:rPr>
          <w:rFonts w:hint="eastAsia"/>
          <w:lang w:eastAsia="zh-CN"/>
        </w:rPr>
        <w:t>Dual-lucifer</w:t>
      </w:r>
      <w:r>
        <w:rPr>
          <w:rFonts w:hint="default" w:ascii="Times New Roman" w:hAnsi="Times New Roman" w:cs="Times New Roman"/>
          <w:lang w:eastAsia="zh-CN"/>
        </w:rPr>
        <w:t>ase reporter assay for HK2 5' regulatory sequence activity in HIF-1α overexpression (OE-HIF-1α) and knockdown (Sh-HIF-1α) cells, with OE-VE and Sh-NC as respective controls. Data are mean ± SD (n=3, ns: not significant, *p &lt; 0.05, **p &lt; 0.01, ***p &lt; 0.001,****p &lt; 0.0001; Student’s t-test).</w:t>
      </w:r>
    </w:p>
    <w:p w14:paraId="629DA794">
      <w:pPr>
        <w:pStyle w:val="104"/>
        <w:rPr>
          <w:lang w:eastAsia="zh-CN"/>
        </w:rPr>
      </w:pPr>
      <w:r>
        <w:rPr>
          <w:lang w:eastAsia="zh-CN"/>
        </w:rPr>
        <w:t>(e) Schematic of the subcutaneous tumor mouse model for combined therapy: C57BL/6 mice were implanted with OE-VE (vector control) or OE-TKTL1 (TKTL1 overexpression) Hepa1-6 cells on day 0. Liver tumor transplantation on the seventh day. From day 14, mice received intraperitoneal (i.p.) anti-PD-1 treatment every 3 days and intraperitoneal (i.p.) MSC-4381 (MCT4 inhibitor) treatment daily, with live imaging and sample harvest on day 42.</w:t>
      </w:r>
    </w:p>
    <w:p w14:paraId="5532BD05">
      <w:pPr>
        <w:pStyle w:val="104"/>
        <w:rPr>
          <w:lang w:eastAsia="zh-CN"/>
        </w:rPr>
      </w:pPr>
      <w:r>
        <w:rPr>
          <w:lang w:eastAsia="zh-CN"/>
        </w:rPr>
        <w:t>(f-g) Representative photographs and tumor growth analysis of OE-TKTL1 subcutaneous models in different treatment groups: OE-TKTL1, OE-TKTL1+Anti-PD-1, OE-TKTL1+MSC-4381, and OE-TKTL1+MSC-4381+Anti-PD-1. Scale bar: 0.5cm. Data are mean ± SD (n=5, ns: not significant, ****p &lt; 0.0001;One-way ANOVA).</w:t>
      </w:r>
    </w:p>
    <w:p w14:paraId="093A6456">
      <w:pPr>
        <w:rPr>
          <w:lang w:eastAsia="zh-CN"/>
        </w:rPr>
      </w:pPr>
      <w:r>
        <w:rPr>
          <w:lang w:eastAsia="zh-CN"/>
        </w:rPr>
        <w:br w:type="page"/>
      </w:r>
    </w:p>
    <w:p w14:paraId="3D5137E1">
      <w:pPr>
        <w:pStyle w:val="104"/>
        <w:jc w:val="center"/>
        <w:rPr>
          <w:lang w:eastAsia="zh-CN"/>
        </w:rPr>
      </w:pPr>
      <w:r>
        <w:rPr>
          <w:lang w:eastAsia="zh-CN"/>
        </w:rPr>
        <w:drawing>
          <wp:inline distT="0" distB="0" distL="114300" distR="114300">
            <wp:extent cx="4549775" cy="8228330"/>
            <wp:effectExtent l="0" t="0" r="3175" b="1270"/>
            <wp:docPr id="1" name="图片 1"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7"/>
                    <pic:cNvPicPr>
                      <a:picLocks noChangeAspect="1"/>
                    </pic:cNvPicPr>
                  </pic:nvPicPr>
                  <pic:blipFill>
                    <a:blip r:embed="rId12"/>
                    <a:stretch>
                      <a:fillRect/>
                    </a:stretch>
                  </pic:blipFill>
                  <pic:spPr>
                    <a:xfrm>
                      <a:off x="0" y="0"/>
                      <a:ext cx="4549775" cy="8228330"/>
                    </a:xfrm>
                    <a:prstGeom prst="rect">
                      <a:avLst/>
                    </a:prstGeom>
                  </pic:spPr>
                </pic:pic>
              </a:graphicData>
            </a:graphic>
          </wp:inline>
        </w:drawing>
      </w:r>
    </w:p>
    <w:p w14:paraId="757039DD">
      <w:pPr>
        <w:pStyle w:val="101"/>
      </w:pPr>
      <w:r>
        <w:t>Fig</w:t>
      </w:r>
      <w:r>
        <w:rPr>
          <w:rFonts w:hint="eastAsia"/>
          <w:lang w:eastAsia="zh-CN"/>
        </w:rPr>
        <w:t>ure</w:t>
      </w:r>
      <w:r>
        <w:t>. S</w:t>
      </w:r>
      <w:r>
        <w:rPr>
          <w:rFonts w:hint="eastAsia"/>
          <w:lang w:eastAsia="zh-CN"/>
        </w:rPr>
        <w:t>7</w:t>
      </w:r>
      <w:r>
        <w:t>.</w:t>
      </w:r>
    </w:p>
    <w:p w14:paraId="27D8B6FD">
      <w:pPr>
        <w:pStyle w:val="104"/>
        <w:numPr>
          <w:ilvl w:val="0"/>
          <w:numId w:val="12"/>
        </w:numPr>
        <w:rPr>
          <w:lang w:eastAsia="zh-CN"/>
        </w:rPr>
      </w:pPr>
      <w:r>
        <w:rPr>
          <w:lang w:eastAsia="zh-CN"/>
        </w:rPr>
        <w:t>Quantitative analysis of protein levels normalized to β-actin and relative to Figure (4A). Data are mean ± SD (n=3, ****p &lt; 0.0001; Student’s t-test).</w:t>
      </w:r>
    </w:p>
    <w:p w14:paraId="3FF0E1AD">
      <w:pPr>
        <w:pStyle w:val="104"/>
        <w:numPr>
          <w:ilvl w:val="0"/>
          <w:numId w:val="12"/>
        </w:numPr>
        <w:rPr>
          <w:lang w:eastAsia="zh-CN"/>
        </w:rPr>
      </w:pPr>
      <w:r>
        <w:rPr>
          <w:lang w:eastAsia="zh-CN"/>
        </w:rPr>
        <w:t>USP9X mass spectrum</w:t>
      </w:r>
    </w:p>
    <w:p w14:paraId="170E748E">
      <w:pPr>
        <w:pStyle w:val="104"/>
        <w:rPr>
          <w:lang w:eastAsia="zh-CN"/>
        </w:rPr>
      </w:pPr>
      <w:r>
        <w:rPr>
          <w:lang w:eastAsia="zh-CN"/>
        </w:rPr>
        <w:t>(c) Ubiquitin linkage-specific deubiquitination assay: HEK293T cells co-transfected with His-tagged ubiquitin (Ub) chains (wild-type and linkage-specific mutants), Flag-tagged HIF-1α, and Myc-tagged USP9X plasmids. Deubiquitination assay focusing on K48-linked Ub chains: HEK293T cells transfected with K48-linked Ub (wild-type, K48O, K48R mutants), Flag-HIF-1α, and USP9X plasmids.</w:t>
      </w:r>
    </w:p>
    <w:p w14:paraId="209A22BC">
      <w:pPr>
        <w:pStyle w:val="104"/>
        <w:rPr>
          <w:lang w:eastAsia="zh-CN"/>
        </w:rPr>
      </w:pPr>
      <w:r>
        <w:rPr>
          <w:lang w:eastAsia="zh-CN"/>
        </w:rPr>
        <w:t>(d) In silico prediction of HIF-1α ubiquitination sites using GPS-Uber (http://gpsuber.biocuckoo.cn/), listing top candidate lysine (K) residues with corresponding positions, peptide sequences, and prediction scores.</w:t>
      </w:r>
    </w:p>
    <w:p w14:paraId="54335425">
      <w:pPr>
        <w:pStyle w:val="104"/>
        <w:rPr>
          <w:lang w:eastAsia="zh-CN"/>
        </w:rPr>
      </w:pPr>
      <w:r>
        <w:rPr>
          <w:highlight w:val="none"/>
          <w:lang w:eastAsia="zh-CN"/>
        </w:rPr>
        <w:t>(e) Site-directed mutagenesis validation: HEK293T cells transfected with wild-type (WT) HIF-1α or m</w:t>
      </w:r>
      <w:r>
        <w:rPr>
          <w:lang w:eastAsia="zh-CN"/>
        </w:rPr>
        <w:t>utant HIF-1α (K251</w:t>
      </w:r>
      <w:r>
        <w:rPr>
          <w:rFonts w:hint="eastAsia"/>
          <w:lang w:val="en-US" w:eastAsia="zh-CN"/>
        </w:rPr>
        <w:t>R</w:t>
      </w:r>
      <w:r>
        <w:rPr>
          <w:lang w:eastAsia="zh-CN"/>
        </w:rPr>
        <w:t>, K297</w:t>
      </w:r>
      <w:r>
        <w:rPr>
          <w:rFonts w:hint="eastAsia"/>
          <w:lang w:val="en-US" w:eastAsia="zh-CN"/>
        </w:rPr>
        <w:t>R</w:t>
      </w:r>
      <w:r>
        <w:rPr>
          <w:lang w:eastAsia="zh-CN"/>
        </w:rPr>
        <w:t>, K392</w:t>
      </w:r>
      <w:r>
        <w:rPr>
          <w:rFonts w:hint="eastAsia"/>
          <w:lang w:val="en-US" w:eastAsia="zh-CN"/>
        </w:rPr>
        <w:t>R</w:t>
      </w:r>
      <w:r>
        <w:rPr>
          <w:lang w:eastAsia="zh-CN"/>
        </w:rPr>
        <w:t>) plasmids, along with His-Ub and USP9X plasmids. IP with Flag antibody and IB with His antibody evaluate ubiquitination levels of mutant HIF-1α.</w:t>
      </w:r>
    </w:p>
    <w:p w14:paraId="50300514">
      <w:pPr>
        <w:pStyle w:val="104"/>
        <w:rPr>
          <w:lang w:eastAsia="zh-CN"/>
        </w:rPr>
      </w:pPr>
      <w:r>
        <w:rPr>
          <w:lang w:eastAsia="zh-CN"/>
        </w:rPr>
        <w:t>(f) Residue contact probability map and predicted alignment error map of TKTL1.</w:t>
      </w:r>
    </w:p>
    <w:p w14:paraId="5D3FB0D9">
      <w:pPr>
        <w:pStyle w:val="104"/>
        <w:rPr>
          <w:lang w:eastAsia="zh-CN"/>
        </w:rPr>
      </w:pPr>
      <w:r>
        <w:rPr>
          <w:lang w:eastAsia="zh-CN"/>
        </w:rPr>
        <w:t>(g) Schematic diagram of TKTL1 domain architecture (Transketolase_N, Transket_pyr, Transketolase_C domains) and HIF-1α domain structure (PAS1, PAS2&amp;PAC, ODD, ID, AbHLH, CTAD domains), highlighting the 721-786 aa region of HIF-1α.</w:t>
      </w:r>
    </w:p>
    <w:p w14:paraId="6F7053D7">
      <w:pPr>
        <w:pStyle w:val="104"/>
        <w:rPr>
          <w:lang w:eastAsia="zh-CN"/>
        </w:rPr>
      </w:pPr>
      <w:r>
        <w:rPr>
          <w:lang w:eastAsia="zh-CN"/>
        </w:rPr>
        <w:t>(h) Subcellular fractionation assay in OE-VE (vector control) and OE-TKTL1 (TKTL1 overexpression) HCC-LM3 and Hep-3B cells, detecting HIF-1α protein levels in cytoplasmic and nuclear fractions..Scale bar: 20 μm</w:t>
      </w:r>
    </w:p>
    <w:p w14:paraId="434D453C">
      <w:pPr>
        <w:pStyle w:val="104"/>
        <w:rPr>
          <w:lang w:eastAsia="zh-CN"/>
        </w:rPr>
      </w:pPr>
      <w:r>
        <w:rPr>
          <w:lang w:eastAsia="zh-CN"/>
        </w:rPr>
        <w:t>(i) Knockdown of USP9X in two HCC cell lines transfected with a TKTL1 overexpression plasmid resulted in a reduction in HIF-1α protein expression levels.</w:t>
      </w:r>
    </w:p>
    <w:p w14:paraId="7604D426">
      <w:pPr>
        <w:rPr>
          <w:lang w:eastAsia="zh-CN"/>
        </w:rPr>
      </w:pPr>
      <w:r>
        <w:rPr>
          <w:lang w:eastAsia="zh-CN"/>
        </w:rPr>
        <w:br w:type="page"/>
      </w:r>
    </w:p>
    <w:p w14:paraId="0E748335">
      <w:pPr>
        <w:pStyle w:val="104"/>
        <w:jc w:val="center"/>
        <w:rPr>
          <w:lang w:eastAsia="zh-CN"/>
        </w:rPr>
      </w:pPr>
      <w:r>
        <w:drawing>
          <wp:inline distT="0" distB="0" distL="0" distR="0">
            <wp:extent cx="5943600" cy="5807075"/>
            <wp:effectExtent l="0" t="0" r="0" b="3175"/>
            <wp:docPr id="6303057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0574" name="图片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943600" cy="5807075"/>
                    </a:xfrm>
                    <a:prstGeom prst="rect">
                      <a:avLst/>
                    </a:prstGeom>
                    <a:noFill/>
                    <a:ln>
                      <a:noFill/>
                    </a:ln>
                  </pic:spPr>
                </pic:pic>
              </a:graphicData>
            </a:graphic>
          </wp:inline>
        </w:drawing>
      </w:r>
    </w:p>
    <w:p w14:paraId="7A6D5426">
      <w:pPr>
        <w:pStyle w:val="101"/>
      </w:pPr>
      <w:bookmarkStart w:id="10" w:name="OLE_LINK13"/>
      <w:r>
        <w:t>Fig</w:t>
      </w:r>
      <w:r>
        <w:rPr>
          <w:rFonts w:hint="eastAsia"/>
          <w:lang w:eastAsia="zh-CN"/>
        </w:rPr>
        <w:t>ure</w:t>
      </w:r>
      <w:r>
        <w:t>. S</w:t>
      </w:r>
      <w:r>
        <w:rPr>
          <w:rFonts w:hint="eastAsia"/>
          <w:lang w:eastAsia="zh-CN"/>
        </w:rPr>
        <w:t>8</w:t>
      </w:r>
      <w:r>
        <w:t>.</w:t>
      </w:r>
    </w:p>
    <w:bookmarkEnd w:id="10"/>
    <w:p w14:paraId="68D95C2C">
      <w:pPr>
        <w:pStyle w:val="104"/>
        <w:rPr>
          <w:lang w:eastAsia="zh-CN"/>
        </w:rPr>
      </w:pPr>
      <w:r>
        <w:rPr>
          <w:lang w:eastAsia="zh-CN"/>
        </w:rPr>
        <w:t>(a) Pie charts depicting cellular composition. Relative proportions of each major cell population in the sh-NC and sh-TKTL1 groups.</w:t>
      </w:r>
    </w:p>
    <w:p w14:paraId="75B1FEA4">
      <w:pPr>
        <w:pStyle w:val="104"/>
        <w:rPr>
          <w:lang w:eastAsia="zh-CN"/>
        </w:rPr>
      </w:pPr>
      <w:r>
        <w:rPr>
          <w:lang w:eastAsia="zh-CN"/>
        </w:rPr>
        <w:t>(b-c) Quantification of specific cell population changes. Comparison of the relative proportions of (C) T cells and (D) Macrophages between the sh-NC and sh-TKTL1 groups.</w:t>
      </w:r>
    </w:p>
    <w:p w14:paraId="4882C0AE">
      <w:pPr>
        <w:pStyle w:val="104"/>
        <w:rPr>
          <w:lang w:eastAsia="zh-CN"/>
        </w:rPr>
      </w:pPr>
      <w:r>
        <w:rPr>
          <w:lang w:eastAsia="zh-CN"/>
        </w:rPr>
        <w:t>(d) Sankey diagram summarizing global compositional shifts. The flow visualization highlights the overall changes in cell populations upon TKTL1 knockdown, specifically the decreased proportions of Dendritic cells in the sh-TKTL1 group compared to the sh-NC group.</w:t>
      </w:r>
    </w:p>
    <w:p w14:paraId="07C787D5">
      <w:pPr>
        <w:rPr>
          <w:lang w:eastAsia="zh-CN"/>
        </w:rPr>
      </w:pPr>
      <w:r>
        <w:rPr>
          <w:lang w:eastAsia="zh-CN"/>
        </w:rPr>
        <w:br w:type="page"/>
      </w:r>
    </w:p>
    <w:p w14:paraId="3878361A">
      <w:pPr>
        <w:pStyle w:val="104"/>
        <w:jc w:val="center"/>
        <w:rPr>
          <w:lang w:eastAsia="zh-CN"/>
        </w:rPr>
      </w:pPr>
      <w:r>
        <w:drawing>
          <wp:inline distT="0" distB="0" distL="0" distR="0">
            <wp:extent cx="5688330" cy="8229600"/>
            <wp:effectExtent l="0" t="0" r="7620" b="0"/>
            <wp:docPr id="65621715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17155" name="图片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688330" cy="8229600"/>
                    </a:xfrm>
                    <a:prstGeom prst="rect">
                      <a:avLst/>
                    </a:prstGeom>
                    <a:noFill/>
                    <a:ln>
                      <a:noFill/>
                    </a:ln>
                  </pic:spPr>
                </pic:pic>
              </a:graphicData>
            </a:graphic>
          </wp:inline>
        </w:drawing>
      </w:r>
    </w:p>
    <w:p w14:paraId="5BE1CDE8">
      <w:pPr>
        <w:pStyle w:val="101"/>
      </w:pPr>
      <w:bookmarkStart w:id="11" w:name="OLE_LINK14"/>
      <w:r>
        <w:t>Fig</w:t>
      </w:r>
      <w:r>
        <w:rPr>
          <w:rFonts w:hint="eastAsia"/>
          <w:lang w:eastAsia="zh-CN"/>
        </w:rPr>
        <w:t>ure</w:t>
      </w:r>
      <w:r>
        <w:t>. S</w:t>
      </w:r>
      <w:r>
        <w:rPr>
          <w:rFonts w:hint="eastAsia"/>
          <w:lang w:eastAsia="zh-CN"/>
        </w:rPr>
        <w:t>9</w:t>
      </w:r>
      <w:r>
        <w:t>.</w:t>
      </w:r>
    </w:p>
    <w:bookmarkEnd w:id="11"/>
    <w:p w14:paraId="5FF0A583">
      <w:pPr>
        <w:pStyle w:val="104"/>
        <w:rPr>
          <w:lang w:eastAsia="zh-CN"/>
        </w:rPr>
      </w:pPr>
      <w:r>
        <w:rPr>
          <w:lang w:eastAsia="zh-CN"/>
        </w:rPr>
        <w:t>(a) Annotation of cell clusters by visualizing expression of canonical surface proteins.</w:t>
      </w:r>
    </w:p>
    <w:p w14:paraId="2E0A8708">
      <w:pPr>
        <w:pStyle w:val="104"/>
        <w:rPr>
          <w:lang w:eastAsia="zh-CN"/>
        </w:rPr>
      </w:pPr>
      <w:r>
        <w:rPr>
          <w:lang w:eastAsia="zh-CN"/>
        </w:rPr>
        <w:t>(b) Expression patterns of canonical markers. Overlay of protein marker expression on the t-SNE coordinates to validate cell type identities.</w:t>
      </w:r>
    </w:p>
    <w:p w14:paraId="48B45C57">
      <w:pPr>
        <w:rPr>
          <w:lang w:eastAsia="zh-CN"/>
        </w:rPr>
      </w:pPr>
      <w:r>
        <w:rPr>
          <w:lang w:eastAsia="zh-CN"/>
        </w:rPr>
        <w:br w:type="page"/>
      </w:r>
    </w:p>
    <w:p w14:paraId="29873305">
      <w:pPr>
        <w:pStyle w:val="104"/>
        <w:jc w:val="center"/>
        <w:rPr>
          <w:lang w:eastAsia="zh-CN"/>
        </w:rPr>
      </w:pPr>
      <w:r>
        <w:drawing>
          <wp:inline distT="0" distB="0" distL="0" distR="0">
            <wp:extent cx="4018915" cy="8229600"/>
            <wp:effectExtent l="0" t="0" r="635" b="0"/>
            <wp:docPr id="50764323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43237" name="图片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018915" cy="8229600"/>
                    </a:xfrm>
                    <a:prstGeom prst="rect">
                      <a:avLst/>
                    </a:prstGeom>
                    <a:noFill/>
                    <a:ln>
                      <a:noFill/>
                    </a:ln>
                  </pic:spPr>
                </pic:pic>
              </a:graphicData>
            </a:graphic>
          </wp:inline>
        </w:drawing>
      </w:r>
    </w:p>
    <w:p w14:paraId="34514279">
      <w:pPr>
        <w:pStyle w:val="101"/>
      </w:pPr>
      <w:bookmarkStart w:id="12" w:name="OLE_LINK15"/>
      <w:r>
        <w:t>Fig</w:t>
      </w:r>
      <w:r>
        <w:rPr>
          <w:rFonts w:hint="eastAsia"/>
          <w:lang w:eastAsia="zh-CN"/>
        </w:rPr>
        <w:t>ure</w:t>
      </w:r>
      <w:r>
        <w:t>. S</w:t>
      </w:r>
      <w:r>
        <w:rPr>
          <w:rFonts w:hint="eastAsia"/>
          <w:lang w:eastAsia="zh-CN"/>
        </w:rPr>
        <w:t>10</w:t>
      </w:r>
      <w:r>
        <w:t>.</w:t>
      </w:r>
    </w:p>
    <w:bookmarkEnd w:id="12"/>
    <w:p w14:paraId="52730923">
      <w:pPr>
        <w:pStyle w:val="104"/>
        <w:rPr>
          <w:lang w:eastAsia="zh-CN"/>
        </w:rPr>
      </w:pPr>
      <w:r>
        <w:rPr>
          <w:lang w:eastAsia="zh-CN"/>
        </w:rPr>
        <w:t>(a) Mass cytometry histogram showing the frequency of cDCs in peripheral blood mononuclear cells (PBMCs) from HCC patients.</w:t>
      </w:r>
    </w:p>
    <w:p w14:paraId="2232704A">
      <w:pPr>
        <w:pStyle w:val="104"/>
        <w:rPr>
          <w:lang w:eastAsia="zh-CN"/>
        </w:rPr>
      </w:pPr>
      <w:r>
        <w:rPr>
          <w:lang w:eastAsia="zh-CN"/>
        </w:rPr>
        <w:t>(b) Expression patterns of canonical markers. Overlay of protein marker expression on the t-SNE coordinates to validate cell type identities.</w:t>
      </w:r>
    </w:p>
    <w:p w14:paraId="040A81EE">
      <w:pPr>
        <w:pStyle w:val="104"/>
        <w:rPr>
          <w:lang w:eastAsia="zh-CN"/>
        </w:rPr>
      </w:pPr>
      <w:r>
        <w:rPr>
          <w:lang w:eastAsia="zh-CN"/>
        </w:rPr>
        <w:t>(c)Comparative analysis of cDC frequencies in responders (R) and non-responders (NR).</w:t>
      </w:r>
    </w:p>
    <w:p w14:paraId="22274009">
      <w:pPr>
        <w:pStyle w:val="104"/>
        <w:rPr>
          <w:lang w:eastAsia="zh-CN"/>
        </w:rPr>
      </w:pPr>
      <w:r>
        <w:rPr>
          <w:lang w:eastAsia="zh-CN"/>
        </w:rPr>
        <w:t>(d-e) Comparative analysis of cDC frequencies between responders (R) and non-responders (NR) before and after anti-PD-1 treatment.</w:t>
      </w:r>
    </w:p>
    <w:p w14:paraId="56D05210">
      <w:pPr>
        <w:pStyle w:val="104"/>
        <w:rPr>
          <w:lang w:eastAsia="zh-CN"/>
        </w:rPr>
      </w:pPr>
      <w:r>
        <w:rPr>
          <w:lang w:eastAsia="zh-CN"/>
        </w:rPr>
        <w:t>(f) Comparison of cDC frequencies between relapsed and non-relapsed HCC patients.Annotation of cell clusters by visualizing expression of canonical surface proteins.</w:t>
      </w:r>
    </w:p>
    <w:p w14:paraId="1A234B45">
      <w:pPr>
        <w:rPr>
          <w:lang w:eastAsia="zh-CN"/>
        </w:rPr>
      </w:pPr>
      <w:r>
        <w:rPr>
          <w:lang w:eastAsia="zh-CN"/>
        </w:rPr>
        <w:br w:type="page"/>
      </w:r>
    </w:p>
    <w:p w14:paraId="431CB289">
      <w:pPr>
        <w:pStyle w:val="104"/>
        <w:jc w:val="center"/>
        <w:rPr>
          <w:lang w:eastAsia="zh-CN"/>
        </w:rPr>
      </w:pPr>
      <w:r>
        <w:drawing>
          <wp:inline distT="0" distB="0" distL="0" distR="0">
            <wp:extent cx="5545455" cy="8229600"/>
            <wp:effectExtent l="0" t="0" r="0" b="0"/>
            <wp:docPr id="214646264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62648" name="图片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545455" cy="8229600"/>
                    </a:xfrm>
                    <a:prstGeom prst="rect">
                      <a:avLst/>
                    </a:prstGeom>
                    <a:noFill/>
                    <a:ln>
                      <a:noFill/>
                    </a:ln>
                  </pic:spPr>
                </pic:pic>
              </a:graphicData>
            </a:graphic>
          </wp:inline>
        </w:drawing>
      </w:r>
    </w:p>
    <w:p w14:paraId="0D1913D6">
      <w:pPr>
        <w:pStyle w:val="101"/>
      </w:pPr>
      <w:bookmarkStart w:id="13" w:name="OLE_LINK16"/>
      <w:r>
        <w:t>Fig</w:t>
      </w:r>
      <w:r>
        <w:rPr>
          <w:rFonts w:hint="eastAsia"/>
          <w:lang w:eastAsia="zh-CN"/>
        </w:rPr>
        <w:t>ure</w:t>
      </w:r>
      <w:r>
        <w:t>. S</w:t>
      </w:r>
      <w:r>
        <w:rPr>
          <w:rFonts w:hint="eastAsia"/>
          <w:lang w:eastAsia="zh-CN"/>
        </w:rPr>
        <w:t>11</w:t>
      </w:r>
      <w:r>
        <w:t>.</w:t>
      </w:r>
    </w:p>
    <w:bookmarkEnd w:id="13"/>
    <w:p w14:paraId="32A3092A">
      <w:pPr>
        <w:pStyle w:val="104"/>
        <w:numPr>
          <w:ilvl w:val="0"/>
          <w:numId w:val="13"/>
        </w:numPr>
        <w:rPr>
          <w:lang w:eastAsia="zh-CN"/>
        </w:rPr>
      </w:pPr>
      <w:r>
        <w:rPr>
          <w:lang w:eastAsia="zh-CN"/>
        </w:rPr>
        <w:t xml:space="preserve">Annotation of DCs in tumor tissues from immune checkpoint inhibitor (ICI)-sensitive and ICI-resistant HCC patients, showing greater DC infiltration in ICI-sensitive cases. </w:t>
      </w:r>
    </w:p>
    <w:p w14:paraId="33A34EC0">
      <w:pPr>
        <w:pStyle w:val="104"/>
        <w:numPr>
          <w:ilvl w:val="0"/>
          <w:numId w:val="13"/>
        </w:numPr>
        <w:rPr>
          <w:lang w:eastAsia="zh-CN"/>
        </w:rPr>
      </w:pPr>
      <w:r>
        <w:rPr>
          <w:lang w:eastAsia="zh-CN"/>
        </w:rPr>
        <w:t>Correlation analysis between TKTL1-positive tumor cell abundance and frequencies of cDC1 and cDC2 subsets, based on bioinformatic analysis of scRNA-seq data (GSE146115). Pearson’s correlation coefficient and p-value are indicated.</w:t>
      </w:r>
    </w:p>
    <w:p w14:paraId="2E274A11">
      <w:pPr>
        <w:pStyle w:val="104"/>
        <w:rPr>
          <w:lang w:eastAsia="zh-CN"/>
        </w:rPr>
      </w:pPr>
      <w:r>
        <w:rPr>
          <w:lang w:eastAsia="zh-CN"/>
        </w:rPr>
        <w:t>(c-h) Bioinformatics analysis of immune cell infiltration levels in HCC samples with high vs. low TKTL1 expression.</w:t>
      </w:r>
    </w:p>
    <w:p w14:paraId="23FF6D98">
      <w:pPr>
        <w:rPr>
          <w:lang w:eastAsia="zh-CN"/>
        </w:rPr>
      </w:pPr>
      <w:r>
        <w:rPr>
          <w:lang w:eastAsia="zh-CN"/>
        </w:rPr>
        <w:br w:type="page"/>
      </w:r>
    </w:p>
    <w:p w14:paraId="5B011927">
      <w:pPr>
        <w:pStyle w:val="104"/>
        <w:jc w:val="center"/>
        <w:rPr>
          <w:lang w:eastAsia="zh-CN"/>
        </w:rPr>
      </w:pPr>
      <w:r>
        <w:drawing>
          <wp:inline distT="0" distB="0" distL="0" distR="0">
            <wp:extent cx="5943600" cy="6432550"/>
            <wp:effectExtent l="0" t="0" r="0" b="6350"/>
            <wp:docPr id="69783846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38464" name="图片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943600" cy="6432550"/>
                    </a:xfrm>
                    <a:prstGeom prst="rect">
                      <a:avLst/>
                    </a:prstGeom>
                    <a:noFill/>
                    <a:ln>
                      <a:noFill/>
                    </a:ln>
                  </pic:spPr>
                </pic:pic>
              </a:graphicData>
            </a:graphic>
          </wp:inline>
        </w:drawing>
      </w:r>
    </w:p>
    <w:p w14:paraId="6D245494">
      <w:pPr>
        <w:pStyle w:val="101"/>
      </w:pPr>
      <w:bookmarkStart w:id="14" w:name="OLE_LINK17"/>
      <w:r>
        <w:t>Fig</w:t>
      </w:r>
      <w:r>
        <w:rPr>
          <w:rFonts w:hint="eastAsia"/>
          <w:lang w:eastAsia="zh-CN"/>
        </w:rPr>
        <w:t>ure</w:t>
      </w:r>
      <w:r>
        <w:t>. S</w:t>
      </w:r>
      <w:r>
        <w:rPr>
          <w:rFonts w:hint="eastAsia"/>
          <w:lang w:eastAsia="zh-CN"/>
        </w:rPr>
        <w:t>12</w:t>
      </w:r>
      <w:r>
        <w:t>.</w:t>
      </w:r>
    </w:p>
    <w:bookmarkEnd w:id="14"/>
    <w:p w14:paraId="78868CE5">
      <w:pPr>
        <w:pStyle w:val="104"/>
        <w:rPr>
          <w:lang w:eastAsia="zh-CN"/>
        </w:rPr>
      </w:pPr>
      <w:r>
        <w:rPr>
          <w:lang w:eastAsia="zh-CN"/>
        </w:rPr>
        <w:t>(a) Gating strategy for flow cytometry analysis in tumor tissues: cells were gated based on viability, singlets, CD45⁺, CD11b⁺, and CD11c⁺ to isolate DC cells.</w:t>
      </w:r>
    </w:p>
    <w:p w14:paraId="5CD83230">
      <w:pPr>
        <w:pStyle w:val="104"/>
        <w:rPr>
          <w:lang w:eastAsia="zh-CN"/>
        </w:rPr>
      </w:pPr>
      <w:r>
        <w:rPr>
          <w:lang w:eastAsia="zh-CN"/>
        </w:rPr>
        <w:t>(b) ELISA of chemokine expression profiles in OE-TKTL1 vs. control HCC cells.Data are mean ± SD(n=3, *p &lt; 0.05, **p &lt; 0.01,***p &lt; 0.001</w:t>
      </w:r>
      <w:r>
        <w:rPr>
          <w:rFonts w:hint="eastAsia"/>
          <w:lang w:eastAsia="zh-CN"/>
        </w:rPr>
        <w:t xml:space="preserve">, </w:t>
      </w:r>
      <w:r>
        <w:rPr>
          <w:lang w:eastAsia="zh-CN"/>
        </w:rPr>
        <w:t>****p &lt; 0.0001; Student’s t-test).</w:t>
      </w:r>
    </w:p>
    <w:p w14:paraId="6D0A4529">
      <w:pPr>
        <w:pStyle w:val="104"/>
        <w:rPr>
          <w:lang w:eastAsia="zh-CN"/>
        </w:rPr>
      </w:pPr>
      <w:r>
        <w:rPr>
          <w:lang w:eastAsia="zh-CN"/>
        </w:rPr>
        <w:t>(c-d)Western blot data and analysis of CCL4 protein in TKTL1-OE cells and supernatants. Data are mean ±SD(n=3, **p &lt; 0.01,***p &lt; 0.001</w:t>
      </w:r>
      <w:r>
        <w:rPr>
          <w:rFonts w:hint="eastAsia"/>
          <w:lang w:eastAsia="zh-CN"/>
        </w:rPr>
        <w:t xml:space="preserve">, </w:t>
      </w:r>
      <w:r>
        <w:rPr>
          <w:lang w:eastAsia="zh-CN"/>
        </w:rPr>
        <w:t>****p &lt; 0.0001; Student’s t-test).</w:t>
      </w:r>
    </w:p>
    <w:p w14:paraId="3E0C1B0C">
      <w:pPr>
        <w:pStyle w:val="104"/>
        <w:rPr>
          <w:lang w:eastAsia="zh-CN"/>
        </w:rPr>
      </w:pPr>
      <w:r>
        <w:rPr>
          <w:lang w:eastAsia="zh-CN"/>
        </w:rPr>
        <w:t>(e)Scatter plot correlating TKTL1 and CCL4 expression in human HCC tissues.Scale bar: 50 μm. (Pearson’s test).</w:t>
      </w:r>
    </w:p>
    <w:p w14:paraId="43D3C060">
      <w:pPr>
        <w:rPr>
          <w:lang w:eastAsia="zh-CN"/>
        </w:rPr>
      </w:pPr>
      <w:r>
        <w:rPr>
          <w:lang w:eastAsia="zh-CN"/>
        </w:rPr>
        <w:br w:type="page"/>
      </w:r>
    </w:p>
    <w:p w14:paraId="5135DE91">
      <w:pPr>
        <w:pStyle w:val="104"/>
        <w:jc w:val="center"/>
        <w:rPr>
          <w:lang w:eastAsia="zh-CN"/>
        </w:rPr>
      </w:pPr>
      <w:r>
        <w:drawing>
          <wp:inline distT="0" distB="0" distL="0" distR="0">
            <wp:extent cx="5943600" cy="7287260"/>
            <wp:effectExtent l="0" t="0" r="0" b="8890"/>
            <wp:docPr id="124034490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44901" name="图片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943600" cy="7287260"/>
                    </a:xfrm>
                    <a:prstGeom prst="rect">
                      <a:avLst/>
                    </a:prstGeom>
                    <a:noFill/>
                    <a:ln>
                      <a:noFill/>
                    </a:ln>
                  </pic:spPr>
                </pic:pic>
              </a:graphicData>
            </a:graphic>
          </wp:inline>
        </w:drawing>
      </w:r>
    </w:p>
    <w:p w14:paraId="0E9BF55B">
      <w:pPr>
        <w:pStyle w:val="101"/>
      </w:pPr>
      <w:bookmarkStart w:id="15" w:name="OLE_LINK18"/>
      <w:r>
        <w:t>Fig</w:t>
      </w:r>
      <w:r>
        <w:rPr>
          <w:rFonts w:hint="eastAsia"/>
          <w:lang w:eastAsia="zh-CN"/>
        </w:rPr>
        <w:t>ure</w:t>
      </w:r>
      <w:r>
        <w:t>. S</w:t>
      </w:r>
      <w:r>
        <w:rPr>
          <w:rFonts w:hint="eastAsia"/>
          <w:lang w:eastAsia="zh-CN"/>
        </w:rPr>
        <w:t>13</w:t>
      </w:r>
      <w:r>
        <w:t>.</w:t>
      </w:r>
    </w:p>
    <w:bookmarkEnd w:id="15"/>
    <w:p w14:paraId="6419BB5C">
      <w:pPr>
        <w:pStyle w:val="104"/>
        <w:rPr>
          <w:lang w:eastAsia="zh-CN"/>
        </w:rPr>
      </w:pPr>
      <w:r>
        <w:rPr>
          <w:lang w:eastAsia="zh-CN"/>
        </w:rPr>
        <w:t>(a) Gating strategy and flow cytometry analysis in tumor tissues: cells were gated based on viability, singlets, CD45⁺, CD11b⁺, and CD11c⁺ to isolate DC cells. Data are mean ±SD (n=3, ***p &lt; 0.001; Student’s t-test).</w:t>
      </w:r>
    </w:p>
    <w:p w14:paraId="4A35A00C">
      <w:pPr>
        <w:pStyle w:val="104"/>
        <w:rPr>
          <w:lang w:eastAsia="zh-CN"/>
        </w:rPr>
      </w:pPr>
      <w:r>
        <w:rPr>
          <w:lang w:eastAsia="zh-CN"/>
        </w:rPr>
        <w:t>(b) Schematic of the orthotopic tumor mouse model for combined therapy: C57BL/6 mice were implanted with OE-VE (vector control) or OE-TKTL1 (TKTL1 overexpression) Hepa1-6 cells on day 0. Liver tumor transplantation on the seventh day. From day 14, mice received intraperitoneal (i.p.) anti-PD-1 treatment every 3 days and Maraviroc treatment daily, with live imaging and sample harvest on day 42.</w:t>
      </w:r>
    </w:p>
    <w:p w14:paraId="0649CE38">
      <w:pPr>
        <w:pStyle w:val="104"/>
        <w:rPr>
          <w:lang w:eastAsia="zh-CN"/>
        </w:rPr>
      </w:pPr>
      <w:r>
        <w:rPr>
          <w:lang w:eastAsia="zh-CN"/>
        </w:rPr>
        <w:t>(c-d) Representative photographs and tumor growth analysis of OE-TKTL1 subcutaneous models in different treatment groups: OE-TKTL1, OE-TKTL1+Anti-PD-1, OE-TKTL1+Maraviroc , and OE-TKTL1+Maraviroc +Anti-PD-1. Scale bar: 1cm. Data are mean ± SD (n=5, ns: not significant, **p &lt; 0.01, ***p &lt; 0.001,</w:t>
      </w:r>
      <w:r>
        <w:rPr>
          <w:rFonts w:hint="eastAsia"/>
          <w:lang w:eastAsia="zh-CN"/>
        </w:rPr>
        <w:t xml:space="preserve"> </w:t>
      </w:r>
      <w:r>
        <w:rPr>
          <w:lang w:eastAsia="zh-CN"/>
        </w:rPr>
        <w:t>****p &lt; 0.0001;One-way ANOVA).</w:t>
      </w:r>
    </w:p>
    <w:p w14:paraId="552C2E5B">
      <w:pPr>
        <w:rPr>
          <w:lang w:eastAsia="zh-CN"/>
        </w:rPr>
      </w:pPr>
      <w:r>
        <w:rPr>
          <w:lang w:eastAsia="zh-CN"/>
        </w:rPr>
        <w:br w:type="page"/>
      </w:r>
    </w:p>
    <w:p w14:paraId="742A2EC0">
      <w:pPr>
        <w:pStyle w:val="104"/>
        <w:jc w:val="center"/>
        <w:rPr>
          <w:lang w:eastAsia="zh-CN"/>
        </w:rPr>
      </w:pPr>
      <w:r>
        <w:drawing>
          <wp:inline distT="0" distB="0" distL="0" distR="0">
            <wp:extent cx="5752465" cy="8229600"/>
            <wp:effectExtent l="0" t="0" r="635" b="0"/>
            <wp:docPr id="1878615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1523" name="图片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752465" cy="8229600"/>
                    </a:xfrm>
                    <a:prstGeom prst="rect">
                      <a:avLst/>
                    </a:prstGeom>
                    <a:noFill/>
                    <a:ln>
                      <a:noFill/>
                    </a:ln>
                  </pic:spPr>
                </pic:pic>
              </a:graphicData>
            </a:graphic>
          </wp:inline>
        </w:drawing>
      </w:r>
    </w:p>
    <w:p w14:paraId="1667F326">
      <w:pPr>
        <w:pStyle w:val="101"/>
      </w:pPr>
      <w:bookmarkStart w:id="16" w:name="OLE_LINK19"/>
      <w:r>
        <w:t>Fig</w:t>
      </w:r>
      <w:r>
        <w:rPr>
          <w:rFonts w:hint="eastAsia"/>
          <w:lang w:eastAsia="zh-CN"/>
        </w:rPr>
        <w:t>ure</w:t>
      </w:r>
      <w:r>
        <w:t>. S</w:t>
      </w:r>
      <w:r>
        <w:rPr>
          <w:rFonts w:hint="eastAsia"/>
          <w:lang w:eastAsia="zh-CN"/>
        </w:rPr>
        <w:t>14</w:t>
      </w:r>
      <w:r>
        <w:t>.</w:t>
      </w:r>
    </w:p>
    <w:bookmarkEnd w:id="16"/>
    <w:p w14:paraId="1AC30B8B">
      <w:pPr>
        <w:pStyle w:val="104"/>
        <w:rPr>
          <w:lang w:eastAsia="zh-CN"/>
        </w:rPr>
      </w:pPr>
      <w:r>
        <w:rPr>
          <w:lang w:eastAsia="zh-CN"/>
        </w:rPr>
        <w:t>(a) Gating strategy and flow cytometry analysis in TME of tumor tissues: cells were gated based on viability, singlets, CD45⁺, CD11b⁺, and CD11c⁺ to isolate DC cells. Data are mean ±SD (n=3, ns: not significant, **p &lt; 0.01,****p &lt; 0.0001;One-way ANOVA).</w:t>
      </w:r>
    </w:p>
    <w:p w14:paraId="479E82B3">
      <w:pPr>
        <w:pStyle w:val="104"/>
        <w:rPr>
          <w:lang w:eastAsia="zh-CN"/>
        </w:rPr>
      </w:pPr>
      <w:r>
        <w:rPr>
          <w:lang w:eastAsia="zh-CN"/>
        </w:rPr>
        <w:t>(b)Gating strategy and flow cytometry analysis in TDLNs of tumor tissues: cells were gated based on viability, singlets, CD45⁺, CD11b⁺, and CD11c⁺ to isolate DC cells. Data are mean ±SD (n=3, ns: not significant;One-way ANOVA).</w:t>
      </w:r>
    </w:p>
    <w:p w14:paraId="2708F781">
      <w:pPr>
        <w:pStyle w:val="104"/>
        <w:rPr>
          <w:lang w:eastAsia="zh-CN"/>
        </w:rPr>
      </w:pPr>
      <w:r>
        <w:rPr>
          <w:lang w:eastAsia="zh-CN"/>
        </w:rPr>
        <w:t>(c) Immunofluorescence micrographs of PD-L1</w:t>
      </w:r>
      <w:r>
        <w:rPr>
          <w:vertAlign w:val="superscript"/>
          <w:lang w:eastAsia="zh-CN"/>
        </w:rPr>
        <w:t>high</w:t>
      </w:r>
      <w:r>
        <w:rPr>
          <w:lang w:eastAsia="zh-CN"/>
        </w:rPr>
        <w:t xml:space="preserve"> DCs in anti-PD-1-sensitive vs. insensitive patient tissues.Scale bar: 50 μm(Select five regions from one image).</w:t>
      </w:r>
    </w:p>
    <w:p w14:paraId="1E0BC79D">
      <w:pPr>
        <w:pStyle w:val="104"/>
        <w:rPr>
          <w:lang w:eastAsia="zh-CN"/>
        </w:rPr>
      </w:pPr>
      <w:r>
        <w:rPr>
          <w:lang w:eastAsia="zh-CN"/>
        </w:rPr>
        <w:t>(d) Immunofluorescence comparing PD-L1 expression on DCs across treatment groups. Scale bar: 50 μm.Data are mean ± SD(n=3, ns: not significant, **p &lt; 0.01, ****p &lt; 0.0001; One-way ANOVA).</w:t>
      </w:r>
    </w:p>
    <w:p w14:paraId="26C5DB89">
      <w:pPr>
        <w:rPr>
          <w:lang w:eastAsia="zh-CN"/>
        </w:rPr>
      </w:pPr>
      <w:r>
        <w:rPr>
          <w:lang w:eastAsia="zh-CN"/>
        </w:rPr>
        <w:br w:type="page"/>
      </w:r>
    </w:p>
    <w:p w14:paraId="6B2F178F">
      <w:pPr>
        <w:pStyle w:val="104"/>
        <w:jc w:val="center"/>
        <w:rPr>
          <w:lang w:eastAsia="zh-CN"/>
        </w:rPr>
      </w:pPr>
      <w:r>
        <w:drawing>
          <wp:inline distT="0" distB="0" distL="0" distR="0">
            <wp:extent cx="5071745" cy="8229600"/>
            <wp:effectExtent l="0" t="0" r="0" b="0"/>
            <wp:docPr id="7445020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02045" name="图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71745" cy="8229600"/>
                    </a:xfrm>
                    <a:prstGeom prst="rect">
                      <a:avLst/>
                    </a:prstGeom>
                    <a:noFill/>
                    <a:ln>
                      <a:noFill/>
                    </a:ln>
                  </pic:spPr>
                </pic:pic>
              </a:graphicData>
            </a:graphic>
          </wp:inline>
        </w:drawing>
      </w:r>
    </w:p>
    <w:p w14:paraId="137C8F3E">
      <w:pPr>
        <w:pStyle w:val="101"/>
      </w:pPr>
      <w:r>
        <w:t>Fig</w:t>
      </w:r>
      <w:r>
        <w:rPr>
          <w:rFonts w:hint="eastAsia"/>
          <w:lang w:eastAsia="zh-CN"/>
        </w:rPr>
        <w:t>ure</w:t>
      </w:r>
      <w:r>
        <w:t>. S</w:t>
      </w:r>
      <w:r>
        <w:rPr>
          <w:rFonts w:hint="eastAsia"/>
          <w:lang w:eastAsia="zh-CN"/>
        </w:rPr>
        <w:t>15</w:t>
      </w:r>
      <w:r>
        <w:t>.</w:t>
      </w:r>
    </w:p>
    <w:p w14:paraId="0F790522">
      <w:pPr>
        <w:pStyle w:val="104"/>
        <w:rPr>
          <w:lang w:eastAsia="zh-CN"/>
        </w:rPr>
      </w:pPr>
      <w:r>
        <w:rPr>
          <w:lang w:eastAsia="zh-CN"/>
        </w:rPr>
        <w:t>(a)Pattern diagram of co-culture of Hepa1-6, DC cells and CD8</w:t>
      </w:r>
      <w:r>
        <w:rPr>
          <w:vertAlign w:val="superscript"/>
          <w:lang w:eastAsia="zh-CN"/>
        </w:rPr>
        <w:t>+</w:t>
      </w:r>
      <w:r>
        <w:rPr>
          <w:lang w:eastAsia="zh-CN"/>
        </w:rPr>
        <w:t xml:space="preserve"> T cells.</w:t>
      </w:r>
      <w:r>
        <w:rPr>
          <w:lang w:eastAsia="zh-CN"/>
        </w:rPr>
        <w:br w:type="textWrapping"/>
      </w:r>
      <w:r>
        <w:rPr>
          <w:lang w:eastAsia="zh-CN"/>
        </w:rPr>
        <w:t>(b-d)Flow cytometry demonstrated the expression of PD-1 ,CTLA-4 and TOX in CD8</w:t>
      </w:r>
      <w:r>
        <w:rPr>
          <w:vertAlign w:val="superscript"/>
          <w:lang w:eastAsia="zh-CN"/>
        </w:rPr>
        <w:t>+</w:t>
      </w:r>
      <w:r>
        <w:rPr>
          <w:lang w:eastAsia="zh-CN"/>
        </w:rPr>
        <w:t xml:space="preserve"> T cells in each group. Data are mean ± SD (n=3, ns: not significant, *p &lt; 0.05, **p &lt; 0.01, ***p &lt; 0.001, ****p &lt; 0.0001</w:t>
      </w:r>
      <w:r>
        <w:rPr>
          <w:rFonts w:hint="eastAsia"/>
          <w:lang w:eastAsia="zh-CN"/>
        </w:rPr>
        <w:t xml:space="preserve">; </w:t>
      </w:r>
      <w:r>
        <w:rPr>
          <w:lang w:eastAsia="zh-CN"/>
        </w:rPr>
        <w:t>One-way ANOVA).</w:t>
      </w:r>
      <w:r>
        <w:rPr>
          <w:lang w:eastAsia="zh-CN"/>
        </w:rPr>
        <w:br w:type="textWrapping"/>
      </w:r>
      <w:r>
        <w:rPr>
          <w:lang w:eastAsia="zh-CN"/>
        </w:rPr>
        <w:t xml:space="preserve">(e)Flow cytometry analysis of PD-L1 expression on DCs treated with gradient lactate concentrations (0-30 mM) for 12h or 24h. </w:t>
      </w:r>
    </w:p>
    <w:p w14:paraId="30C6951C">
      <w:pPr>
        <w:pStyle w:val="104"/>
        <w:rPr>
          <w:lang w:eastAsia="zh-CN"/>
        </w:rPr>
      </w:pPr>
      <w:r>
        <w:rPr>
          <w:lang w:eastAsia="zh-CN"/>
        </w:rPr>
        <w:t>(f)Immunofluorescence assessment of pan-lactoylation and PD-L1 levels in DCs treated with lactate±HDAC-1.Scale bar: 20 μm.</w:t>
      </w:r>
    </w:p>
    <w:p w14:paraId="4D533002">
      <w:pPr>
        <w:pStyle w:val="104"/>
        <w:rPr>
          <w:lang w:eastAsia="zh-CN"/>
        </w:rPr>
      </w:pPr>
      <w:r>
        <w:rPr>
          <w:lang w:eastAsia="zh-CN"/>
        </w:rPr>
        <w:t>(g)In order to analyze the distribution of modification sites on proteins, the number of Class I lactation sites on all identified proteins was counted. The statistical results show that 71.91% of the proteins are distributed with two or more modification sites, among which the Q8VDD5 protein contains as many as 79 modifications Site.</w:t>
      </w:r>
    </w:p>
    <w:p w14:paraId="0B659898">
      <w:pPr>
        <w:pStyle w:val="104"/>
        <w:rPr>
          <w:lang w:eastAsia="zh-CN"/>
        </w:rPr>
      </w:pPr>
      <w:r>
        <w:rPr>
          <w:lang w:eastAsia="zh-CN"/>
        </w:rPr>
        <w:t>(h)All identified lactate peptide enrichment motifs.</w:t>
      </w:r>
    </w:p>
    <w:p w14:paraId="539BA6DB">
      <w:pPr>
        <w:pStyle w:val="104"/>
        <w:rPr>
          <w:lang w:eastAsia="zh-CN"/>
        </w:rPr>
      </w:pPr>
      <w:r>
        <w:rPr>
          <w:lang w:eastAsia="zh-CN"/>
        </w:rPr>
        <w:t>(i)KEGG enrichment string plots of all differentially expressed proteins in the L-Lactate_vs_control group.</w:t>
      </w:r>
    </w:p>
    <w:p w14:paraId="155CFCC6">
      <w:pPr>
        <w:pStyle w:val="104"/>
        <w:rPr>
          <w:lang w:eastAsia="zh-CN"/>
        </w:rPr>
      </w:pPr>
      <w:r>
        <w:rPr>
          <w:lang w:eastAsia="zh-CN"/>
        </w:rPr>
        <w:t>(j)TRIM28 mass spectrum</w:t>
      </w:r>
      <w:r>
        <w:rPr>
          <w:lang w:eastAsia="zh-CN"/>
        </w:rPr>
        <w:br w:type="textWrapping"/>
      </w:r>
      <w:r>
        <w:rPr>
          <w:lang w:eastAsia="zh-CN"/>
        </w:rPr>
        <w:t>(k)Lactylation site screening results.</w:t>
      </w:r>
    </w:p>
    <w:p w14:paraId="7D474BC4">
      <w:pPr>
        <w:rPr>
          <w:lang w:eastAsia="zh-CN"/>
        </w:rPr>
      </w:pPr>
      <w:r>
        <w:rPr>
          <w:lang w:eastAsia="zh-CN"/>
        </w:rPr>
        <w:br w:type="page"/>
      </w:r>
    </w:p>
    <w:p w14:paraId="02169614">
      <w:pPr>
        <w:pStyle w:val="104"/>
        <w:jc w:val="center"/>
        <w:rPr>
          <w:lang w:eastAsia="zh-CN"/>
        </w:rPr>
      </w:pPr>
      <w:r>
        <w:drawing>
          <wp:inline distT="0" distB="0" distL="0" distR="0">
            <wp:extent cx="5943600" cy="7762875"/>
            <wp:effectExtent l="0" t="0" r="0" b="9525"/>
            <wp:docPr id="131846603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466037" name="图片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943600" cy="7762875"/>
                    </a:xfrm>
                    <a:prstGeom prst="rect">
                      <a:avLst/>
                    </a:prstGeom>
                    <a:noFill/>
                    <a:ln>
                      <a:noFill/>
                    </a:ln>
                  </pic:spPr>
                </pic:pic>
              </a:graphicData>
            </a:graphic>
          </wp:inline>
        </w:drawing>
      </w:r>
    </w:p>
    <w:p w14:paraId="10D112BB">
      <w:pPr>
        <w:pStyle w:val="101"/>
      </w:pPr>
      <w:bookmarkStart w:id="17" w:name="OLE_LINK20"/>
      <w:r>
        <w:t>Fig</w:t>
      </w:r>
      <w:r>
        <w:rPr>
          <w:rFonts w:hint="eastAsia"/>
          <w:lang w:eastAsia="zh-CN"/>
        </w:rPr>
        <w:t>ure</w:t>
      </w:r>
      <w:r>
        <w:t>. S</w:t>
      </w:r>
      <w:r>
        <w:rPr>
          <w:rFonts w:hint="eastAsia"/>
          <w:lang w:eastAsia="zh-CN"/>
        </w:rPr>
        <w:t>16</w:t>
      </w:r>
      <w:r>
        <w:t>.</w:t>
      </w:r>
    </w:p>
    <w:bookmarkEnd w:id="17"/>
    <w:p w14:paraId="7A2EFC4E">
      <w:pPr>
        <w:pStyle w:val="104"/>
        <w:rPr>
          <w:lang w:eastAsia="zh-CN"/>
        </w:rPr>
      </w:pPr>
      <w:r>
        <w:rPr>
          <w:lang w:eastAsia="zh-CN"/>
        </w:rPr>
        <w:t>(a)Mass spectrum of TRIM28 K408 lactylation site detection</w:t>
      </w:r>
    </w:p>
    <w:p w14:paraId="77922F6C">
      <w:pPr>
        <w:pStyle w:val="104"/>
        <w:rPr>
          <w:lang w:eastAsia="zh-CN"/>
        </w:rPr>
      </w:pPr>
      <w:r>
        <w:rPr>
          <w:lang w:eastAsia="zh-CN"/>
        </w:rPr>
        <w:t>(b)Co-IP analysis of TRIM28 and PD-L1 interaction in DCs confirmed that both its expression and lactoylation level increased with rising lactate concentrations. Immunofluorescence of TRIM28/PD-L1 in DCs treated with HDAC-1 or TRIM28 siRNA.Scale bar: 20 μm.</w:t>
      </w:r>
    </w:p>
    <w:p w14:paraId="7CFE95A7">
      <w:pPr>
        <w:rPr>
          <w:lang w:eastAsia="zh-CN"/>
        </w:rPr>
      </w:pPr>
      <w:r>
        <w:rPr>
          <w:lang w:eastAsia="zh-CN"/>
        </w:rPr>
        <w:br w:type="page"/>
      </w:r>
    </w:p>
    <w:p w14:paraId="7E710B61">
      <w:pPr>
        <w:pStyle w:val="104"/>
        <w:jc w:val="center"/>
        <w:rPr>
          <w:lang w:eastAsia="zh-CN"/>
        </w:rPr>
      </w:pPr>
      <w:r>
        <w:drawing>
          <wp:inline distT="0" distB="0" distL="0" distR="0">
            <wp:extent cx="5943600" cy="3609975"/>
            <wp:effectExtent l="0" t="0" r="0" b="9525"/>
            <wp:docPr id="92196170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61709" name="图片 2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943600" cy="3609975"/>
                    </a:xfrm>
                    <a:prstGeom prst="rect">
                      <a:avLst/>
                    </a:prstGeom>
                    <a:noFill/>
                    <a:ln>
                      <a:noFill/>
                    </a:ln>
                  </pic:spPr>
                </pic:pic>
              </a:graphicData>
            </a:graphic>
          </wp:inline>
        </w:drawing>
      </w:r>
    </w:p>
    <w:p w14:paraId="7AB94A99">
      <w:pPr>
        <w:pStyle w:val="101"/>
      </w:pPr>
      <w:bookmarkStart w:id="18" w:name="OLE_LINK21"/>
      <w:r>
        <w:t>Fig</w:t>
      </w:r>
      <w:r>
        <w:rPr>
          <w:rFonts w:hint="eastAsia"/>
          <w:lang w:eastAsia="zh-CN"/>
        </w:rPr>
        <w:t>ure</w:t>
      </w:r>
      <w:r>
        <w:t>. S</w:t>
      </w:r>
      <w:r>
        <w:rPr>
          <w:rFonts w:hint="eastAsia"/>
          <w:lang w:eastAsia="zh-CN"/>
        </w:rPr>
        <w:t>17</w:t>
      </w:r>
      <w:r>
        <w:t>.</w:t>
      </w:r>
    </w:p>
    <w:bookmarkEnd w:id="18"/>
    <w:p w14:paraId="3507657C">
      <w:pPr>
        <w:pStyle w:val="104"/>
        <w:rPr>
          <w:lang w:eastAsia="zh-CN"/>
        </w:rPr>
      </w:pPr>
      <w:r>
        <w:rPr>
          <w:lang w:eastAsia="zh-CN"/>
        </w:rPr>
        <w:t>(a)Virtual screening and molecular docking of Que(HY-N1968) with human TKTL1/TKT/TKTL2 protein.</w:t>
      </w:r>
    </w:p>
    <w:p w14:paraId="506409BE">
      <w:pPr>
        <w:rPr>
          <w:lang w:eastAsia="zh-CN"/>
        </w:rPr>
      </w:pPr>
      <w:r>
        <w:rPr>
          <w:lang w:eastAsia="zh-CN"/>
        </w:rPr>
        <w:br w:type="page"/>
      </w:r>
    </w:p>
    <w:p w14:paraId="5AB22E28">
      <w:pPr>
        <w:pStyle w:val="104"/>
        <w:jc w:val="center"/>
        <w:rPr>
          <w:lang w:eastAsia="zh-CN"/>
        </w:rPr>
      </w:pPr>
      <w:r>
        <w:drawing>
          <wp:inline distT="0" distB="0" distL="0" distR="0">
            <wp:extent cx="5793740" cy="8229600"/>
            <wp:effectExtent l="0" t="0" r="0" b="0"/>
            <wp:docPr id="14024522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52293" name="图片 2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793740" cy="8229600"/>
                    </a:xfrm>
                    <a:prstGeom prst="rect">
                      <a:avLst/>
                    </a:prstGeom>
                    <a:noFill/>
                    <a:ln>
                      <a:noFill/>
                    </a:ln>
                  </pic:spPr>
                </pic:pic>
              </a:graphicData>
            </a:graphic>
          </wp:inline>
        </w:drawing>
      </w:r>
    </w:p>
    <w:p w14:paraId="0B0B9194">
      <w:pPr>
        <w:pStyle w:val="101"/>
      </w:pPr>
      <w:bookmarkStart w:id="19" w:name="OLE_LINK22"/>
      <w:r>
        <w:t>Fig</w:t>
      </w:r>
      <w:r>
        <w:rPr>
          <w:rFonts w:hint="eastAsia"/>
          <w:lang w:eastAsia="zh-CN"/>
        </w:rPr>
        <w:t>ure</w:t>
      </w:r>
      <w:r>
        <w:t>. S</w:t>
      </w:r>
      <w:r>
        <w:rPr>
          <w:rFonts w:hint="eastAsia"/>
          <w:lang w:eastAsia="zh-CN"/>
        </w:rPr>
        <w:t>18</w:t>
      </w:r>
      <w:r>
        <w:t>.</w:t>
      </w:r>
    </w:p>
    <w:bookmarkEnd w:id="19"/>
    <w:p w14:paraId="10BA3AFC">
      <w:pPr>
        <w:pStyle w:val="104"/>
        <w:rPr>
          <w:lang w:eastAsia="zh-CN"/>
        </w:rPr>
      </w:pPr>
      <w:r>
        <w:rPr>
          <w:lang w:eastAsia="zh-CN"/>
        </w:rPr>
        <w:t xml:space="preserve">(a)TEM image of HMMONPs, Que@HMMONPs, LOx@HMMONPs, Que/LOx@HMMONPs . </w:t>
      </w:r>
    </w:p>
    <w:p w14:paraId="53758C52">
      <w:pPr>
        <w:pStyle w:val="104"/>
        <w:rPr>
          <w:lang w:eastAsia="zh-CN"/>
        </w:rPr>
      </w:pPr>
      <w:r>
        <w:rPr>
          <w:lang w:eastAsia="zh-CN"/>
        </w:rPr>
        <w:t>(b)Elemental mapping (Mn, O, C,N,S,P) confirming nanocomposite composition of HMMONPs, Que@HMMONPs, LOx@HMMONPs, Que/LOx@HMMONPs .</w:t>
      </w:r>
    </w:p>
    <w:p w14:paraId="5F94F729">
      <w:pPr>
        <w:pStyle w:val="104"/>
        <w:rPr>
          <w:lang w:eastAsia="zh-CN"/>
        </w:rPr>
      </w:pPr>
      <w:r>
        <w:rPr>
          <w:lang w:eastAsia="zh-CN"/>
        </w:rPr>
        <w:t>(c)SEM image of HMMONPs, Que@HMMONPs, LOx@HMMONPs, Que/LOx@HMMONPs.</w:t>
      </w:r>
    </w:p>
    <w:p w14:paraId="70DAC3C5">
      <w:pPr>
        <w:pStyle w:val="104"/>
        <w:rPr>
          <w:lang w:eastAsia="zh-CN"/>
        </w:rPr>
      </w:pPr>
      <w:r>
        <w:rPr>
          <w:lang w:eastAsia="zh-CN"/>
        </w:rPr>
        <w:t>(d)Energy-dispersive X-ray spectroscopy of each group of drugs.</w:t>
      </w:r>
    </w:p>
    <w:p w14:paraId="13BEA563">
      <w:pPr>
        <w:rPr>
          <w:lang w:eastAsia="zh-CN"/>
        </w:rPr>
      </w:pPr>
      <w:r>
        <w:rPr>
          <w:lang w:eastAsia="zh-CN"/>
        </w:rPr>
        <w:br w:type="page"/>
      </w:r>
    </w:p>
    <w:p w14:paraId="216FEE39">
      <w:pPr>
        <w:pStyle w:val="104"/>
        <w:rPr>
          <w:lang w:eastAsia="zh-CN"/>
        </w:rPr>
      </w:pPr>
      <w:r>
        <w:drawing>
          <wp:inline distT="0" distB="0" distL="0" distR="0">
            <wp:extent cx="5943600" cy="8085455"/>
            <wp:effectExtent l="0" t="0" r="0" b="0"/>
            <wp:docPr id="13521730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173053" name="图片 2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943600" cy="8085455"/>
                    </a:xfrm>
                    <a:prstGeom prst="rect">
                      <a:avLst/>
                    </a:prstGeom>
                    <a:noFill/>
                    <a:ln>
                      <a:noFill/>
                    </a:ln>
                  </pic:spPr>
                </pic:pic>
              </a:graphicData>
            </a:graphic>
          </wp:inline>
        </w:drawing>
      </w:r>
    </w:p>
    <w:p w14:paraId="64F07CF5">
      <w:pPr>
        <w:pStyle w:val="101"/>
      </w:pPr>
      <w:bookmarkStart w:id="20" w:name="OLE_LINK23"/>
      <w:r>
        <w:t>Fig</w:t>
      </w:r>
      <w:r>
        <w:rPr>
          <w:rFonts w:hint="eastAsia"/>
          <w:lang w:eastAsia="zh-CN"/>
        </w:rPr>
        <w:t>ure</w:t>
      </w:r>
      <w:r>
        <w:t>. S</w:t>
      </w:r>
      <w:r>
        <w:rPr>
          <w:rFonts w:hint="eastAsia"/>
          <w:lang w:eastAsia="zh-CN"/>
        </w:rPr>
        <w:t>19</w:t>
      </w:r>
      <w:r>
        <w:t>.</w:t>
      </w:r>
    </w:p>
    <w:bookmarkEnd w:id="20"/>
    <w:p w14:paraId="4B728C54">
      <w:pPr>
        <w:pStyle w:val="104"/>
        <w:numPr>
          <w:ilvl w:val="0"/>
          <w:numId w:val="14"/>
        </w:numPr>
        <w:rPr>
          <w:lang w:eastAsia="zh-CN"/>
        </w:rPr>
      </w:pPr>
      <w:r>
        <w:rPr>
          <w:lang w:eastAsia="zh-CN"/>
        </w:rPr>
        <w:t>The particle size distribution of each group of drugs.</w:t>
      </w:r>
    </w:p>
    <w:p w14:paraId="047E40F8">
      <w:pPr>
        <w:pStyle w:val="104"/>
        <w:numPr>
          <w:ilvl w:val="0"/>
          <w:numId w:val="14"/>
        </w:numPr>
        <w:rPr>
          <w:lang w:eastAsia="zh-CN"/>
        </w:rPr>
      </w:pPr>
      <w:r>
        <w:rPr>
          <w:lang w:eastAsia="zh-CN"/>
        </w:rPr>
        <w:t>The Zeta potential and EDS of each group of drugs.</w:t>
      </w:r>
    </w:p>
    <w:p w14:paraId="7A8F2462">
      <w:pPr>
        <w:pStyle w:val="104"/>
        <w:numPr>
          <w:ilvl w:val="0"/>
          <w:numId w:val="14"/>
        </w:numPr>
        <w:rPr>
          <w:lang w:eastAsia="zh-CN"/>
        </w:rPr>
      </w:pPr>
      <w:r>
        <w:rPr>
          <w:lang w:eastAsia="zh-CN"/>
        </w:rPr>
        <w:t>Mn²⁺ release. Data: mean ± SD (n=3, ***p &lt; 0.001, ****p &lt; 0.0001;One-way ANOVA).</w:t>
      </w:r>
    </w:p>
    <w:p w14:paraId="6073CFF1">
      <w:pPr>
        <w:pStyle w:val="104"/>
        <w:rPr>
          <w:lang w:eastAsia="zh-CN"/>
        </w:rPr>
      </w:pPr>
      <w:r>
        <w:rPr>
          <w:lang w:eastAsia="zh-CN"/>
        </w:rPr>
        <w:t>(d) Immunofluorescence of TKTL1 and CQLH in HCC and DC cells. Scale bar: 20 μm.</w:t>
      </w:r>
    </w:p>
    <w:p w14:paraId="55FD32A2">
      <w:pPr>
        <w:pStyle w:val="104"/>
        <w:rPr>
          <w:lang w:eastAsia="zh-CN"/>
        </w:rPr>
      </w:pPr>
      <w:r>
        <w:rPr>
          <w:lang w:eastAsia="zh-CN"/>
        </w:rPr>
        <w:t>(e) Immunofluorescence of HIF-1α,HK2 in HCC and DC cells treated with Que/CQLH.Scale bar: 20 μm.</w:t>
      </w:r>
    </w:p>
    <w:p w14:paraId="15F6D45D">
      <w:pPr>
        <w:rPr>
          <w:lang w:eastAsia="zh-CN"/>
        </w:rPr>
      </w:pPr>
      <w:r>
        <w:rPr>
          <w:lang w:eastAsia="zh-CN"/>
        </w:rPr>
        <w:br w:type="page"/>
      </w:r>
    </w:p>
    <w:p w14:paraId="42F8A4D3">
      <w:pPr>
        <w:pStyle w:val="104"/>
        <w:jc w:val="center"/>
        <w:rPr>
          <w:lang w:eastAsia="zh-CN"/>
        </w:rPr>
      </w:pPr>
      <w:r>
        <w:drawing>
          <wp:inline distT="0" distB="0" distL="0" distR="0">
            <wp:extent cx="5943600" cy="5727065"/>
            <wp:effectExtent l="0" t="0" r="0" b="6985"/>
            <wp:docPr id="61605890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58906" name="图片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943600" cy="5727065"/>
                    </a:xfrm>
                    <a:prstGeom prst="rect">
                      <a:avLst/>
                    </a:prstGeom>
                    <a:noFill/>
                    <a:ln>
                      <a:noFill/>
                    </a:ln>
                  </pic:spPr>
                </pic:pic>
              </a:graphicData>
            </a:graphic>
          </wp:inline>
        </w:drawing>
      </w:r>
    </w:p>
    <w:p w14:paraId="5FB59869">
      <w:pPr>
        <w:pStyle w:val="101"/>
      </w:pPr>
      <w:bookmarkStart w:id="21" w:name="OLE_LINK24"/>
      <w:r>
        <w:t>Fig</w:t>
      </w:r>
      <w:r>
        <w:rPr>
          <w:rFonts w:hint="eastAsia"/>
          <w:lang w:eastAsia="zh-CN"/>
        </w:rPr>
        <w:t>ure</w:t>
      </w:r>
      <w:r>
        <w:t>. S</w:t>
      </w:r>
      <w:r>
        <w:rPr>
          <w:rFonts w:hint="eastAsia"/>
          <w:lang w:eastAsia="zh-CN"/>
        </w:rPr>
        <w:t>20</w:t>
      </w:r>
      <w:r>
        <w:t>.</w:t>
      </w:r>
    </w:p>
    <w:bookmarkEnd w:id="21"/>
    <w:p w14:paraId="04EBBB28">
      <w:pPr>
        <w:pStyle w:val="104"/>
        <w:rPr>
          <w:lang w:eastAsia="zh-CN"/>
        </w:rPr>
      </w:pPr>
      <w:r>
        <w:rPr>
          <w:lang w:eastAsia="zh-CN"/>
        </w:rPr>
        <w:t>(a)Overall survival of mice in the orthotopic HCC model across different treatment groups using Kaplan-Meier.Data are mean ± SD(n=5, ns: not significant, *p &lt; 0.05, **p &lt; 0.01,***p &lt; 0.001;Log-rank test).</w:t>
      </w:r>
    </w:p>
    <w:p w14:paraId="6277A820">
      <w:pPr>
        <w:pStyle w:val="104"/>
        <w:rPr>
          <w:lang w:eastAsia="zh-CN"/>
        </w:rPr>
      </w:pPr>
      <w:r>
        <w:rPr>
          <w:lang w:eastAsia="zh-CN"/>
        </w:rPr>
        <w:t>(b) KI67 expression in different groups of orthotopic tumors. Data are mean ± SD(n=3, *p &lt; 0.05</w:t>
      </w:r>
      <w:r>
        <w:rPr>
          <w:rFonts w:hint="eastAsia"/>
          <w:lang w:eastAsia="zh-CN"/>
        </w:rPr>
        <w:t xml:space="preserve">, </w:t>
      </w:r>
      <w:r>
        <w:rPr>
          <w:lang w:eastAsia="zh-CN"/>
        </w:rPr>
        <w:t>**p &lt; 0.01, ***p &lt; 0.001,****p &lt; 0.0001;One-way ANOVA).</w:t>
      </w:r>
    </w:p>
    <w:p w14:paraId="2379AF1D">
      <w:pPr>
        <w:pStyle w:val="104"/>
        <w:rPr>
          <w:lang w:eastAsia="zh-CN"/>
        </w:rPr>
      </w:pPr>
      <w:r>
        <w:rPr>
          <w:lang w:eastAsia="zh-CN"/>
        </w:rPr>
        <w:t xml:space="preserve">(c)KI67 expression in different groups of chemical-induced tumors. Data are mean ± SD(n=3, </w:t>
      </w:r>
      <w:bookmarkStart w:id="22" w:name="OLE_LINK1"/>
      <w:r>
        <w:rPr>
          <w:lang w:eastAsia="zh-CN"/>
        </w:rPr>
        <w:t xml:space="preserve">ns: not significant, </w:t>
      </w:r>
      <w:bookmarkStart w:id="23" w:name="OLE_LINK25"/>
      <w:r>
        <w:rPr>
          <w:lang w:eastAsia="zh-CN"/>
        </w:rPr>
        <w:t>*p &lt; 0.05</w:t>
      </w:r>
      <w:bookmarkEnd w:id="23"/>
      <w:r>
        <w:rPr>
          <w:lang w:eastAsia="zh-CN"/>
        </w:rPr>
        <w:t>, ****p &lt; 0.0001</w:t>
      </w:r>
      <w:bookmarkEnd w:id="22"/>
      <w:r>
        <w:rPr>
          <w:lang w:eastAsia="zh-CN"/>
        </w:rPr>
        <w:t>;One-way ANOVA).</w:t>
      </w:r>
    </w:p>
    <w:p w14:paraId="0E3FBD0F">
      <w:pPr>
        <w:pStyle w:val="104"/>
        <w:rPr>
          <w:lang w:eastAsia="zh-CN"/>
        </w:rPr>
      </w:pPr>
      <w:r>
        <w:rPr>
          <w:lang w:eastAsia="zh-CN"/>
        </w:rPr>
        <w:t>(d)Staining of the heart, liver, spleen, lung and kidney of the drug and PBS group in the chemical-induced HCC models.</w:t>
      </w:r>
    </w:p>
    <w:p w14:paraId="27841F98">
      <w:pPr>
        <w:rPr>
          <w:lang w:eastAsia="zh-CN"/>
        </w:rPr>
      </w:pPr>
      <w:r>
        <w:rPr>
          <w:lang w:eastAsia="zh-CN"/>
        </w:rPr>
        <w:br w:type="page"/>
      </w:r>
    </w:p>
    <w:p w14:paraId="2D6E965D">
      <w:pPr>
        <w:pStyle w:val="104"/>
        <w:rPr>
          <w:lang w:eastAsia="zh-CN"/>
        </w:rPr>
      </w:pPr>
      <w:r>
        <w:drawing>
          <wp:inline distT="0" distB="0" distL="0" distR="0">
            <wp:extent cx="5675630" cy="8229600"/>
            <wp:effectExtent l="0" t="0" r="1270" b="0"/>
            <wp:docPr id="96100010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00101" name="图片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675630" cy="8229600"/>
                    </a:xfrm>
                    <a:prstGeom prst="rect">
                      <a:avLst/>
                    </a:prstGeom>
                    <a:noFill/>
                    <a:ln>
                      <a:noFill/>
                    </a:ln>
                  </pic:spPr>
                </pic:pic>
              </a:graphicData>
            </a:graphic>
          </wp:inline>
        </w:drawing>
      </w:r>
    </w:p>
    <w:p w14:paraId="6217628C">
      <w:pPr>
        <w:pStyle w:val="101"/>
      </w:pPr>
      <w:r>
        <w:t>Fig</w:t>
      </w:r>
      <w:r>
        <w:rPr>
          <w:rFonts w:hint="eastAsia"/>
          <w:lang w:eastAsia="zh-CN"/>
        </w:rPr>
        <w:t>ure</w:t>
      </w:r>
      <w:r>
        <w:t>. S</w:t>
      </w:r>
      <w:r>
        <w:rPr>
          <w:rFonts w:hint="eastAsia"/>
          <w:lang w:eastAsia="zh-CN"/>
        </w:rPr>
        <w:t>21</w:t>
      </w:r>
      <w:r>
        <w:t>.</w:t>
      </w:r>
    </w:p>
    <w:p w14:paraId="2E36A569">
      <w:pPr>
        <w:pStyle w:val="104"/>
        <w:rPr>
          <w:lang w:eastAsia="zh-CN"/>
        </w:rPr>
      </w:pPr>
      <w:r>
        <w:rPr>
          <w:lang w:eastAsia="zh-CN"/>
        </w:rPr>
        <w:t>(a-c)</w:t>
      </w:r>
      <w:r>
        <w:rPr>
          <w:rFonts w:hint="eastAsia"/>
          <w:lang w:eastAsia="zh-CN"/>
        </w:rPr>
        <w:t>Flow cytometry analysis of CD45</w:t>
      </w:r>
      <w:r>
        <w:rPr>
          <w:rFonts w:hint="eastAsia"/>
          <w:vertAlign w:val="superscript"/>
          <w:lang w:val="en-US" w:eastAsia="zh-CN"/>
        </w:rPr>
        <w:t>+</w:t>
      </w:r>
      <w:r>
        <w:rPr>
          <w:rFonts w:hint="eastAsia"/>
          <w:lang w:eastAsia="zh-CN"/>
        </w:rPr>
        <w:t xml:space="preserve"> cell proportion in PBMCs from humanized PDTX models with high or low TKTL1 expression. Samples were collected before PBMC infusion and at endpoint harvest. Intragroup comparison was performed to verify successful model establishment, while intergroup comparison at matched time points was conducted to confirm consistent baseline immune reconstitution. </w:t>
      </w:r>
      <w:r>
        <w:rPr>
          <w:lang w:eastAsia="zh-CN"/>
        </w:rPr>
        <w:t xml:space="preserve"> Data are mean ± SD (n=10, ns: not significant,****p &lt; 0.0001; Student’s t-test).</w:t>
      </w:r>
    </w:p>
    <w:p w14:paraId="01747ED2">
      <w:pPr>
        <w:pStyle w:val="104"/>
        <w:rPr>
          <w:lang w:eastAsia="zh-CN"/>
        </w:rPr>
      </w:pPr>
      <w:r>
        <w:rPr>
          <w:lang w:eastAsia="zh-CN"/>
        </w:rPr>
        <w:t>(d)Staining of high and low expression of TKTL1. Scale bar: 50 µm.</w:t>
      </w:r>
    </w:p>
    <w:p w14:paraId="048509A2">
      <w:pPr>
        <w:rPr>
          <w:lang w:eastAsia="zh-CN"/>
        </w:rPr>
      </w:pPr>
      <w:r>
        <w:rPr>
          <w:lang w:eastAsia="zh-CN"/>
        </w:rPr>
        <w:br w:type="page"/>
      </w:r>
    </w:p>
    <w:p w14:paraId="6E6A5AD6">
      <w:pPr>
        <w:pStyle w:val="104"/>
        <w:rPr>
          <w:lang w:eastAsia="zh-CN"/>
        </w:rPr>
      </w:pPr>
      <w:r>
        <w:drawing>
          <wp:inline distT="0" distB="0" distL="0" distR="0">
            <wp:extent cx="5751830" cy="8229600"/>
            <wp:effectExtent l="0" t="0" r="1270" b="0"/>
            <wp:docPr id="210395718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957184" name="图片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751830" cy="8229600"/>
                    </a:xfrm>
                    <a:prstGeom prst="rect">
                      <a:avLst/>
                    </a:prstGeom>
                    <a:noFill/>
                    <a:ln>
                      <a:noFill/>
                    </a:ln>
                  </pic:spPr>
                </pic:pic>
              </a:graphicData>
            </a:graphic>
          </wp:inline>
        </w:drawing>
      </w:r>
    </w:p>
    <w:p w14:paraId="60062B6C">
      <w:pPr>
        <w:pStyle w:val="101"/>
      </w:pPr>
      <w:r>
        <w:t>Fig</w:t>
      </w:r>
      <w:r>
        <w:rPr>
          <w:rFonts w:hint="eastAsia"/>
          <w:lang w:eastAsia="zh-CN"/>
        </w:rPr>
        <w:t>ure</w:t>
      </w:r>
      <w:r>
        <w:t>. S</w:t>
      </w:r>
      <w:r>
        <w:rPr>
          <w:rFonts w:hint="eastAsia"/>
          <w:lang w:eastAsia="zh-CN"/>
        </w:rPr>
        <w:t>22</w:t>
      </w:r>
      <w:r>
        <w:t>.</w:t>
      </w:r>
    </w:p>
    <w:p w14:paraId="15AACFDD">
      <w:pPr>
        <w:pStyle w:val="104"/>
        <w:rPr>
          <w:lang w:eastAsia="zh-CN"/>
        </w:rPr>
      </w:pPr>
      <w:r>
        <w:rPr>
          <w:lang w:eastAsia="zh-CN"/>
        </w:rPr>
        <w:t>(a-b)Overall survival of mice in the PDTX HCC model across different treatment groups using Kaplan-Meier. Data are mean ± SD(n=5, ns: not significant, *p &lt; 0.05, **p &lt; 0.01,***p &lt; 0.001;Log-rank test).</w:t>
      </w:r>
    </w:p>
    <w:p w14:paraId="54F5135F">
      <w:pPr>
        <w:pStyle w:val="104"/>
        <w:rPr>
          <w:lang w:eastAsia="zh-CN"/>
        </w:rPr>
      </w:pPr>
      <w:r>
        <w:rPr>
          <w:lang w:eastAsia="zh-CN"/>
        </w:rPr>
        <w:t>(c-d) In vivo synergy assessment :tumor weight and volume in mouse groups with high and low expression of TKTL1.Data are mean ± SD(n=5, ns: not significant,*p &lt; 0.05, **p &lt; 0.01;Two-way ANOVA).</w:t>
      </w:r>
    </w:p>
    <w:p w14:paraId="58F5054B">
      <w:pPr>
        <w:pStyle w:val="104"/>
        <w:rPr>
          <w:lang w:eastAsia="zh-CN"/>
        </w:rPr>
      </w:pPr>
      <w:r>
        <w:rPr>
          <w:lang w:eastAsia="zh-CN"/>
        </w:rPr>
        <w:t>(e)Immunofluorescence analysis of HIF-1α/HK2 in tumor cells and TRIM28/PD-L1 in DCs.Data: mean ± SD.(n=3, ns: not significant, **p &lt; 0.01, ***p &lt; 0.001, ****p &lt; 0.0001;One-way ANOVA).</w:t>
      </w:r>
    </w:p>
    <w:p w14:paraId="4AD8E9A9">
      <w:pPr>
        <w:pStyle w:val="104"/>
        <w:rPr>
          <w:lang w:eastAsia="zh-CN"/>
        </w:rPr>
      </w:pPr>
      <w:r>
        <w:rPr>
          <w:lang w:eastAsia="zh-CN"/>
        </w:rPr>
        <w:t>(f)Staining of the heart, liver, spleen, lung and kidney of the drug and PBS group in the PDTX HCC models.</w:t>
      </w:r>
    </w:p>
    <w:p w14:paraId="3FF03D25">
      <w:pPr>
        <w:rPr>
          <w:lang w:eastAsia="zh-CN"/>
        </w:rPr>
      </w:pPr>
      <w:r>
        <w:rPr>
          <w:lang w:eastAsia="zh-CN"/>
        </w:rPr>
        <w:br w:type="page"/>
      </w:r>
      <w:bookmarkEnd w:id="3"/>
    </w:p>
    <w:bookmarkEnd w:id="9"/>
    <w:p w14:paraId="1C4ED036">
      <w:pPr>
        <w:pStyle w:val="101"/>
      </w:pPr>
      <w:bookmarkStart w:id="24" w:name="OLE_LINK26"/>
      <w:r>
        <w:t>Table S1.</w:t>
      </w:r>
    </w:p>
    <w:bookmarkEnd w:id="24"/>
    <w:p w14:paraId="57D400E3">
      <w:pPr>
        <w:pStyle w:val="104"/>
        <w:jc w:val="center"/>
      </w:pPr>
      <w:r>
        <w:rPr>
          <w:b/>
          <w:bCs/>
        </w:rPr>
        <w:t>supplementary table 1</w:t>
      </w:r>
      <w:r>
        <w:rPr>
          <w:bCs/>
        </w:rPr>
        <w:t xml:space="preserve">. </w:t>
      </w:r>
      <w:r>
        <w:rPr>
          <w:b/>
          <w:bCs/>
        </w:rPr>
        <w:t>Primer sequences, lentivirus used in this study.</w:t>
      </w:r>
    </w:p>
    <w:p w14:paraId="4A21A616">
      <w:pPr>
        <w:pStyle w:val="104"/>
      </w:pPr>
    </w:p>
    <w:tbl>
      <w:tblPr>
        <w:tblStyle w:val="88"/>
        <w:tblW w:w="12636" w:type="dxa"/>
        <w:jc w:val="center"/>
        <w:tblLayout w:type="fixed"/>
        <w:tblCellMar>
          <w:top w:w="0" w:type="dxa"/>
          <w:left w:w="108" w:type="dxa"/>
          <w:bottom w:w="0" w:type="dxa"/>
          <w:right w:w="108" w:type="dxa"/>
        </w:tblCellMar>
      </w:tblPr>
      <w:tblGrid>
        <w:gridCol w:w="3429"/>
        <w:gridCol w:w="3703"/>
        <w:gridCol w:w="1120"/>
        <w:gridCol w:w="4384"/>
      </w:tblGrid>
      <w:tr w14:paraId="34C84A6E">
        <w:tblPrEx>
          <w:tblCellMar>
            <w:top w:w="0" w:type="dxa"/>
            <w:left w:w="108" w:type="dxa"/>
            <w:bottom w:w="0" w:type="dxa"/>
            <w:right w:w="108" w:type="dxa"/>
          </w:tblCellMar>
        </w:tblPrEx>
        <w:trPr>
          <w:trHeight w:val="278" w:hRule="atLeast"/>
          <w:jc w:val="center"/>
        </w:trPr>
        <w:tc>
          <w:tcPr>
            <w:tcW w:w="3429" w:type="dxa"/>
            <w:tcBorders>
              <w:top w:val="single" w:color="auto" w:sz="4" w:space="0"/>
              <w:left w:val="nil"/>
              <w:bottom w:val="single" w:color="auto" w:sz="4" w:space="0"/>
              <w:right w:val="nil"/>
            </w:tcBorders>
            <w:vAlign w:val="center"/>
          </w:tcPr>
          <w:p w14:paraId="07ED7B1A">
            <w:pPr>
              <w:widowControl w:val="0"/>
              <w:autoSpaceDE w:val="0"/>
              <w:autoSpaceDN w:val="0"/>
              <w:adjustRightInd w:val="0"/>
              <w:spacing w:line="360" w:lineRule="auto"/>
              <w:jc w:val="center"/>
              <w:rPr>
                <w:rFonts w:eastAsia="等线"/>
                <w:b/>
                <w:bCs/>
                <w:color w:val="0C0C0C"/>
                <w:szCs w:val="24"/>
                <w:lang w:eastAsia="zh-CN"/>
              </w:rPr>
            </w:pPr>
            <w:r>
              <w:rPr>
                <w:rFonts w:eastAsia="等线"/>
                <w:b/>
                <w:bCs/>
                <w:color w:val="0C0C0C"/>
                <w:szCs w:val="24"/>
                <w:lang w:eastAsia="zh-CN"/>
              </w:rPr>
              <w:t>Primer/lentivirus</w:t>
            </w:r>
          </w:p>
        </w:tc>
        <w:tc>
          <w:tcPr>
            <w:tcW w:w="3703" w:type="dxa"/>
            <w:tcBorders>
              <w:top w:val="single" w:color="auto" w:sz="4" w:space="0"/>
              <w:left w:val="nil"/>
              <w:bottom w:val="single" w:color="auto" w:sz="4" w:space="0"/>
              <w:right w:val="nil"/>
            </w:tcBorders>
            <w:vAlign w:val="center"/>
          </w:tcPr>
          <w:p w14:paraId="3C985782">
            <w:pPr>
              <w:widowControl w:val="0"/>
              <w:autoSpaceDE w:val="0"/>
              <w:autoSpaceDN w:val="0"/>
              <w:adjustRightInd w:val="0"/>
              <w:spacing w:line="360" w:lineRule="auto"/>
              <w:jc w:val="center"/>
              <w:rPr>
                <w:rFonts w:eastAsia="等线"/>
                <w:b/>
                <w:bCs/>
                <w:color w:val="0C0C0C"/>
                <w:szCs w:val="24"/>
                <w:lang w:eastAsia="zh-CN"/>
              </w:rPr>
            </w:pPr>
          </w:p>
        </w:tc>
        <w:tc>
          <w:tcPr>
            <w:tcW w:w="5504" w:type="dxa"/>
            <w:gridSpan w:val="2"/>
            <w:tcBorders>
              <w:top w:val="single" w:color="auto" w:sz="4" w:space="0"/>
              <w:left w:val="nil"/>
              <w:bottom w:val="single" w:color="auto" w:sz="4" w:space="0"/>
              <w:right w:val="nil"/>
            </w:tcBorders>
            <w:vAlign w:val="center"/>
          </w:tcPr>
          <w:p w14:paraId="3B61DF82">
            <w:pPr>
              <w:widowControl w:val="0"/>
              <w:autoSpaceDE w:val="0"/>
              <w:autoSpaceDN w:val="0"/>
              <w:adjustRightInd w:val="0"/>
              <w:spacing w:line="360" w:lineRule="auto"/>
              <w:jc w:val="center"/>
              <w:rPr>
                <w:rFonts w:eastAsia="等线"/>
                <w:b/>
                <w:bCs/>
                <w:color w:val="0C0C0C"/>
                <w:szCs w:val="24"/>
                <w:lang w:eastAsia="zh-CN"/>
              </w:rPr>
            </w:pPr>
            <w:r>
              <w:rPr>
                <w:rFonts w:eastAsia="等线"/>
                <w:b/>
                <w:bCs/>
                <w:color w:val="0C0C0C"/>
                <w:szCs w:val="24"/>
                <w:lang w:eastAsia="zh-CN"/>
              </w:rPr>
              <w:t>Sequence (5’-3’)</w:t>
            </w:r>
          </w:p>
        </w:tc>
      </w:tr>
      <w:tr w14:paraId="3F9A056C">
        <w:tblPrEx>
          <w:tblCellMar>
            <w:top w:w="0" w:type="dxa"/>
            <w:left w:w="108" w:type="dxa"/>
            <w:bottom w:w="0" w:type="dxa"/>
            <w:right w:w="108" w:type="dxa"/>
          </w:tblCellMar>
        </w:tblPrEx>
        <w:trPr>
          <w:trHeight w:val="278" w:hRule="atLeast"/>
          <w:jc w:val="center"/>
        </w:trPr>
        <w:tc>
          <w:tcPr>
            <w:tcW w:w="3429" w:type="dxa"/>
            <w:tcBorders>
              <w:top w:val="single" w:color="auto" w:sz="4" w:space="0"/>
              <w:left w:val="nil"/>
              <w:bottom w:val="nil"/>
              <w:right w:val="nil"/>
            </w:tcBorders>
            <w:vAlign w:val="center"/>
          </w:tcPr>
          <w:p w14:paraId="02DC2D64">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human-TKTL1</w:t>
            </w:r>
          </w:p>
        </w:tc>
        <w:tc>
          <w:tcPr>
            <w:tcW w:w="3703" w:type="dxa"/>
            <w:tcBorders>
              <w:top w:val="single" w:color="auto" w:sz="4" w:space="0"/>
              <w:left w:val="nil"/>
              <w:bottom w:val="nil"/>
              <w:right w:val="nil"/>
            </w:tcBorders>
            <w:vAlign w:val="center"/>
          </w:tcPr>
          <w:p w14:paraId="53C5F71F">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Forward primer</w:t>
            </w:r>
          </w:p>
        </w:tc>
        <w:tc>
          <w:tcPr>
            <w:tcW w:w="5504" w:type="dxa"/>
            <w:gridSpan w:val="2"/>
            <w:tcBorders>
              <w:top w:val="single" w:color="auto" w:sz="4" w:space="0"/>
              <w:left w:val="nil"/>
              <w:bottom w:val="nil"/>
              <w:right w:val="nil"/>
            </w:tcBorders>
            <w:vAlign w:val="center"/>
          </w:tcPr>
          <w:p w14:paraId="6CA63707">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AACAGGATGGCTCGGACAAG</w:t>
            </w:r>
          </w:p>
        </w:tc>
      </w:tr>
      <w:tr w14:paraId="78186630">
        <w:tblPrEx>
          <w:tblCellMar>
            <w:top w:w="0" w:type="dxa"/>
            <w:left w:w="108" w:type="dxa"/>
            <w:bottom w:w="0" w:type="dxa"/>
            <w:right w:w="108" w:type="dxa"/>
          </w:tblCellMar>
        </w:tblPrEx>
        <w:trPr>
          <w:trHeight w:val="440" w:hRule="atLeast"/>
          <w:jc w:val="center"/>
        </w:trPr>
        <w:tc>
          <w:tcPr>
            <w:tcW w:w="3429" w:type="dxa"/>
            <w:tcBorders>
              <w:top w:val="nil"/>
              <w:left w:val="nil"/>
              <w:bottom w:val="nil"/>
              <w:right w:val="nil"/>
            </w:tcBorders>
            <w:vAlign w:val="center"/>
          </w:tcPr>
          <w:p w14:paraId="12CEE012">
            <w:pPr>
              <w:widowControl w:val="0"/>
              <w:autoSpaceDE w:val="0"/>
              <w:autoSpaceDN w:val="0"/>
              <w:adjustRightInd w:val="0"/>
              <w:spacing w:line="360" w:lineRule="auto"/>
              <w:jc w:val="center"/>
              <w:rPr>
                <w:rFonts w:eastAsia="等线"/>
                <w:color w:val="0C0C0C"/>
                <w:szCs w:val="24"/>
                <w:lang w:eastAsia="zh-CN"/>
              </w:rPr>
            </w:pPr>
          </w:p>
        </w:tc>
        <w:tc>
          <w:tcPr>
            <w:tcW w:w="3703" w:type="dxa"/>
            <w:tcBorders>
              <w:top w:val="nil"/>
              <w:left w:val="nil"/>
              <w:bottom w:val="nil"/>
              <w:right w:val="nil"/>
            </w:tcBorders>
            <w:vAlign w:val="center"/>
          </w:tcPr>
          <w:p w14:paraId="2576D23B">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Reverse primer</w:t>
            </w:r>
          </w:p>
        </w:tc>
        <w:tc>
          <w:tcPr>
            <w:tcW w:w="5504" w:type="dxa"/>
            <w:gridSpan w:val="2"/>
            <w:tcBorders>
              <w:top w:val="nil"/>
              <w:left w:val="nil"/>
              <w:bottom w:val="nil"/>
              <w:right w:val="nil"/>
            </w:tcBorders>
            <w:vAlign w:val="center"/>
          </w:tcPr>
          <w:p w14:paraId="5A6BE40B">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CTGAGGACTCGCCATCACTC</w:t>
            </w:r>
          </w:p>
        </w:tc>
      </w:tr>
      <w:tr w14:paraId="31E061B4">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5B154ABA">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human-HIF-1α</w:t>
            </w:r>
          </w:p>
        </w:tc>
        <w:tc>
          <w:tcPr>
            <w:tcW w:w="3703" w:type="dxa"/>
            <w:tcBorders>
              <w:top w:val="nil"/>
              <w:left w:val="nil"/>
              <w:bottom w:val="nil"/>
              <w:right w:val="nil"/>
            </w:tcBorders>
            <w:vAlign w:val="center"/>
          </w:tcPr>
          <w:p w14:paraId="5AE0B52F">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Forward primer</w:t>
            </w:r>
          </w:p>
        </w:tc>
        <w:tc>
          <w:tcPr>
            <w:tcW w:w="5504" w:type="dxa"/>
            <w:gridSpan w:val="2"/>
            <w:tcBorders>
              <w:top w:val="nil"/>
              <w:left w:val="nil"/>
              <w:bottom w:val="nil"/>
              <w:right w:val="nil"/>
            </w:tcBorders>
            <w:vAlign w:val="center"/>
          </w:tcPr>
          <w:p w14:paraId="7993B053">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GCTTTAACTTTGCTGGCCCC</w:t>
            </w:r>
          </w:p>
        </w:tc>
      </w:tr>
      <w:tr w14:paraId="5AC30AD6">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0811127B">
            <w:pPr>
              <w:widowControl w:val="0"/>
              <w:autoSpaceDE w:val="0"/>
              <w:autoSpaceDN w:val="0"/>
              <w:adjustRightInd w:val="0"/>
              <w:spacing w:line="360" w:lineRule="auto"/>
              <w:jc w:val="center"/>
              <w:rPr>
                <w:rFonts w:eastAsia="等线"/>
                <w:color w:val="0C0C0C"/>
                <w:szCs w:val="24"/>
                <w:lang w:eastAsia="zh-CN"/>
              </w:rPr>
            </w:pPr>
          </w:p>
        </w:tc>
        <w:tc>
          <w:tcPr>
            <w:tcW w:w="3703" w:type="dxa"/>
            <w:tcBorders>
              <w:top w:val="nil"/>
              <w:left w:val="nil"/>
              <w:bottom w:val="nil"/>
              <w:right w:val="nil"/>
            </w:tcBorders>
            <w:vAlign w:val="center"/>
          </w:tcPr>
          <w:p w14:paraId="11FEB53B">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Reverse primer</w:t>
            </w:r>
          </w:p>
        </w:tc>
        <w:tc>
          <w:tcPr>
            <w:tcW w:w="5504" w:type="dxa"/>
            <w:gridSpan w:val="2"/>
            <w:tcBorders>
              <w:top w:val="nil"/>
              <w:left w:val="nil"/>
              <w:bottom w:val="nil"/>
              <w:right w:val="nil"/>
            </w:tcBorders>
            <w:vAlign w:val="center"/>
          </w:tcPr>
          <w:p w14:paraId="737B42EA">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TTTTCGTTGGGTGAGGGGAG</w:t>
            </w:r>
          </w:p>
        </w:tc>
      </w:tr>
      <w:tr w14:paraId="2A479B59">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07838917">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human-HK2</w:t>
            </w:r>
          </w:p>
        </w:tc>
        <w:tc>
          <w:tcPr>
            <w:tcW w:w="3703" w:type="dxa"/>
            <w:tcBorders>
              <w:top w:val="nil"/>
              <w:left w:val="nil"/>
              <w:bottom w:val="nil"/>
              <w:right w:val="nil"/>
            </w:tcBorders>
            <w:vAlign w:val="center"/>
          </w:tcPr>
          <w:p w14:paraId="5C2EE68F">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Forward primer</w:t>
            </w:r>
          </w:p>
        </w:tc>
        <w:tc>
          <w:tcPr>
            <w:tcW w:w="5504" w:type="dxa"/>
            <w:gridSpan w:val="2"/>
            <w:tcBorders>
              <w:top w:val="nil"/>
              <w:left w:val="nil"/>
              <w:bottom w:val="nil"/>
              <w:right w:val="nil"/>
            </w:tcBorders>
            <w:vAlign w:val="center"/>
          </w:tcPr>
          <w:p w14:paraId="0E4FE66D">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CACCCTACTGCAGCAGTGAA</w:t>
            </w:r>
          </w:p>
        </w:tc>
      </w:tr>
      <w:tr w14:paraId="203F3E3F">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181F5E35">
            <w:pPr>
              <w:widowControl w:val="0"/>
              <w:autoSpaceDE w:val="0"/>
              <w:autoSpaceDN w:val="0"/>
              <w:adjustRightInd w:val="0"/>
              <w:spacing w:line="360" w:lineRule="auto"/>
              <w:jc w:val="center"/>
              <w:rPr>
                <w:rFonts w:eastAsia="等线"/>
                <w:color w:val="0C0C0C"/>
                <w:szCs w:val="24"/>
                <w:lang w:eastAsia="zh-CN"/>
              </w:rPr>
            </w:pPr>
          </w:p>
        </w:tc>
        <w:tc>
          <w:tcPr>
            <w:tcW w:w="3703" w:type="dxa"/>
            <w:tcBorders>
              <w:top w:val="nil"/>
              <w:left w:val="nil"/>
              <w:bottom w:val="nil"/>
              <w:right w:val="nil"/>
            </w:tcBorders>
            <w:vAlign w:val="center"/>
          </w:tcPr>
          <w:p w14:paraId="066DC590">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Reverse primer</w:t>
            </w:r>
          </w:p>
        </w:tc>
        <w:tc>
          <w:tcPr>
            <w:tcW w:w="5504" w:type="dxa"/>
            <w:gridSpan w:val="2"/>
            <w:tcBorders>
              <w:top w:val="nil"/>
              <w:left w:val="nil"/>
              <w:bottom w:val="nil"/>
              <w:right w:val="nil"/>
            </w:tcBorders>
            <w:vAlign w:val="center"/>
          </w:tcPr>
          <w:p w14:paraId="3C40E288">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CCAAAGCACACGGAAGTTGG</w:t>
            </w:r>
          </w:p>
        </w:tc>
      </w:tr>
      <w:tr w14:paraId="346BEF95">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3543AB43">
            <w:pPr>
              <w:widowControl w:val="0"/>
              <w:autoSpaceDE w:val="0"/>
              <w:autoSpaceDN w:val="0"/>
              <w:adjustRightInd w:val="0"/>
              <w:spacing w:line="360" w:lineRule="auto"/>
              <w:jc w:val="center"/>
              <w:rPr>
                <w:rFonts w:eastAsia="等线"/>
                <w:color w:val="0C0C0C"/>
                <w:szCs w:val="24"/>
                <w:lang w:eastAsia="zh-CN"/>
              </w:rPr>
            </w:pPr>
            <w:bookmarkStart w:id="25" w:name="_Hlk232155589"/>
            <w:r>
              <w:rPr>
                <w:rFonts w:eastAsia="等线"/>
                <w:color w:val="0C0C0C"/>
                <w:szCs w:val="24"/>
                <w:lang w:eastAsia="zh-CN"/>
              </w:rPr>
              <w:t>human-Sh1-TKTL1</w:t>
            </w:r>
          </w:p>
        </w:tc>
        <w:tc>
          <w:tcPr>
            <w:tcW w:w="9207" w:type="dxa"/>
            <w:gridSpan w:val="3"/>
            <w:tcBorders>
              <w:top w:val="nil"/>
              <w:left w:val="nil"/>
              <w:bottom w:val="nil"/>
              <w:right w:val="nil"/>
            </w:tcBorders>
            <w:vAlign w:val="center"/>
          </w:tcPr>
          <w:p w14:paraId="000E01E9">
            <w:pPr>
              <w:widowControl w:val="0"/>
              <w:autoSpaceDE w:val="0"/>
              <w:autoSpaceDN w:val="0"/>
              <w:adjustRightInd w:val="0"/>
              <w:spacing w:line="360" w:lineRule="auto"/>
              <w:jc w:val="center"/>
              <w:rPr>
                <w:rFonts w:eastAsia="等线"/>
                <w:kern w:val="2"/>
                <w:szCs w:val="24"/>
                <w:lang w:eastAsia="zh-CN"/>
              </w:rPr>
            </w:pPr>
            <w:r>
              <w:rPr>
                <w:rFonts w:hint="eastAsia" w:eastAsia="等线"/>
                <w:kern w:val="2"/>
                <w:szCs w:val="24"/>
                <w:lang w:eastAsia="zh-CN"/>
              </w:rPr>
              <w:t>ccggGCATGTGGAATGGCATATACTctcgagAGTATATGCCATTCCACATGCtttttg</w:t>
            </w:r>
          </w:p>
        </w:tc>
      </w:tr>
      <w:tr w14:paraId="2D294472">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2BD2F9DA">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human-Sh2-TKTL1</w:t>
            </w:r>
          </w:p>
        </w:tc>
        <w:tc>
          <w:tcPr>
            <w:tcW w:w="9207" w:type="dxa"/>
            <w:gridSpan w:val="3"/>
            <w:tcBorders>
              <w:top w:val="nil"/>
              <w:left w:val="nil"/>
              <w:bottom w:val="nil"/>
              <w:right w:val="nil"/>
            </w:tcBorders>
            <w:vAlign w:val="center"/>
          </w:tcPr>
          <w:p w14:paraId="57C7F5B0">
            <w:pPr>
              <w:widowControl w:val="0"/>
              <w:autoSpaceDE w:val="0"/>
              <w:autoSpaceDN w:val="0"/>
              <w:adjustRightInd w:val="0"/>
              <w:spacing w:line="360" w:lineRule="auto"/>
              <w:jc w:val="center"/>
              <w:rPr>
                <w:rFonts w:eastAsia="等线"/>
                <w:kern w:val="2"/>
                <w:szCs w:val="24"/>
                <w:lang w:eastAsia="zh-CN"/>
              </w:rPr>
            </w:pPr>
            <w:r>
              <w:rPr>
                <w:rFonts w:hint="eastAsia" w:eastAsia="等线"/>
                <w:kern w:val="2"/>
                <w:szCs w:val="24"/>
                <w:lang w:eastAsia="zh-CN"/>
              </w:rPr>
              <w:t>ccggGCAGTCAGATCCAGAGAATCCctcgagGGATTCTCTGGATCTGACTGCtttttg</w:t>
            </w:r>
          </w:p>
        </w:tc>
      </w:tr>
      <w:tr w14:paraId="5D6043A4">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23338549">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human-Sh3-TKTL1</w:t>
            </w:r>
          </w:p>
        </w:tc>
        <w:tc>
          <w:tcPr>
            <w:tcW w:w="9207" w:type="dxa"/>
            <w:gridSpan w:val="3"/>
            <w:tcBorders>
              <w:top w:val="nil"/>
              <w:left w:val="nil"/>
              <w:bottom w:val="nil"/>
              <w:right w:val="nil"/>
            </w:tcBorders>
            <w:vAlign w:val="center"/>
          </w:tcPr>
          <w:p w14:paraId="0A8CFA05">
            <w:pPr>
              <w:widowControl w:val="0"/>
              <w:autoSpaceDE w:val="0"/>
              <w:autoSpaceDN w:val="0"/>
              <w:adjustRightInd w:val="0"/>
              <w:spacing w:line="360" w:lineRule="auto"/>
              <w:jc w:val="center"/>
              <w:rPr>
                <w:rFonts w:eastAsia="等线"/>
                <w:kern w:val="2"/>
                <w:szCs w:val="24"/>
                <w:lang w:eastAsia="zh-CN"/>
              </w:rPr>
            </w:pPr>
            <w:r>
              <w:rPr>
                <w:rFonts w:eastAsia="等线"/>
                <w:kern w:val="2"/>
                <w:szCs w:val="24"/>
                <w:lang w:eastAsia="zh-CN"/>
              </w:rPr>
              <w:t>ccggGGATGCAGAAAGTTGGCATGCctcgagGCATGCCAACTTTCTGCATCCtttttg</w:t>
            </w:r>
          </w:p>
        </w:tc>
      </w:tr>
      <w:tr w14:paraId="3773499B">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510FE2C3">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mouse-Sh-TKTL1</w:t>
            </w:r>
          </w:p>
        </w:tc>
        <w:tc>
          <w:tcPr>
            <w:tcW w:w="9207" w:type="dxa"/>
            <w:gridSpan w:val="3"/>
            <w:tcBorders>
              <w:top w:val="nil"/>
              <w:left w:val="nil"/>
              <w:bottom w:val="nil"/>
              <w:right w:val="nil"/>
            </w:tcBorders>
            <w:vAlign w:val="center"/>
          </w:tcPr>
          <w:p w14:paraId="697B3A2A">
            <w:pPr>
              <w:widowControl w:val="0"/>
              <w:autoSpaceDE w:val="0"/>
              <w:autoSpaceDN w:val="0"/>
              <w:adjustRightInd w:val="0"/>
              <w:spacing w:line="360" w:lineRule="auto"/>
              <w:jc w:val="center"/>
              <w:rPr>
                <w:rFonts w:eastAsia="等线"/>
                <w:color w:val="0C0C0C"/>
                <w:szCs w:val="24"/>
                <w:lang w:eastAsia="zh-CN"/>
              </w:rPr>
            </w:pPr>
            <w:r>
              <w:rPr>
                <w:rFonts w:eastAsia="宋体"/>
                <w:kern w:val="2"/>
                <w:szCs w:val="24"/>
                <w:lang w:eastAsia="zh-CN"/>
              </w:rPr>
              <w:t>ccggGCTGTCCGATCCAAAGAATCCctcgagGGATTCTTTGGATCGGACAGCtttttg</w:t>
            </w:r>
          </w:p>
        </w:tc>
      </w:tr>
      <w:bookmarkEnd w:id="25"/>
      <w:tr w14:paraId="32B5392C">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5CDB8BCF">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human-OE-TKTL1</w:t>
            </w:r>
          </w:p>
        </w:tc>
        <w:tc>
          <w:tcPr>
            <w:tcW w:w="9207" w:type="dxa"/>
            <w:gridSpan w:val="3"/>
            <w:tcBorders>
              <w:top w:val="nil"/>
              <w:left w:val="nil"/>
              <w:bottom w:val="nil"/>
              <w:right w:val="nil"/>
            </w:tcBorders>
            <w:vAlign w:val="center"/>
          </w:tcPr>
          <w:p w14:paraId="6D8F6F7E">
            <w:pPr>
              <w:widowControl w:val="0"/>
              <w:autoSpaceDE w:val="0"/>
              <w:autoSpaceDN w:val="0"/>
              <w:adjustRightInd w:val="0"/>
              <w:spacing w:line="360" w:lineRule="auto"/>
              <w:rPr>
                <w:rFonts w:eastAsia="等线"/>
                <w:color w:val="0C0C0C"/>
                <w:szCs w:val="24"/>
                <w:lang w:eastAsia="zh-CN"/>
              </w:rPr>
            </w:pPr>
            <w:r>
              <w:rPr>
                <w:rFonts w:eastAsia="等线"/>
                <w:color w:val="0C0C0C"/>
                <w:szCs w:val="24"/>
                <w:lang w:eastAsia="zh-CN"/>
              </w:rPr>
              <w:t>ATGGCGGATGCTGAGGCGAGGGCTGAGTTCCCGGAGGAGGCCAGACCTGACAGGGGCACCTTGCAGGTGTTGCAAGATATGGCCAGCCGCTTGCGAATCCATTCCATCAGGGCCACATGCTCCACGAGCTCCGGCCACCCTACATCATGTAGCAGTTCTTCTGAGATCATGTCTGTGCTGTTCTTCTACATCATGAGGTACAAGCAGTCAGATCCAGAGAATCCGGACAACGACCGATTTGTCCTCGCAAAGAGACTGTCGTTTGTGGATGTGGCAACAGGATGGCTCGGACAAGGACTGGGAGTTGCATGTGGAATGGCATATACTGGCAAGTACTTCGACAGGGCCAGCTACCGGGTGTTCTGCCTCATGAGTGATGGCGAGTCCTCAGAAGGCTCTGTCTGGGAGGCAATGGCCTTTGCTTCCTACTACAGTCTGGACAATCTTGTGGCAATCTTTGATGTGAACCGCCTGGGACACAGTGGTGCATTGCCCGCCGAGCACTGCATAAACATCTATCAGAGGCGCTGCGAAGCCTTTGGGTGGAACACTTATGTGGTGGACGGCCGGGACGTGGAGGCACTGTGCCAGGTATTCTGGCAGGCTTCTCAGGTGAAGCACAAGCCCACTGCTGTGGTGGCCAAGACCTTCAAGGGCCGGGGCACCCCAAGTATTGAGGATGCAGAAAGTTGGCATGCAAAGCCAATGCCGAGAGAAAGAGCAGATGCCATTATCAAATTAATTGAGAGCCAGATACAGACCAGCAGGAATCTTGACCCACAGCCCCCCATTGAGGACTCACCTGAAGTCAACATCACAGATGTAAGGATGACCTCTCCACCTGATTACAGAGTTGGTGACAAGATAGCTACTCGGAAAGCATGCGGTCTGGCTCTGGCTAAGCTGGGCTACGCGAACAACAGAGTCGTTGTGCTGGATGGTGACACCAGGTACTCTACTTTCTCTGAGATATTCAACAAGGAGTACCCTGAGCGCTTCATCGAGTGCTTTATGGCTGAACAAAACATGGTGAGCGTGGCTCTGGGCTGTGCCTCCCGTGGACGGACCATTGCTTTTGCTAGCACCTTTGCTGCCTTTCTGACTCGAGCATTTGATCACATCCGGATAGGAGGCCTCGCTGAGAGCAACATCAACATTATTGGTTCCCACTGTGGGGTATCTGTTGGTGACGATGGTGCTTCCCAGATGGCCCTGGAGGATATAGCCATGTTCCGAACCATTCCCAAGTGCACGATCTTCTACCCAACTGATGCCGTCTCCACGGAGCATGCTGTTGCTCTGGCAGCCAATGCCAAGGGGATGTGCTTCATTCGGACCACCCGACCAGAAACTATGGTTATTTACACCCCACAAGAACGCTTTGAGATCGGACAGGCCAAGGTCCTCCGCCACTGTGTCAGTGACAAGGTCACAGTTATTGGAGCTGGAATTACTGTGTATGAAGCCTTAGCAGCTGCTGATGAGCTTTCGAAACAAGATATTTTTATCCGTGTCATCGACCTGTTTACCATTAAACCTCTGGATGTCGCCACCATCGTCTCCAGTGCAAAAGCCACAGAGGGCCGGATCATTACAGTGGAGGATCACTACCCGCAAGGTGGCATCGGGGAAGCTGTCTGCGCAGCCGTCTCCATGGATCCTGACATTCAGGTTCATTCGCTGGCAGTGTCGGGAGTGCCCCAGAGTGGGAAGTCCGAGGAATTGCTGGATATGTATGGAATTAGTGCCAGACATATCATAGTGGCCGTGAAATGCATGTTGCTGAACTAA</w:t>
            </w:r>
          </w:p>
        </w:tc>
      </w:tr>
      <w:tr w14:paraId="6E2089E0">
        <w:tblPrEx>
          <w:tblCellMar>
            <w:top w:w="0" w:type="dxa"/>
            <w:left w:w="108" w:type="dxa"/>
            <w:bottom w:w="0" w:type="dxa"/>
            <w:right w:w="108" w:type="dxa"/>
          </w:tblCellMar>
        </w:tblPrEx>
        <w:trPr>
          <w:trHeight w:val="278" w:hRule="atLeast"/>
          <w:jc w:val="center"/>
        </w:trPr>
        <w:tc>
          <w:tcPr>
            <w:tcW w:w="3429" w:type="dxa"/>
            <w:tcBorders>
              <w:top w:val="nil"/>
              <w:left w:val="nil"/>
              <w:bottom w:val="nil"/>
              <w:right w:val="nil"/>
            </w:tcBorders>
            <w:vAlign w:val="center"/>
          </w:tcPr>
          <w:p w14:paraId="6D5F2553">
            <w:pPr>
              <w:widowControl w:val="0"/>
              <w:autoSpaceDE w:val="0"/>
              <w:autoSpaceDN w:val="0"/>
              <w:adjustRightInd w:val="0"/>
              <w:spacing w:line="360" w:lineRule="auto"/>
              <w:jc w:val="center"/>
              <w:rPr>
                <w:rFonts w:eastAsia="等线"/>
                <w:color w:val="0C0C0C"/>
                <w:szCs w:val="24"/>
                <w:lang w:eastAsia="zh-CN"/>
              </w:rPr>
            </w:pPr>
            <w:r>
              <w:rPr>
                <w:rFonts w:eastAsia="等线"/>
                <w:color w:val="0C0C0C"/>
                <w:szCs w:val="24"/>
                <w:lang w:eastAsia="zh-CN"/>
              </w:rPr>
              <w:t>mouse-OE-TKTL1</w:t>
            </w:r>
          </w:p>
        </w:tc>
        <w:tc>
          <w:tcPr>
            <w:tcW w:w="9207" w:type="dxa"/>
            <w:gridSpan w:val="3"/>
            <w:tcBorders>
              <w:top w:val="nil"/>
              <w:left w:val="nil"/>
              <w:bottom w:val="nil"/>
              <w:right w:val="nil"/>
            </w:tcBorders>
            <w:vAlign w:val="center"/>
          </w:tcPr>
          <w:p w14:paraId="7627C0E8">
            <w:pPr>
              <w:widowControl w:val="0"/>
              <w:autoSpaceDE w:val="0"/>
              <w:autoSpaceDN w:val="0"/>
              <w:adjustRightInd w:val="0"/>
              <w:spacing w:line="360" w:lineRule="auto"/>
              <w:jc w:val="both"/>
              <w:rPr>
                <w:rFonts w:eastAsia="等线"/>
                <w:color w:val="0C0C0C"/>
                <w:szCs w:val="24"/>
                <w:lang w:eastAsia="zh-CN"/>
              </w:rPr>
            </w:pPr>
            <w:r>
              <w:rPr>
                <w:rFonts w:eastAsia="等线"/>
                <w:color w:val="0C0C0C"/>
                <w:szCs w:val="24"/>
                <w:lang w:eastAsia="zh-CN"/>
              </w:rPr>
              <w:t>ATGTCGGAAGCTGAGGCAAGCAGTGGGATGGCCCACAACGCTGGACCTGATGAGAAGACATTGCAGGTGTTGCGGGACATGGCCAACCGCCTGCGAATCCGTTCCATCAAGGCCACAAATTCCTCGACCACTAGCTATCTCATACCATGCAGCAATGCTGAGATCATGTCTGTGCTGTTCTTTTATACAATGAGATATAAACAAGAAGACCCTGAAAACCCAGACAATGACCGGTGCATCCTTTCAAAGGGACTACCATTTGTTAATGTGGCAACAGGATGGCCTGGACAAGGACTAGGGGCTGCCTGTGGGATGGCATATACTGGCAAGTACTTTGACCAAGCCAGCTACCGGGTGTTCTGTCTTCTGGGGGATGAGGAATCCACAGAAGGCTCTGTTTGGGAGGCATTTGCCTTTGCATCCTACTACAATTTGGACAATCTTATGGCAATCTTTGATGTGAACCGCATTGGACACAGTAGCTCCATGTCTGTTGAGCACTGCATTGCCATCTACCAGAAGCGTTGTGAAGCCTTTGGGTGGAATACTTACGTGGTGGATGGCCGTGATGTCAAGACCCTGTGCCATGTATTCTCACAGGCAGCTCAAGTGAGAGGCAAGCCCACTGCTGTGGTTGCCAAAACCTTCAAGGCCCGAGGCATGCCAAATGTTGAGGATGCGGAAAGTTGGTATGGAAGGCCAATGCCAAAAGAAAGAGCAGATGCAATTGTCAAGTTAATTGAGAGCCAGATACAGACCAACAAAATTCTTGTACCATCACCCCCTATTGAGGACTCGCCTCAAATTAACATCATGAATATATGTATGACTTCGCCCCCTGTTTACGTAGCTGATGACAAGGTGTCTACTCAAAGAGCATGTGGTTTGGCTCTAGCTAAACTGGGCCATGAAAATGACAGAGTTATTGTGCTGGGTAGTGACACCAAGAACTGCAATTTTTCTGACATATTCAAGAAAGAACACCCAGAGAGATTCATCCAGTGTTGTATTGCTGAACAAAACATGGTAAATGTGGCTCTAGGATGCTCCACCCGTGACCGGACCATTGTTTTTGCTTACTCCTTCGCTGCCTTTTTCACCCGAGCATTTGATCAGATCCGATTGGGAGCCATCTCTCAAATCAACATCAACCTTATTGGTTGTCACTGCGGGGTATCTACTGGTGATGACAACCCTTACCATATGGCCCTGGAAGACCTGGCCATGTTCCGAGCAATTCCCAATTGTGTTGTTTTCTATCCAAGTGATGCCGTCTCCACAGAACATGCTGTTTACTTAGCAGCCAATACTAAGGAAATGTGCTTTATTCGTACCAGCCAAGCAGAAACTGCAATTATTTACACCACTCAAGAAACCTTTCAGATTGGACAGGCCAAGGTTGTCCGCCATAGTGACAATGACAAGGTCATAGTTATTGGAGCAGGAGTCACCCTGCATGAAGCCCTAGTAGCTGCTGCTGAGCTCTCTAAAGAAGATATATCTATCCGTGTCATTGACTTGTTTACCATTAAACCTCTGGACATTGCCACCATCATTTCCAATGCAAAAGCCACAGGTGGCCGAATTATCACCGTGGAGGATCACTATCCTGAAGGTGGCATTGGAGGAGCTGTCTGTGCAGCAGTCTCCATGGAGCCTAACATTGTGGTTCATAACCTGGCAGTAATGGATGTGCCTCGTAGTGGAAGATGCAATGAAGCACTAGATTTTTCTGGAATCAGTTCCAGACACATCATTGTGGCTGTGAAATGCATCTTAATGACCTAA</w:t>
            </w:r>
          </w:p>
        </w:tc>
      </w:tr>
      <w:tr w14:paraId="5A808876">
        <w:tblPrEx>
          <w:tblCellMar>
            <w:top w:w="0" w:type="dxa"/>
            <w:left w:w="108" w:type="dxa"/>
            <w:bottom w:w="0" w:type="dxa"/>
            <w:right w:w="108" w:type="dxa"/>
          </w:tblCellMar>
        </w:tblPrEx>
        <w:trPr>
          <w:trHeight w:val="234" w:hRule="atLeast"/>
          <w:jc w:val="center"/>
        </w:trPr>
        <w:tc>
          <w:tcPr>
            <w:tcW w:w="3429" w:type="dxa"/>
            <w:tcBorders>
              <w:top w:val="nil"/>
              <w:left w:val="nil"/>
              <w:bottom w:val="nil"/>
              <w:right w:val="nil"/>
            </w:tcBorders>
            <w:vAlign w:val="bottom"/>
          </w:tcPr>
          <w:p w14:paraId="7156517B">
            <w:pPr>
              <w:spacing w:line="360" w:lineRule="auto"/>
              <w:jc w:val="center"/>
              <w:textAlignment w:val="bottom"/>
              <w:rPr>
                <w:rFonts w:eastAsia="等线"/>
                <w:color w:val="0C0C0C"/>
                <w:szCs w:val="24"/>
                <w:lang w:eastAsia="zh-CN"/>
              </w:rPr>
            </w:pPr>
            <w:r>
              <w:rPr>
                <w:rFonts w:eastAsia="等线"/>
                <w:color w:val="0C0C0C"/>
                <w:szCs w:val="24"/>
                <w:lang w:eastAsia="zh-CN"/>
              </w:rPr>
              <w:t>mouse-Si1-TRIM28</w:t>
            </w:r>
          </w:p>
        </w:tc>
        <w:tc>
          <w:tcPr>
            <w:tcW w:w="4823" w:type="dxa"/>
            <w:gridSpan w:val="2"/>
            <w:tcBorders>
              <w:top w:val="nil"/>
              <w:left w:val="nil"/>
              <w:bottom w:val="nil"/>
              <w:right w:val="nil"/>
            </w:tcBorders>
            <w:vAlign w:val="center"/>
          </w:tcPr>
          <w:p w14:paraId="1780C64F">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TRIM28</w:t>
            </w:r>
            <w:r>
              <w:rPr>
                <w:rFonts w:ascii="仿宋" w:hAnsi="仿宋" w:eastAsia="仿宋"/>
                <w:color w:val="0C0C0C"/>
                <w:kern w:val="2"/>
                <w:szCs w:val="24"/>
                <w:lang w:eastAsia="zh-CN"/>
              </w:rPr>
              <w:t>（</w:t>
            </w:r>
            <w:r>
              <w:rPr>
                <w:rFonts w:eastAsia="仿宋"/>
                <w:color w:val="0C0C0C"/>
                <w:kern w:val="2"/>
                <w:szCs w:val="24"/>
                <w:lang w:eastAsia="zh-CN"/>
              </w:rPr>
              <w:t>house mouse</w:t>
            </w:r>
            <w:r>
              <w:rPr>
                <w:rFonts w:ascii="仿宋" w:hAnsi="仿宋" w:eastAsia="仿宋"/>
                <w:color w:val="0C0C0C"/>
                <w:kern w:val="2"/>
                <w:szCs w:val="24"/>
                <w:lang w:eastAsia="zh-CN"/>
              </w:rPr>
              <w:t>）</w:t>
            </w:r>
            <w:r>
              <w:rPr>
                <w:rFonts w:eastAsia="仿宋"/>
                <w:color w:val="0C0C0C"/>
                <w:kern w:val="2"/>
                <w:szCs w:val="24"/>
                <w:lang w:eastAsia="zh-CN"/>
              </w:rPr>
              <w:t>ID:21849-siRNA-947</w:t>
            </w:r>
          </w:p>
        </w:tc>
        <w:tc>
          <w:tcPr>
            <w:tcW w:w="4384" w:type="dxa"/>
            <w:tcBorders>
              <w:top w:val="nil"/>
              <w:left w:val="nil"/>
              <w:bottom w:val="nil"/>
              <w:right w:val="nil"/>
            </w:tcBorders>
            <w:vAlign w:val="center"/>
          </w:tcPr>
          <w:p w14:paraId="42448A75">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CCAAAGACAUCGUGGAGAATT</w:t>
            </w:r>
          </w:p>
        </w:tc>
      </w:tr>
      <w:tr w14:paraId="1C0E07EA">
        <w:tblPrEx>
          <w:tblCellMar>
            <w:top w:w="0" w:type="dxa"/>
            <w:left w:w="108" w:type="dxa"/>
            <w:bottom w:w="0" w:type="dxa"/>
            <w:right w:w="108" w:type="dxa"/>
          </w:tblCellMar>
        </w:tblPrEx>
        <w:trPr>
          <w:trHeight w:val="234" w:hRule="atLeast"/>
          <w:jc w:val="center"/>
        </w:trPr>
        <w:tc>
          <w:tcPr>
            <w:tcW w:w="3429" w:type="dxa"/>
            <w:tcBorders>
              <w:top w:val="nil"/>
              <w:left w:val="nil"/>
              <w:bottom w:val="nil"/>
              <w:right w:val="nil"/>
            </w:tcBorders>
            <w:vAlign w:val="bottom"/>
          </w:tcPr>
          <w:p w14:paraId="10000E88">
            <w:pPr>
              <w:widowControl w:val="0"/>
              <w:autoSpaceDE w:val="0"/>
              <w:autoSpaceDN w:val="0"/>
              <w:adjustRightInd w:val="0"/>
              <w:spacing w:line="360" w:lineRule="auto"/>
              <w:jc w:val="center"/>
              <w:rPr>
                <w:rFonts w:hint="eastAsia" w:ascii="等线" w:hAnsi="等线" w:eastAsia="等线"/>
                <w:color w:val="0C0C0C"/>
                <w:kern w:val="2"/>
                <w:sz w:val="21"/>
                <w:szCs w:val="21"/>
                <w:lang w:eastAsia="zh-CN"/>
              </w:rPr>
            </w:pPr>
          </w:p>
        </w:tc>
        <w:tc>
          <w:tcPr>
            <w:tcW w:w="4823" w:type="dxa"/>
            <w:gridSpan w:val="2"/>
            <w:tcBorders>
              <w:top w:val="nil"/>
              <w:left w:val="nil"/>
              <w:bottom w:val="nil"/>
              <w:right w:val="nil"/>
            </w:tcBorders>
            <w:vAlign w:val="center"/>
          </w:tcPr>
          <w:p w14:paraId="6D3A2DF4">
            <w:pPr>
              <w:widowControl w:val="0"/>
              <w:autoSpaceDE w:val="0"/>
              <w:autoSpaceDN w:val="0"/>
              <w:adjustRightInd w:val="0"/>
              <w:spacing w:line="360" w:lineRule="auto"/>
              <w:jc w:val="center"/>
              <w:rPr>
                <w:rFonts w:eastAsia="等线"/>
                <w:color w:val="0C0C0C"/>
                <w:kern w:val="2"/>
                <w:szCs w:val="24"/>
                <w:lang w:eastAsia="zh-CN"/>
              </w:rPr>
            </w:pPr>
          </w:p>
        </w:tc>
        <w:tc>
          <w:tcPr>
            <w:tcW w:w="4384" w:type="dxa"/>
            <w:tcBorders>
              <w:top w:val="nil"/>
              <w:left w:val="nil"/>
              <w:bottom w:val="nil"/>
              <w:right w:val="nil"/>
            </w:tcBorders>
            <w:vAlign w:val="center"/>
          </w:tcPr>
          <w:p w14:paraId="6C01CC78">
            <w:pPr>
              <w:widowControl w:val="0"/>
              <w:adjustRightInd w:val="0"/>
              <w:snapToGrid w:val="0"/>
              <w:spacing w:line="360" w:lineRule="auto"/>
              <w:jc w:val="center"/>
              <w:rPr>
                <w:rFonts w:eastAsia="仿宋"/>
                <w:color w:val="0C0C0C"/>
                <w:kern w:val="2"/>
                <w:szCs w:val="24"/>
                <w:lang w:eastAsia="zh-CN"/>
              </w:rPr>
            </w:pPr>
            <w:r>
              <w:rPr>
                <w:rFonts w:eastAsia="仿宋"/>
                <w:color w:val="0C0C0C"/>
                <w:kern w:val="2"/>
                <w:szCs w:val="24"/>
                <w:lang w:eastAsia="zh-CN"/>
              </w:rPr>
              <w:t>UUCUCCACGAUGUCUUUGGTT</w:t>
            </w:r>
          </w:p>
        </w:tc>
      </w:tr>
      <w:tr w14:paraId="3902C639">
        <w:tblPrEx>
          <w:tblCellMar>
            <w:top w:w="0" w:type="dxa"/>
            <w:left w:w="108" w:type="dxa"/>
            <w:bottom w:w="0" w:type="dxa"/>
            <w:right w:w="108" w:type="dxa"/>
          </w:tblCellMar>
        </w:tblPrEx>
        <w:trPr>
          <w:trHeight w:val="234" w:hRule="atLeast"/>
          <w:jc w:val="center"/>
        </w:trPr>
        <w:tc>
          <w:tcPr>
            <w:tcW w:w="3429" w:type="dxa"/>
            <w:tcBorders>
              <w:top w:val="nil"/>
              <w:left w:val="nil"/>
              <w:bottom w:val="nil"/>
              <w:right w:val="nil"/>
            </w:tcBorders>
            <w:vAlign w:val="bottom"/>
          </w:tcPr>
          <w:p w14:paraId="61525A46">
            <w:pPr>
              <w:spacing w:line="360" w:lineRule="auto"/>
              <w:jc w:val="center"/>
              <w:textAlignment w:val="bottom"/>
              <w:rPr>
                <w:rFonts w:eastAsia="等线"/>
                <w:color w:val="0C0C0C"/>
                <w:szCs w:val="24"/>
                <w:lang w:eastAsia="zh-CN"/>
              </w:rPr>
            </w:pPr>
            <w:r>
              <w:rPr>
                <w:rFonts w:eastAsia="等线"/>
                <w:color w:val="0C0C0C"/>
                <w:szCs w:val="24"/>
                <w:lang w:eastAsia="zh-CN"/>
              </w:rPr>
              <w:t>mouse-Si2-TRIM28</w:t>
            </w:r>
          </w:p>
        </w:tc>
        <w:tc>
          <w:tcPr>
            <w:tcW w:w="4823" w:type="dxa"/>
            <w:gridSpan w:val="2"/>
            <w:tcBorders>
              <w:top w:val="nil"/>
              <w:left w:val="nil"/>
              <w:bottom w:val="nil"/>
              <w:right w:val="nil"/>
            </w:tcBorders>
            <w:vAlign w:val="center"/>
          </w:tcPr>
          <w:p w14:paraId="2F5E0719">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TRIM28</w:t>
            </w:r>
            <w:r>
              <w:rPr>
                <w:rFonts w:ascii="仿宋" w:hAnsi="仿宋" w:eastAsia="仿宋"/>
                <w:color w:val="0C0C0C"/>
                <w:kern w:val="2"/>
                <w:szCs w:val="24"/>
                <w:lang w:eastAsia="zh-CN"/>
              </w:rPr>
              <w:t>（</w:t>
            </w:r>
            <w:r>
              <w:rPr>
                <w:rFonts w:eastAsia="仿宋"/>
                <w:color w:val="0C0C0C"/>
                <w:kern w:val="2"/>
                <w:szCs w:val="24"/>
                <w:lang w:eastAsia="zh-CN"/>
              </w:rPr>
              <w:t>house mouse</w:t>
            </w:r>
            <w:r>
              <w:rPr>
                <w:rFonts w:ascii="仿宋" w:hAnsi="仿宋" w:eastAsia="仿宋"/>
                <w:color w:val="0C0C0C"/>
                <w:kern w:val="2"/>
                <w:szCs w:val="24"/>
                <w:lang w:eastAsia="zh-CN"/>
              </w:rPr>
              <w:t>）</w:t>
            </w:r>
            <w:r>
              <w:rPr>
                <w:rFonts w:eastAsia="仿宋"/>
                <w:color w:val="0C0C0C"/>
                <w:kern w:val="2"/>
                <w:szCs w:val="24"/>
                <w:lang w:eastAsia="zh-CN"/>
              </w:rPr>
              <w:t>ID:21849-siRNA-1304</w:t>
            </w:r>
          </w:p>
        </w:tc>
        <w:tc>
          <w:tcPr>
            <w:tcW w:w="4384" w:type="dxa"/>
            <w:tcBorders>
              <w:top w:val="nil"/>
              <w:left w:val="nil"/>
              <w:bottom w:val="nil"/>
              <w:right w:val="nil"/>
            </w:tcBorders>
            <w:vAlign w:val="center"/>
          </w:tcPr>
          <w:p w14:paraId="4543117D">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UGGAAGAUGCAGUGAGGAATT</w:t>
            </w:r>
          </w:p>
        </w:tc>
      </w:tr>
      <w:tr w14:paraId="0F093B82">
        <w:tblPrEx>
          <w:tblCellMar>
            <w:top w:w="0" w:type="dxa"/>
            <w:left w:w="108" w:type="dxa"/>
            <w:bottom w:w="0" w:type="dxa"/>
            <w:right w:w="108" w:type="dxa"/>
          </w:tblCellMar>
        </w:tblPrEx>
        <w:trPr>
          <w:trHeight w:val="234" w:hRule="atLeast"/>
          <w:jc w:val="center"/>
        </w:trPr>
        <w:tc>
          <w:tcPr>
            <w:tcW w:w="3429" w:type="dxa"/>
            <w:tcBorders>
              <w:top w:val="nil"/>
              <w:left w:val="nil"/>
              <w:bottom w:val="nil"/>
              <w:right w:val="nil"/>
            </w:tcBorders>
            <w:vAlign w:val="bottom"/>
          </w:tcPr>
          <w:p w14:paraId="3A7B3C11">
            <w:pPr>
              <w:widowControl w:val="0"/>
              <w:autoSpaceDE w:val="0"/>
              <w:autoSpaceDN w:val="0"/>
              <w:adjustRightInd w:val="0"/>
              <w:spacing w:line="360" w:lineRule="auto"/>
              <w:jc w:val="center"/>
              <w:rPr>
                <w:rFonts w:hint="eastAsia" w:ascii="等线" w:hAnsi="等线" w:eastAsia="等线"/>
                <w:color w:val="0C0C0C"/>
                <w:kern w:val="2"/>
                <w:sz w:val="21"/>
                <w:szCs w:val="21"/>
                <w:lang w:eastAsia="zh-CN"/>
              </w:rPr>
            </w:pPr>
          </w:p>
        </w:tc>
        <w:tc>
          <w:tcPr>
            <w:tcW w:w="4823" w:type="dxa"/>
            <w:gridSpan w:val="2"/>
            <w:tcBorders>
              <w:top w:val="nil"/>
              <w:left w:val="nil"/>
              <w:bottom w:val="nil"/>
              <w:right w:val="nil"/>
            </w:tcBorders>
            <w:vAlign w:val="center"/>
          </w:tcPr>
          <w:p w14:paraId="24BC3D55">
            <w:pPr>
              <w:widowControl w:val="0"/>
              <w:autoSpaceDE w:val="0"/>
              <w:autoSpaceDN w:val="0"/>
              <w:adjustRightInd w:val="0"/>
              <w:spacing w:line="360" w:lineRule="auto"/>
              <w:jc w:val="center"/>
              <w:rPr>
                <w:rFonts w:eastAsia="等线"/>
                <w:color w:val="0C0C0C"/>
                <w:kern w:val="2"/>
                <w:szCs w:val="24"/>
                <w:lang w:eastAsia="zh-CN"/>
              </w:rPr>
            </w:pPr>
          </w:p>
        </w:tc>
        <w:tc>
          <w:tcPr>
            <w:tcW w:w="4384" w:type="dxa"/>
            <w:tcBorders>
              <w:top w:val="nil"/>
              <w:left w:val="nil"/>
              <w:bottom w:val="nil"/>
              <w:right w:val="nil"/>
            </w:tcBorders>
            <w:vAlign w:val="center"/>
          </w:tcPr>
          <w:p w14:paraId="6489A198">
            <w:pPr>
              <w:widowControl w:val="0"/>
              <w:adjustRightInd w:val="0"/>
              <w:snapToGrid w:val="0"/>
              <w:spacing w:line="360" w:lineRule="auto"/>
              <w:jc w:val="center"/>
              <w:rPr>
                <w:rFonts w:eastAsia="仿宋"/>
                <w:color w:val="0C0C0C"/>
                <w:kern w:val="2"/>
                <w:szCs w:val="24"/>
                <w:lang w:eastAsia="zh-CN"/>
              </w:rPr>
            </w:pPr>
            <w:r>
              <w:rPr>
                <w:rFonts w:eastAsia="仿宋"/>
                <w:color w:val="0C0C0C"/>
                <w:kern w:val="2"/>
                <w:szCs w:val="24"/>
                <w:lang w:eastAsia="zh-CN"/>
              </w:rPr>
              <w:t>UUCCUCACUGCAUCUUCCATT</w:t>
            </w:r>
          </w:p>
        </w:tc>
      </w:tr>
      <w:tr w14:paraId="702E41B3">
        <w:tblPrEx>
          <w:tblCellMar>
            <w:top w:w="0" w:type="dxa"/>
            <w:left w:w="108" w:type="dxa"/>
            <w:bottom w:w="0" w:type="dxa"/>
            <w:right w:w="108" w:type="dxa"/>
          </w:tblCellMar>
        </w:tblPrEx>
        <w:trPr>
          <w:trHeight w:val="234" w:hRule="atLeast"/>
          <w:jc w:val="center"/>
        </w:trPr>
        <w:tc>
          <w:tcPr>
            <w:tcW w:w="3429" w:type="dxa"/>
            <w:tcBorders>
              <w:top w:val="nil"/>
              <w:left w:val="nil"/>
              <w:bottom w:val="nil"/>
              <w:right w:val="nil"/>
            </w:tcBorders>
            <w:vAlign w:val="bottom"/>
          </w:tcPr>
          <w:p w14:paraId="703CA44B">
            <w:pPr>
              <w:spacing w:line="360" w:lineRule="auto"/>
              <w:jc w:val="center"/>
              <w:textAlignment w:val="bottom"/>
              <w:rPr>
                <w:rFonts w:eastAsia="等线"/>
                <w:color w:val="0C0C0C"/>
                <w:szCs w:val="24"/>
                <w:lang w:eastAsia="zh-CN"/>
              </w:rPr>
            </w:pPr>
            <w:r>
              <w:rPr>
                <w:rFonts w:eastAsia="等线"/>
                <w:color w:val="0C0C0C"/>
                <w:szCs w:val="24"/>
                <w:lang w:eastAsia="zh-CN"/>
              </w:rPr>
              <w:t>mouse-Si3-TRIM28</w:t>
            </w:r>
          </w:p>
        </w:tc>
        <w:tc>
          <w:tcPr>
            <w:tcW w:w="4823" w:type="dxa"/>
            <w:gridSpan w:val="2"/>
            <w:tcBorders>
              <w:top w:val="nil"/>
              <w:left w:val="nil"/>
              <w:bottom w:val="nil"/>
              <w:right w:val="nil"/>
            </w:tcBorders>
            <w:vAlign w:val="center"/>
          </w:tcPr>
          <w:p w14:paraId="6177C8AE">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TRIM28</w:t>
            </w:r>
            <w:r>
              <w:rPr>
                <w:rFonts w:ascii="仿宋" w:hAnsi="仿宋" w:eastAsia="仿宋"/>
                <w:color w:val="0C0C0C"/>
                <w:kern w:val="2"/>
                <w:szCs w:val="24"/>
                <w:lang w:eastAsia="zh-CN"/>
              </w:rPr>
              <w:t>（</w:t>
            </w:r>
            <w:r>
              <w:rPr>
                <w:rFonts w:eastAsia="仿宋"/>
                <w:color w:val="0C0C0C"/>
                <w:kern w:val="2"/>
                <w:szCs w:val="24"/>
                <w:lang w:eastAsia="zh-CN"/>
              </w:rPr>
              <w:t>house mouse</w:t>
            </w:r>
            <w:r>
              <w:rPr>
                <w:rFonts w:ascii="仿宋" w:hAnsi="仿宋" w:eastAsia="仿宋"/>
                <w:color w:val="0C0C0C"/>
                <w:kern w:val="2"/>
                <w:szCs w:val="24"/>
                <w:lang w:eastAsia="zh-CN"/>
              </w:rPr>
              <w:t>）</w:t>
            </w:r>
            <w:r>
              <w:rPr>
                <w:rFonts w:eastAsia="仿宋"/>
                <w:color w:val="0C0C0C"/>
                <w:kern w:val="2"/>
                <w:szCs w:val="24"/>
                <w:lang w:eastAsia="zh-CN"/>
              </w:rPr>
              <w:t>ID:21849-siRNA-1911</w:t>
            </w:r>
          </w:p>
        </w:tc>
        <w:tc>
          <w:tcPr>
            <w:tcW w:w="4384" w:type="dxa"/>
            <w:tcBorders>
              <w:top w:val="nil"/>
              <w:left w:val="nil"/>
              <w:bottom w:val="nil"/>
              <w:right w:val="nil"/>
            </w:tcBorders>
            <w:vAlign w:val="center"/>
          </w:tcPr>
          <w:p w14:paraId="4B5AA9BB">
            <w:pPr>
              <w:widowControl w:val="0"/>
              <w:adjustRightInd w:val="0"/>
              <w:snapToGrid w:val="0"/>
              <w:spacing w:line="360" w:lineRule="auto"/>
              <w:jc w:val="center"/>
              <w:rPr>
                <w:rFonts w:eastAsia="宋体"/>
                <w:color w:val="0C0C0C"/>
                <w:kern w:val="2"/>
                <w:szCs w:val="24"/>
                <w:lang w:eastAsia="zh-CN"/>
              </w:rPr>
            </w:pPr>
            <w:r>
              <w:rPr>
                <w:rFonts w:eastAsia="仿宋"/>
                <w:color w:val="0C0C0C"/>
                <w:kern w:val="2"/>
                <w:szCs w:val="24"/>
                <w:lang w:eastAsia="zh-CN"/>
              </w:rPr>
              <w:t>GGGAUAUGGCUUUGGGUCATT</w:t>
            </w:r>
          </w:p>
        </w:tc>
      </w:tr>
      <w:tr w14:paraId="3E0A0A1C">
        <w:tblPrEx>
          <w:tblCellMar>
            <w:top w:w="0" w:type="dxa"/>
            <w:left w:w="108" w:type="dxa"/>
            <w:bottom w:w="0" w:type="dxa"/>
            <w:right w:w="108" w:type="dxa"/>
          </w:tblCellMar>
        </w:tblPrEx>
        <w:trPr>
          <w:trHeight w:val="234" w:hRule="atLeast"/>
          <w:jc w:val="center"/>
        </w:trPr>
        <w:tc>
          <w:tcPr>
            <w:tcW w:w="3429" w:type="dxa"/>
            <w:tcBorders>
              <w:top w:val="nil"/>
              <w:left w:val="nil"/>
              <w:bottom w:val="single" w:color="auto" w:sz="4" w:space="0"/>
              <w:right w:val="nil"/>
            </w:tcBorders>
            <w:vAlign w:val="bottom"/>
          </w:tcPr>
          <w:p w14:paraId="399B56E8">
            <w:pPr>
              <w:widowControl w:val="0"/>
              <w:autoSpaceDE w:val="0"/>
              <w:autoSpaceDN w:val="0"/>
              <w:adjustRightInd w:val="0"/>
              <w:spacing w:line="360" w:lineRule="auto"/>
              <w:jc w:val="center"/>
              <w:rPr>
                <w:rFonts w:hint="eastAsia" w:ascii="等线" w:hAnsi="等线" w:eastAsia="等线"/>
                <w:color w:val="0C0C0C"/>
                <w:kern w:val="2"/>
                <w:sz w:val="21"/>
                <w:szCs w:val="21"/>
                <w:lang w:eastAsia="zh-CN"/>
              </w:rPr>
            </w:pPr>
          </w:p>
        </w:tc>
        <w:tc>
          <w:tcPr>
            <w:tcW w:w="4823" w:type="dxa"/>
            <w:gridSpan w:val="2"/>
            <w:tcBorders>
              <w:top w:val="nil"/>
              <w:left w:val="nil"/>
              <w:bottom w:val="single" w:color="auto" w:sz="4" w:space="0"/>
              <w:right w:val="nil"/>
            </w:tcBorders>
            <w:vAlign w:val="center"/>
          </w:tcPr>
          <w:p w14:paraId="1761C4E5">
            <w:pPr>
              <w:widowControl w:val="0"/>
              <w:autoSpaceDE w:val="0"/>
              <w:autoSpaceDN w:val="0"/>
              <w:adjustRightInd w:val="0"/>
              <w:spacing w:line="360" w:lineRule="auto"/>
              <w:jc w:val="center"/>
              <w:rPr>
                <w:rFonts w:hint="eastAsia" w:ascii="等线" w:hAnsi="等线" w:eastAsia="等线"/>
                <w:color w:val="0C0C0C"/>
                <w:kern w:val="2"/>
                <w:sz w:val="21"/>
                <w:szCs w:val="21"/>
                <w:lang w:eastAsia="zh-CN"/>
              </w:rPr>
            </w:pPr>
          </w:p>
        </w:tc>
        <w:tc>
          <w:tcPr>
            <w:tcW w:w="4384" w:type="dxa"/>
            <w:tcBorders>
              <w:top w:val="nil"/>
              <w:left w:val="nil"/>
              <w:bottom w:val="single" w:color="auto" w:sz="4" w:space="0"/>
              <w:right w:val="nil"/>
            </w:tcBorders>
            <w:vAlign w:val="center"/>
          </w:tcPr>
          <w:p w14:paraId="1CCB4B07">
            <w:pPr>
              <w:widowControl w:val="0"/>
              <w:adjustRightInd w:val="0"/>
              <w:snapToGrid w:val="0"/>
              <w:spacing w:line="360" w:lineRule="auto"/>
              <w:jc w:val="center"/>
              <w:rPr>
                <w:rFonts w:eastAsia="仿宋"/>
                <w:color w:val="0C0C0C"/>
                <w:kern w:val="2"/>
                <w:szCs w:val="24"/>
                <w:lang w:eastAsia="zh-CN"/>
              </w:rPr>
            </w:pPr>
            <w:r>
              <w:rPr>
                <w:rFonts w:eastAsia="仿宋"/>
                <w:color w:val="0C0C0C"/>
                <w:kern w:val="2"/>
                <w:szCs w:val="24"/>
                <w:lang w:eastAsia="zh-CN"/>
              </w:rPr>
              <w:t>UGACCCAAAGCCAUAUCCCTT</w:t>
            </w:r>
          </w:p>
        </w:tc>
      </w:tr>
    </w:tbl>
    <w:p w14:paraId="1734D1A3">
      <w:pPr>
        <w:pStyle w:val="104"/>
        <w:rPr>
          <w:lang w:eastAsia="zh-CN"/>
        </w:rPr>
      </w:pPr>
    </w:p>
    <w:p w14:paraId="1F15CCE5">
      <w:r>
        <w:br w:type="page"/>
      </w:r>
      <w:bookmarkStart w:id="26" w:name="_GoBack"/>
      <w:bookmarkEnd w:id="26"/>
    </w:p>
    <w:p w14:paraId="605B1901">
      <w:pPr>
        <w:pStyle w:val="101"/>
      </w:pPr>
      <w:r>
        <w:t>Table S2.</w:t>
      </w:r>
    </w:p>
    <w:p w14:paraId="38F545E4">
      <w:pPr>
        <w:pStyle w:val="104"/>
        <w:jc w:val="center"/>
      </w:pPr>
      <w:r>
        <w:rPr>
          <w:b/>
          <w:bCs/>
        </w:rPr>
        <w:t>supplementary table 2. The associated antibodies used in this study.</w:t>
      </w:r>
    </w:p>
    <w:p w14:paraId="6E056F56">
      <w:pPr>
        <w:pStyle w:val="104"/>
      </w:pPr>
    </w:p>
    <w:tbl>
      <w:tblPr>
        <w:tblStyle w:val="88"/>
        <w:tblW w:w="1216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28"/>
        <w:gridCol w:w="5140"/>
      </w:tblGrid>
      <w:tr w14:paraId="74A048C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028" w:type="dxa"/>
            <w:tcBorders>
              <w:top w:val="single" w:color="auto" w:sz="4" w:space="0"/>
              <w:left w:val="nil"/>
              <w:bottom w:val="single" w:color="auto" w:sz="4" w:space="0"/>
              <w:right w:val="nil"/>
            </w:tcBorders>
            <w:noWrap/>
            <w:vAlign w:val="bottom"/>
          </w:tcPr>
          <w:p w14:paraId="791C4176">
            <w:pPr>
              <w:spacing w:line="360" w:lineRule="auto"/>
              <w:jc w:val="center"/>
              <w:textAlignment w:val="bottom"/>
              <w:rPr>
                <w:rFonts w:eastAsia="等线"/>
                <w:b/>
                <w:bCs/>
                <w:color w:val="0C0C0C"/>
                <w:kern w:val="2"/>
                <w:szCs w:val="24"/>
                <w:lang w:eastAsia="zh-CN"/>
              </w:rPr>
            </w:pPr>
            <w:r>
              <w:rPr>
                <w:rFonts w:eastAsia="等线"/>
                <w:b/>
                <w:bCs/>
                <w:color w:val="0C0C0C"/>
                <w:szCs w:val="24"/>
                <w:lang w:eastAsia="zh-CN"/>
              </w:rPr>
              <w:t>Name</w:t>
            </w:r>
          </w:p>
        </w:tc>
        <w:tc>
          <w:tcPr>
            <w:tcW w:w="5140" w:type="dxa"/>
            <w:tcBorders>
              <w:top w:val="single" w:color="auto" w:sz="4" w:space="0"/>
              <w:left w:val="nil"/>
              <w:bottom w:val="single" w:color="auto" w:sz="4" w:space="0"/>
              <w:right w:val="nil"/>
            </w:tcBorders>
            <w:noWrap/>
            <w:vAlign w:val="bottom"/>
          </w:tcPr>
          <w:p w14:paraId="4C084733">
            <w:pPr>
              <w:spacing w:line="360" w:lineRule="auto"/>
              <w:jc w:val="center"/>
              <w:textAlignment w:val="bottom"/>
              <w:rPr>
                <w:rFonts w:eastAsia="等线"/>
                <w:b/>
                <w:bCs/>
                <w:color w:val="0C0C0C"/>
                <w:kern w:val="2"/>
                <w:szCs w:val="24"/>
                <w:lang w:eastAsia="zh-CN"/>
              </w:rPr>
            </w:pPr>
            <w:r>
              <w:rPr>
                <w:rFonts w:eastAsia="等线"/>
                <w:b/>
                <w:bCs/>
                <w:color w:val="0C0C0C"/>
                <w:szCs w:val="24"/>
                <w:lang w:eastAsia="zh-CN"/>
              </w:rPr>
              <w:t>Catalog Number</w:t>
            </w:r>
          </w:p>
        </w:tc>
      </w:tr>
      <w:tr w14:paraId="1CBD58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single" w:color="auto" w:sz="4" w:space="0"/>
              <w:left w:val="nil"/>
              <w:bottom w:val="nil"/>
              <w:right w:val="nil"/>
            </w:tcBorders>
            <w:noWrap/>
            <w:vAlign w:val="bottom"/>
          </w:tcPr>
          <w:p w14:paraId="44146DDB">
            <w:pPr>
              <w:spacing w:line="360" w:lineRule="auto"/>
              <w:jc w:val="center"/>
              <w:textAlignment w:val="bottom"/>
              <w:rPr>
                <w:rFonts w:eastAsia="等线"/>
                <w:color w:val="0C0C0C"/>
                <w:kern w:val="2"/>
                <w:szCs w:val="24"/>
                <w:lang w:eastAsia="zh-CN"/>
              </w:rPr>
            </w:pPr>
            <w:r>
              <w:rPr>
                <w:rFonts w:eastAsia="等线"/>
                <w:color w:val="0C0C0C"/>
                <w:szCs w:val="24"/>
                <w:lang w:eastAsia="zh-CN"/>
              </w:rPr>
              <w:t>TKTL1</w:t>
            </w:r>
          </w:p>
        </w:tc>
        <w:tc>
          <w:tcPr>
            <w:tcW w:w="5140" w:type="dxa"/>
            <w:tcBorders>
              <w:top w:val="single" w:color="auto" w:sz="4" w:space="0"/>
              <w:left w:val="nil"/>
              <w:bottom w:val="nil"/>
              <w:right w:val="nil"/>
            </w:tcBorders>
            <w:noWrap/>
            <w:vAlign w:val="bottom"/>
          </w:tcPr>
          <w:p w14:paraId="5EC73EB4">
            <w:pPr>
              <w:spacing w:line="360" w:lineRule="auto"/>
              <w:jc w:val="center"/>
              <w:textAlignment w:val="bottom"/>
              <w:rPr>
                <w:rFonts w:eastAsia="等线"/>
                <w:color w:val="0C0C0C"/>
                <w:kern w:val="2"/>
                <w:szCs w:val="24"/>
                <w:lang w:eastAsia="zh-CN"/>
              </w:rPr>
            </w:pPr>
            <w:r>
              <w:rPr>
                <w:rFonts w:eastAsia="等线"/>
                <w:color w:val="0C0C0C"/>
                <w:szCs w:val="24"/>
                <w:lang w:eastAsia="zh-CN"/>
              </w:rPr>
              <w:t>abx129232, Abbexa, UK</w:t>
            </w:r>
          </w:p>
        </w:tc>
      </w:tr>
      <w:tr w14:paraId="05883FE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6FB1F45">
            <w:pPr>
              <w:spacing w:line="360" w:lineRule="auto"/>
              <w:jc w:val="center"/>
              <w:textAlignment w:val="bottom"/>
              <w:rPr>
                <w:rFonts w:eastAsia="等线"/>
                <w:color w:val="0C0C0C"/>
                <w:kern w:val="2"/>
                <w:szCs w:val="24"/>
                <w:lang w:eastAsia="zh-CN"/>
              </w:rPr>
            </w:pPr>
            <w:r>
              <w:rPr>
                <w:rFonts w:ascii="等线" w:hAnsi="等线" w:eastAsia="等线"/>
                <w:color w:val="0C0C0C"/>
                <w:kern w:val="2"/>
                <w:szCs w:val="24"/>
                <w:lang w:eastAsia="zh-CN"/>
              </w:rPr>
              <w:t>β</w:t>
            </w:r>
            <w:r>
              <w:rPr>
                <w:rFonts w:eastAsia="等线"/>
                <w:color w:val="0C0C0C"/>
                <w:kern w:val="2"/>
                <w:szCs w:val="24"/>
                <w:lang w:eastAsia="zh-CN"/>
              </w:rPr>
              <w:t>-actin</w:t>
            </w:r>
          </w:p>
        </w:tc>
        <w:tc>
          <w:tcPr>
            <w:tcW w:w="5140" w:type="dxa"/>
            <w:tcBorders>
              <w:top w:val="nil"/>
              <w:left w:val="nil"/>
              <w:bottom w:val="nil"/>
              <w:right w:val="nil"/>
            </w:tcBorders>
            <w:noWrap/>
            <w:vAlign w:val="bottom"/>
          </w:tcPr>
          <w:p w14:paraId="0AEB7230">
            <w:pPr>
              <w:spacing w:line="360" w:lineRule="auto"/>
              <w:jc w:val="center"/>
              <w:textAlignment w:val="bottom"/>
              <w:rPr>
                <w:rFonts w:eastAsia="等线"/>
                <w:color w:val="0C0C0C"/>
                <w:kern w:val="2"/>
                <w:szCs w:val="24"/>
                <w:lang w:eastAsia="zh-CN"/>
              </w:rPr>
            </w:pPr>
            <w:r>
              <w:rPr>
                <w:rFonts w:eastAsia="等线"/>
                <w:color w:val="0C0C0C"/>
                <w:szCs w:val="24"/>
                <w:lang w:eastAsia="zh-CN"/>
              </w:rPr>
              <w:t>bs-10966R, Bioss, China</w:t>
            </w:r>
          </w:p>
        </w:tc>
      </w:tr>
      <w:tr w14:paraId="5EBCED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5709528B">
            <w:pPr>
              <w:spacing w:line="360" w:lineRule="auto"/>
              <w:jc w:val="center"/>
              <w:textAlignment w:val="bottom"/>
              <w:rPr>
                <w:rFonts w:eastAsia="等线"/>
                <w:color w:val="0C0C0C"/>
                <w:kern w:val="2"/>
                <w:szCs w:val="24"/>
                <w:lang w:eastAsia="zh-CN"/>
              </w:rPr>
            </w:pPr>
            <w:r>
              <w:rPr>
                <w:rFonts w:eastAsia="等线"/>
                <w:color w:val="0C0C0C"/>
                <w:szCs w:val="24"/>
                <w:lang w:eastAsia="zh-CN"/>
              </w:rPr>
              <w:t>Ki67</w:t>
            </w:r>
          </w:p>
        </w:tc>
        <w:tc>
          <w:tcPr>
            <w:tcW w:w="5140" w:type="dxa"/>
            <w:tcBorders>
              <w:top w:val="nil"/>
              <w:left w:val="nil"/>
              <w:bottom w:val="nil"/>
              <w:right w:val="nil"/>
            </w:tcBorders>
            <w:noWrap/>
            <w:vAlign w:val="bottom"/>
          </w:tcPr>
          <w:p w14:paraId="1BB08A78">
            <w:pPr>
              <w:spacing w:line="360" w:lineRule="auto"/>
              <w:jc w:val="center"/>
              <w:textAlignment w:val="bottom"/>
              <w:rPr>
                <w:rFonts w:eastAsia="等线"/>
                <w:color w:val="0C0C0C"/>
                <w:kern w:val="2"/>
                <w:szCs w:val="24"/>
                <w:lang w:eastAsia="zh-CN"/>
              </w:rPr>
            </w:pPr>
            <w:r>
              <w:rPr>
                <w:rFonts w:eastAsia="等线"/>
                <w:color w:val="0C0C0C"/>
                <w:szCs w:val="24"/>
                <w:lang w:eastAsia="zh-CN"/>
              </w:rPr>
              <w:t>27309-1-AP, proteintech, China</w:t>
            </w:r>
          </w:p>
        </w:tc>
      </w:tr>
      <w:tr w14:paraId="459CBE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10F49FF1">
            <w:pPr>
              <w:spacing w:line="360" w:lineRule="auto"/>
              <w:jc w:val="center"/>
              <w:textAlignment w:val="bottom"/>
              <w:rPr>
                <w:rFonts w:eastAsia="等线"/>
                <w:color w:val="0C0C0C"/>
                <w:kern w:val="2"/>
                <w:szCs w:val="24"/>
                <w:lang w:eastAsia="zh-CN"/>
              </w:rPr>
            </w:pPr>
            <w:r>
              <w:rPr>
                <w:rFonts w:eastAsia="等线"/>
                <w:color w:val="0C0C0C"/>
                <w:kern w:val="2"/>
                <w:szCs w:val="24"/>
                <w:lang w:eastAsia="zh-CN"/>
              </w:rPr>
              <w:t>Tunel</w:t>
            </w:r>
          </w:p>
        </w:tc>
        <w:tc>
          <w:tcPr>
            <w:tcW w:w="5140" w:type="dxa"/>
            <w:tcBorders>
              <w:top w:val="nil"/>
              <w:left w:val="nil"/>
              <w:bottom w:val="nil"/>
              <w:right w:val="nil"/>
            </w:tcBorders>
            <w:noWrap/>
            <w:vAlign w:val="bottom"/>
          </w:tcPr>
          <w:p w14:paraId="13A8965A">
            <w:pPr>
              <w:spacing w:line="360" w:lineRule="auto"/>
              <w:jc w:val="center"/>
              <w:textAlignment w:val="bottom"/>
              <w:rPr>
                <w:rFonts w:eastAsia="等线"/>
                <w:color w:val="0C0C0C"/>
                <w:kern w:val="2"/>
                <w:szCs w:val="24"/>
                <w:lang w:eastAsia="zh-CN"/>
              </w:rPr>
            </w:pPr>
            <w:r>
              <w:rPr>
                <w:rFonts w:eastAsia="等线"/>
                <w:color w:val="0C0C0C"/>
                <w:szCs w:val="24"/>
                <w:lang w:eastAsia="zh-CN"/>
              </w:rPr>
              <w:t>PF00006, proteintech, China</w:t>
            </w:r>
          </w:p>
        </w:tc>
      </w:tr>
      <w:tr w14:paraId="7A5E0D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939C3FB">
            <w:pPr>
              <w:spacing w:line="360" w:lineRule="auto"/>
              <w:jc w:val="center"/>
              <w:textAlignment w:val="bottom"/>
              <w:rPr>
                <w:rFonts w:eastAsia="等线"/>
                <w:color w:val="0C0C0C"/>
                <w:kern w:val="2"/>
                <w:szCs w:val="24"/>
                <w:lang w:eastAsia="zh-CN"/>
              </w:rPr>
            </w:pPr>
            <w:r>
              <w:rPr>
                <w:rFonts w:eastAsia="等线"/>
                <w:color w:val="0C0C0C"/>
                <w:szCs w:val="24"/>
                <w:lang w:eastAsia="zh-CN"/>
              </w:rPr>
              <w:t>CD8a</w:t>
            </w:r>
            <w:r>
              <w:rPr>
                <w:rFonts w:ascii="等线" w:hAnsi="等线" w:eastAsia="等线"/>
                <w:color w:val="0C0C0C"/>
                <w:szCs w:val="24"/>
                <w:lang w:eastAsia="zh-CN"/>
              </w:rPr>
              <w:t>（</w:t>
            </w:r>
            <w:r>
              <w:rPr>
                <w:rFonts w:eastAsia="等线"/>
                <w:color w:val="0C0C0C"/>
                <w:szCs w:val="24"/>
                <w:lang w:eastAsia="zh-CN"/>
              </w:rPr>
              <w:t>Mouse</w:t>
            </w:r>
            <w:r>
              <w:rPr>
                <w:rFonts w:ascii="等线" w:hAnsi="等线" w:eastAsia="等线"/>
                <w:color w:val="0C0C0C"/>
                <w:szCs w:val="24"/>
                <w:lang w:eastAsia="zh-CN"/>
              </w:rPr>
              <w:t>）</w:t>
            </w:r>
          </w:p>
        </w:tc>
        <w:tc>
          <w:tcPr>
            <w:tcW w:w="5140" w:type="dxa"/>
            <w:tcBorders>
              <w:top w:val="nil"/>
              <w:left w:val="nil"/>
              <w:bottom w:val="nil"/>
              <w:right w:val="nil"/>
            </w:tcBorders>
            <w:noWrap/>
            <w:vAlign w:val="bottom"/>
          </w:tcPr>
          <w:p w14:paraId="28204E06">
            <w:pPr>
              <w:spacing w:line="360" w:lineRule="auto"/>
              <w:jc w:val="center"/>
              <w:textAlignment w:val="bottom"/>
              <w:rPr>
                <w:rFonts w:eastAsia="等线"/>
                <w:color w:val="0C0C0C"/>
                <w:kern w:val="2"/>
                <w:szCs w:val="24"/>
                <w:lang w:eastAsia="zh-CN"/>
              </w:rPr>
            </w:pPr>
            <w:r>
              <w:rPr>
                <w:rFonts w:eastAsia="等线"/>
                <w:color w:val="0C0C0C"/>
                <w:szCs w:val="24"/>
                <w:lang w:eastAsia="zh-CN"/>
              </w:rPr>
              <w:t>29896-1-AP, proteintech, China</w:t>
            </w:r>
          </w:p>
        </w:tc>
      </w:tr>
      <w:tr w14:paraId="35DB4B7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5463D97">
            <w:pPr>
              <w:spacing w:line="360" w:lineRule="auto"/>
              <w:jc w:val="center"/>
              <w:textAlignment w:val="bottom"/>
              <w:rPr>
                <w:rFonts w:eastAsia="等线"/>
                <w:color w:val="0C0C0C"/>
                <w:kern w:val="2"/>
                <w:szCs w:val="24"/>
                <w:lang w:eastAsia="zh-CN"/>
              </w:rPr>
            </w:pPr>
            <w:r>
              <w:rPr>
                <w:rFonts w:eastAsia="等线"/>
                <w:color w:val="0C0C0C"/>
                <w:szCs w:val="24"/>
                <w:lang w:eastAsia="zh-CN"/>
              </w:rPr>
              <w:t>CD8a</w:t>
            </w:r>
            <w:r>
              <w:rPr>
                <w:rFonts w:ascii="等线" w:hAnsi="等线" w:eastAsia="等线"/>
                <w:color w:val="0C0C0C"/>
                <w:szCs w:val="24"/>
                <w:lang w:eastAsia="zh-CN"/>
              </w:rPr>
              <w:t>（</w:t>
            </w:r>
            <w:r>
              <w:rPr>
                <w:rFonts w:eastAsia="等线"/>
                <w:color w:val="0C0C0C"/>
                <w:szCs w:val="24"/>
                <w:lang w:eastAsia="zh-CN"/>
              </w:rPr>
              <w:t>Human</w:t>
            </w:r>
            <w:r>
              <w:rPr>
                <w:rFonts w:ascii="等线" w:hAnsi="等线" w:eastAsia="等线"/>
                <w:color w:val="0C0C0C"/>
                <w:szCs w:val="24"/>
                <w:lang w:eastAsia="zh-CN"/>
              </w:rPr>
              <w:t>）</w:t>
            </w:r>
          </w:p>
        </w:tc>
        <w:tc>
          <w:tcPr>
            <w:tcW w:w="5140" w:type="dxa"/>
            <w:tcBorders>
              <w:top w:val="nil"/>
              <w:left w:val="nil"/>
              <w:bottom w:val="nil"/>
              <w:right w:val="nil"/>
            </w:tcBorders>
            <w:noWrap/>
            <w:vAlign w:val="bottom"/>
          </w:tcPr>
          <w:p w14:paraId="72B571CA">
            <w:pPr>
              <w:spacing w:line="360" w:lineRule="auto"/>
              <w:jc w:val="center"/>
              <w:textAlignment w:val="bottom"/>
              <w:rPr>
                <w:rFonts w:eastAsia="等线"/>
                <w:color w:val="0C0C0C"/>
                <w:kern w:val="2"/>
                <w:szCs w:val="24"/>
                <w:lang w:eastAsia="zh-CN"/>
              </w:rPr>
            </w:pPr>
            <w:r>
              <w:rPr>
                <w:rFonts w:eastAsia="等线"/>
                <w:color w:val="0C0C0C"/>
                <w:szCs w:val="24"/>
                <w:lang w:eastAsia="zh-CN"/>
              </w:rPr>
              <w:t>66868-1-Ig, proteintech, China</w:t>
            </w:r>
          </w:p>
        </w:tc>
      </w:tr>
      <w:tr w14:paraId="1C4B45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38EB0273">
            <w:pPr>
              <w:spacing w:line="360" w:lineRule="auto"/>
              <w:jc w:val="center"/>
              <w:textAlignment w:val="bottom"/>
              <w:rPr>
                <w:rFonts w:eastAsia="等线"/>
                <w:color w:val="0C0C0C"/>
                <w:kern w:val="2"/>
                <w:szCs w:val="24"/>
                <w:lang w:eastAsia="zh-CN"/>
              </w:rPr>
            </w:pPr>
            <w:r>
              <w:rPr>
                <w:rFonts w:eastAsia="等线"/>
                <w:color w:val="0C0C0C"/>
                <w:szCs w:val="24"/>
                <w:lang w:eastAsia="zh-CN"/>
              </w:rPr>
              <w:t>PD-1</w:t>
            </w:r>
          </w:p>
        </w:tc>
        <w:tc>
          <w:tcPr>
            <w:tcW w:w="5140" w:type="dxa"/>
            <w:tcBorders>
              <w:top w:val="nil"/>
              <w:left w:val="nil"/>
              <w:bottom w:val="nil"/>
              <w:right w:val="nil"/>
            </w:tcBorders>
            <w:noWrap/>
            <w:vAlign w:val="bottom"/>
          </w:tcPr>
          <w:p w14:paraId="2AC9D709">
            <w:pPr>
              <w:spacing w:line="360" w:lineRule="auto"/>
              <w:jc w:val="center"/>
              <w:textAlignment w:val="bottom"/>
              <w:rPr>
                <w:rFonts w:eastAsia="等线"/>
                <w:color w:val="0C0C0C"/>
                <w:kern w:val="2"/>
                <w:szCs w:val="24"/>
                <w:lang w:eastAsia="zh-CN"/>
              </w:rPr>
            </w:pPr>
            <w:r>
              <w:rPr>
                <w:rFonts w:eastAsia="等线"/>
                <w:color w:val="0C0C0C"/>
                <w:szCs w:val="24"/>
                <w:lang w:eastAsia="zh-CN"/>
              </w:rPr>
              <w:t>66220-1-Ig, proteintech, China</w:t>
            </w:r>
          </w:p>
        </w:tc>
      </w:tr>
      <w:tr w14:paraId="6492AA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EAD291C">
            <w:pPr>
              <w:spacing w:line="360" w:lineRule="auto"/>
              <w:jc w:val="center"/>
              <w:textAlignment w:val="bottom"/>
              <w:rPr>
                <w:rFonts w:eastAsia="等线"/>
                <w:color w:val="0C0C0C"/>
                <w:kern w:val="2"/>
                <w:szCs w:val="24"/>
                <w:lang w:eastAsia="zh-CN"/>
              </w:rPr>
            </w:pPr>
            <w:r>
              <w:rPr>
                <w:rFonts w:eastAsia="等线"/>
                <w:color w:val="0C0C0C"/>
                <w:szCs w:val="24"/>
                <w:lang w:eastAsia="zh-CN"/>
              </w:rPr>
              <w:t>TKT</w:t>
            </w:r>
          </w:p>
        </w:tc>
        <w:tc>
          <w:tcPr>
            <w:tcW w:w="5140" w:type="dxa"/>
            <w:tcBorders>
              <w:top w:val="nil"/>
              <w:left w:val="nil"/>
              <w:bottom w:val="nil"/>
              <w:right w:val="nil"/>
            </w:tcBorders>
            <w:noWrap/>
            <w:vAlign w:val="bottom"/>
          </w:tcPr>
          <w:p w14:paraId="240EBDC3">
            <w:pPr>
              <w:spacing w:line="360" w:lineRule="auto"/>
              <w:jc w:val="center"/>
              <w:textAlignment w:val="bottom"/>
              <w:rPr>
                <w:rFonts w:eastAsia="等线"/>
                <w:color w:val="0C0C0C"/>
                <w:kern w:val="2"/>
                <w:szCs w:val="24"/>
                <w:lang w:eastAsia="zh-CN"/>
              </w:rPr>
            </w:pPr>
            <w:r>
              <w:rPr>
                <w:rFonts w:eastAsia="等线"/>
                <w:color w:val="0C0C0C"/>
                <w:szCs w:val="24"/>
                <w:lang w:eastAsia="zh-CN"/>
              </w:rPr>
              <w:t>11039-1-AP, proteintech, China</w:t>
            </w:r>
          </w:p>
        </w:tc>
      </w:tr>
      <w:tr w14:paraId="479FD6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69991203">
            <w:pPr>
              <w:spacing w:line="360" w:lineRule="auto"/>
              <w:jc w:val="center"/>
              <w:textAlignment w:val="bottom"/>
              <w:rPr>
                <w:rFonts w:eastAsia="等线"/>
                <w:color w:val="0C0C0C"/>
                <w:kern w:val="2"/>
                <w:szCs w:val="24"/>
                <w:lang w:eastAsia="zh-CN"/>
              </w:rPr>
            </w:pPr>
            <w:r>
              <w:rPr>
                <w:rFonts w:eastAsia="等线"/>
                <w:color w:val="0C0C0C"/>
                <w:szCs w:val="24"/>
                <w:lang w:eastAsia="zh-CN"/>
              </w:rPr>
              <w:t>TKTL2</w:t>
            </w:r>
          </w:p>
        </w:tc>
        <w:tc>
          <w:tcPr>
            <w:tcW w:w="5140" w:type="dxa"/>
            <w:tcBorders>
              <w:top w:val="nil"/>
              <w:left w:val="nil"/>
              <w:bottom w:val="nil"/>
              <w:right w:val="nil"/>
            </w:tcBorders>
            <w:noWrap/>
            <w:vAlign w:val="bottom"/>
          </w:tcPr>
          <w:p w14:paraId="3054FDF8">
            <w:pPr>
              <w:spacing w:line="360" w:lineRule="auto"/>
              <w:jc w:val="center"/>
              <w:textAlignment w:val="bottom"/>
              <w:rPr>
                <w:rFonts w:eastAsia="等线"/>
                <w:color w:val="0C0C0C"/>
                <w:kern w:val="2"/>
                <w:szCs w:val="24"/>
                <w:lang w:eastAsia="zh-CN"/>
              </w:rPr>
            </w:pPr>
            <w:r>
              <w:rPr>
                <w:rFonts w:eastAsia="等线"/>
                <w:color w:val="0C0C0C"/>
                <w:szCs w:val="24"/>
                <w:lang w:eastAsia="zh-CN"/>
              </w:rPr>
              <w:t>17135-1-AP, proteintech, China</w:t>
            </w:r>
          </w:p>
        </w:tc>
      </w:tr>
      <w:tr w14:paraId="5A27D8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59FE84C6">
            <w:pPr>
              <w:spacing w:line="360" w:lineRule="auto"/>
              <w:jc w:val="center"/>
              <w:textAlignment w:val="bottom"/>
              <w:rPr>
                <w:rFonts w:eastAsia="等线"/>
                <w:color w:val="0C0C0C"/>
                <w:kern w:val="2"/>
                <w:szCs w:val="24"/>
                <w:lang w:eastAsia="zh-CN"/>
              </w:rPr>
            </w:pPr>
            <w:r>
              <w:rPr>
                <w:rFonts w:eastAsia="等线"/>
                <w:color w:val="0C0C0C"/>
                <w:szCs w:val="24"/>
                <w:lang w:eastAsia="zh-CN"/>
              </w:rPr>
              <w:t>GLUT-1</w:t>
            </w:r>
          </w:p>
        </w:tc>
        <w:tc>
          <w:tcPr>
            <w:tcW w:w="5140" w:type="dxa"/>
            <w:tcBorders>
              <w:top w:val="nil"/>
              <w:left w:val="nil"/>
              <w:bottom w:val="nil"/>
              <w:right w:val="nil"/>
            </w:tcBorders>
            <w:noWrap/>
            <w:vAlign w:val="bottom"/>
          </w:tcPr>
          <w:p w14:paraId="143897E5">
            <w:pPr>
              <w:spacing w:line="360" w:lineRule="auto"/>
              <w:jc w:val="center"/>
              <w:textAlignment w:val="bottom"/>
              <w:rPr>
                <w:rFonts w:eastAsia="等线"/>
                <w:color w:val="0C0C0C"/>
                <w:kern w:val="2"/>
                <w:szCs w:val="24"/>
                <w:lang w:eastAsia="zh-CN"/>
              </w:rPr>
            </w:pPr>
            <w:r>
              <w:rPr>
                <w:rFonts w:eastAsia="等线"/>
                <w:color w:val="0C0C0C"/>
                <w:szCs w:val="24"/>
                <w:lang w:eastAsia="zh-CN"/>
              </w:rPr>
              <w:t>21829-1-AP, proteintech, China</w:t>
            </w:r>
          </w:p>
        </w:tc>
      </w:tr>
      <w:tr w14:paraId="57202D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459FE199">
            <w:pPr>
              <w:spacing w:line="360" w:lineRule="auto"/>
              <w:jc w:val="center"/>
              <w:textAlignment w:val="bottom"/>
              <w:rPr>
                <w:rFonts w:eastAsia="等线"/>
                <w:color w:val="0C0C0C"/>
                <w:kern w:val="2"/>
                <w:szCs w:val="24"/>
                <w:lang w:eastAsia="zh-CN"/>
              </w:rPr>
            </w:pPr>
            <w:r>
              <w:rPr>
                <w:rFonts w:eastAsia="等线"/>
                <w:color w:val="0C0C0C"/>
                <w:szCs w:val="24"/>
                <w:lang w:eastAsia="zh-CN"/>
              </w:rPr>
              <w:t>HK2</w:t>
            </w:r>
          </w:p>
        </w:tc>
        <w:tc>
          <w:tcPr>
            <w:tcW w:w="5140" w:type="dxa"/>
            <w:tcBorders>
              <w:top w:val="nil"/>
              <w:left w:val="nil"/>
              <w:bottom w:val="nil"/>
              <w:right w:val="nil"/>
            </w:tcBorders>
            <w:noWrap/>
            <w:vAlign w:val="bottom"/>
          </w:tcPr>
          <w:p w14:paraId="219E75F6">
            <w:pPr>
              <w:spacing w:line="360" w:lineRule="auto"/>
              <w:jc w:val="center"/>
              <w:textAlignment w:val="bottom"/>
              <w:rPr>
                <w:rFonts w:eastAsia="等线"/>
                <w:color w:val="0C0C0C"/>
                <w:kern w:val="2"/>
                <w:szCs w:val="24"/>
                <w:lang w:eastAsia="zh-CN"/>
              </w:rPr>
            </w:pPr>
            <w:r>
              <w:rPr>
                <w:rFonts w:eastAsia="等线"/>
                <w:color w:val="0C0C0C"/>
                <w:szCs w:val="24"/>
                <w:lang w:eastAsia="zh-CN"/>
              </w:rPr>
              <w:t>22029-1-AP, proteintech, China</w:t>
            </w:r>
          </w:p>
        </w:tc>
      </w:tr>
      <w:tr w14:paraId="3E4380A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88C6CC7">
            <w:pPr>
              <w:spacing w:line="360" w:lineRule="auto"/>
              <w:jc w:val="center"/>
              <w:textAlignment w:val="bottom"/>
              <w:rPr>
                <w:rFonts w:eastAsia="等线"/>
                <w:color w:val="0C0C0C"/>
                <w:kern w:val="2"/>
                <w:szCs w:val="24"/>
                <w:lang w:eastAsia="zh-CN"/>
              </w:rPr>
            </w:pPr>
            <w:r>
              <w:rPr>
                <w:rFonts w:eastAsia="等线"/>
                <w:color w:val="0C0C0C"/>
                <w:szCs w:val="24"/>
                <w:lang w:eastAsia="zh-CN"/>
              </w:rPr>
              <w:t>PKM2</w:t>
            </w:r>
          </w:p>
        </w:tc>
        <w:tc>
          <w:tcPr>
            <w:tcW w:w="5140" w:type="dxa"/>
            <w:tcBorders>
              <w:top w:val="nil"/>
              <w:left w:val="nil"/>
              <w:bottom w:val="nil"/>
              <w:right w:val="nil"/>
            </w:tcBorders>
            <w:noWrap/>
            <w:vAlign w:val="bottom"/>
          </w:tcPr>
          <w:p w14:paraId="0E35BA94">
            <w:pPr>
              <w:spacing w:line="360" w:lineRule="auto"/>
              <w:jc w:val="center"/>
              <w:textAlignment w:val="bottom"/>
              <w:rPr>
                <w:rFonts w:eastAsia="等线"/>
                <w:color w:val="0C0C0C"/>
                <w:kern w:val="2"/>
                <w:szCs w:val="24"/>
                <w:lang w:eastAsia="zh-CN"/>
              </w:rPr>
            </w:pPr>
            <w:r>
              <w:rPr>
                <w:rFonts w:eastAsia="等线"/>
                <w:color w:val="0C0C0C"/>
                <w:szCs w:val="24"/>
                <w:lang w:eastAsia="zh-CN"/>
              </w:rPr>
              <w:t>15822-1-AP, proteintech, China</w:t>
            </w:r>
          </w:p>
        </w:tc>
      </w:tr>
      <w:tr w14:paraId="71FD00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3EAB6C0C">
            <w:pPr>
              <w:spacing w:line="360" w:lineRule="auto"/>
              <w:jc w:val="center"/>
              <w:textAlignment w:val="bottom"/>
              <w:rPr>
                <w:rFonts w:eastAsia="等线"/>
                <w:color w:val="0C0C0C"/>
                <w:kern w:val="2"/>
                <w:szCs w:val="24"/>
                <w:lang w:eastAsia="zh-CN"/>
              </w:rPr>
            </w:pPr>
            <w:r>
              <w:rPr>
                <w:rFonts w:eastAsia="等线"/>
                <w:color w:val="0C0C0C"/>
                <w:kern w:val="2"/>
                <w:szCs w:val="24"/>
                <w:lang w:eastAsia="zh-CN"/>
              </w:rPr>
              <w:t>ENO1</w:t>
            </w:r>
          </w:p>
        </w:tc>
        <w:tc>
          <w:tcPr>
            <w:tcW w:w="5140" w:type="dxa"/>
            <w:tcBorders>
              <w:top w:val="nil"/>
              <w:left w:val="nil"/>
              <w:bottom w:val="nil"/>
              <w:right w:val="nil"/>
            </w:tcBorders>
            <w:noWrap/>
            <w:vAlign w:val="bottom"/>
          </w:tcPr>
          <w:p w14:paraId="515CD8FB">
            <w:pPr>
              <w:spacing w:line="360" w:lineRule="auto"/>
              <w:jc w:val="center"/>
              <w:textAlignment w:val="bottom"/>
              <w:rPr>
                <w:rFonts w:eastAsia="等线"/>
                <w:color w:val="0C0C0C"/>
                <w:kern w:val="2"/>
                <w:szCs w:val="24"/>
                <w:lang w:eastAsia="zh-CN"/>
              </w:rPr>
            </w:pPr>
            <w:r>
              <w:rPr>
                <w:rFonts w:eastAsia="等线"/>
                <w:color w:val="0C0C0C"/>
                <w:szCs w:val="24"/>
                <w:lang w:eastAsia="zh-CN"/>
              </w:rPr>
              <w:t>11204-1-AP, proteintech, China</w:t>
            </w:r>
          </w:p>
        </w:tc>
      </w:tr>
      <w:tr w14:paraId="64C9C4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11F9ED5E">
            <w:pPr>
              <w:spacing w:line="360" w:lineRule="auto"/>
              <w:jc w:val="center"/>
              <w:textAlignment w:val="bottom"/>
              <w:rPr>
                <w:rFonts w:eastAsia="等线"/>
                <w:color w:val="0C0C0C"/>
                <w:kern w:val="2"/>
                <w:szCs w:val="24"/>
                <w:lang w:eastAsia="zh-CN"/>
              </w:rPr>
            </w:pPr>
            <w:r>
              <w:rPr>
                <w:rFonts w:eastAsia="等线"/>
                <w:color w:val="0C0C0C"/>
                <w:kern w:val="2"/>
                <w:szCs w:val="24"/>
                <w:lang w:eastAsia="zh-CN"/>
              </w:rPr>
              <w:t>LDHA</w:t>
            </w:r>
          </w:p>
        </w:tc>
        <w:tc>
          <w:tcPr>
            <w:tcW w:w="5140" w:type="dxa"/>
            <w:tcBorders>
              <w:top w:val="nil"/>
              <w:left w:val="nil"/>
              <w:bottom w:val="nil"/>
              <w:right w:val="nil"/>
            </w:tcBorders>
            <w:noWrap/>
            <w:vAlign w:val="bottom"/>
          </w:tcPr>
          <w:p w14:paraId="3C13F5CE">
            <w:pPr>
              <w:spacing w:line="360" w:lineRule="auto"/>
              <w:jc w:val="center"/>
              <w:textAlignment w:val="bottom"/>
              <w:rPr>
                <w:rFonts w:eastAsia="等线"/>
                <w:color w:val="0C0C0C"/>
                <w:kern w:val="2"/>
                <w:szCs w:val="24"/>
                <w:lang w:eastAsia="zh-CN"/>
              </w:rPr>
            </w:pPr>
            <w:r>
              <w:rPr>
                <w:rFonts w:eastAsia="等线"/>
                <w:color w:val="0C0C0C"/>
                <w:szCs w:val="24"/>
                <w:lang w:eastAsia="zh-CN"/>
              </w:rPr>
              <w:t>19987-1-AP, proteintech, China</w:t>
            </w:r>
          </w:p>
        </w:tc>
      </w:tr>
      <w:tr w14:paraId="719611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B8B8083">
            <w:pPr>
              <w:spacing w:line="360" w:lineRule="auto"/>
              <w:jc w:val="center"/>
              <w:textAlignment w:val="bottom"/>
              <w:rPr>
                <w:rFonts w:eastAsia="等线"/>
                <w:color w:val="0C0C0C"/>
                <w:kern w:val="2"/>
                <w:szCs w:val="24"/>
                <w:lang w:eastAsia="zh-CN"/>
              </w:rPr>
            </w:pPr>
            <w:r>
              <w:rPr>
                <w:rFonts w:eastAsia="等线"/>
                <w:color w:val="0C0C0C"/>
                <w:szCs w:val="24"/>
                <w:lang w:eastAsia="zh-CN"/>
              </w:rPr>
              <w:t>HIF-1α</w:t>
            </w:r>
          </w:p>
        </w:tc>
        <w:tc>
          <w:tcPr>
            <w:tcW w:w="5140" w:type="dxa"/>
            <w:tcBorders>
              <w:top w:val="nil"/>
              <w:left w:val="nil"/>
              <w:bottom w:val="nil"/>
              <w:right w:val="nil"/>
            </w:tcBorders>
            <w:noWrap/>
            <w:vAlign w:val="bottom"/>
          </w:tcPr>
          <w:p w14:paraId="21CDDCA3">
            <w:pPr>
              <w:spacing w:line="360" w:lineRule="auto"/>
              <w:jc w:val="center"/>
              <w:textAlignment w:val="bottom"/>
              <w:rPr>
                <w:rFonts w:eastAsia="等线"/>
                <w:color w:val="0C0C0C"/>
                <w:kern w:val="2"/>
                <w:szCs w:val="24"/>
                <w:lang w:eastAsia="zh-CN"/>
              </w:rPr>
            </w:pPr>
            <w:r>
              <w:rPr>
                <w:rFonts w:eastAsia="等线"/>
                <w:color w:val="0C0C0C"/>
                <w:szCs w:val="24"/>
                <w:lang w:eastAsia="zh-CN"/>
              </w:rPr>
              <w:t>#36169, CST, USA</w:t>
            </w:r>
          </w:p>
        </w:tc>
      </w:tr>
      <w:tr w14:paraId="6A33D0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5352B2E">
            <w:pPr>
              <w:spacing w:line="360" w:lineRule="auto"/>
              <w:jc w:val="center"/>
              <w:textAlignment w:val="bottom"/>
              <w:rPr>
                <w:rFonts w:eastAsia="等线"/>
                <w:color w:val="0C0C0C"/>
                <w:kern w:val="2"/>
                <w:szCs w:val="24"/>
                <w:lang w:eastAsia="zh-CN"/>
              </w:rPr>
            </w:pPr>
            <w:r>
              <w:rPr>
                <w:rFonts w:eastAsia="等线"/>
                <w:color w:val="0C0C0C"/>
                <w:szCs w:val="24"/>
                <w:lang w:eastAsia="zh-CN"/>
              </w:rPr>
              <w:t>Ig G</w:t>
            </w:r>
          </w:p>
        </w:tc>
        <w:tc>
          <w:tcPr>
            <w:tcW w:w="5140" w:type="dxa"/>
            <w:tcBorders>
              <w:top w:val="nil"/>
              <w:left w:val="nil"/>
              <w:bottom w:val="nil"/>
              <w:right w:val="nil"/>
            </w:tcBorders>
            <w:noWrap/>
            <w:vAlign w:val="bottom"/>
          </w:tcPr>
          <w:p w14:paraId="03C65191">
            <w:pPr>
              <w:spacing w:line="360" w:lineRule="auto"/>
              <w:jc w:val="center"/>
              <w:textAlignment w:val="bottom"/>
              <w:rPr>
                <w:rFonts w:eastAsia="等线"/>
                <w:color w:val="0C0C0C"/>
                <w:kern w:val="2"/>
                <w:szCs w:val="24"/>
                <w:lang w:eastAsia="zh-CN"/>
              </w:rPr>
            </w:pPr>
            <w:r>
              <w:rPr>
                <w:rFonts w:eastAsia="等线"/>
                <w:color w:val="0C0C0C"/>
                <w:szCs w:val="24"/>
                <w:lang w:eastAsia="zh-CN"/>
              </w:rPr>
              <w:t>30000-0-AP, proteintech, China</w:t>
            </w:r>
          </w:p>
        </w:tc>
      </w:tr>
      <w:tr w14:paraId="1083CE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60D5EB13">
            <w:pPr>
              <w:spacing w:line="360" w:lineRule="auto"/>
              <w:jc w:val="center"/>
              <w:textAlignment w:val="bottom"/>
              <w:rPr>
                <w:rFonts w:eastAsia="等线"/>
                <w:color w:val="0C0C0C"/>
                <w:kern w:val="2"/>
                <w:szCs w:val="24"/>
                <w:lang w:eastAsia="zh-CN"/>
              </w:rPr>
            </w:pPr>
            <w:r>
              <w:rPr>
                <w:rFonts w:eastAsia="等线"/>
                <w:color w:val="0C0C0C"/>
                <w:szCs w:val="24"/>
                <w:lang w:eastAsia="zh-CN"/>
              </w:rPr>
              <w:t>PD-L1</w:t>
            </w:r>
          </w:p>
        </w:tc>
        <w:tc>
          <w:tcPr>
            <w:tcW w:w="5140" w:type="dxa"/>
            <w:tcBorders>
              <w:top w:val="nil"/>
              <w:left w:val="nil"/>
              <w:bottom w:val="nil"/>
              <w:right w:val="nil"/>
            </w:tcBorders>
            <w:noWrap/>
            <w:vAlign w:val="bottom"/>
          </w:tcPr>
          <w:p w14:paraId="09A816EA">
            <w:pPr>
              <w:spacing w:line="360" w:lineRule="auto"/>
              <w:jc w:val="center"/>
              <w:textAlignment w:val="bottom"/>
              <w:rPr>
                <w:rFonts w:eastAsia="等线"/>
                <w:color w:val="0C0C0C"/>
                <w:kern w:val="2"/>
                <w:szCs w:val="24"/>
                <w:lang w:eastAsia="zh-CN"/>
              </w:rPr>
            </w:pPr>
            <w:r>
              <w:rPr>
                <w:rFonts w:eastAsia="等线"/>
                <w:color w:val="0C0C0C"/>
                <w:szCs w:val="24"/>
                <w:lang w:eastAsia="zh-CN"/>
              </w:rPr>
              <w:t>28076-1-AP, proteintech, China</w:t>
            </w:r>
          </w:p>
        </w:tc>
      </w:tr>
      <w:tr w14:paraId="51C849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BA04B83">
            <w:pPr>
              <w:spacing w:line="360" w:lineRule="auto"/>
              <w:jc w:val="center"/>
              <w:textAlignment w:val="bottom"/>
              <w:rPr>
                <w:rFonts w:eastAsia="等线"/>
                <w:color w:val="0C0C0C"/>
                <w:kern w:val="2"/>
                <w:szCs w:val="24"/>
                <w:lang w:eastAsia="zh-CN"/>
              </w:rPr>
            </w:pPr>
            <w:r>
              <w:rPr>
                <w:rFonts w:eastAsia="等线"/>
                <w:color w:val="0C0C0C"/>
                <w:szCs w:val="24"/>
                <w:lang w:eastAsia="zh-CN"/>
              </w:rPr>
              <w:t>ubiquitin</w:t>
            </w:r>
          </w:p>
        </w:tc>
        <w:tc>
          <w:tcPr>
            <w:tcW w:w="5140" w:type="dxa"/>
            <w:tcBorders>
              <w:top w:val="nil"/>
              <w:left w:val="nil"/>
              <w:bottom w:val="nil"/>
              <w:right w:val="nil"/>
            </w:tcBorders>
            <w:noWrap/>
            <w:vAlign w:val="bottom"/>
          </w:tcPr>
          <w:p w14:paraId="3F7DA24D">
            <w:pPr>
              <w:spacing w:line="360" w:lineRule="auto"/>
              <w:jc w:val="center"/>
              <w:textAlignment w:val="bottom"/>
              <w:rPr>
                <w:rFonts w:eastAsia="等线"/>
                <w:color w:val="0C0C0C"/>
                <w:kern w:val="2"/>
                <w:szCs w:val="24"/>
                <w:lang w:eastAsia="zh-CN"/>
              </w:rPr>
            </w:pPr>
            <w:r>
              <w:rPr>
                <w:rFonts w:eastAsia="等线"/>
                <w:color w:val="0C0C0C"/>
                <w:szCs w:val="24"/>
                <w:lang w:eastAsia="zh-CN"/>
              </w:rPr>
              <w:t>10201-2-AP, proteintech, China</w:t>
            </w:r>
          </w:p>
        </w:tc>
      </w:tr>
      <w:tr w14:paraId="0A6CDF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BAFF273">
            <w:pPr>
              <w:spacing w:line="360" w:lineRule="auto"/>
              <w:jc w:val="center"/>
              <w:textAlignment w:val="bottom"/>
              <w:rPr>
                <w:rFonts w:eastAsia="等线"/>
                <w:color w:val="0C0C0C"/>
                <w:kern w:val="2"/>
                <w:szCs w:val="24"/>
                <w:lang w:eastAsia="zh-CN"/>
              </w:rPr>
            </w:pPr>
            <w:r>
              <w:rPr>
                <w:rFonts w:eastAsia="等线"/>
                <w:color w:val="0C0C0C"/>
                <w:szCs w:val="24"/>
                <w:lang w:eastAsia="zh-CN"/>
              </w:rPr>
              <w:t>USP9X</w:t>
            </w:r>
          </w:p>
        </w:tc>
        <w:tc>
          <w:tcPr>
            <w:tcW w:w="5140" w:type="dxa"/>
            <w:tcBorders>
              <w:top w:val="nil"/>
              <w:left w:val="nil"/>
              <w:bottom w:val="nil"/>
              <w:right w:val="nil"/>
            </w:tcBorders>
            <w:noWrap/>
            <w:vAlign w:val="bottom"/>
          </w:tcPr>
          <w:p w14:paraId="77F4EE74">
            <w:pPr>
              <w:spacing w:line="360" w:lineRule="auto"/>
              <w:jc w:val="center"/>
              <w:textAlignment w:val="bottom"/>
              <w:rPr>
                <w:rFonts w:eastAsia="等线"/>
                <w:color w:val="0C0C0C"/>
                <w:kern w:val="2"/>
                <w:szCs w:val="24"/>
                <w:lang w:eastAsia="zh-CN"/>
              </w:rPr>
            </w:pPr>
            <w:r>
              <w:rPr>
                <w:rFonts w:eastAsia="等线"/>
                <w:color w:val="0C0C0C"/>
                <w:szCs w:val="24"/>
                <w:lang w:eastAsia="zh-CN"/>
              </w:rPr>
              <w:t>#14898, CST, USA</w:t>
            </w:r>
          </w:p>
        </w:tc>
      </w:tr>
      <w:tr w14:paraId="355753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DCE2D0C">
            <w:pPr>
              <w:spacing w:line="360" w:lineRule="auto"/>
              <w:jc w:val="center"/>
              <w:textAlignment w:val="bottom"/>
              <w:rPr>
                <w:rFonts w:eastAsia="等线"/>
                <w:color w:val="0C0C0C"/>
                <w:kern w:val="2"/>
                <w:szCs w:val="24"/>
                <w:lang w:eastAsia="zh-CN"/>
              </w:rPr>
            </w:pPr>
            <w:r>
              <w:rPr>
                <w:rFonts w:eastAsia="等线"/>
                <w:color w:val="0C0C0C"/>
                <w:szCs w:val="24"/>
                <w:lang w:eastAsia="zh-CN"/>
              </w:rPr>
              <w:t>HA tag</w:t>
            </w:r>
          </w:p>
        </w:tc>
        <w:tc>
          <w:tcPr>
            <w:tcW w:w="5140" w:type="dxa"/>
            <w:tcBorders>
              <w:top w:val="nil"/>
              <w:left w:val="nil"/>
              <w:bottom w:val="nil"/>
              <w:right w:val="nil"/>
            </w:tcBorders>
            <w:noWrap/>
            <w:vAlign w:val="bottom"/>
          </w:tcPr>
          <w:p w14:paraId="39A2CB20">
            <w:pPr>
              <w:spacing w:line="360" w:lineRule="auto"/>
              <w:jc w:val="center"/>
              <w:textAlignment w:val="bottom"/>
              <w:rPr>
                <w:rFonts w:eastAsia="等线"/>
                <w:color w:val="0C0C0C"/>
                <w:kern w:val="2"/>
                <w:szCs w:val="24"/>
                <w:lang w:eastAsia="zh-CN"/>
              </w:rPr>
            </w:pPr>
            <w:r>
              <w:rPr>
                <w:rFonts w:eastAsia="等线"/>
                <w:color w:val="0C0C0C"/>
                <w:szCs w:val="24"/>
                <w:lang w:eastAsia="zh-CN"/>
              </w:rPr>
              <w:t>51064-2-AP, proteintech, China</w:t>
            </w:r>
          </w:p>
        </w:tc>
      </w:tr>
      <w:tr w14:paraId="0C4B7A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21B18E7">
            <w:pPr>
              <w:spacing w:line="360" w:lineRule="auto"/>
              <w:jc w:val="center"/>
              <w:textAlignment w:val="bottom"/>
              <w:rPr>
                <w:rFonts w:eastAsia="等线"/>
                <w:color w:val="0C0C0C"/>
                <w:kern w:val="2"/>
                <w:szCs w:val="24"/>
                <w:lang w:eastAsia="zh-CN"/>
              </w:rPr>
            </w:pPr>
            <w:r>
              <w:rPr>
                <w:rFonts w:eastAsia="等线"/>
                <w:color w:val="0C0C0C"/>
                <w:szCs w:val="24"/>
                <w:lang w:eastAsia="zh-CN"/>
              </w:rPr>
              <w:t>DYKDDDDK tag</w:t>
            </w:r>
          </w:p>
        </w:tc>
        <w:tc>
          <w:tcPr>
            <w:tcW w:w="5140" w:type="dxa"/>
            <w:tcBorders>
              <w:top w:val="nil"/>
              <w:left w:val="nil"/>
              <w:bottom w:val="nil"/>
              <w:right w:val="nil"/>
            </w:tcBorders>
            <w:noWrap/>
            <w:vAlign w:val="bottom"/>
          </w:tcPr>
          <w:p w14:paraId="149752AD">
            <w:pPr>
              <w:spacing w:line="360" w:lineRule="auto"/>
              <w:jc w:val="center"/>
              <w:textAlignment w:val="bottom"/>
              <w:rPr>
                <w:rFonts w:eastAsia="等线"/>
                <w:color w:val="0C0C0C"/>
                <w:kern w:val="2"/>
                <w:szCs w:val="24"/>
                <w:lang w:eastAsia="zh-CN"/>
              </w:rPr>
            </w:pPr>
            <w:r>
              <w:rPr>
                <w:rFonts w:eastAsia="等线"/>
                <w:color w:val="0C0C0C"/>
                <w:szCs w:val="24"/>
                <w:lang w:eastAsia="zh-CN"/>
              </w:rPr>
              <w:t>20543-1-AP, proteintech, China</w:t>
            </w:r>
          </w:p>
        </w:tc>
      </w:tr>
      <w:tr w14:paraId="614DB4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46B8E71D">
            <w:pPr>
              <w:spacing w:line="360" w:lineRule="auto"/>
              <w:jc w:val="center"/>
              <w:textAlignment w:val="bottom"/>
              <w:rPr>
                <w:rFonts w:eastAsia="等线"/>
                <w:color w:val="0C0C0C"/>
                <w:kern w:val="2"/>
                <w:szCs w:val="24"/>
                <w:lang w:eastAsia="zh-CN"/>
              </w:rPr>
            </w:pPr>
            <w:r>
              <w:rPr>
                <w:rFonts w:eastAsia="等线"/>
                <w:color w:val="0C0C0C"/>
                <w:szCs w:val="24"/>
                <w:lang w:eastAsia="zh-CN"/>
              </w:rPr>
              <w:t>MYC tag</w:t>
            </w:r>
          </w:p>
        </w:tc>
        <w:tc>
          <w:tcPr>
            <w:tcW w:w="5140" w:type="dxa"/>
            <w:tcBorders>
              <w:top w:val="nil"/>
              <w:left w:val="nil"/>
              <w:bottom w:val="nil"/>
              <w:right w:val="nil"/>
            </w:tcBorders>
            <w:noWrap/>
            <w:vAlign w:val="bottom"/>
          </w:tcPr>
          <w:p w14:paraId="3E8722C5">
            <w:pPr>
              <w:spacing w:line="360" w:lineRule="auto"/>
              <w:jc w:val="center"/>
              <w:textAlignment w:val="bottom"/>
              <w:rPr>
                <w:rFonts w:eastAsia="等线"/>
                <w:color w:val="0C0C0C"/>
                <w:kern w:val="2"/>
                <w:szCs w:val="24"/>
                <w:lang w:eastAsia="zh-CN"/>
              </w:rPr>
            </w:pPr>
            <w:r>
              <w:rPr>
                <w:rFonts w:eastAsia="等线"/>
                <w:color w:val="0C0C0C"/>
                <w:szCs w:val="24"/>
                <w:lang w:eastAsia="zh-CN"/>
              </w:rPr>
              <w:t>60003-2-lg, proteintech, China</w:t>
            </w:r>
          </w:p>
        </w:tc>
      </w:tr>
      <w:tr w14:paraId="42B17C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D084560">
            <w:pPr>
              <w:spacing w:line="360" w:lineRule="auto"/>
              <w:jc w:val="center"/>
              <w:textAlignment w:val="bottom"/>
              <w:rPr>
                <w:rFonts w:eastAsia="等线"/>
                <w:color w:val="0C0C0C"/>
                <w:kern w:val="2"/>
                <w:szCs w:val="24"/>
                <w:lang w:eastAsia="zh-CN"/>
              </w:rPr>
            </w:pPr>
            <w:r>
              <w:rPr>
                <w:rFonts w:eastAsia="等线"/>
                <w:color w:val="0C0C0C"/>
                <w:szCs w:val="24"/>
                <w:lang w:eastAsia="zh-CN"/>
              </w:rPr>
              <w:t>His tag</w:t>
            </w:r>
          </w:p>
        </w:tc>
        <w:tc>
          <w:tcPr>
            <w:tcW w:w="5140" w:type="dxa"/>
            <w:tcBorders>
              <w:top w:val="nil"/>
              <w:left w:val="nil"/>
              <w:bottom w:val="nil"/>
              <w:right w:val="nil"/>
            </w:tcBorders>
            <w:noWrap/>
            <w:vAlign w:val="bottom"/>
          </w:tcPr>
          <w:p w14:paraId="415A5D13">
            <w:pPr>
              <w:spacing w:line="360" w:lineRule="auto"/>
              <w:jc w:val="center"/>
              <w:textAlignment w:val="bottom"/>
              <w:rPr>
                <w:rFonts w:eastAsia="等线"/>
                <w:color w:val="0C0C0C"/>
                <w:kern w:val="2"/>
                <w:szCs w:val="24"/>
                <w:lang w:eastAsia="zh-CN"/>
              </w:rPr>
            </w:pPr>
            <w:r>
              <w:rPr>
                <w:rFonts w:eastAsia="等线"/>
                <w:color w:val="0C0C0C"/>
                <w:szCs w:val="24"/>
                <w:lang w:eastAsia="zh-CN"/>
              </w:rPr>
              <w:t>66005-1-1g, proteintech, China</w:t>
            </w:r>
          </w:p>
        </w:tc>
      </w:tr>
      <w:tr w14:paraId="597ED8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E077825">
            <w:pPr>
              <w:spacing w:line="360" w:lineRule="auto"/>
              <w:jc w:val="center"/>
              <w:textAlignment w:val="bottom"/>
              <w:rPr>
                <w:rFonts w:eastAsia="等线"/>
                <w:color w:val="0C0C0C"/>
                <w:kern w:val="2"/>
                <w:szCs w:val="24"/>
                <w:lang w:eastAsia="zh-CN"/>
              </w:rPr>
            </w:pPr>
            <w:r>
              <w:rPr>
                <w:rFonts w:eastAsia="等线"/>
                <w:color w:val="0C0C0C"/>
                <w:szCs w:val="24"/>
                <w:lang w:eastAsia="zh-CN"/>
              </w:rPr>
              <w:t>CCL4</w:t>
            </w:r>
          </w:p>
        </w:tc>
        <w:tc>
          <w:tcPr>
            <w:tcW w:w="5140" w:type="dxa"/>
            <w:tcBorders>
              <w:top w:val="nil"/>
              <w:left w:val="nil"/>
              <w:bottom w:val="nil"/>
              <w:right w:val="nil"/>
            </w:tcBorders>
            <w:noWrap/>
            <w:vAlign w:val="bottom"/>
          </w:tcPr>
          <w:p w14:paraId="6F98F1BD">
            <w:pPr>
              <w:spacing w:line="360" w:lineRule="auto"/>
              <w:jc w:val="center"/>
              <w:textAlignment w:val="bottom"/>
              <w:rPr>
                <w:rFonts w:eastAsia="等线"/>
                <w:color w:val="0C0C0C"/>
                <w:kern w:val="2"/>
                <w:szCs w:val="24"/>
                <w:lang w:eastAsia="zh-CN"/>
              </w:rPr>
            </w:pPr>
            <w:r>
              <w:rPr>
                <w:rFonts w:eastAsia="等线"/>
                <w:color w:val="0C0C0C"/>
                <w:szCs w:val="24"/>
                <w:lang w:eastAsia="zh-CN"/>
              </w:rPr>
              <w:t>26614-1-AP, proteintech, China</w:t>
            </w:r>
          </w:p>
        </w:tc>
      </w:tr>
      <w:tr w14:paraId="5A617F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24DDF3D">
            <w:pPr>
              <w:spacing w:line="360" w:lineRule="auto"/>
              <w:jc w:val="center"/>
              <w:textAlignment w:val="bottom"/>
              <w:rPr>
                <w:rFonts w:eastAsia="等线"/>
                <w:color w:val="0C0C0C"/>
                <w:kern w:val="2"/>
                <w:szCs w:val="24"/>
                <w:lang w:eastAsia="zh-CN"/>
              </w:rPr>
            </w:pPr>
            <w:r>
              <w:rPr>
                <w:rFonts w:eastAsia="等线"/>
                <w:color w:val="0C0C0C"/>
                <w:szCs w:val="24"/>
                <w:lang w:eastAsia="zh-CN"/>
              </w:rPr>
              <w:t>CD11C</w:t>
            </w:r>
          </w:p>
        </w:tc>
        <w:tc>
          <w:tcPr>
            <w:tcW w:w="5140" w:type="dxa"/>
            <w:tcBorders>
              <w:top w:val="nil"/>
              <w:left w:val="nil"/>
              <w:bottom w:val="nil"/>
              <w:right w:val="nil"/>
            </w:tcBorders>
            <w:noWrap/>
            <w:vAlign w:val="bottom"/>
          </w:tcPr>
          <w:p w14:paraId="307A2EC8">
            <w:pPr>
              <w:spacing w:line="360" w:lineRule="auto"/>
              <w:jc w:val="center"/>
              <w:textAlignment w:val="bottom"/>
              <w:rPr>
                <w:rFonts w:eastAsia="等线"/>
                <w:color w:val="0C0C0C"/>
                <w:kern w:val="2"/>
                <w:szCs w:val="24"/>
                <w:lang w:eastAsia="zh-CN"/>
              </w:rPr>
            </w:pPr>
            <w:r>
              <w:rPr>
                <w:rFonts w:eastAsia="等线"/>
                <w:color w:val="0C0C0C"/>
                <w:szCs w:val="24"/>
                <w:lang w:eastAsia="zh-CN"/>
              </w:rPr>
              <w:t>17342-1-AP, proteintech, China</w:t>
            </w:r>
          </w:p>
        </w:tc>
      </w:tr>
      <w:tr w14:paraId="42D0C6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6970D0CF">
            <w:pPr>
              <w:spacing w:line="360" w:lineRule="auto"/>
              <w:jc w:val="center"/>
              <w:textAlignment w:val="bottom"/>
              <w:rPr>
                <w:rFonts w:eastAsia="等线"/>
                <w:color w:val="0C0C0C"/>
                <w:kern w:val="2"/>
                <w:szCs w:val="24"/>
                <w:lang w:eastAsia="zh-CN"/>
              </w:rPr>
            </w:pPr>
            <w:r>
              <w:rPr>
                <w:rFonts w:eastAsia="等线"/>
                <w:color w:val="0C0C0C"/>
                <w:szCs w:val="24"/>
                <w:lang w:eastAsia="zh-CN"/>
              </w:rPr>
              <w:t>HLA-DRA</w:t>
            </w:r>
          </w:p>
        </w:tc>
        <w:tc>
          <w:tcPr>
            <w:tcW w:w="5140" w:type="dxa"/>
            <w:tcBorders>
              <w:top w:val="nil"/>
              <w:left w:val="nil"/>
              <w:bottom w:val="nil"/>
              <w:right w:val="nil"/>
            </w:tcBorders>
            <w:noWrap/>
            <w:vAlign w:val="bottom"/>
          </w:tcPr>
          <w:p w14:paraId="28078046">
            <w:pPr>
              <w:spacing w:line="360" w:lineRule="auto"/>
              <w:jc w:val="center"/>
              <w:textAlignment w:val="bottom"/>
              <w:rPr>
                <w:rFonts w:eastAsia="等线"/>
                <w:color w:val="0C0C0C"/>
                <w:kern w:val="2"/>
                <w:szCs w:val="24"/>
                <w:lang w:eastAsia="zh-CN"/>
              </w:rPr>
            </w:pPr>
            <w:r>
              <w:rPr>
                <w:rFonts w:eastAsia="等线"/>
                <w:color w:val="0C0C0C"/>
                <w:szCs w:val="24"/>
                <w:lang w:eastAsia="zh-CN"/>
              </w:rPr>
              <w:t>17221-1-AP, proteintech, China</w:t>
            </w:r>
          </w:p>
        </w:tc>
      </w:tr>
      <w:tr w14:paraId="16D47AB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5E5E4094">
            <w:pPr>
              <w:spacing w:line="360" w:lineRule="auto"/>
              <w:jc w:val="center"/>
              <w:textAlignment w:val="bottom"/>
              <w:rPr>
                <w:rFonts w:eastAsia="等线"/>
                <w:color w:val="0C0C0C"/>
                <w:kern w:val="2"/>
                <w:szCs w:val="24"/>
                <w:lang w:eastAsia="zh-CN"/>
              </w:rPr>
            </w:pPr>
            <w:r>
              <w:rPr>
                <w:rFonts w:eastAsia="等线"/>
                <w:color w:val="0C0C0C"/>
                <w:szCs w:val="24"/>
                <w:lang w:eastAsia="zh-CN"/>
              </w:rPr>
              <w:t>L-Lactyl Lysine</w:t>
            </w:r>
          </w:p>
        </w:tc>
        <w:tc>
          <w:tcPr>
            <w:tcW w:w="5140" w:type="dxa"/>
            <w:tcBorders>
              <w:top w:val="nil"/>
              <w:left w:val="nil"/>
              <w:bottom w:val="nil"/>
              <w:right w:val="nil"/>
            </w:tcBorders>
            <w:noWrap/>
            <w:vAlign w:val="bottom"/>
          </w:tcPr>
          <w:p w14:paraId="60E0456E">
            <w:pPr>
              <w:spacing w:line="360" w:lineRule="auto"/>
              <w:jc w:val="center"/>
              <w:textAlignment w:val="bottom"/>
              <w:rPr>
                <w:rFonts w:eastAsia="等线"/>
                <w:color w:val="0C0C0C"/>
                <w:kern w:val="2"/>
                <w:szCs w:val="24"/>
                <w:lang w:eastAsia="zh-CN"/>
              </w:rPr>
            </w:pPr>
            <w:r>
              <w:rPr>
                <w:rFonts w:eastAsia="等线"/>
                <w:color w:val="0C0C0C"/>
                <w:szCs w:val="24"/>
                <w:lang w:eastAsia="zh-CN"/>
              </w:rPr>
              <w:t>PTM-1401RM, PTM Bio, China</w:t>
            </w:r>
          </w:p>
        </w:tc>
      </w:tr>
      <w:tr w14:paraId="7CE5BB9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07535BE">
            <w:pPr>
              <w:spacing w:line="360" w:lineRule="auto"/>
              <w:jc w:val="center"/>
              <w:textAlignment w:val="bottom"/>
              <w:rPr>
                <w:rFonts w:eastAsia="等线"/>
                <w:color w:val="0C0C0C"/>
                <w:kern w:val="2"/>
                <w:szCs w:val="24"/>
                <w:lang w:eastAsia="zh-CN"/>
              </w:rPr>
            </w:pPr>
            <w:r>
              <w:rPr>
                <w:rFonts w:eastAsia="等线"/>
                <w:color w:val="0C0C0C"/>
                <w:szCs w:val="24"/>
                <w:lang w:eastAsia="zh-CN"/>
              </w:rPr>
              <w:t>TRIM28</w:t>
            </w:r>
          </w:p>
        </w:tc>
        <w:tc>
          <w:tcPr>
            <w:tcW w:w="5140" w:type="dxa"/>
            <w:tcBorders>
              <w:top w:val="nil"/>
              <w:left w:val="nil"/>
              <w:bottom w:val="nil"/>
              <w:right w:val="nil"/>
            </w:tcBorders>
            <w:noWrap/>
            <w:vAlign w:val="bottom"/>
          </w:tcPr>
          <w:p w14:paraId="5B9BA3BF">
            <w:pPr>
              <w:spacing w:line="360" w:lineRule="auto"/>
              <w:jc w:val="center"/>
              <w:textAlignment w:val="bottom"/>
              <w:rPr>
                <w:rFonts w:eastAsia="等线"/>
                <w:color w:val="0C0C0C"/>
                <w:kern w:val="2"/>
                <w:szCs w:val="24"/>
                <w:lang w:eastAsia="zh-CN"/>
              </w:rPr>
            </w:pPr>
            <w:r>
              <w:rPr>
                <w:rFonts w:eastAsia="等线"/>
                <w:color w:val="0C0C0C"/>
                <w:szCs w:val="24"/>
                <w:lang w:eastAsia="zh-CN"/>
              </w:rPr>
              <w:t>15202-1-AP, proteintech, China</w:t>
            </w:r>
          </w:p>
        </w:tc>
      </w:tr>
      <w:tr w14:paraId="257A5B4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145B5F16">
            <w:pPr>
              <w:spacing w:line="360" w:lineRule="auto"/>
              <w:jc w:val="center"/>
              <w:textAlignment w:val="bottom"/>
              <w:rPr>
                <w:rFonts w:eastAsia="等线"/>
                <w:color w:val="0C0C0C"/>
                <w:szCs w:val="24"/>
                <w:lang w:eastAsia="zh-CN"/>
              </w:rPr>
            </w:pPr>
            <w:r>
              <w:rPr>
                <w:rFonts w:eastAsia="等线"/>
                <w:color w:val="0C0C0C"/>
                <w:szCs w:val="24"/>
                <w:lang w:eastAsia="zh-CN"/>
              </w:rPr>
              <w:t>ARG-1</w:t>
            </w:r>
          </w:p>
        </w:tc>
        <w:tc>
          <w:tcPr>
            <w:tcW w:w="5140" w:type="dxa"/>
            <w:tcBorders>
              <w:top w:val="nil"/>
              <w:left w:val="nil"/>
              <w:bottom w:val="nil"/>
              <w:right w:val="nil"/>
            </w:tcBorders>
            <w:noWrap/>
            <w:vAlign w:val="bottom"/>
          </w:tcPr>
          <w:p w14:paraId="105B9BF2">
            <w:pPr>
              <w:spacing w:line="360" w:lineRule="auto"/>
              <w:jc w:val="center"/>
              <w:textAlignment w:val="bottom"/>
              <w:rPr>
                <w:rFonts w:eastAsia="等线"/>
                <w:color w:val="0C0C0C"/>
                <w:szCs w:val="24"/>
                <w:lang w:eastAsia="zh-CN"/>
              </w:rPr>
            </w:pPr>
            <w:r>
              <w:rPr>
                <w:rFonts w:eastAsia="等线"/>
                <w:color w:val="0C0C0C"/>
                <w:szCs w:val="24"/>
                <w:lang w:eastAsia="zh-CN"/>
              </w:rPr>
              <w:t>16001-1-AP, proteintech, China</w:t>
            </w:r>
          </w:p>
        </w:tc>
      </w:tr>
      <w:tr w14:paraId="6526242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620D37EB">
            <w:pPr>
              <w:spacing w:line="360" w:lineRule="auto"/>
              <w:jc w:val="center"/>
              <w:textAlignment w:val="bottom"/>
              <w:rPr>
                <w:rFonts w:eastAsia="等线"/>
                <w:color w:val="0C0C0C"/>
                <w:szCs w:val="24"/>
                <w:lang w:eastAsia="zh-CN"/>
              </w:rPr>
            </w:pPr>
            <w:r>
              <w:rPr>
                <w:rFonts w:eastAsia="等线"/>
                <w:color w:val="0C0C0C"/>
                <w:szCs w:val="24"/>
                <w:lang w:eastAsia="zh-CN"/>
              </w:rPr>
              <w:t>AFP</w:t>
            </w:r>
          </w:p>
        </w:tc>
        <w:tc>
          <w:tcPr>
            <w:tcW w:w="5140" w:type="dxa"/>
            <w:tcBorders>
              <w:top w:val="nil"/>
              <w:left w:val="nil"/>
              <w:bottom w:val="nil"/>
              <w:right w:val="nil"/>
            </w:tcBorders>
            <w:noWrap/>
            <w:vAlign w:val="bottom"/>
          </w:tcPr>
          <w:p w14:paraId="30270CE3">
            <w:pPr>
              <w:spacing w:line="360" w:lineRule="auto"/>
              <w:jc w:val="center"/>
              <w:textAlignment w:val="bottom"/>
              <w:rPr>
                <w:rFonts w:eastAsia="等线"/>
                <w:color w:val="0C0C0C"/>
                <w:szCs w:val="24"/>
                <w:lang w:eastAsia="zh-CN"/>
              </w:rPr>
            </w:pPr>
            <w:r>
              <w:rPr>
                <w:rFonts w:eastAsia="等线"/>
                <w:color w:val="0C0C0C"/>
                <w:szCs w:val="24"/>
                <w:lang w:eastAsia="zh-CN"/>
              </w:rPr>
              <w:t>14550-1-AP, proteintech, China</w:t>
            </w:r>
          </w:p>
        </w:tc>
      </w:tr>
      <w:tr w14:paraId="138693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344BA4B">
            <w:pPr>
              <w:spacing w:line="360" w:lineRule="auto"/>
              <w:jc w:val="center"/>
              <w:textAlignment w:val="bottom"/>
              <w:rPr>
                <w:rFonts w:eastAsia="等线"/>
                <w:color w:val="0C0C0C"/>
                <w:szCs w:val="24"/>
                <w:lang w:eastAsia="zh-CN"/>
              </w:rPr>
            </w:pPr>
            <w:r>
              <w:rPr>
                <w:rFonts w:eastAsia="等线"/>
                <w:color w:val="0C0C0C"/>
                <w:szCs w:val="24"/>
                <w:lang w:eastAsia="zh-CN"/>
              </w:rPr>
              <w:t>Affinipure Goat Anti-Rabbit IgG</w:t>
            </w:r>
          </w:p>
        </w:tc>
        <w:tc>
          <w:tcPr>
            <w:tcW w:w="5140" w:type="dxa"/>
            <w:tcBorders>
              <w:top w:val="nil"/>
              <w:left w:val="nil"/>
              <w:bottom w:val="nil"/>
              <w:right w:val="nil"/>
            </w:tcBorders>
            <w:noWrap/>
            <w:vAlign w:val="bottom"/>
          </w:tcPr>
          <w:p w14:paraId="7EAB7A7A">
            <w:pPr>
              <w:spacing w:line="360" w:lineRule="auto"/>
              <w:jc w:val="center"/>
              <w:textAlignment w:val="bottom"/>
              <w:rPr>
                <w:rFonts w:eastAsia="等线"/>
                <w:color w:val="0C0C0C"/>
                <w:szCs w:val="24"/>
                <w:lang w:eastAsia="zh-CN"/>
              </w:rPr>
            </w:pPr>
            <w:r>
              <w:rPr>
                <w:rFonts w:eastAsia="等线"/>
                <w:color w:val="0C0C0C"/>
                <w:szCs w:val="24"/>
                <w:lang w:eastAsia="zh-CN"/>
              </w:rPr>
              <w:t>SA00001-2, proteintech, China</w:t>
            </w:r>
          </w:p>
        </w:tc>
      </w:tr>
      <w:tr w14:paraId="6B2D52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CC65C3C">
            <w:pPr>
              <w:spacing w:line="360" w:lineRule="auto"/>
              <w:jc w:val="center"/>
              <w:textAlignment w:val="bottom"/>
              <w:rPr>
                <w:rFonts w:eastAsia="等线"/>
                <w:color w:val="0C0C0C"/>
                <w:szCs w:val="24"/>
                <w:lang w:eastAsia="zh-CN"/>
              </w:rPr>
            </w:pPr>
            <w:r>
              <w:rPr>
                <w:rFonts w:eastAsia="等线"/>
                <w:color w:val="0C0C0C"/>
                <w:szCs w:val="24"/>
                <w:lang w:eastAsia="zh-CN"/>
              </w:rPr>
              <w:t>Affinipure Goat Anti-Mouse IgG</w:t>
            </w:r>
          </w:p>
        </w:tc>
        <w:tc>
          <w:tcPr>
            <w:tcW w:w="5140" w:type="dxa"/>
            <w:tcBorders>
              <w:top w:val="nil"/>
              <w:left w:val="nil"/>
              <w:bottom w:val="nil"/>
              <w:right w:val="nil"/>
            </w:tcBorders>
            <w:noWrap/>
            <w:vAlign w:val="bottom"/>
          </w:tcPr>
          <w:p w14:paraId="50CD3313">
            <w:pPr>
              <w:spacing w:line="360" w:lineRule="auto"/>
              <w:jc w:val="center"/>
              <w:textAlignment w:val="bottom"/>
              <w:rPr>
                <w:rFonts w:eastAsia="等线"/>
                <w:color w:val="0C0C0C"/>
                <w:szCs w:val="24"/>
                <w:lang w:eastAsia="zh-CN"/>
              </w:rPr>
            </w:pPr>
            <w:r>
              <w:rPr>
                <w:rFonts w:eastAsia="等线"/>
                <w:color w:val="0C0C0C"/>
                <w:szCs w:val="24"/>
                <w:lang w:eastAsia="zh-CN"/>
              </w:rPr>
              <w:t>SA00001-1, proteintech, China</w:t>
            </w:r>
          </w:p>
        </w:tc>
      </w:tr>
      <w:tr w14:paraId="03252F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44C19505">
            <w:pPr>
              <w:spacing w:line="360" w:lineRule="auto"/>
              <w:jc w:val="center"/>
              <w:textAlignment w:val="bottom"/>
              <w:rPr>
                <w:rFonts w:eastAsia="等线"/>
                <w:color w:val="0C0C0C"/>
                <w:szCs w:val="24"/>
                <w:lang w:eastAsia="zh-CN"/>
              </w:rPr>
            </w:pPr>
            <w:r>
              <w:rPr>
                <w:rFonts w:eastAsia="等线"/>
                <w:color w:val="0C0C0C"/>
                <w:szCs w:val="24"/>
                <w:lang w:eastAsia="zh-CN"/>
              </w:rPr>
              <w:t>Fixable Viability Stain 780</w:t>
            </w:r>
          </w:p>
        </w:tc>
        <w:tc>
          <w:tcPr>
            <w:tcW w:w="5140" w:type="dxa"/>
            <w:tcBorders>
              <w:top w:val="nil"/>
              <w:left w:val="nil"/>
              <w:bottom w:val="nil"/>
              <w:right w:val="nil"/>
            </w:tcBorders>
            <w:noWrap/>
            <w:vAlign w:val="bottom"/>
          </w:tcPr>
          <w:p w14:paraId="517EA8F9">
            <w:pPr>
              <w:spacing w:line="360" w:lineRule="auto"/>
              <w:jc w:val="center"/>
              <w:textAlignment w:val="bottom"/>
              <w:rPr>
                <w:rFonts w:eastAsia="等线"/>
                <w:color w:val="0C0C0C"/>
                <w:szCs w:val="24"/>
                <w:lang w:eastAsia="zh-CN"/>
              </w:rPr>
            </w:pPr>
            <w:r>
              <w:rPr>
                <w:rFonts w:eastAsia="等线"/>
                <w:color w:val="0C0C0C"/>
                <w:szCs w:val="24"/>
                <w:lang w:eastAsia="zh-CN"/>
              </w:rPr>
              <w:t>565388, BD, USA</w:t>
            </w:r>
          </w:p>
        </w:tc>
      </w:tr>
      <w:tr w14:paraId="729DD5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44918495">
            <w:pPr>
              <w:spacing w:line="360" w:lineRule="auto"/>
              <w:jc w:val="center"/>
              <w:textAlignment w:val="bottom"/>
              <w:rPr>
                <w:rFonts w:eastAsia="等线"/>
                <w:color w:val="0C0C0C"/>
                <w:szCs w:val="24"/>
                <w:lang w:eastAsia="zh-CN"/>
              </w:rPr>
            </w:pPr>
            <w:r>
              <w:rPr>
                <w:rFonts w:eastAsia="等线"/>
                <w:color w:val="0C0C0C"/>
                <w:szCs w:val="24"/>
                <w:lang w:eastAsia="zh-CN"/>
              </w:rPr>
              <w:t>CD45</w:t>
            </w:r>
          </w:p>
        </w:tc>
        <w:tc>
          <w:tcPr>
            <w:tcW w:w="5140" w:type="dxa"/>
            <w:tcBorders>
              <w:top w:val="nil"/>
              <w:left w:val="nil"/>
              <w:bottom w:val="nil"/>
              <w:right w:val="nil"/>
            </w:tcBorders>
            <w:noWrap/>
            <w:vAlign w:val="bottom"/>
          </w:tcPr>
          <w:p w14:paraId="1D983109">
            <w:pPr>
              <w:spacing w:line="360" w:lineRule="auto"/>
              <w:jc w:val="center"/>
              <w:textAlignment w:val="bottom"/>
              <w:rPr>
                <w:rFonts w:eastAsia="等线"/>
                <w:color w:val="0C0C0C"/>
                <w:szCs w:val="24"/>
                <w:lang w:eastAsia="zh-CN"/>
              </w:rPr>
            </w:pPr>
            <w:r>
              <w:rPr>
                <w:rFonts w:eastAsia="等线"/>
                <w:color w:val="0C0C0C"/>
                <w:szCs w:val="24"/>
                <w:lang w:eastAsia="zh-CN"/>
              </w:rPr>
              <w:t>56-9459-42, thermofisher, USA</w:t>
            </w:r>
          </w:p>
        </w:tc>
      </w:tr>
      <w:tr w14:paraId="2302F9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C1EECEA">
            <w:pPr>
              <w:spacing w:line="360" w:lineRule="auto"/>
              <w:jc w:val="center"/>
              <w:textAlignment w:val="bottom"/>
              <w:rPr>
                <w:rFonts w:eastAsia="等线"/>
                <w:color w:val="0C0C0C"/>
                <w:szCs w:val="24"/>
                <w:lang w:eastAsia="zh-CN"/>
              </w:rPr>
            </w:pPr>
            <w:r>
              <w:rPr>
                <w:rFonts w:eastAsia="等线"/>
                <w:color w:val="0C0C0C"/>
                <w:szCs w:val="24"/>
                <w:lang w:eastAsia="zh-CN"/>
              </w:rPr>
              <w:t>CD3</w:t>
            </w:r>
          </w:p>
        </w:tc>
        <w:tc>
          <w:tcPr>
            <w:tcW w:w="5140" w:type="dxa"/>
            <w:tcBorders>
              <w:top w:val="nil"/>
              <w:left w:val="nil"/>
              <w:bottom w:val="nil"/>
              <w:right w:val="nil"/>
            </w:tcBorders>
            <w:noWrap/>
            <w:vAlign w:val="bottom"/>
          </w:tcPr>
          <w:p w14:paraId="39739AB6">
            <w:pPr>
              <w:spacing w:line="360" w:lineRule="auto"/>
              <w:jc w:val="center"/>
              <w:textAlignment w:val="bottom"/>
              <w:rPr>
                <w:rFonts w:eastAsia="等线"/>
                <w:color w:val="0C0C0C"/>
                <w:szCs w:val="24"/>
                <w:lang w:eastAsia="zh-CN"/>
              </w:rPr>
            </w:pPr>
            <w:r>
              <w:rPr>
                <w:rFonts w:eastAsia="等线"/>
                <w:color w:val="0C0C0C"/>
                <w:szCs w:val="24"/>
                <w:lang w:eastAsia="zh-CN"/>
              </w:rPr>
              <w:t>100233, biolegend, USA</w:t>
            </w:r>
          </w:p>
        </w:tc>
      </w:tr>
      <w:tr w14:paraId="7DB88B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4428BFF7">
            <w:pPr>
              <w:spacing w:line="360" w:lineRule="auto"/>
              <w:jc w:val="center"/>
              <w:textAlignment w:val="bottom"/>
              <w:rPr>
                <w:rFonts w:eastAsia="等线"/>
                <w:color w:val="0C0C0C"/>
                <w:szCs w:val="24"/>
                <w:lang w:eastAsia="zh-CN"/>
              </w:rPr>
            </w:pPr>
            <w:r>
              <w:rPr>
                <w:rFonts w:eastAsia="等线"/>
                <w:color w:val="0C0C0C"/>
                <w:szCs w:val="24"/>
                <w:lang w:eastAsia="zh-CN"/>
              </w:rPr>
              <w:t>CD8a</w:t>
            </w:r>
          </w:p>
        </w:tc>
        <w:tc>
          <w:tcPr>
            <w:tcW w:w="5140" w:type="dxa"/>
            <w:tcBorders>
              <w:top w:val="nil"/>
              <w:left w:val="nil"/>
              <w:bottom w:val="nil"/>
              <w:right w:val="nil"/>
            </w:tcBorders>
            <w:noWrap/>
            <w:vAlign w:val="bottom"/>
          </w:tcPr>
          <w:p w14:paraId="6A5944FD">
            <w:pPr>
              <w:spacing w:line="360" w:lineRule="auto"/>
              <w:jc w:val="center"/>
              <w:textAlignment w:val="bottom"/>
              <w:rPr>
                <w:rFonts w:eastAsia="等线"/>
                <w:color w:val="0C0C0C"/>
                <w:szCs w:val="24"/>
                <w:lang w:eastAsia="zh-CN"/>
              </w:rPr>
            </w:pPr>
            <w:r>
              <w:rPr>
                <w:rFonts w:eastAsia="等线"/>
                <w:color w:val="0C0C0C"/>
                <w:szCs w:val="24"/>
                <w:lang w:eastAsia="zh-CN"/>
              </w:rPr>
              <w:t>11-0081-82, thermofisher, USA</w:t>
            </w:r>
          </w:p>
        </w:tc>
      </w:tr>
      <w:tr w14:paraId="6E7E66A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2BBC710F">
            <w:pPr>
              <w:spacing w:line="360" w:lineRule="auto"/>
              <w:jc w:val="center"/>
              <w:textAlignment w:val="bottom"/>
              <w:rPr>
                <w:rFonts w:eastAsia="等线"/>
                <w:color w:val="0C0C0C"/>
                <w:szCs w:val="24"/>
                <w:lang w:eastAsia="zh-CN"/>
              </w:rPr>
            </w:pPr>
            <w:r>
              <w:rPr>
                <w:rFonts w:eastAsia="等线"/>
                <w:color w:val="0C0C0C"/>
                <w:szCs w:val="24"/>
                <w:lang w:eastAsia="zh-CN"/>
              </w:rPr>
              <w:t>CD4</w:t>
            </w:r>
          </w:p>
        </w:tc>
        <w:tc>
          <w:tcPr>
            <w:tcW w:w="5140" w:type="dxa"/>
            <w:tcBorders>
              <w:top w:val="nil"/>
              <w:left w:val="nil"/>
              <w:bottom w:val="nil"/>
              <w:right w:val="nil"/>
            </w:tcBorders>
            <w:noWrap/>
            <w:vAlign w:val="bottom"/>
          </w:tcPr>
          <w:p w14:paraId="774A0A69">
            <w:pPr>
              <w:spacing w:line="360" w:lineRule="auto"/>
              <w:jc w:val="center"/>
              <w:textAlignment w:val="bottom"/>
              <w:rPr>
                <w:rFonts w:eastAsia="等线"/>
                <w:color w:val="0C0C0C"/>
                <w:szCs w:val="24"/>
                <w:lang w:eastAsia="zh-CN"/>
              </w:rPr>
            </w:pPr>
            <w:r>
              <w:rPr>
                <w:rFonts w:eastAsia="等线"/>
                <w:color w:val="0C0C0C"/>
                <w:szCs w:val="24"/>
                <w:lang w:eastAsia="zh-CN"/>
              </w:rPr>
              <w:t>17-0042-82, thermofisher, USA</w:t>
            </w:r>
          </w:p>
        </w:tc>
      </w:tr>
      <w:tr w14:paraId="725C157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02355FCD">
            <w:pPr>
              <w:spacing w:line="360" w:lineRule="auto"/>
              <w:jc w:val="center"/>
              <w:textAlignment w:val="bottom"/>
              <w:rPr>
                <w:rFonts w:eastAsia="等线"/>
                <w:color w:val="0C0C0C"/>
                <w:szCs w:val="24"/>
                <w:lang w:eastAsia="zh-CN"/>
              </w:rPr>
            </w:pPr>
            <w:r>
              <w:rPr>
                <w:rFonts w:eastAsia="等线"/>
                <w:color w:val="0C0C0C"/>
                <w:szCs w:val="24"/>
                <w:lang w:eastAsia="zh-CN"/>
              </w:rPr>
              <w:t>CTLA4</w:t>
            </w:r>
          </w:p>
        </w:tc>
        <w:tc>
          <w:tcPr>
            <w:tcW w:w="5140" w:type="dxa"/>
            <w:tcBorders>
              <w:top w:val="nil"/>
              <w:left w:val="nil"/>
              <w:bottom w:val="nil"/>
              <w:right w:val="nil"/>
            </w:tcBorders>
            <w:noWrap/>
            <w:vAlign w:val="bottom"/>
          </w:tcPr>
          <w:p w14:paraId="54A8FF6F">
            <w:pPr>
              <w:spacing w:line="360" w:lineRule="auto"/>
              <w:jc w:val="center"/>
              <w:textAlignment w:val="bottom"/>
              <w:rPr>
                <w:rFonts w:eastAsia="等线"/>
                <w:color w:val="0C0C0C"/>
                <w:szCs w:val="24"/>
                <w:lang w:eastAsia="zh-CN"/>
              </w:rPr>
            </w:pPr>
            <w:r>
              <w:rPr>
                <w:rFonts w:eastAsia="等线"/>
                <w:color w:val="0C0C0C"/>
                <w:szCs w:val="24"/>
                <w:lang w:eastAsia="zh-CN"/>
              </w:rPr>
              <w:t>12-1522-82, thermofisher, USA</w:t>
            </w:r>
          </w:p>
        </w:tc>
      </w:tr>
      <w:tr w14:paraId="46ED39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51B1A79D">
            <w:pPr>
              <w:spacing w:line="360" w:lineRule="auto"/>
              <w:jc w:val="center"/>
              <w:textAlignment w:val="bottom"/>
              <w:rPr>
                <w:rFonts w:eastAsia="等线"/>
                <w:color w:val="0C0C0C"/>
                <w:szCs w:val="24"/>
                <w:lang w:eastAsia="zh-CN"/>
              </w:rPr>
            </w:pPr>
            <w:r>
              <w:rPr>
                <w:rFonts w:eastAsia="等线"/>
                <w:color w:val="0C0C0C"/>
                <w:szCs w:val="24"/>
                <w:lang w:eastAsia="zh-CN"/>
              </w:rPr>
              <w:t>PD-1</w:t>
            </w:r>
          </w:p>
        </w:tc>
        <w:tc>
          <w:tcPr>
            <w:tcW w:w="5140" w:type="dxa"/>
            <w:tcBorders>
              <w:top w:val="nil"/>
              <w:left w:val="nil"/>
              <w:bottom w:val="nil"/>
              <w:right w:val="nil"/>
            </w:tcBorders>
            <w:noWrap/>
            <w:vAlign w:val="bottom"/>
          </w:tcPr>
          <w:p w14:paraId="27782341">
            <w:pPr>
              <w:spacing w:line="360" w:lineRule="auto"/>
              <w:jc w:val="center"/>
              <w:textAlignment w:val="bottom"/>
              <w:rPr>
                <w:rFonts w:eastAsia="等线"/>
                <w:color w:val="0C0C0C"/>
                <w:szCs w:val="24"/>
                <w:lang w:eastAsia="zh-CN"/>
              </w:rPr>
            </w:pPr>
            <w:r>
              <w:rPr>
                <w:rFonts w:eastAsia="等线"/>
                <w:color w:val="0C0C0C"/>
                <w:szCs w:val="24"/>
                <w:lang w:eastAsia="zh-CN"/>
              </w:rPr>
              <w:t>15-2799-42, thermofisher, USA</w:t>
            </w:r>
          </w:p>
        </w:tc>
      </w:tr>
      <w:tr w14:paraId="26239B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15CB4DA3">
            <w:pPr>
              <w:spacing w:line="360" w:lineRule="auto"/>
              <w:jc w:val="center"/>
              <w:textAlignment w:val="bottom"/>
              <w:rPr>
                <w:rFonts w:eastAsia="等线"/>
                <w:color w:val="0C0C0C"/>
                <w:szCs w:val="24"/>
                <w:lang w:eastAsia="zh-CN"/>
              </w:rPr>
            </w:pPr>
            <w:r>
              <w:rPr>
                <w:rFonts w:eastAsia="等线"/>
                <w:color w:val="0C0C0C"/>
                <w:szCs w:val="24"/>
                <w:lang w:eastAsia="zh-CN"/>
              </w:rPr>
              <w:t>TOX</w:t>
            </w:r>
          </w:p>
        </w:tc>
        <w:tc>
          <w:tcPr>
            <w:tcW w:w="5140" w:type="dxa"/>
            <w:tcBorders>
              <w:top w:val="nil"/>
              <w:left w:val="nil"/>
              <w:bottom w:val="nil"/>
              <w:right w:val="nil"/>
            </w:tcBorders>
            <w:noWrap/>
            <w:vAlign w:val="bottom"/>
          </w:tcPr>
          <w:p w14:paraId="336E363D">
            <w:pPr>
              <w:spacing w:line="360" w:lineRule="auto"/>
              <w:jc w:val="center"/>
              <w:textAlignment w:val="bottom"/>
              <w:rPr>
                <w:rFonts w:eastAsia="等线"/>
                <w:color w:val="0C0C0C"/>
                <w:szCs w:val="24"/>
                <w:lang w:eastAsia="zh-CN"/>
              </w:rPr>
            </w:pPr>
            <w:r>
              <w:rPr>
                <w:rFonts w:eastAsia="等线"/>
                <w:color w:val="0C0C0C"/>
                <w:szCs w:val="24"/>
                <w:lang w:eastAsia="zh-CN"/>
              </w:rPr>
              <w:t>12-6502-82, thermofisher, USA</w:t>
            </w:r>
          </w:p>
        </w:tc>
      </w:tr>
      <w:tr w14:paraId="6D8E06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3F18FE31">
            <w:pPr>
              <w:spacing w:line="360" w:lineRule="auto"/>
              <w:jc w:val="center"/>
              <w:textAlignment w:val="bottom"/>
              <w:rPr>
                <w:rFonts w:eastAsia="等线"/>
                <w:color w:val="0C0C0C"/>
                <w:szCs w:val="24"/>
                <w:lang w:eastAsia="zh-CN"/>
              </w:rPr>
            </w:pPr>
            <w:r>
              <w:rPr>
                <w:rFonts w:eastAsia="等线"/>
                <w:color w:val="0C0C0C"/>
                <w:szCs w:val="24"/>
                <w:lang w:eastAsia="zh-CN"/>
              </w:rPr>
              <w:t>IFN-</w:t>
            </w:r>
            <w:r>
              <w:rPr>
                <w:rFonts w:ascii="等线" w:hAnsi="等线" w:eastAsia="等线"/>
                <w:color w:val="0C0C0C"/>
                <w:szCs w:val="24"/>
                <w:lang w:eastAsia="zh-CN"/>
              </w:rPr>
              <w:t>γ</w:t>
            </w:r>
          </w:p>
        </w:tc>
        <w:tc>
          <w:tcPr>
            <w:tcW w:w="5140" w:type="dxa"/>
            <w:tcBorders>
              <w:top w:val="nil"/>
              <w:left w:val="nil"/>
              <w:bottom w:val="nil"/>
              <w:right w:val="nil"/>
            </w:tcBorders>
            <w:noWrap/>
            <w:vAlign w:val="bottom"/>
          </w:tcPr>
          <w:p w14:paraId="3CDC6150">
            <w:pPr>
              <w:spacing w:line="360" w:lineRule="auto"/>
              <w:jc w:val="center"/>
              <w:textAlignment w:val="bottom"/>
              <w:rPr>
                <w:rFonts w:eastAsia="等线"/>
                <w:color w:val="0C0C0C"/>
                <w:szCs w:val="24"/>
                <w:lang w:eastAsia="zh-CN"/>
              </w:rPr>
            </w:pPr>
            <w:r>
              <w:rPr>
                <w:rFonts w:eastAsia="等线"/>
                <w:color w:val="0C0C0C"/>
                <w:szCs w:val="24"/>
                <w:lang w:eastAsia="zh-CN"/>
              </w:rPr>
              <w:t>12-7311-82, thermofisher, USA</w:t>
            </w:r>
          </w:p>
        </w:tc>
      </w:tr>
      <w:tr w14:paraId="73BD23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CA74D38">
            <w:pPr>
              <w:spacing w:line="360" w:lineRule="auto"/>
              <w:jc w:val="center"/>
              <w:textAlignment w:val="bottom"/>
              <w:rPr>
                <w:rFonts w:eastAsia="等线"/>
                <w:color w:val="0C0C0C"/>
                <w:szCs w:val="24"/>
                <w:lang w:eastAsia="zh-CN"/>
              </w:rPr>
            </w:pPr>
            <w:r>
              <w:rPr>
                <w:rFonts w:eastAsia="等线"/>
                <w:color w:val="0C0C0C"/>
                <w:szCs w:val="24"/>
                <w:lang w:eastAsia="zh-CN"/>
              </w:rPr>
              <w:t>CD11b</w:t>
            </w:r>
          </w:p>
        </w:tc>
        <w:tc>
          <w:tcPr>
            <w:tcW w:w="5140" w:type="dxa"/>
            <w:tcBorders>
              <w:top w:val="nil"/>
              <w:left w:val="nil"/>
              <w:bottom w:val="nil"/>
              <w:right w:val="nil"/>
            </w:tcBorders>
            <w:noWrap/>
            <w:vAlign w:val="bottom"/>
          </w:tcPr>
          <w:p w14:paraId="394A5574">
            <w:pPr>
              <w:spacing w:line="360" w:lineRule="auto"/>
              <w:jc w:val="center"/>
              <w:textAlignment w:val="bottom"/>
              <w:rPr>
                <w:rFonts w:eastAsia="等线"/>
                <w:color w:val="0C0C0C"/>
                <w:szCs w:val="24"/>
                <w:lang w:eastAsia="zh-CN"/>
              </w:rPr>
            </w:pPr>
            <w:r>
              <w:rPr>
                <w:rFonts w:eastAsia="等线"/>
                <w:color w:val="0C0C0C"/>
                <w:szCs w:val="24"/>
                <w:lang w:eastAsia="zh-CN"/>
              </w:rPr>
              <w:t>11-0112-82, thermofisher, USA</w:t>
            </w:r>
          </w:p>
        </w:tc>
      </w:tr>
      <w:tr w14:paraId="20A536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3A0A8F7A">
            <w:pPr>
              <w:spacing w:line="360" w:lineRule="auto"/>
              <w:jc w:val="center"/>
              <w:textAlignment w:val="bottom"/>
              <w:rPr>
                <w:rFonts w:eastAsia="等线"/>
                <w:color w:val="0C0C0C"/>
                <w:szCs w:val="24"/>
                <w:lang w:eastAsia="zh-CN"/>
              </w:rPr>
            </w:pPr>
            <w:r>
              <w:rPr>
                <w:rFonts w:eastAsia="等线"/>
                <w:color w:val="0C0C0C"/>
                <w:szCs w:val="24"/>
                <w:lang w:eastAsia="zh-CN"/>
              </w:rPr>
              <w:t>CD11c</w:t>
            </w:r>
          </w:p>
        </w:tc>
        <w:tc>
          <w:tcPr>
            <w:tcW w:w="5140" w:type="dxa"/>
            <w:tcBorders>
              <w:top w:val="nil"/>
              <w:left w:val="nil"/>
              <w:bottom w:val="nil"/>
              <w:right w:val="nil"/>
            </w:tcBorders>
            <w:noWrap/>
            <w:vAlign w:val="bottom"/>
          </w:tcPr>
          <w:p w14:paraId="422F037A">
            <w:pPr>
              <w:spacing w:line="360" w:lineRule="auto"/>
              <w:jc w:val="center"/>
              <w:textAlignment w:val="bottom"/>
              <w:rPr>
                <w:rFonts w:eastAsia="等线"/>
                <w:color w:val="0C0C0C"/>
                <w:szCs w:val="24"/>
                <w:lang w:eastAsia="zh-CN"/>
              </w:rPr>
            </w:pPr>
            <w:r>
              <w:rPr>
                <w:rFonts w:eastAsia="等线"/>
                <w:color w:val="0C0C0C"/>
                <w:szCs w:val="24"/>
                <w:lang w:eastAsia="zh-CN"/>
              </w:rPr>
              <w:t>35-0114-82, thermofisher, USA</w:t>
            </w:r>
          </w:p>
        </w:tc>
      </w:tr>
      <w:tr w14:paraId="0FA189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nil"/>
              <w:right w:val="nil"/>
            </w:tcBorders>
            <w:noWrap/>
            <w:vAlign w:val="bottom"/>
          </w:tcPr>
          <w:p w14:paraId="7D18D0DE">
            <w:pPr>
              <w:spacing w:line="360" w:lineRule="auto"/>
              <w:jc w:val="center"/>
              <w:textAlignment w:val="bottom"/>
              <w:rPr>
                <w:rFonts w:eastAsia="等线"/>
                <w:color w:val="0C0C0C"/>
                <w:szCs w:val="24"/>
                <w:lang w:eastAsia="zh-CN"/>
              </w:rPr>
            </w:pPr>
            <w:r>
              <w:rPr>
                <w:rFonts w:eastAsia="等线"/>
                <w:color w:val="0C0C0C"/>
                <w:szCs w:val="24"/>
                <w:lang w:eastAsia="zh-CN"/>
              </w:rPr>
              <w:t>MHC-II</w:t>
            </w:r>
          </w:p>
        </w:tc>
        <w:tc>
          <w:tcPr>
            <w:tcW w:w="5140" w:type="dxa"/>
            <w:tcBorders>
              <w:top w:val="nil"/>
              <w:left w:val="nil"/>
              <w:bottom w:val="nil"/>
              <w:right w:val="nil"/>
            </w:tcBorders>
            <w:noWrap/>
            <w:vAlign w:val="bottom"/>
          </w:tcPr>
          <w:p w14:paraId="3C11BD8C">
            <w:pPr>
              <w:spacing w:line="360" w:lineRule="auto"/>
              <w:jc w:val="center"/>
              <w:textAlignment w:val="bottom"/>
              <w:rPr>
                <w:rFonts w:eastAsia="等线"/>
                <w:color w:val="0C0C0C"/>
                <w:szCs w:val="24"/>
                <w:lang w:eastAsia="zh-CN"/>
              </w:rPr>
            </w:pPr>
            <w:r>
              <w:rPr>
                <w:rFonts w:eastAsia="等线"/>
                <w:color w:val="0C0C0C"/>
                <w:szCs w:val="24"/>
                <w:lang w:eastAsia="zh-CN"/>
              </w:rPr>
              <w:t>MA5-28494, thermofisher, USA</w:t>
            </w:r>
          </w:p>
        </w:tc>
      </w:tr>
      <w:tr w14:paraId="426126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7028" w:type="dxa"/>
            <w:tcBorders>
              <w:top w:val="nil"/>
              <w:left w:val="nil"/>
              <w:bottom w:val="single" w:color="auto" w:sz="4" w:space="0"/>
              <w:right w:val="nil"/>
            </w:tcBorders>
            <w:noWrap/>
            <w:vAlign w:val="bottom"/>
          </w:tcPr>
          <w:p w14:paraId="4314FA0B">
            <w:pPr>
              <w:spacing w:line="360" w:lineRule="auto"/>
              <w:jc w:val="center"/>
              <w:textAlignment w:val="bottom"/>
              <w:rPr>
                <w:rFonts w:eastAsia="等线"/>
                <w:color w:val="0C0C0C"/>
                <w:szCs w:val="24"/>
                <w:lang w:eastAsia="zh-CN"/>
              </w:rPr>
            </w:pPr>
            <w:r>
              <w:rPr>
                <w:rFonts w:eastAsia="等线"/>
                <w:color w:val="0C0C0C"/>
                <w:szCs w:val="24"/>
                <w:lang w:eastAsia="zh-CN"/>
              </w:rPr>
              <w:t>PD-L1</w:t>
            </w:r>
          </w:p>
        </w:tc>
        <w:tc>
          <w:tcPr>
            <w:tcW w:w="5140" w:type="dxa"/>
            <w:tcBorders>
              <w:top w:val="nil"/>
              <w:left w:val="nil"/>
              <w:bottom w:val="single" w:color="auto" w:sz="4" w:space="0"/>
              <w:right w:val="nil"/>
            </w:tcBorders>
            <w:noWrap/>
            <w:vAlign w:val="bottom"/>
          </w:tcPr>
          <w:p w14:paraId="16C944CD">
            <w:pPr>
              <w:spacing w:line="360" w:lineRule="auto"/>
              <w:jc w:val="center"/>
              <w:textAlignment w:val="bottom"/>
              <w:rPr>
                <w:rFonts w:eastAsia="等线"/>
                <w:color w:val="0C0C0C"/>
                <w:szCs w:val="24"/>
                <w:lang w:eastAsia="zh-CN"/>
              </w:rPr>
            </w:pPr>
            <w:r>
              <w:rPr>
                <w:rFonts w:eastAsia="等线"/>
                <w:color w:val="0C0C0C"/>
                <w:szCs w:val="24"/>
                <w:lang w:eastAsia="zh-CN"/>
              </w:rPr>
              <w:t>25-5982-82, thermofisher, USA</w:t>
            </w:r>
          </w:p>
        </w:tc>
      </w:tr>
    </w:tbl>
    <w:p w14:paraId="10BF7DE9">
      <w:pPr>
        <w:pStyle w:val="104"/>
      </w:pPr>
    </w:p>
    <w:sectPr>
      <w:headerReference r:id="rId3" w:type="default"/>
      <w:footerReference r:id="rId4" w:type="default"/>
      <w:pgSz w:w="12240" w:h="15840"/>
      <w:pgMar w:top="1440" w:right="1440" w:bottom="1440" w:left="1440" w:header="720" w:footer="720" w:gutter="0"/>
      <w:pgBorders>
        <w:top w:val="none" w:sz="0" w:space="0"/>
        <w:left w:val="none" w:sz="0" w:space="0"/>
        <w:bottom w:val="none" w:sz="0" w:space="0"/>
        <w:right w:val="none" w:sz="0" w:space="0"/>
      </w:pgBorders>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8EA3E">
    <w:pPr>
      <w:pStyle w:val="55"/>
      <w:jc w:val="right"/>
    </w:pPr>
    <w:r>
      <w:fldChar w:fldCharType="begin"/>
    </w:r>
    <w:r>
      <w:instrText xml:space="preserve"> PAGE   \* MERGEFORMAT </w:instrText>
    </w:r>
    <w:r>
      <w:fldChar w:fldCharType="separate"/>
    </w:r>
    <w:r>
      <w:t>3</w:t>
    </w:r>
    <w:r>
      <w:fldChar w:fldCharType="end"/>
    </w:r>
  </w:p>
  <w:p w14:paraId="211F3547">
    <w:pPr>
      <w:pStyle w:val="5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01F95">
    <w:pPr>
      <w:jc w:val="right"/>
      <w:rPr>
        <w:sz w:val="20"/>
      </w:rPr>
    </w:pPr>
  </w:p>
  <w:p w14:paraId="3CD866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1800"/>
        </w:tabs>
        <w:ind w:left="1800" w:hanging="360"/>
      </w:pPr>
    </w:lvl>
  </w:abstractNum>
  <w:abstractNum w:abstractNumId="1">
    <w:nsid w:val="FFFFFF7D"/>
    <w:multiLevelType w:val="singleLevel"/>
    <w:tmpl w:val="FFFFFF7D"/>
    <w:lvl w:ilvl="0" w:tentative="0">
      <w:start w:val="1"/>
      <w:numFmt w:val="decimal"/>
      <w:pStyle w:val="47"/>
      <w:lvlText w:val="%1."/>
      <w:lvlJc w:val="left"/>
      <w:pPr>
        <w:tabs>
          <w:tab w:val="left" w:pos="1440"/>
        </w:tabs>
        <w:ind w:left="1440" w:hanging="360"/>
      </w:pPr>
    </w:lvl>
  </w:abstractNum>
  <w:abstractNum w:abstractNumId="2">
    <w:nsid w:val="FFFFFF7E"/>
    <w:multiLevelType w:val="singleLevel"/>
    <w:tmpl w:val="FFFFFF7E"/>
    <w:lvl w:ilvl="0" w:tentative="0">
      <w:start w:val="1"/>
      <w:numFmt w:val="decimal"/>
      <w:pStyle w:val="36"/>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0"/>
    <w:multiLevelType w:val="singleLevel"/>
    <w:tmpl w:val="FFFFFF80"/>
    <w:lvl w:ilvl="0" w:tentative="0">
      <w:start w:val="1"/>
      <w:numFmt w:val="bullet"/>
      <w:pStyle w:val="46"/>
      <w:lvlText w:val=""/>
      <w:lvlJc w:val="left"/>
      <w:pPr>
        <w:tabs>
          <w:tab w:val="left" w:pos="1800"/>
        </w:tabs>
        <w:ind w:left="1800" w:hanging="360"/>
      </w:pPr>
      <w:rPr>
        <w:rFonts w:hint="default" w:ascii="Symbol" w:hAnsi="Symbol"/>
      </w:rPr>
    </w:lvl>
  </w:abstractNum>
  <w:abstractNum w:abstractNumId="5">
    <w:nsid w:val="FFFFFF81"/>
    <w:multiLevelType w:val="singleLevel"/>
    <w:tmpl w:val="FFFFFF81"/>
    <w:lvl w:ilvl="0" w:tentative="0">
      <w:start w:val="1"/>
      <w:numFmt w:val="bullet"/>
      <w:pStyle w:val="17"/>
      <w:lvlText w:val=""/>
      <w:lvlJc w:val="left"/>
      <w:pPr>
        <w:tabs>
          <w:tab w:val="left" w:pos="1440"/>
        </w:tabs>
        <w:ind w:left="1440" w:hanging="360"/>
      </w:pPr>
      <w:rPr>
        <w:rFonts w:hint="default" w:ascii="Symbol" w:hAnsi="Symbol"/>
      </w:rPr>
    </w:lvl>
  </w:abstractNum>
  <w:abstractNum w:abstractNumId="6">
    <w:nsid w:val="FFFFFF82"/>
    <w:multiLevelType w:val="singleLevel"/>
    <w:tmpl w:val="FFFFFF82"/>
    <w:lvl w:ilvl="0" w:tentative="0">
      <w:start w:val="1"/>
      <w:numFmt w:val="bullet"/>
      <w:pStyle w:val="33"/>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40"/>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abstractNum w:abstractNumId="10">
    <w:nsid w:val="0B637CAE"/>
    <w:multiLevelType w:val="multilevel"/>
    <w:tmpl w:val="0B637CAE"/>
    <w:lvl w:ilvl="0" w:tentative="0">
      <w:start w:val="1"/>
      <w:numFmt w:val="lowerLetter"/>
      <w:suff w:val="space"/>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11854E7A"/>
    <w:multiLevelType w:val="multilevel"/>
    <w:tmpl w:val="11854E7A"/>
    <w:lvl w:ilvl="0" w:tentative="0">
      <w:start w:val="1"/>
      <w:numFmt w:val="lowerLetter"/>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14F24537"/>
    <w:multiLevelType w:val="multilevel"/>
    <w:tmpl w:val="14F24537"/>
    <w:lvl w:ilvl="0" w:tentative="0">
      <w:start w:val="1"/>
      <w:numFmt w:val="lowerLetter"/>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AA40B66"/>
    <w:multiLevelType w:val="multilevel"/>
    <w:tmpl w:val="5AA40B66"/>
    <w:lvl w:ilvl="0" w:tentative="0">
      <w:start w:val="1"/>
      <w:numFmt w:val="lowerLetter"/>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nforcement="0"/>
  <w:defaultTabStop w:val="720"/>
  <w:characterSpacingControl w:val="doNotCompress"/>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15F74"/>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7161E"/>
    <w:rsid w:val="001A1BDE"/>
    <w:rsid w:val="001F0876"/>
    <w:rsid w:val="001F167C"/>
    <w:rsid w:val="001F5E91"/>
    <w:rsid w:val="002077B9"/>
    <w:rsid w:val="00262D72"/>
    <w:rsid w:val="00294FBB"/>
    <w:rsid w:val="002B3205"/>
    <w:rsid w:val="002C030F"/>
    <w:rsid w:val="00331D75"/>
    <w:rsid w:val="003338E1"/>
    <w:rsid w:val="00355362"/>
    <w:rsid w:val="00363E44"/>
    <w:rsid w:val="00395E86"/>
    <w:rsid w:val="003A2FD8"/>
    <w:rsid w:val="003B40E6"/>
    <w:rsid w:val="003E74FB"/>
    <w:rsid w:val="003F6E14"/>
    <w:rsid w:val="00405336"/>
    <w:rsid w:val="004571D5"/>
    <w:rsid w:val="00461D81"/>
    <w:rsid w:val="0046356B"/>
    <w:rsid w:val="00477182"/>
    <w:rsid w:val="004779CB"/>
    <w:rsid w:val="00486D37"/>
    <w:rsid w:val="004E42D8"/>
    <w:rsid w:val="004E7BA2"/>
    <w:rsid w:val="004F7EDF"/>
    <w:rsid w:val="005001AC"/>
    <w:rsid w:val="00516FDC"/>
    <w:rsid w:val="00527D71"/>
    <w:rsid w:val="005520A8"/>
    <w:rsid w:val="005607DD"/>
    <w:rsid w:val="00564367"/>
    <w:rsid w:val="005A558C"/>
    <w:rsid w:val="005E28F8"/>
    <w:rsid w:val="005E6513"/>
    <w:rsid w:val="005F35D5"/>
    <w:rsid w:val="006124C1"/>
    <w:rsid w:val="00651114"/>
    <w:rsid w:val="00664560"/>
    <w:rsid w:val="00670299"/>
    <w:rsid w:val="00691985"/>
    <w:rsid w:val="006A1B64"/>
    <w:rsid w:val="007108F5"/>
    <w:rsid w:val="00713E5B"/>
    <w:rsid w:val="007402FC"/>
    <w:rsid w:val="007411A1"/>
    <w:rsid w:val="00784EAF"/>
    <w:rsid w:val="00793072"/>
    <w:rsid w:val="007A518F"/>
    <w:rsid w:val="00807D35"/>
    <w:rsid w:val="008218C4"/>
    <w:rsid w:val="00821F38"/>
    <w:rsid w:val="00867A98"/>
    <w:rsid w:val="00870867"/>
    <w:rsid w:val="00872BBF"/>
    <w:rsid w:val="00885C9B"/>
    <w:rsid w:val="008D5D2A"/>
    <w:rsid w:val="00900728"/>
    <w:rsid w:val="00914B63"/>
    <w:rsid w:val="0093218F"/>
    <w:rsid w:val="009354F3"/>
    <w:rsid w:val="009447DC"/>
    <w:rsid w:val="00961BA5"/>
    <w:rsid w:val="009743A9"/>
    <w:rsid w:val="00993CC0"/>
    <w:rsid w:val="009A5287"/>
    <w:rsid w:val="009B2AC5"/>
    <w:rsid w:val="009B7984"/>
    <w:rsid w:val="009F4BED"/>
    <w:rsid w:val="009F7D93"/>
    <w:rsid w:val="00A3403B"/>
    <w:rsid w:val="00A46877"/>
    <w:rsid w:val="00A51A12"/>
    <w:rsid w:val="00A627D4"/>
    <w:rsid w:val="00A74DA2"/>
    <w:rsid w:val="00A804B5"/>
    <w:rsid w:val="00AB399E"/>
    <w:rsid w:val="00AC59D0"/>
    <w:rsid w:val="00AD16B1"/>
    <w:rsid w:val="00AD499C"/>
    <w:rsid w:val="00B36869"/>
    <w:rsid w:val="00B43B31"/>
    <w:rsid w:val="00B47CFA"/>
    <w:rsid w:val="00B57F00"/>
    <w:rsid w:val="00B77B2A"/>
    <w:rsid w:val="00B82C22"/>
    <w:rsid w:val="00B844C3"/>
    <w:rsid w:val="00B93DBA"/>
    <w:rsid w:val="00B9440A"/>
    <w:rsid w:val="00BB2D2A"/>
    <w:rsid w:val="00BC3E04"/>
    <w:rsid w:val="00BD58CF"/>
    <w:rsid w:val="00BF0C92"/>
    <w:rsid w:val="00C04CC1"/>
    <w:rsid w:val="00C4096C"/>
    <w:rsid w:val="00C50C6D"/>
    <w:rsid w:val="00C600D9"/>
    <w:rsid w:val="00C92B22"/>
    <w:rsid w:val="00CC1384"/>
    <w:rsid w:val="00CC743F"/>
    <w:rsid w:val="00CD3720"/>
    <w:rsid w:val="00CF1848"/>
    <w:rsid w:val="00CF5C2F"/>
    <w:rsid w:val="00D04BCF"/>
    <w:rsid w:val="00D143D9"/>
    <w:rsid w:val="00D5511B"/>
    <w:rsid w:val="00D766F1"/>
    <w:rsid w:val="00DD2117"/>
    <w:rsid w:val="00E257C8"/>
    <w:rsid w:val="00E329EB"/>
    <w:rsid w:val="00E41512"/>
    <w:rsid w:val="00E4519A"/>
    <w:rsid w:val="00E853D5"/>
    <w:rsid w:val="00E9773B"/>
    <w:rsid w:val="00EA6F42"/>
    <w:rsid w:val="00EC13A3"/>
    <w:rsid w:val="00EC7C85"/>
    <w:rsid w:val="00ED1875"/>
    <w:rsid w:val="00F125EE"/>
    <w:rsid w:val="00F12E98"/>
    <w:rsid w:val="00F22029"/>
    <w:rsid w:val="00F515FB"/>
    <w:rsid w:val="00F630EA"/>
    <w:rsid w:val="00F66F12"/>
    <w:rsid w:val="00F7007E"/>
    <w:rsid w:val="00F73193"/>
    <w:rsid w:val="00F74F95"/>
    <w:rsid w:val="00F80705"/>
    <w:rsid w:val="00FA1481"/>
    <w:rsid w:val="00FF04E3"/>
    <w:rsid w:val="29355251"/>
    <w:rsid w:val="320900B1"/>
    <w:rsid w:val="381A5CA5"/>
    <w:rsid w:val="3A2B63D4"/>
    <w:rsid w:val="439416B6"/>
    <w:rsid w:val="51CB4DD4"/>
    <w:rsid w:val="52880638"/>
    <w:rsid w:val="606367DF"/>
    <w:rsid w:val="627B3F2E"/>
    <w:rsid w:val="6A965E30"/>
    <w:rsid w:val="6C224F66"/>
    <w:rsid w:val="74244C1C"/>
    <w:rsid w:val="766C7DFF"/>
    <w:rsid w:val="7CC92247"/>
    <w:rsid w:val="7D4A50C4"/>
    <w:rsid w:val="7D711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name="Normal Indent"/>
    <w:lsdException w:unhideWhenUsed="0" w:uiPriority="0" w:name="footnote text"/>
    <w:lsdException w:unhideWhenUsed="0" w:uiPriority="0" w:name="annotation text"/>
    <w:lsdException w:unhideWhenUsed="0" w:uiPriority="0" w:name="header"/>
    <w:lsdException w:unhideWhenUsed="0" w:uiPriority="0" w:name="footer"/>
    <w:lsdException w:unhideWhenUsed="0" w:uiPriority="0" w:name="index heading"/>
    <w:lsdException w:qFormat="1" w:unhideWhenUsed="0" w:uiPriority="0" w:name="caption"/>
    <w:lsdException w:qFormat="1" w:unhideWhenUsed="0" w:uiPriority="0" w:name="table of figures"/>
    <w:lsdException w:unhideWhenUsed="0" w:uiPriority="0" w:name="envelope address"/>
    <w:lsdException w:unhideWhenUsed="0" w:uiPriority="0" w:name="envelope return"/>
    <w:lsdException w:uiPriority="0" w:name="footnote reference"/>
    <w:lsdException w:qFormat="1" w:uiPriority="0" w:name="annotation reference"/>
    <w:lsdException w:uiPriority="0" w:name="line number"/>
    <w:lsdException w:qFormat="1" w:unhideWhenUsed="0" w:uiPriority="0" w:name="page number"/>
    <w:lsdException w:uiPriority="0" w:name="endnote reference"/>
    <w:lsdException w:unhideWhenUsed="0" w:uiPriority="0" w:name="endnote text"/>
    <w:lsdException w:qFormat="1" w:unhideWhenUsed="0" w:uiPriority="0" w:name="table of authorities"/>
    <w:lsdException w:unhideWhenUsed="0" w:uiPriority="0" w:name="macro"/>
    <w:lsdException w:qFormat="1" w:unhideWhenUsed="0" w:uiPriority="0" w:name="toa heading"/>
    <w:lsdException w:unhideWhenUsed="0" w:uiPriority="0" w:name="List"/>
    <w:lsdException w:unhideWhenUsed="0" w:uiPriority="0" w:name="List Bullet"/>
    <w:lsdException w:unhideWhenUsed="0" w:uiPriority="0" w:name="List Number"/>
    <w:lsdException w:unhideWhenUsed="0" w:uiPriority="0" w:name="List 2"/>
    <w:lsdException w:unhideWhenUsed="0" w:uiPriority="0" w:name="List 3"/>
    <w:lsdException w:unhideWhenUsed="0" w:uiPriority="0" w:name="List 4"/>
    <w:lsdException w:unhideWhenUsed="0" w:uiPriority="0" w:name="List 5"/>
    <w:lsdException w:unhideWhenUsed="0" w:uiPriority="0" w:name="List Bullet 2"/>
    <w:lsdException w:unhideWhenUsed="0" w:uiPriority="0" w:name="List Bullet 3"/>
    <w:lsdException w:unhideWhenUsed="0" w:uiPriority="0" w:name="List Bullet 4"/>
    <w:lsdException w:unhideWhenUsed="0" w:uiPriority="0" w:name="List Bullet 5"/>
    <w:lsdException w:unhideWhenUsed="0" w:uiPriority="0" w:name="List Number 2"/>
    <w:lsdException w:unhideWhenUsed="0" w:uiPriority="0" w:name="List Number 3"/>
    <w:lsdException w:unhideWhenUsed="0" w:uiPriority="0" w:name="List Number 4"/>
    <w:lsdException w:unhideWhenUsed="0" w:uiPriority="0" w:name="List Number 5"/>
    <w:lsdException w:qFormat="1" w:unhideWhenUsed="0" w:uiPriority="0" w:name="Title"/>
    <w:lsdException w:unhideWhenUsed="0" w:uiPriority="0" w:name="Closing"/>
    <w:lsdException w:qFormat="1" w:unhideWhenUsed="0" w:uiPriority="0" w:name="Signature"/>
    <w:lsdException w:uiPriority="1" w:semiHidden="0" w:name="Default Paragraph Font"/>
    <w:lsdException w:unhideWhenUsed="0" w:uiPriority="0" w:name="Body Text"/>
    <w:lsdException w:unhideWhenUsed="0" w:uiPriority="0" w:name="Body Text Indent"/>
    <w:lsdException w:unhideWhenUsed="0" w:uiPriority="0" w:name="List Continue"/>
    <w:lsdException w:qFormat="1" w:unhideWhenUsed="0" w:uiPriority="0" w:name="List Continue 2"/>
    <w:lsdException w:unhideWhenUsed="0" w:uiPriority="0" w:name="List Continue 3"/>
    <w:lsdException w:unhideWhenUsed="0" w:uiPriority="0" w:name="List Continue 4"/>
    <w:lsdException w:unhideWhenUsed="0" w:uiPriority="0" w:name="List Continue 5"/>
    <w:lsdException w:qFormat="1" w:unhideWhenUsed="0" w:uiPriority="0" w:name="Message Header"/>
    <w:lsdException w:qFormat="1" w:unhideWhenUsed="0" w:uiPriority="0" w:name="Subtitle"/>
    <w:lsdException w:qFormat="1" w:unhideWhenUsed="0" w:uiPriority="0" w:name="Salutation"/>
    <w:lsdException w:unhideWhenUsed="0" w:uiPriority="0" w:name="Date"/>
    <w:lsdException w:unhideWhenUsed="0" w:uiPriority="0" w:name="Body Text First Indent"/>
    <w:lsdException w:unhideWhenUsed="0" w:uiPriority="0" w:name="Body Text First Indent 2"/>
    <w:lsdException w:qFormat="1" w:unhideWhenUsed="0" w:uiPriority="0" w:name="Note Heading"/>
    <w:lsdException w:unhideWhenUsed="0" w:uiPriority="0" w:name="Body Text 2"/>
    <w:lsdException w:unhideWhenUsed="0" w:uiPriority="0" w:name="Body Text 3"/>
    <w:lsdException w:unhideWhenUsed="0" w:uiPriority="0" w:name="Body Text Indent 2"/>
    <w:lsdException w:unhideWhenUsed="0" w:uiPriority="0" w:name="Body Text Indent 3"/>
    <w:lsdException w:unhideWhenUsed="0" w:uiPriority="0" w:name="Block Text"/>
    <w:lsdException w:qFormat="1" w:unhideWhenUsed="0" w:uiPriority="0" w:name="Hyperlink"/>
    <w:lsdException w:qFormat="1" w:uiPriority="0" w:name="FollowedHyperlink"/>
    <w:lsdException w:qFormat="1" w:unhideWhenUsed="0" w:uiPriority="0" w:name="Strong"/>
    <w:lsdException w:qFormat="1" w:unhideWhenUsed="0" w:uiPriority="0" w:name="Emphasis"/>
    <w:lsdException w:unhideWhenUsed="0" w:uiPriority="0" w:name="Document Map"/>
    <w:lsdException w:qFormat="1" w:unhideWhenUsed="0" w:uiPriority="0" w:name="Plain Text"/>
    <w:lsdException w:unhideWhenUsed="0" w:uiPriority="0" w:name="E-mail Signature"/>
    <w:lsdException w:qFormat="1" w:unhideWhenUsed="0" w:uiPriority="0" w:name="Normal (Web)"/>
    <w:lsdException w:uiPriority="0" w:name="HTML Acronym"/>
    <w:lsdException w:unhideWhenUsed="0" w:uiPriority="0" w:name="HTML Address"/>
    <w:lsdException w:uiPriority="0" w:name="HTML Cite"/>
    <w:lsdException w:uiPriority="0" w:name="HTML Code"/>
    <w:lsdException w:uiPriority="0" w:name="HTML Definition"/>
    <w:lsdException w:uiPriority="0" w:name="HTML Keyboard"/>
    <w:lsdException w:unhideWhenUsed="0" w:uiPriority="0" w:name="HTML Preformatted"/>
    <w:lsdException w:uiPriority="0" w:name="HTML Sample"/>
    <w:lsdException w:uiPriority="0" w:name="HTML Typewriter"/>
    <w:lsdException w:uiPriority="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qFormat="1" w:unhideWhenUsed="0" w:uiPriority="1"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name="List Paragraph"/>
    <w:lsdException w:qFormat="1" w:unhideWhenUsed="0" w:uiPriority="29" w:name="Quote"/>
    <w:lsdException w:qFormat="1" w:unhideWhenUsed="0"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lang w:val="en-US" w:eastAsia="en-US" w:bidi="ar-SA"/>
    </w:rPr>
  </w:style>
  <w:style w:type="paragraph" w:styleId="3">
    <w:name w:val="heading 1"/>
    <w:basedOn w:val="1"/>
    <w:next w:val="1"/>
    <w:link w:val="94"/>
    <w:semiHidden/>
    <w:qFormat/>
    <w:uiPriority w:val="0"/>
    <w:pPr>
      <w:keepNext/>
      <w:spacing w:before="240" w:after="60"/>
      <w:outlineLvl w:val="0"/>
    </w:pPr>
    <w:rPr>
      <w:b/>
      <w:bCs/>
      <w:kern w:val="32"/>
      <w:szCs w:val="24"/>
    </w:rPr>
  </w:style>
  <w:style w:type="paragraph" w:styleId="4">
    <w:name w:val="heading 2"/>
    <w:basedOn w:val="1"/>
    <w:next w:val="1"/>
    <w:link w:val="95"/>
    <w:semiHidden/>
    <w:qFormat/>
    <w:uiPriority w:val="0"/>
    <w:pPr>
      <w:keepNext/>
      <w:spacing w:before="240" w:after="60"/>
      <w:outlineLvl w:val="1"/>
    </w:pPr>
    <w:rPr>
      <w:rFonts w:ascii="Cambria" w:hAnsi="Cambria"/>
      <w:b/>
      <w:bCs/>
      <w:i/>
      <w:iCs/>
      <w:sz w:val="28"/>
      <w:szCs w:val="28"/>
    </w:rPr>
  </w:style>
  <w:style w:type="paragraph" w:styleId="5">
    <w:name w:val="heading 3"/>
    <w:basedOn w:val="1"/>
    <w:next w:val="1"/>
    <w:semiHidden/>
    <w:qFormat/>
    <w:uiPriority w:val="0"/>
    <w:pPr>
      <w:keepNext/>
      <w:spacing w:line="480" w:lineRule="auto"/>
      <w:outlineLvl w:val="2"/>
    </w:pPr>
    <w:rPr>
      <w:rFonts w:ascii="Times" w:hAnsi="Times" w:eastAsia="Times"/>
      <w:b/>
    </w:rPr>
  </w:style>
  <w:style w:type="paragraph" w:styleId="6">
    <w:name w:val="heading 4"/>
    <w:basedOn w:val="1"/>
    <w:next w:val="1"/>
    <w:semiHidden/>
    <w:qFormat/>
    <w:uiPriority w:val="0"/>
    <w:pPr>
      <w:keepNext/>
      <w:spacing w:line="480" w:lineRule="auto"/>
      <w:outlineLvl w:val="3"/>
    </w:pPr>
    <w:rPr>
      <w:rFonts w:ascii="Times" w:hAnsi="Times"/>
      <w:b/>
      <w:color w:val="0000FF"/>
      <w:sz w:val="44"/>
    </w:rPr>
  </w:style>
  <w:style w:type="paragraph" w:styleId="7">
    <w:name w:val="heading 5"/>
    <w:basedOn w:val="1"/>
    <w:next w:val="1"/>
    <w:link w:val="96"/>
    <w:semiHidden/>
    <w:qFormat/>
    <w:uiPriority w:val="0"/>
    <w:pPr>
      <w:spacing w:before="240" w:after="60"/>
      <w:outlineLvl w:val="4"/>
    </w:pPr>
    <w:rPr>
      <w:rFonts w:ascii="Calibri" w:hAnsi="Calibri"/>
      <w:b/>
      <w:bCs/>
      <w:i/>
      <w:iCs/>
      <w:sz w:val="26"/>
      <w:szCs w:val="26"/>
    </w:rPr>
  </w:style>
  <w:style w:type="paragraph" w:styleId="8">
    <w:name w:val="heading 6"/>
    <w:basedOn w:val="1"/>
    <w:next w:val="1"/>
    <w:link w:val="97"/>
    <w:semiHidden/>
    <w:qFormat/>
    <w:uiPriority w:val="0"/>
    <w:pPr>
      <w:spacing w:before="240" w:after="60"/>
      <w:outlineLvl w:val="5"/>
    </w:pPr>
    <w:rPr>
      <w:rFonts w:ascii="Calibri" w:hAnsi="Calibri"/>
      <w:b/>
      <w:bCs/>
      <w:sz w:val="22"/>
      <w:szCs w:val="22"/>
    </w:rPr>
  </w:style>
  <w:style w:type="paragraph" w:styleId="9">
    <w:name w:val="heading 7"/>
    <w:basedOn w:val="1"/>
    <w:next w:val="1"/>
    <w:link w:val="98"/>
    <w:semiHidden/>
    <w:qFormat/>
    <w:uiPriority w:val="0"/>
    <w:pPr>
      <w:spacing w:before="240" w:after="60"/>
      <w:outlineLvl w:val="6"/>
    </w:pPr>
    <w:rPr>
      <w:rFonts w:ascii="Calibri" w:hAnsi="Calibri"/>
      <w:szCs w:val="24"/>
    </w:rPr>
  </w:style>
  <w:style w:type="paragraph" w:styleId="10">
    <w:name w:val="heading 8"/>
    <w:basedOn w:val="1"/>
    <w:next w:val="1"/>
    <w:link w:val="99"/>
    <w:semiHidden/>
    <w:qFormat/>
    <w:uiPriority w:val="0"/>
    <w:pPr>
      <w:spacing w:before="240" w:after="60"/>
      <w:outlineLvl w:val="7"/>
    </w:pPr>
    <w:rPr>
      <w:rFonts w:ascii="Calibri" w:hAnsi="Calibri"/>
      <w:i/>
      <w:iCs/>
      <w:szCs w:val="24"/>
    </w:rPr>
  </w:style>
  <w:style w:type="paragraph" w:styleId="11">
    <w:name w:val="heading 9"/>
    <w:basedOn w:val="1"/>
    <w:next w:val="1"/>
    <w:link w:val="100"/>
    <w:semiHidden/>
    <w:qFormat/>
    <w:uiPriority w:val="0"/>
    <w:pPr>
      <w:spacing w:before="240" w:after="60"/>
      <w:outlineLvl w:val="8"/>
    </w:pPr>
    <w:rPr>
      <w:rFonts w:ascii="Cambria" w:hAnsi="Cambria"/>
      <w:sz w:val="22"/>
      <w:szCs w:val="22"/>
    </w:rPr>
  </w:style>
  <w:style w:type="character" w:default="1" w:styleId="89">
    <w:name w:val="Default Paragraph Font"/>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30"/>
    <w:semiHidden/>
    <w:uiPriority w:val="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eastAsiaTheme="minorEastAsia"/>
      <w:lang w:val="en-US" w:eastAsia="en-US" w:bidi="ar-SA"/>
    </w:rPr>
  </w:style>
  <w:style w:type="paragraph" w:styleId="12">
    <w:name w:val="List 3"/>
    <w:basedOn w:val="1"/>
    <w:semiHidden/>
    <w:uiPriority w:val="0"/>
    <w:pPr>
      <w:ind w:left="1080" w:hanging="360"/>
      <w:contextualSpacing/>
    </w:pPr>
  </w:style>
  <w:style w:type="paragraph" w:styleId="13">
    <w:name w:val="toc 7"/>
    <w:basedOn w:val="1"/>
    <w:next w:val="1"/>
    <w:autoRedefine/>
    <w:semiHidden/>
    <w:qFormat/>
    <w:uiPriority w:val="0"/>
    <w:pPr>
      <w:ind w:left="1440"/>
    </w:pPr>
  </w:style>
  <w:style w:type="paragraph" w:styleId="14">
    <w:name w:val="List Number 2"/>
    <w:basedOn w:val="1"/>
    <w:semiHidden/>
    <w:uiPriority w:val="0"/>
    <w:pPr>
      <w:numPr>
        <w:ilvl w:val="0"/>
        <w:numId w:val="1"/>
      </w:numPr>
      <w:contextualSpacing/>
    </w:pPr>
  </w:style>
  <w:style w:type="paragraph" w:styleId="15">
    <w:name w:val="table of authorities"/>
    <w:basedOn w:val="1"/>
    <w:next w:val="1"/>
    <w:semiHidden/>
    <w:qFormat/>
    <w:uiPriority w:val="0"/>
    <w:pPr>
      <w:ind w:left="240" w:hanging="240"/>
    </w:pPr>
  </w:style>
  <w:style w:type="paragraph" w:styleId="16">
    <w:name w:val="Note Heading"/>
    <w:basedOn w:val="1"/>
    <w:next w:val="1"/>
    <w:link w:val="133"/>
    <w:semiHidden/>
    <w:qFormat/>
    <w:uiPriority w:val="0"/>
  </w:style>
  <w:style w:type="paragraph" w:styleId="17">
    <w:name w:val="List Bullet 4"/>
    <w:basedOn w:val="1"/>
    <w:semiHidden/>
    <w:uiPriority w:val="0"/>
    <w:pPr>
      <w:numPr>
        <w:ilvl w:val="0"/>
        <w:numId w:val="2"/>
      </w:numPr>
      <w:contextualSpacing/>
    </w:pPr>
  </w:style>
  <w:style w:type="paragraph" w:styleId="18">
    <w:name w:val="index 8"/>
    <w:basedOn w:val="1"/>
    <w:next w:val="1"/>
    <w:autoRedefine/>
    <w:semiHidden/>
    <w:uiPriority w:val="0"/>
    <w:pPr>
      <w:ind w:left="1920" w:hanging="240"/>
    </w:pPr>
  </w:style>
  <w:style w:type="paragraph" w:styleId="19">
    <w:name w:val="E-mail Signature"/>
    <w:basedOn w:val="1"/>
    <w:link w:val="120"/>
    <w:semiHidden/>
    <w:uiPriority w:val="0"/>
  </w:style>
  <w:style w:type="paragraph" w:styleId="20">
    <w:name w:val="List Number"/>
    <w:basedOn w:val="1"/>
    <w:semiHidden/>
    <w:uiPriority w:val="0"/>
    <w:pPr>
      <w:numPr>
        <w:ilvl w:val="0"/>
        <w:numId w:val="3"/>
      </w:numPr>
      <w:contextualSpacing/>
    </w:pPr>
  </w:style>
  <w:style w:type="paragraph" w:styleId="21">
    <w:name w:val="Normal Indent"/>
    <w:basedOn w:val="1"/>
    <w:semiHidden/>
    <w:qFormat/>
    <w:uiPriority w:val="0"/>
    <w:pPr>
      <w:ind w:left="720"/>
    </w:pPr>
  </w:style>
  <w:style w:type="paragraph" w:styleId="22">
    <w:name w:val="caption"/>
    <w:basedOn w:val="1"/>
    <w:next w:val="1"/>
    <w:semiHidden/>
    <w:qFormat/>
    <w:uiPriority w:val="0"/>
    <w:rPr>
      <w:b/>
      <w:bCs/>
      <w:sz w:val="20"/>
    </w:rPr>
  </w:style>
  <w:style w:type="paragraph" w:styleId="23">
    <w:name w:val="index 5"/>
    <w:basedOn w:val="1"/>
    <w:next w:val="1"/>
    <w:autoRedefine/>
    <w:semiHidden/>
    <w:uiPriority w:val="0"/>
    <w:pPr>
      <w:ind w:left="1200" w:hanging="240"/>
    </w:pPr>
  </w:style>
  <w:style w:type="paragraph" w:styleId="24">
    <w:name w:val="List Bullet"/>
    <w:basedOn w:val="1"/>
    <w:semiHidden/>
    <w:uiPriority w:val="0"/>
    <w:pPr>
      <w:numPr>
        <w:ilvl w:val="0"/>
        <w:numId w:val="4"/>
      </w:numPr>
      <w:contextualSpacing/>
    </w:pPr>
  </w:style>
  <w:style w:type="paragraph" w:styleId="25">
    <w:name w:val="envelope address"/>
    <w:basedOn w:val="1"/>
    <w:semiHidden/>
    <w:uiPriority w:val="0"/>
    <w:pPr>
      <w:framePr w:w="7920" w:h="1980" w:hRule="exact" w:hSpace="180" w:wrap="auto" w:vAnchor="margin" w:hAnchor="page" w:xAlign="center" w:yAlign="bottom"/>
      <w:ind w:left="2880"/>
    </w:pPr>
    <w:rPr>
      <w:rFonts w:ascii="Cambria" w:hAnsi="Cambria"/>
      <w:szCs w:val="24"/>
    </w:rPr>
  </w:style>
  <w:style w:type="paragraph" w:styleId="26">
    <w:name w:val="Document Map"/>
    <w:basedOn w:val="1"/>
    <w:link w:val="119"/>
    <w:semiHidden/>
    <w:uiPriority w:val="0"/>
    <w:rPr>
      <w:rFonts w:ascii="Tahoma" w:hAnsi="Tahoma" w:cs="Tahoma"/>
      <w:sz w:val="16"/>
      <w:szCs w:val="16"/>
    </w:rPr>
  </w:style>
  <w:style w:type="paragraph" w:styleId="27">
    <w:name w:val="toa heading"/>
    <w:basedOn w:val="1"/>
    <w:next w:val="1"/>
    <w:semiHidden/>
    <w:qFormat/>
    <w:uiPriority w:val="0"/>
    <w:pPr>
      <w:spacing w:before="120"/>
    </w:pPr>
    <w:rPr>
      <w:rFonts w:ascii="Cambria" w:hAnsi="Cambria"/>
      <w:b/>
      <w:bCs/>
      <w:szCs w:val="24"/>
    </w:rPr>
  </w:style>
  <w:style w:type="paragraph" w:styleId="28">
    <w:name w:val="annotation text"/>
    <w:basedOn w:val="1"/>
    <w:link w:val="116"/>
    <w:semiHidden/>
    <w:uiPriority w:val="0"/>
    <w:rPr>
      <w:sz w:val="20"/>
    </w:rPr>
  </w:style>
  <w:style w:type="paragraph" w:styleId="29">
    <w:name w:val="index 6"/>
    <w:basedOn w:val="1"/>
    <w:next w:val="1"/>
    <w:autoRedefine/>
    <w:semiHidden/>
    <w:uiPriority w:val="0"/>
    <w:pPr>
      <w:ind w:left="1440" w:hanging="240"/>
    </w:pPr>
  </w:style>
  <w:style w:type="paragraph" w:styleId="30">
    <w:name w:val="Salutation"/>
    <w:basedOn w:val="1"/>
    <w:next w:val="1"/>
    <w:link w:val="137"/>
    <w:semiHidden/>
    <w:qFormat/>
    <w:uiPriority w:val="0"/>
  </w:style>
  <w:style w:type="paragraph" w:styleId="31">
    <w:name w:val="Body Text 3"/>
    <w:basedOn w:val="1"/>
    <w:link w:val="109"/>
    <w:semiHidden/>
    <w:uiPriority w:val="0"/>
    <w:pPr>
      <w:spacing w:after="120"/>
    </w:pPr>
    <w:rPr>
      <w:sz w:val="16"/>
      <w:szCs w:val="16"/>
    </w:rPr>
  </w:style>
  <w:style w:type="paragraph" w:styleId="32">
    <w:name w:val="Closing"/>
    <w:basedOn w:val="1"/>
    <w:link w:val="115"/>
    <w:semiHidden/>
    <w:uiPriority w:val="0"/>
    <w:pPr>
      <w:ind w:left="4320"/>
    </w:pPr>
  </w:style>
  <w:style w:type="paragraph" w:styleId="33">
    <w:name w:val="List Bullet 3"/>
    <w:basedOn w:val="1"/>
    <w:semiHidden/>
    <w:uiPriority w:val="0"/>
    <w:pPr>
      <w:numPr>
        <w:ilvl w:val="0"/>
        <w:numId w:val="5"/>
      </w:numPr>
      <w:contextualSpacing/>
    </w:pPr>
  </w:style>
  <w:style w:type="paragraph" w:styleId="34">
    <w:name w:val="Body Text"/>
    <w:basedOn w:val="1"/>
    <w:link w:val="107"/>
    <w:semiHidden/>
    <w:uiPriority w:val="0"/>
    <w:pPr>
      <w:spacing w:after="120"/>
    </w:pPr>
  </w:style>
  <w:style w:type="paragraph" w:styleId="35">
    <w:name w:val="Body Text Indent"/>
    <w:basedOn w:val="1"/>
    <w:link w:val="111"/>
    <w:semiHidden/>
    <w:uiPriority w:val="0"/>
    <w:pPr>
      <w:spacing w:after="120"/>
      <w:ind w:left="360"/>
    </w:pPr>
  </w:style>
  <w:style w:type="paragraph" w:styleId="36">
    <w:name w:val="List Number 3"/>
    <w:basedOn w:val="1"/>
    <w:semiHidden/>
    <w:uiPriority w:val="0"/>
    <w:pPr>
      <w:numPr>
        <w:ilvl w:val="0"/>
        <w:numId w:val="6"/>
      </w:numPr>
      <w:contextualSpacing/>
    </w:pPr>
  </w:style>
  <w:style w:type="paragraph" w:styleId="37">
    <w:name w:val="List 2"/>
    <w:basedOn w:val="1"/>
    <w:semiHidden/>
    <w:uiPriority w:val="0"/>
    <w:pPr>
      <w:ind w:left="720" w:hanging="360"/>
      <w:contextualSpacing/>
    </w:pPr>
  </w:style>
  <w:style w:type="paragraph" w:styleId="38">
    <w:name w:val="List Continue"/>
    <w:basedOn w:val="1"/>
    <w:semiHidden/>
    <w:uiPriority w:val="0"/>
    <w:pPr>
      <w:spacing w:after="120"/>
      <w:ind w:left="360"/>
      <w:contextualSpacing/>
    </w:pPr>
  </w:style>
  <w:style w:type="paragraph" w:styleId="39">
    <w:name w:val="Block Text"/>
    <w:basedOn w:val="1"/>
    <w:semiHidden/>
    <w:uiPriority w:val="0"/>
    <w:pPr>
      <w:spacing w:after="120"/>
      <w:ind w:left="1440" w:right="1440"/>
    </w:pPr>
  </w:style>
  <w:style w:type="paragraph" w:styleId="40">
    <w:name w:val="List Bullet 2"/>
    <w:basedOn w:val="1"/>
    <w:semiHidden/>
    <w:uiPriority w:val="0"/>
    <w:pPr>
      <w:numPr>
        <w:ilvl w:val="0"/>
        <w:numId w:val="7"/>
      </w:numPr>
      <w:contextualSpacing/>
    </w:pPr>
  </w:style>
  <w:style w:type="paragraph" w:styleId="41">
    <w:name w:val="HTML Address"/>
    <w:basedOn w:val="1"/>
    <w:link w:val="125"/>
    <w:semiHidden/>
    <w:uiPriority w:val="0"/>
    <w:rPr>
      <w:i/>
      <w:iCs/>
    </w:rPr>
  </w:style>
  <w:style w:type="paragraph" w:styleId="42">
    <w:name w:val="index 4"/>
    <w:basedOn w:val="1"/>
    <w:next w:val="1"/>
    <w:autoRedefine/>
    <w:semiHidden/>
    <w:uiPriority w:val="0"/>
    <w:pPr>
      <w:ind w:left="960" w:hanging="240"/>
    </w:pPr>
  </w:style>
  <w:style w:type="paragraph" w:styleId="43">
    <w:name w:val="toc 5"/>
    <w:basedOn w:val="1"/>
    <w:next w:val="1"/>
    <w:autoRedefine/>
    <w:semiHidden/>
    <w:qFormat/>
    <w:uiPriority w:val="0"/>
    <w:pPr>
      <w:ind w:left="960"/>
    </w:pPr>
  </w:style>
  <w:style w:type="paragraph" w:styleId="44">
    <w:name w:val="toc 3"/>
    <w:basedOn w:val="1"/>
    <w:next w:val="1"/>
    <w:autoRedefine/>
    <w:semiHidden/>
    <w:qFormat/>
    <w:uiPriority w:val="0"/>
    <w:pPr>
      <w:ind w:left="480"/>
    </w:pPr>
  </w:style>
  <w:style w:type="paragraph" w:styleId="45">
    <w:name w:val="Plain Text"/>
    <w:basedOn w:val="1"/>
    <w:link w:val="134"/>
    <w:semiHidden/>
    <w:qFormat/>
    <w:uiPriority w:val="0"/>
    <w:rPr>
      <w:rFonts w:ascii="Courier New" w:hAnsi="Courier New" w:cs="Courier New"/>
      <w:sz w:val="20"/>
    </w:rPr>
  </w:style>
  <w:style w:type="paragraph" w:styleId="46">
    <w:name w:val="List Bullet 5"/>
    <w:basedOn w:val="1"/>
    <w:semiHidden/>
    <w:uiPriority w:val="0"/>
    <w:pPr>
      <w:numPr>
        <w:ilvl w:val="0"/>
        <w:numId w:val="8"/>
      </w:numPr>
      <w:contextualSpacing/>
    </w:pPr>
  </w:style>
  <w:style w:type="paragraph" w:styleId="47">
    <w:name w:val="List Number 4"/>
    <w:basedOn w:val="1"/>
    <w:semiHidden/>
    <w:uiPriority w:val="0"/>
    <w:pPr>
      <w:numPr>
        <w:ilvl w:val="0"/>
        <w:numId w:val="9"/>
      </w:numPr>
      <w:contextualSpacing/>
    </w:pPr>
  </w:style>
  <w:style w:type="paragraph" w:styleId="48">
    <w:name w:val="toc 8"/>
    <w:basedOn w:val="1"/>
    <w:next w:val="1"/>
    <w:autoRedefine/>
    <w:semiHidden/>
    <w:qFormat/>
    <w:uiPriority w:val="0"/>
    <w:pPr>
      <w:ind w:left="1680"/>
    </w:pPr>
  </w:style>
  <w:style w:type="paragraph" w:styleId="49">
    <w:name w:val="index 3"/>
    <w:basedOn w:val="1"/>
    <w:next w:val="1"/>
    <w:autoRedefine/>
    <w:semiHidden/>
    <w:uiPriority w:val="0"/>
    <w:pPr>
      <w:ind w:left="720" w:hanging="240"/>
    </w:pPr>
  </w:style>
  <w:style w:type="paragraph" w:styleId="50">
    <w:name w:val="Date"/>
    <w:basedOn w:val="1"/>
    <w:next w:val="1"/>
    <w:link w:val="118"/>
    <w:semiHidden/>
    <w:uiPriority w:val="0"/>
  </w:style>
  <w:style w:type="paragraph" w:styleId="51">
    <w:name w:val="Body Text Indent 2"/>
    <w:basedOn w:val="1"/>
    <w:link w:val="113"/>
    <w:semiHidden/>
    <w:uiPriority w:val="0"/>
    <w:pPr>
      <w:spacing w:after="120" w:line="480" w:lineRule="auto"/>
      <w:ind w:left="360"/>
    </w:pPr>
  </w:style>
  <w:style w:type="paragraph" w:styleId="52">
    <w:name w:val="endnote text"/>
    <w:basedOn w:val="1"/>
    <w:link w:val="121"/>
    <w:semiHidden/>
    <w:uiPriority w:val="0"/>
    <w:rPr>
      <w:sz w:val="20"/>
    </w:rPr>
  </w:style>
  <w:style w:type="paragraph" w:styleId="53">
    <w:name w:val="List Continue 5"/>
    <w:basedOn w:val="1"/>
    <w:semiHidden/>
    <w:uiPriority w:val="0"/>
    <w:pPr>
      <w:spacing w:after="120"/>
      <w:ind w:left="1800"/>
      <w:contextualSpacing/>
    </w:pPr>
  </w:style>
  <w:style w:type="paragraph" w:styleId="54">
    <w:name w:val="Balloon Text"/>
    <w:basedOn w:val="1"/>
    <w:link w:val="105"/>
    <w:semiHidden/>
    <w:uiPriority w:val="0"/>
    <w:rPr>
      <w:rFonts w:ascii="Tahoma" w:hAnsi="Tahoma" w:cs="Tahoma"/>
      <w:sz w:val="16"/>
      <w:szCs w:val="16"/>
    </w:rPr>
  </w:style>
  <w:style w:type="paragraph" w:styleId="55">
    <w:name w:val="footer"/>
    <w:basedOn w:val="1"/>
    <w:link w:val="122"/>
    <w:semiHidden/>
    <w:uiPriority w:val="0"/>
    <w:pPr>
      <w:tabs>
        <w:tab w:val="center" w:pos="4680"/>
        <w:tab w:val="right" w:pos="9360"/>
      </w:tabs>
    </w:pPr>
  </w:style>
  <w:style w:type="paragraph" w:styleId="56">
    <w:name w:val="envelope return"/>
    <w:basedOn w:val="1"/>
    <w:semiHidden/>
    <w:uiPriority w:val="0"/>
    <w:rPr>
      <w:rFonts w:ascii="Cambria" w:hAnsi="Cambria"/>
      <w:sz w:val="20"/>
    </w:rPr>
  </w:style>
  <w:style w:type="paragraph" w:styleId="57">
    <w:name w:val="header"/>
    <w:basedOn w:val="1"/>
    <w:link w:val="124"/>
    <w:semiHidden/>
    <w:uiPriority w:val="0"/>
    <w:pPr>
      <w:tabs>
        <w:tab w:val="center" w:pos="4680"/>
        <w:tab w:val="right" w:pos="9360"/>
      </w:tabs>
    </w:pPr>
  </w:style>
  <w:style w:type="paragraph" w:styleId="58">
    <w:name w:val="Signature"/>
    <w:basedOn w:val="1"/>
    <w:link w:val="138"/>
    <w:semiHidden/>
    <w:qFormat/>
    <w:uiPriority w:val="0"/>
    <w:pPr>
      <w:ind w:left="4320"/>
    </w:pPr>
  </w:style>
  <w:style w:type="paragraph" w:styleId="59">
    <w:name w:val="toc 1"/>
    <w:basedOn w:val="1"/>
    <w:next w:val="1"/>
    <w:autoRedefine/>
    <w:semiHidden/>
    <w:qFormat/>
    <w:uiPriority w:val="0"/>
  </w:style>
  <w:style w:type="paragraph" w:styleId="60">
    <w:name w:val="List Continue 4"/>
    <w:basedOn w:val="1"/>
    <w:semiHidden/>
    <w:uiPriority w:val="0"/>
    <w:pPr>
      <w:spacing w:after="120"/>
      <w:ind w:left="1440"/>
      <w:contextualSpacing/>
    </w:pPr>
  </w:style>
  <w:style w:type="paragraph" w:styleId="61">
    <w:name w:val="toc 4"/>
    <w:basedOn w:val="1"/>
    <w:next w:val="1"/>
    <w:autoRedefine/>
    <w:semiHidden/>
    <w:qFormat/>
    <w:uiPriority w:val="0"/>
    <w:pPr>
      <w:ind w:left="720"/>
    </w:pPr>
  </w:style>
  <w:style w:type="paragraph" w:styleId="62">
    <w:name w:val="index heading"/>
    <w:basedOn w:val="1"/>
    <w:next w:val="63"/>
    <w:semiHidden/>
    <w:uiPriority w:val="0"/>
    <w:rPr>
      <w:rFonts w:ascii="Cambria" w:hAnsi="Cambria"/>
      <w:b/>
      <w:bCs/>
    </w:rPr>
  </w:style>
  <w:style w:type="paragraph" w:styleId="63">
    <w:name w:val="index 1"/>
    <w:basedOn w:val="1"/>
    <w:next w:val="1"/>
    <w:autoRedefine/>
    <w:semiHidden/>
    <w:uiPriority w:val="0"/>
    <w:pPr>
      <w:ind w:left="240" w:hanging="240"/>
    </w:pPr>
  </w:style>
  <w:style w:type="paragraph" w:styleId="64">
    <w:name w:val="Subtitle"/>
    <w:basedOn w:val="1"/>
    <w:next w:val="1"/>
    <w:link w:val="139"/>
    <w:semiHidden/>
    <w:qFormat/>
    <w:uiPriority w:val="0"/>
    <w:pPr>
      <w:spacing w:after="60"/>
      <w:jc w:val="center"/>
      <w:outlineLvl w:val="1"/>
    </w:pPr>
    <w:rPr>
      <w:rFonts w:ascii="Cambria" w:hAnsi="Cambria"/>
      <w:szCs w:val="24"/>
    </w:rPr>
  </w:style>
  <w:style w:type="paragraph" w:styleId="65">
    <w:name w:val="List Number 5"/>
    <w:basedOn w:val="1"/>
    <w:semiHidden/>
    <w:uiPriority w:val="0"/>
    <w:pPr>
      <w:numPr>
        <w:ilvl w:val="0"/>
        <w:numId w:val="10"/>
      </w:numPr>
      <w:contextualSpacing/>
    </w:pPr>
  </w:style>
  <w:style w:type="paragraph" w:styleId="66">
    <w:name w:val="List"/>
    <w:basedOn w:val="1"/>
    <w:semiHidden/>
    <w:uiPriority w:val="0"/>
    <w:pPr>
      <w:ind w:left="360" w:hanging="360"/>
      <w:contextualSpacing/>
    </w:pPr>
  </w:style>
  <w:style w:type="paragraph" w:styleId="67">
    <w:name w:val="footnote text"/>
    <w:basedOn w:val="1"/>
    <w:link w:val="123"/>
    <w:semiHidden/>
    <w:uiPriority w:val="0"/>
    <w:rPr>
      <w:sz w:val="20"/>
    </w:rPr>
  </w:style>
  <w:style w:type="paragraph" w:styleId="68">
    <w:name w:val="toc 6"/>
    <w:basedOn w:val="1"/>
    <w:next w:val="1"/>
    <w:autoRedefine/>
    <w:semiHidden/>
    <w:qFormat/>
    <w:uiPriority w:val="0"/>
    <w:pPr>
      <w:ind w:left="1200"/>
    </w:pPr>
  </w:style>
  <w:style w:type="paragraph" w:styleId="69">
    <w:name w:val="List 5"/>
    <w:basedOn w:val="1"/>
    <w:semiHidden/>
    <w:uiPriority w:val="0"/>
    <w:pPr>
      <w:ind w:left="1800" w:hanging="360"/>
      <w:contextualSpacing/>
    </w:pPr>
  </w:style>
  <w:style w:type="paragraph" w:styleId="70">
    <w:name w:val="Body Text Indent 3"/>
    <w:basedOn w:val="1"/>
    <w:link w:val="114"/>
    <w:semiHidden/>
    <w:uiPriority w:val="0"/>
    <w:pPr>
      <w:spacing w:after="120"/>
      <w:ind w:left="360"/>
    </w:pPr>
    <w:rPr>
      <w:sz w:val="16"/>
      <w:szCs w:val="16"/>
    </w:rPr>
  </w:style>
  <w:style w:type="paragraph" w:styleId="71">
    <w:name w:val="index 7"/>
    <w:basedOn w:val="1"/>
    <w:next w:val="1"/>
    <w:autoRedefine/>
    <w:semiHidden/>
    <w:uiPriority w:val="0"/>
    <w:pPr>
      <w:ind w:left="1680" w:hanging="240"/>
    </w:pPr>
  </w:style>
  <w:style w:type="paragraph" w:styleId="72">
    <w:name w:val="index 9"/>
    <w:basedOn w:val="1"/>
    <w:next w:val="1"/>
    <w:autoRedefine/>
    <w:semiHidden/>
    <w:uiPriority w:val="0"/>
    <w:pPr>
      <w:ind w:left="2160" w:hanging="240"/>
    </w:pPr>
  </w:style>
  <w:style w:type="paragraph" w:styleId="73">
    <w:name w:val="table of figures"/>
    <w:basedOn w:val="1"/>
    <w:next w:val="1"/>
    <w:semiHidden/>
    <w:qFormat/>
    <w:uiPriority w:val="0"/>
  </w:style>
  <w:style w:type="paragraph" w:styleId="74">
    <w:name w:val="toc 2"/>
    <w:basedOn w:val="1"/>
    <w:next w:val="1"/>
    <w:autoRedefine/>
    <w:semiHidden/>
    <w:qFormat/>
    <w:uiPriority w:val="0"/>
    <w:pPr>
      <w:ind w:left="240"/>
    </w:pPr>
  </w:style>
  <w:style w:type="paragraph" w:styleId="75">
    <w:name w:val="toc 9"/>
    <w:basedOn w:val="1"/>
    <w:next w:val="1"/>
    <w:autoRedefine/>
    <w:semiHidden/>
    <w:qFormat/>
    <w:uiPriority w:val="0"/>
    <w:pPr>
      <w:ind w:left="1920"/>
    </w:pPr>
  </w:style>
  <w:style w:type="paragraph" w:styleId="76">
    <w:name w:val="Body Text 2"/>
    <w:basedOn w:val="1"/>
    <w:link w:val="108"/>
    <w:semiHidden/>
    <w:uiPriority w:val="0"/>
    <w:pPr>
      <w:spacing w:after="120" w:line="480" w:lineRule="auto"/>
    </w:pPr>
  </w:style>
  <w:style w:type="paragraph" w:styleId="77">
    <w:name w:val="List 4"/>
    <w:basedOn w:val="1"/>
    <w:semiHidden/>
    <w:uiPriority w:val="0"/>
    <w:pPr>
      <w:ind w:left="1440" w:hanging="360"/>
      <w:contextualSpacing/>
    </w:pPr>
  </w:style>
  <w:style w:type="paragraph" w:styleId="78">
    <w:name w:val="List Continue 2"/>
    <w:basedOn w:val="1"/>
    <w:semiHidden/>
    <w:qFormat/>
    <w:uiPriority w:val="0"/>
    <w:pPr>
      <w:spacing w:after="120"/>
      <w:ind w:left="720"/>
      <w:contextualSpacing/>
    </w:pPr>
  </w:style>
  <w:style w:type="paragraph" w:styleId="79">
    <w:name w:val="Message Header"/>
    <w:basedOn w:val="1"/>
    <w:link w:val="131"/>
    <w:semiHidden/>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Cs w:val="24"/>
    </w:rPr>
  </w:style>
  <w:style w:type="paragraph" w:styleId="80">
    <w:name w:val="HTML Preformatted"/>
    <w:basedOn w:val="1"/>
    <w:link w:val="126"/>
    <w:semiHidden/>
    <w:uiPriority w:val="0"/>
    <w:rPr>
      <w:rFonts w:ascii="Courier New" w:hAnsi="Courier New" w:cs="Courier New"/>
      <w:sz w:val="20"/>
    </w:rPr>
  </w:style>
  <w:style w:type="paragraph" w:styleId="81">
    <w:name w:val="Normal (Web)"/>
    <w:basedOn w:val="1"/>
    <w:semiHidden/>
    <w:qFormat/>
    <w:uiPriority w:val="0"/>
    <w:rPr>
      <w:szCs w:val="24"/>
    </w:rPr>
  </w:style>
  <w:style w:type="paragraph" w:styleId="82">
    <w:name w:val="List Continue 3"/>
    <w:basedOn w:val="1"/>
    <w:semiHidden/>
    <w:uiPriority w:val="0"/>
    <w:pPr>
      <w:spacing w:after="120"/>
      <w:ind w:left="1080"/>
      <w:contextualSpacing/>
    </w:pPr>
  </w:style>
  <w:style w:type="paragraph" w:styleId="83">
    <w:name w:val="index 2"/>
    <w:basedOn w:val="1"/>
    <w:next w:val="1"/>
    <w:autoRedefine/>
    <w:semiHidden/>
    <w:uiPriority w:val="0"/>
    <w:pPr>
      <w:ind w:left="480" w:hanging="240"/>
    </w:pPr>
  </w:style>
  <w:style w:type="paragraph" w:styleId="84">
    <w:name w:val="Title"/>
    <w:basedOn w:val="1"/>
    <w:next w:val="1"/>
    <w:link w:val="140"/>
    <w:semiHidden/>
    <w:qFormat/>
    <w:uiPriority w:val="0"/>
    <w:pPr>
      <w:spacing w:before="240" w:after="60"/>
      <w:jc w:val="center"/>
      <w:outlineLvl w:val="0"/>
    </w:pPr>
    <w:rPr>
      <w:rFonts w:ascii="Cambria" w:hAnsi="Cambria"/>
      <w:b/>
      <w:bCs/>
      <w:kern w:val="28"/>
      <w:sz w:val="32"/>
      <w:szCs w:val="32"/>
    </w:rPr>
  </w:style>
  <w:style w:type="paragraph" w:styleId="85">
    <w:name w:val="annotation subject"/>
    <w:basedOn w:val="28"/>
    <w:next w:val="28"/>
    <w:link w:val="117"/>
    <w:semiHidden/>
    <w:uiPriority w:val="0"/>
    <w:rPr>
      <w:b/>
      <w:bCs/>
    </w:rPr>
  </w:style>
  <w:style w:type="paragraph" w:styleId="86">
    <w:name w:val="Body Text First Indent"/>
    <w:basedOn w:val="34"/>
    <w:link w:val="110"/>
    <w:semiHidden/>
    <w:uiPriority w:val="0"/>
    <w:pPr>
      <w:ind w:firstLine="210"/>
    </w:pPr>
  </w:style>
  <w:style w:type="paragraph" w:styleId="87">
    <w:name w:val="Body Text First Indent 2"/>
    <w:basedOn w:val="35"/>
    <w:link w:val="112"/>
    <w:semiHidden/>
    <w:uiPriority w:val="0"/>
    <w:pPr>
      <w:ind w:firstLine="210"/>
    </w:pPr>
  </w:style>
  <w:style w:type="character" w:styleId="90">
    <w:name w:val="page number"/>
    <w:basedOn w:val="89"/>
    <w:semiHidden/>
    <w:qFormat/>
    <w:uiPriority w:val="0"/>
  </w:style>
  <w:style w:type="character" w:styleId="91">
    <w:name w:val="FollowedHyperlink"/>
    <w:semiHidden/>
    <w:unhideWhenUsed/>
    <w:qFormat/>
    <w:uiPriority w:val="0"/>
    <w:rPr>
      <w:color w:val="800080"/>
      <w:u w:val="single"/>
    </w:rPr>
  </w:style>
  <w:style w:type="character" w:styleId="92">
    <w:name w:val="Hyperlink"/>
    <w:semiHidden/>
    <w:qFormat/>
    <w:uiPriority w:val="0"/>
    <w:rPr>
      <w:color w:val="0000FF"/>
      <w:u w:val="single"/>
    </w:rPr>
  </w:style>
  <w:style w:type="character" w:styleId="93">
    <w:name w:val="annotation reference"/>
    <w:semiHidden/>
    <w:unhideWhenUsed/>
    <w:qFormat/>
    <w:uiPriority w:val="0"/>
    <w:rPr>
      <w:sz w:val="16"/>
      <w:szCs w:val="16"/>
    </w:rPr>
  </w:style>
  <w:style w:type="character" w:customStyle="1" w:styleId="94">
    <w:name w:val="标题 1 字符"/>
    <w:link w:val="3"/>
    <w:semiHidden/>
    <w:uiPriority w:val="0"/>
    <w:rPr>
      <w:b/>
      <w:bCs/>
      <w:kern w:val="32"/>
      <w:sz w:val="24"/>
      <w:szCs w:val="24"/>
    </w:rPr>
  </w:style>
  <w:style w:type="character" w:customStyle="1" w:styleId="95">
    <w:name w:val="标题 2 字符"/>
    <w:link w:val="4"/>
    <w:semiHidden/>
    <w:uiPriority w:val="0"/>
    <w:rPr>
      <w:rFonts w:ascii="Cambria" w:hAnsi="Cambria"/>
      <w:b/>
      <w:bCs/>
      <w:i/>
      <w:iCs/>
      <w:sz w:val="28"/>
      <w:szCs w:val="28"/>
    </w:rPr>
  </w:style>
  <w:style w:type="character" w:customStyle="1" w:styleId="96">
    <w:name w:val="标题 5 字符"/>
    <w:link w:val="7"/>
    <w:semiHidden/>
    <w:uiPriority w:val="0"/>
    <w:rPr>
      <w:rFonts w:ascii="Calibri" w:hAnsi="Calibri"/>
      <w:b/>
      <w:bCs/>
      <w:i/>
      <w:iCs/>
      <w:sz w:val="26"/>
      <w:szCs w:val="26"/>
    </w:rPr>
  </w:style>
  <w:style w:type="character" w:customStyle="1" w:styleId="97">
    <w:name w:val="标题 6 字符"/>
    <w:link w:val="8"/>
    <w:semiHidden/>
    <w:uiPriority w:val="0"/>
    <w:rPr>
      <w:rFonts w:ascii="Calibri" w:hAnsi="Calibri"/>
      <w:b/>
      <w:bCs/>
      <w:sz w:val="22"/>
      <w:szCs w:val="22"/>
    </w:rPr>
  </w:style>
  <w:style w:type="character" w:customStyle="1" w:styleId="98">
    <w:name w:val="标题 7 字符"/>
    <w:link w:val="9"/>
    <w:semiHidden/>
    <w:uiPriority w:val="0"/>
    <w:rPr>
      <w:rFonts w:ascii="Calibri" w:hAnsi="Calibri"/>
      <w:sz w:val="24"/>
      <w:szCs w:val="24"/>
    </w:rPr>
  </w:style>
  <w:style w:type="character" w:customStyle="1" w:styleId="99">
    <w:name w:val="标题 8 字符"/>
    <w:link w:val="10"/>
    <w:semiHidden/>
    <w:uiPriority w:val="0"/>
    <w:rPr>
      <w:rFonts w:ascii="Calibri" w:hAnsi="Calibri"/>
      <w:i/>
      <w:iCs/>
      <w:sz w:val="24"/>
      <w:szCs w:val="24"/>
    </w:rPr>
  </w:style>
  <w:style w:type="character" w:customStyle="1" w:styleId="100">
    <w:name w:val="标题 9 字符"/>
    <w:link w:val="11"/>
    <w:semiHidden/>
    <w:uiPriority w:val="0"/>
    <w:rPr>
      <w:rFonts w:ascii="Cambria" w:hAnsi="Cambria"/>
      <w:sz w:val="22"/>
      <w:szCs w:val="22"/>
    </w:rPr>
  </w:style>
  <w:style w:type="paragraph" w:customStyle="1" w:styleId="101">
    <w:name w:val="SM Heading"/>
    <w:basedOn w:val="3"/>
    <w:qFormat/>
    <w:uiPriority w:val="0"/>
  </w:style>
  <w:style w:type="paragraph" w:customStyle="1" w:styleId="102">
    <w:name w:val="SM Subheading"/>
    <w:basedOn w:val="1"/>
    <w:qFormat/>
    <w:uiPriority w:val="0"/>
    <w:rPr>
      <w:u w:val="words"/>
    </w:rPr>
  </w:style>
  <w:style w:type="paragraph" w:customStyle="1" w:styleId="103">
    <w:name w:val="SM Text"/>
    <w:basedOn w:val="1"/>
    <w:qFormat/>
    <w:uiPriority w:val="0"/>
    <w:pPr>
      <w:ind w:firstLine="480"/>
    </w:pPr>
  </w:style>
  <w:style w:type="paragraph" w:customStyle="1" w:styleId="104">
    <w:name w:val="SM caption"/>
    <w:basedOn w:val="103"/>
    <w:qFormat/>
    <w:uiPriority w:val="0"/>
    <w:pPr>
      <w:ind w:firstLine="0"/>
    </w:pPr>
  </w:style>
  <w:style w:type="character" w:customStyle="1" w:styleId="105">
    <w:name w:val="批注框文本 字符"/>
    <w:link w:val="54"/>
    <w:semiHidden/>
    <w:uiPriority w:val="0"/>
    <w:rPr>
      <w:rFonts w:ascii="Tahoma" w:hAnsi="Tahoma" w:cs="Tahoma"/>
      <w:sz w:val="16"/>
      <w:szCs w:val="16"/>
    </w:rPr>
  </w:style>
  <w:style w:type="paragraph" w:customStyle="1" w:styleId="106">
    <w:name w:val="Bibliography"/>
    <w:basedOn w:val="1"/>
    <w:next w:val="1"/>
    <w:semiHidden/>
    <w:uiPriority w:val="37"/>
  </w:style>
  <w:style w:type="character" w:customStyle="1" w:styleId="107">
    <w:name w:val="正文文本 字符"/>
    <w:link w:val="34"/>
    <w:semiHidden/>
    <w:uiPriority w:val="0"/>
    <w:rPr>
      <w:sz w:val="24"/>
    </w:rPr>
  </w:style>
  <w:style w:type="character" w:customStyle="1" w:styleId="108">
    <w:name w:val="正文文本 2 字符"/>
    <w:link w:val="76"/>
    <w:semiHidden/>
    <w:uiPriority w:val="0"/>
    <w:rPr>
      <w:sz w:val="24"/>
    </w:rPr>
  </w:style>
  <w:style w:type="character" w:customStyle="1" w:styleId="109">
    <w:name w:val="正文文本 3 字符"/>
    <w:link w:val="31"/>
    <w:semiHidden/>
    <w:uiPriority w:val="0"/>
    <w:rPr>
      <w:sz w:val="16"/>
      <w:szCs w:val="16"/>
    </w:rPr>
  </w:style>
  <w:style w:type="character" w:customStyle="1" w:styleId="110">
    <w:name w:val="正文文本首行缩进 字符"/>
    <w:link w:val="86"/>
    <w:semiHidden/>
    <w:qFormat/>
    <w:uiPriority w:val="0"/>
    <w:rPr>
      <w:sz w:val="24"/>
    </w:rPr>
  </w:style>
  <w:style w:type="character" w:customStyle="1" w:styleId="111">
    <w:name w:val="正文文本缩进 字符"/>
    <w:link w:val="35"/>
    <w:semiHidden/>
    <w:uiPriority w:val="0"/>
    <w:rPr>
      <w:sz w:val="24"/>
    </w:rPr>
  </w:style>
  <w:style w:type="character" w:customStyle="1" w:styleId="112">
    <w:name w:val="正文文本首行缩进 2 字符"/>
    <w:link w:val="87"/>
    <w:semiHidden/>
    <w:qFormat/>
    <w:uiPriority w:val="0"/>
    <w:rPr>
      <w:sz w:val="24"/>
    </w:rPr>
  </w:style>
  <w:style w:type="character" w:customStyle="1" w:styleId="113">
    <w:name w:val="正文文本缩进 2 字符"/>
    <w:link w:val="51"/>
    <w:semiHidden/>
    <w:qFormat/>
    <w:uiPriority w:val="0"/>
    <w:rPr>
      <w:sz w:val="24"/>
    </w:rPr>
  </w:style>
  <w:style w:type="character" w:customStyle="1" w:styleId="114">
    <w:name w:val="正文文本缩进 3 字符"/>
    <w:link w:val="70"/>
    <w:semiHidden/>
    <w:qFormat/>
    <w:uiPriority w:val="0"/>
    <w:rPr>
      <w:sz w:val="16"/>
      <w:szCs w:val="16"/>
    </w:rPr>
  </w:style>
  <w:style w:type="character" w:customStyle="1" w:styleId="115">
    <w:name w:val="结束语 字符"/>
    <w:link w:val="32"/>
    <w:semiHidden/>
    <w:qFormat/>
    <w:uiPriority w:val="0"/>
    <w:rPr>
      <w:sz w:val="24"/>
    </w:rPr>
  </w:style>
  <w:style w:type="character" w:customStyle="1" w:styleId="116">
    <w:name w:val="批注文字 字符"/>
    <w:basedOn w:val="89"/>
    <w:link w:val="28"/>
    <w:semiHidden/>
    <w:qFormat/>
    <w:uiPriority w:val="0"/>
  </w:style>
  <w:style w:type="character" w:customStyle="1" w:styleId="117">
    <w:name w:val="批注主题 字符"/>
    <w:link w:val="85"/>
    <w:semiHidden/>
    <w:qFormat/>
    <w:uiPriority w:val="0"/>
    <w:rPr>
      <w:b/>
      <w:bCs/>
    </w:rPr>
  </w:style>
  <w:style w:type="character" w:customStyle="1" w:styleId="118">
    <w:name w:val="日期 字符"/>
    <w:link w:val="50"/>
    <w:semiHidden/>
    <w:qFormat/>
    <w:uiPriority w:val="0"/>
    <w:rPr>
      <w:sz w:val="24"/>
    </w:rPr>
  </w:style>
  <w:style w:type="character" w:customStyle="1" w:styleId="119">
    <w:name w:val="文档结构图 字符"/>
    <w:link w:val="26"/>
    <w:semiHidden/>
    <w:qFormat/>
    <w:uiPriority w:val="0"/>
    <w:rPr>
      <w:rFonts w:ascii="Tahoma" w:hAnsi="Tahoma" w:cs="Tahoma"/>
      <w:sz w:val="16"/>
      <w:szCs w:val="16"/>
    </w:rPr>
  </w:style>
  <w:style w:type="character" w:customStyle="1" w:styleId="120">
    <w:name w:val="电子邮件签名 字符"/>
    <w:link w:val="19"/>
    <w:semiHidden/>
    <w:qFormat/>
    <w:uiPriority w:val="0"/>
    <w:rPr>
      <w:sz w:val="24"/>
    </w:rPr>
  </w:style>
  <w:style w:type="character" w:customStyle="1" w:styleId="121">
    <w:name w:val="尾注文本 字符"/>
    <w:basedOn w:val="89"/>
    <w:link w:val="52"/>
    <w:semiHidden/>
    <w:qFormat/>
    <w:uiPriority w:val="0"/>
  </w:style>
  <w:style w:type="character" w:customStyle="1" w:styleId="122">
    <w:name w:val="页脚 字符"/>
    <w:link w:val="55"/>
    <w:semiHidden/>
    <w:qFormat/>
    <w:uiPriority w:val="0"/>
    <w:rPr>
      <w:sz w:val="24"/>
    </w:rPr>
  </w:style>
  <w:style w:type="character" w:customStyle="1" w:styleId="123">
    <w:name w:val="脚注文本 字符"/>
    <w:basedOn w:val="89"/>
    <w:link w:val="67"/>
    <w:semiHidden/>
    <w:qFormat/>
    <w:uiPriority w:val="0"/>
  </w:style>
  <w:style w:type="character" w:customStyle="1" w:styleId="124">
    <w:name w:val="页眉 字符"/>
    <w:link w:val="57"/>
    <w:semiHidden/>
    <w:qFormat/>
    <w:uiPriority w:val="0"/>
    <w:rPr>
      <w:sz w:val="24"/>
    </w:rPr>
  </w:style>
  <w:style w:type="character" w:customStyle="1" w:styleId="125">
    <w:name w:val="HTML 地址 字符"/>
    <w:link w:val="41"/>
    <w:semiHidden/>
    <w:qFormat/>
    <w:uiPriority w:val="0"/>
    <w:rPr>
      <w:i/>
      <w:iCs/>
      <w:sz w:val="24"/>
    </w:rPr>
  </w:style>
  <w:style w:type="character" w:customStyle="1" w:styleId="126">
    <w:name w:val="HTML 预设格式 字符"/>
    <w:link w:val="80"/>
    <w:semiHidden/>
    <w:qFormat/>
    <w:uiPriority w:val="0"/>
    <w:rPr>
      <w:rFonts w:ascii="Courier New" w:hAnsi="Courier New" w:cs="Courier New"/>
    </w:rPr>
  </w:style>
  <w:style w:type="paragraph" w:styleId="127">
    <w:name w:val="Intense Quote"/>
    <w:basedOn w:val="1"/>
    <w:next w:val="1"/>
    <w:link w:val="128"/>
    <w:semiHidden/>
    <w:qFormat/>
    <w:uiPriority w:val="30"/>
    <w:pPr>
      <w:pBdr>
        <w:bottom w:val="single" w:color="4F81BD" w:sz="4" w:space="4"/>
      </w:pBdr>
      <w:spacing w:before="200" w:after="280"/>
      <w:ind w:left="936" w:right="936"/>
    </w:pPr>
    <w:rPr>
      <w:b/>
      <w:bCs/>
      <w:i/>
      <w:iCs/>
      <w:color w:val="4F81BD"/>
    </w:rPr>
  </w:style>
  <w:style w:type="character" w:customStyle="1" w:styleId="128">
    <w:name w:val="明显引用 字符"/>
    <w:link w:val="127"/>
    <w:semiHidden/>
    <w:qFormat/>
    <w:uiPriority w:val="30"/>
    <w:rPr>
      <w:b/>
      <w:bCs/>
      <w:i/>
      <w:iCs/>
      <w:color w:val="4F81BD"/>
      <w:sz w:val="24"/>
    </w:rPr>
  </w:style>
  <w:style w:type="paragraph" w:styleId="129">
    <w:name w:val="List Paragraph"/>
    <w:basedOn w:val="1"/>
    <w:semiHidden/>
    <w:qFormat/>
    <w:uiPriority w:val="34"/>
    <w:pPr>
      <w:ind w:left="720"/>
    </w:pPr>
  </w:style>
  <w:style w:type="character" w:customStyle="1" w:styleId="130">
    <w:name w:val="宏文本 字符"/>
    <w:link w:val="2"/>
    <w:semiHidden/>
    <w:qFormat/>
    <w:uiPriority w:val="0"/>
    <w:rPr>
      <w:rFonts w:ascii="Courier New" w:hAnsi="Courier New" w:cs="Courier New"/>
      <w:lang w:val="en-US" w:eastAsia="en-US" w:bidi="ar-SA"/>
    </w:rPr>
  </w:style>
  <w:style w:type="character" w:customStyle="1" w:styleId="131">
    <w:name w:val="信息标题 字符"/>
    <w:link w:val="79"/>
    <w:semiHidden/>
    <w:qFormat/>
    <w:uiPriority w:val="0"/>
    <w:rPr>
      <w:rFonts w:ascii="Cambria" w:hAnsi="Cambria"/>
      <w:sz w:val="24"/>
      <w:szCs w:val="24"/>
      <w:shd w:val="pct20" w:color="auto" w:fill="auto"/>
    </w:rPr>
  </w:style>
  <w:style w:type="paragraph" w:styleId="132">
    <w:name w:val="No Spacing"/>
    <w:semiHidden/>
    <w:qFormat/>
    <w:uiPriority w:val="1"/>
    <w:rPr>
      <w:rFonts w:ascii="Times New Roman" w:hAnsi="Times New Roman" w:cs="Times New Roman" w:eastAsiaTheme="minorEastAsia"/>
      <w:sz w:val="24"/>
      <w:lang w:val="en-US" w:eastAsia="en-US" w:bidi="ar-SA"/>
    </w:rPr>
  </w:style>
  <w:style w:type="character" w:customStyle="1" w:styleId="133">
    <w:name w:val="注释标题 字符"/>
    <w:link w:val="16"/>
    <w:semiHidden/>
    <w:qFormat/>
    <w:uiPriority w:val="0"/>
    <w:rPr>
      <w:sz w:val="24"/>
    </w:rPr>
  </w:style>
  <w:style w:type="character" w:customStyle="1" w:styleId="134">
    <w:name w:val="纯文本 字符"/>
    <w:link w:val="45"/>
    <w:semiHidden/>
    <w:qFormat/>
    <w:uiPriority w:val="0"/>
    <w:rPr>
      <w:rFonts w:ascii="Courier New" w:hAnsi="Courier New" w:cs="Courier New"/>
    </w:rPr>
  </w:style>
  <w:style w:type="paragraph" w:styleId="135">
    <w:name w:val="Quote"/>
    <w:basedOn w:val="1"/>
    <w:next w:val="1"/>
    <w:link w:val="136"/>
    <w:semiHidden/>
    <w:qFormat/>
    <w:uiPriority w:val="29"/>
    <w:rPr>
      <w:i/>
      <w:iCs/>
      <w:color w:val="000000"/>
    </w:rPr>
  </w:style>
  <w:style w:type="character" w:customStyle="1" w:styleId="136">
    <w:name w:val="引用 字符"/>
    <w:link w:val="135"/>
    <w:semiHidden/>
    <w:qFormat/>
    <w:uiPriority w:val="29"/>
    <w:rPr>
      <w:i/>
      <w:iCs/>
      <w:color w:val="000000"/>
      <w:sz w:val="24"/>
    </w:rPr>
  </w:style>
  <w:style w:type="character" w:customStyle="1" w:styleId="137">
    <w:name w:val="称呼 字符"/>
    <w:link w:val="30"/>
    <w:semiHidden/>
    <w:qFormat/>
    <w:uiPriority w:val="0"/>
    <w:rPr>
      <w:sz w:val="24"/>
    </w:rPr>
  </w:style>
  <w:style w:type="character" w:customStyle="1" w:styleId="138">
    <w:name w:val="签名 字符"/>
    <w:link w:val="58"/>
    <w:semiHidden/>
    <w:qFormat/>
    <w:uiPriority w:val="0"/>
    <w:rPr>
      <w:sz w:val="24"/>
    </w:rPr>
  </w:style>
  <w:style w:type="character" w:customStyle="1" w:styleId="139">
    <w:name w:val="副标题 字符"/>
    <w:link w:val="64"/>
    <w:semiHidden/>
    <w:qFormat/>
    <w:uiPriority w:val="0"/>
    <w:rPr>
      <w:rFonts w:ascii="Cambria" w:hAnsi="Cambria"/>
      <w:sz w:val="24"/>
      <w:szCs w:val="24"/>
    </w:rPr>
  </w:style>
  <w:style w:type="character" w:customStyle="1" w:styleId="140">
    <w:name w:val="标题 字符"/>
    <w:link w:val="84"/>
    <w:semiHidden/>
    <w:qFormat/>
    <w:uiPriority w:val="0"/>
    <w:rPr>
      <w:rFonts w:ascii="Cambria" w:hAnsi="Cambria"/>
      <w:b/>
      <w:bCs/>
      <w:kern w:val="28"/>
      <w:sz w:val="32"/>
      <w:szCs w:val="32"/>
    </w:rPr>
  </w:style>
  <w:style w:type="paragraph" w:customStyle="1" w:styleId="141">
    <w:name w:val="TOC Heading"/>
    <w:basedOn w:val="3"/>
    <w:next w:val="1"/>
    <w:semiHidden/>
    <w:unhideWhenUsed/>
    <w:qFormat/>
    <w:uiPriority w:val="39"/>
    <w:pPr>
      <w:outlineLvl w:val="9"/>
    </w:pPr>
    <w:rPr>
      <w:rFonts w:ascii="Cambria" w:hAnsi="Cambria"/>
      <w:sz w:val="32"/>
      <w:szCs w:val="32"/>
    </w:rPr>
  </w:style>
  <w:style w:type="character" w:customStyle="1" w:styleId="142">
    <w:name w:val="Unresolved Mention"/>
    <w:basedOn w:val="89"/>
    <w:semiHidden/>
    <w:unhideWhenUsed/>
    <w:qFormat/>
    <w:uiPriority w:val="99"/>
    <w:rPr>
      <w:color w:val="808080"/>
      <w:shd w:val="clear" w:color="auto" w:fill="E6E6E6"/>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AAAS</Company>
  <Pages>57</Pages>
  <Words>7694</Words>
  <Characters>50807</Characters>
  <Lines>414</Lines>
  <Paragraphs>116</Paragraphs>
  <TotalTime>447</TotalTime>
  <ScaleCrop>false</ScaleCrop>
  <LinksUpToDate>false</LinksUpToDate>
  <CharactersWithSpaces>58186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2019-07-16T09:29:00Z</dcterms:created>
  <dc:creator>Brooks Hanson</dc:creator>
  <cp:lastModifiedBy>曹恒松</cp:lastModifiedBy>
  <cp:lastPrinted>2018-01-11T19:53:00Z</cp:lastPrinted>
  <dcterms:modified xsi:type="dcterms:W3CDTF">2026-06-27T14:05:35Z</dcterms:modified>
  <dc:title>Supporting Online Material for</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eyJoZGlkIjoiYTE1MDViOGJmMmViNmQzZWUzODAyOGMyZDZiNDljNmEiLCJ1c2VySWQiOiI0MTQ2MzM1NDQifQ==</vt:lpwstr>
  </property>
  <property fmtid="{D5CDD505-2E9C-101B-9397-08002B2CF9AE}" pid="3" name="KSOProductBuildVer">
    <vt:lpwstr>2052-12.1.0.26895</vt:lpwstr>
  </property>
  <property fmtid="{D5CDD505-2E9C-101B-9397-08002B2CF9AE}" pid="4" name="ICV">
    <vt:lpwstr>44525BCA8CED4160AAB60D7E3EA206ED_13</vt:lpwstr>
  </property>
</Properties>
</file>