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C60" w:rsidRPr="00ED336A" w:rsidRDefault="00826C60" w:rsidP="00826C60">
      <w:pPr>
        <w:jc w:val="both"/>
      </w:pPr>
      <w:r w:rsidRPr="00ED336A">
        <w:rPr>
          <w:b/>
        </w:rPr>
        <w:t xml:space="preserve">Table S1: </w:t>
      </w:r>
      <w:r w:rsidRPr="00ED336A">
        <w:t xml:space="preserve">Cross-cancer comparison of humoral features highlighted in this review (illustrative examples). Columns summarize TLS organization, dominant B/plasma states, isotype/subclass skews, and reported clinical associations. Abbreviations used in the table: TNBC, triple-negative breast cancer; NSCLC, non-small-cell lung cancer; CNS, central nervous system; GBM, glioblastoma; BBB/BTB, blood-brain barrier/blood-tumor barrier; ICI, immune checkpoint inhibitor; GC, germinal center; TLS, tertiary lymphoid structure; HEV, high endothelial venule; FDC, follicular dendritic cell; </w:t>
      </w:r>
      <w:proofErr w:type="spellStart"/>
      <w:r w:rsidRPr="00ED336A">
        <w:t>Tfh</w:t>
      </w:r>
      <w:proofErr w:type="spellEnd"/>
      <w:r w:rsidRPr="00ED336A">
        <w:t xml:space="preserve">, T follicular helper cell; IL-10, interleukin-10; TGF-β, transforming growth factor beta; PD-L1, programmed death ligand 1; Ig, immunoglobulin; </w:t>
      </w:r>
      <w:proofErr w:type="spellStart"/>
      <w:r w:rsidRPr="00ED336A">
        <w:t>Bregs</w:t>
      </w:r>
      <w:proofErr w:type="spellEnd"/>
      <w:r w:rsidRPr="00ED336A">
        <w:t>, regulatory B cells; TAMs, tumor-associated macrophages; ADCC, antibody-dependent cellular cytotoxicity; ADCP, antibody-dependent cellular phagocytosis.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1843"/>
        <w:gridCol w:w="1843"/>
        <w:gridCol w:w="1972"/>
      </w:tblGrid>
      <w:tr w:rsidR="00826C60" w:rsidRPr="00ED336A" w:rsidTr="00CD48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826C60" w:rsidRPr="00ED336A" w:rsidRDefault="00826C60" w:rsidP="00CD4885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 w:cs="Times New Roman"/>
                <w:sz w:val="20"/>
                <w:szCs w:val="20"/>
              </w:rPr>
              <w:t>Cancer context</w:t>
            </w:r>
          </w:p>
        </w:tc>
        <w:tc>
          <w:tcPr>
            <w:tcW w:w="1417" w:type="dxa"/>
          </w:tcPr>
          <w:p w:rsidR="00826C60" w:rsidRPr="00ED336A" w:rsidRDefault="00826C60" w:rsidP="00CD48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 w:cs="Times New Roman"/>
                <w:sz w:val="20"/>
                <w:szCs w:val="20"/>
              </w:rPr>
              <w:t>TLS prevalence / maturity</w:t>
            </w:r>
          </w:p>
        </w:tc>
        <w:tc>
          <w:tcPr>
            <w:tcW w:w="1843" w:type="dxa"/>
          </w:tcPr>
          <w:p w:rsidR="00826C60" w:rsidRPr="00ED336A" w:rsidRDefault="00826C60" w:rsidP="00CD48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 w:cs="Times New Roman"/>
                <w:sz w:val="20"/>
                <w:szCs w:val="20"/>
              </w:rPr>
              <w:t>Dominant B/plasma states</w:t>
            </w:r>
          </w:p>
        </w:tc>
        <w:tc>
          <w:tcPr>
            <w:tcW w:w="1843" w:type="dxa"/>
          </w:tcPr>
          <w:p w:rsidR="00826C60" w:rsidRPr="00ED336A" w:rsidRDefault="00826C60" w:rsidP="00CD48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 w:cs="Times New Roman"/>
                <w:sz w:val="20"/>
                <w:szCs w:val="20"/>
              </w:rPr>
              <w:t>Notable isotype/subclass features</w:t>
            </w:r>
          </w:p>
        </w:tc>
        <w:tc>
          <w:tcPr>
            <w:tcW w:w="1972" w:type="dxa"/>
          </w:tcPr>
          <w:p w:rsidR="00826C60" w:rsidRPr="00ED336A" w:rsidRDefault="00826C60" w:rsidP="00CD48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 w:cs="Times New Roman"/>
                <w:sz w:val="20"/>
                <w:szCs w:val="20"/>
              </w:rPr>
              <w:t>Reported associations / notes</w:t>
            </w:r>
          </w:p>
        </w:tc>
      </w:tr>
      <w:tr w:rsidR="00826C60" w:rsidRPr="00ED336A" w:rsidTr="00CD4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826C60" w:rsidRPr="00ED336A" w:rsidRDefault="00826C60" w:rsidP="00CD4885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 w:cs="Times New Roman"/>
                <w:sz w:val="20"/>
                <w:szCs w:val="20"/>
              </w:rPr>
              <w:t>Breast cancer (esp. TNBC)</w:t>
            </w:r>
          </w:p>
        </w:tc>
        <w:tc>
          <w:tcPr>
            <w:tcW w:w="1417" w:type="dxa"/>
          </w:tcPr>
          <w:p w:rsidR="00826C60" w:rsidRPr="00ED336A" w:rsidRDefault="00826C60" w:rsidP="00CD48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 w:cs="Times New Roman"/>
                <w:sz w:val="20"/>
                <w:szCs w:val="20"/>
              </w:rPr>
              <w:t>TLS are common in subsets; GC-like maturity varies across cohorts</w:t>
            </w:r>
          </w:p>
        </w:tc>
        <w:tc>
          <w:tcPr>
            <w:tcW w:w="1843" w:type="dxa"/>
          </w:tcPr>
          <w:p w:rsidR="00826C60" w:rsidRPr="00ED336A" w:rsidRDefault="00826C60" w:rsidP="00CD48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 w:cs="Times New Roman"/>
                <w:sz w:val="20"/>
                <w:szCs w:val="20"/>
              </w:rPr>
              <w:t xml:space="preserve">GC-like B cells and class-switched plasma cells in TLS; context-dependent </w:t>
            </w:r>
            <w:proofErr w:type="spellStart"/>
            <w:r w:rsidRPr="00ED336A">
              <w:rPr>
                <w:rFonts w:ascii="Cambria" w:hAnsi="Cambria" w:cs="Times New Roman"/>
                <w:sz w:val="20"/>
                <w:szCs w:val="20"/>
              </w:rPr>
              <w:t>Breg</w:t>
            </w:r>
            <w:proofErr w:type="spellEnd"/>
            <w:r w:rsidRPr="00ED336A">
              <w:rPr>
                <w:rFonts w:ascii="Cambria" w:hAnsi="Cambria" w:cs="Times New Roman"/>
                <w:sz w:val="20"/>
                <w:szCs w:val="20"/>
              </w:rPr>
              <w:t xml:space="preserve"> niches</w:t>
            </w:r>
          </w:p>
        </w:tc>
        <w:tc>
          <w:tcPr>
            <w:tcW w:w="1843" w:type="dxa"/>
          </w:tcPr>
          <w:p w:rsidR="00826C60" w:rsidRPr="00ED336A" w:rsidRDefault="00826C60" w:rsidP="00CD48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/>
                <w:sz w:val="20"/>
                <w:szCs w:val="20"/>
              </w:rPr>
              <w:t>IgG class switching; occasional IgG4 in chronic regulatory niches</w:t>
            </w:r>
          </w:p>
        </w:tc>
        <w:tc>
          <w:tcPr>
            <w:tcW w:w="1972" w:type="dxa"/>
          </w:tcPr>
          <w:p w:rsidR="00826C60" w:rsidRPr="00ED336A" w:rsidRDefault="00826C60" w:rsidP="00CD48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 w:cs="Times New Roman"/>
                <w:sz w:val="20"/>
                <w:szCs w:val="20"/>
              </w:rPr>
              <w:t>TLS signatures often associate with improved prognosis and ICI benefit; regulatory programs can emerge in inflamed settings</w:t>
            </w:r>
          </w:p>
        </w:tc>
      </w:tr>
      <w:tr w:rsidR="00826C60" w:rsidRPr="00ED336A" w:rsidTr="00CD48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826C60" w:rsidRPr="00ED336A" w:rsidRDefault="00826C60" w:rsidP="00CD4885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 w:cs="Times New Roman"/>
                <w:sz w:val="20"/>
                <w:szCs w:val="20"/>
              </w:rPr>
              <w:t>Lung cancer (NSCLC)</w:t>
            </w:r>
          </w:p>
        </w:tc>
        <w:tc>
          <w:tcPr>
            <w:tcW w:w="1417" w:type="dxa"/>
          </w:tcPr>
          <w:p w:rsidR="00826C60" w:rsidRPr="00ED336A" w:rsidRDefault="00826C60" w:rsidP="00CD48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 w:cs="Times New Roman"/>
                <w:sz w:val="20"/>
                <w:szCs w:val="20"/>
              </w:rPr>
              <w:t>TLS frequently observed in resected tumors; maturity correlates with immune infiltration</w:t>
            </w:r>
          </w:p>
        </w:tc>
        <w:tc>
          <w:tcPr>
            <w:tcW w:w="1843" w:type="dxa"/>
          </w:tcPr>
          <w:p w:rsidR="00826C60" w:rsidRPr="00ED336A" w:rsidRDefault="00826C60" w:rsidP="00CD48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 w:cs="Times New Roman"/>
                <w:sz w:val="20"/>
                <w:szCs w:val="20"/>
              </w:rPr>
              <w:t>Memory/GC-like B cells and plasma cells; IgA⁺ regulatory plasma cells reported in subsets</w:t>
            </w:r>
          </w:p>
        </w:tc>
        <w:tc>
          <w:tcPr>
            <w:tcW w:w="1843" w:type="dxa"/>
          </w:tcPr>
          <w:p w:rsidR="00826C60" w:rsidRPr="00ED336A" w:rsidRDefault="00826C60" w:rsidP="00CD48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 w:cs="Times New Roman"/>
                <w:sz w:val="20"/>
                <w:szCs w:val="20"/>
              </w:rPr>
              <w:t>IgA and IgG coexist; IgA programs can be suppressive or cytotoxic depending on immune-complex context</w:t>
            </w:r>
          </w:p>
        </w:tc>
        <w:tc>
          <w:tcPr>
            <w:tcW w:w="1972" w:type="dxa"/>
          </w:tcPr>
          <w:p w:rsidR="00826C60" w:rsidRPr="00ED336A" w:rsidRDefault="00826C60" w:rsidP="00CD48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/>
                <w:sz w:val="20"/>
                <w:szCs w:val="20"/>
              </w:rPr>
              <w:t>TLS maturity associates with better outcome/ICI response in multiple studies; IgA⁺ IL-10/PD-L1 programs may counteract immunity</w:t>
            </w:r>
          </w:p>
        </w:tc>
      </w:tr>
      <w:tr w:rsidR="00826C60" w:rsidRPr="00ED336A" w:rsidTr="00CD4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826C60" w:rsidRPr="00ED336A" w:rsidRDefault="00826C60" w:rsidP="00CD4885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 w:cs="Times New Roman"/>
                <w:sz w:val="20"/>
                <w:szCs w:val="20"/>
              </w:rPr>
              <w:t>CNS tumors (GBM/brain metastases)</w:t>
            </w:r>
          </w:p>
        </w:tc>
        <w:tc>
          <w:tcPr>
            <w:tcW w:w="1417" w:type="dxa"/>
          </w:tcPr>
          <w:p w:rsidR="00826C60" w:rsidRPr="00ED336A" w:rsidRDefault="00826C60" w:rsidP="00CD48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 w:cs="Times New Roman"/>
                <w:sz w:val="20"/>
                <w:szCs w:val="20"/>
              </w:rPr>
              <w:t>TLS-like aggregates reported but variable; BBB disruption influences exposure to serum Ig</w:t>
            </w:r>
          </w:p>
        </w:tc>
        <w:tc>
          <w:tcPr>
            <w:tcW w:w="1843" w:type="dxa"/>
          </w:tcPr>
          <w:p w:rsidR="00826C60" w:rsidRPr="00ED336A" w:rsidRDefault="00826C60" w:rsidP="00CD48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proofErr w:type="spellStart"/>
            <w:r w:rsidRPr="00ED336A">
              <w:rPr>
                <w:rFonts w:ascii="Cambria" w:hAnsi="Cambria" w:cs="Times New Roman"/>
                <w:sz w:val="20"/>
                <w:szCs w:val="20"/>
              </w:rPr>
              <w:t>Intratumoral</w:t>
            </w:r>
            <w:proofErr w:type="spellEnd"/>
            <w:r w:rsidRPr="00ED336A">
              <w:rPr>
                <w:rFonts w:ascii="Cambria" w:hAnsi="Cambria" w:cs="Times New Roman"/>
                <w:sz w:val="20"/>
                <w:szCs w:val="20"/>
              </w:rPr>
              <w:t xml:space="preserve"> B cells/plasma cells with immunoregulatory signatures in some cohorts</w:t>
            </w:r>
          </w:p>
        </w:tc>
        <w:tc>
          <w:tcPr>
            <w:tcW w:w="1843" w:type="dxa"/>
          </w:tcPr>
          <w:p w:rsidR="00826C60" w:rsidRPr="00ED336A" w:rsidRDefault="00826C60" w:rsidP="00CD48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ED336A">
              <w:rPr>
                <w:rFonts w:ascii="Cambria" w:hAnsi="Cambria" w:cs="Times New Roman"/>
                <w:sz w:val="20"/>
                <w:szCs w:val="20"/>
              </w:rPr>
              <w:t>Serum Ig extravasation plus local plasma-cell Ig likely dominate tissue Ig pools</w:t>
            </w:r>
          </w:p>
        </w:tc>
        <w:tc>
          <w:tcPr>
            <w:tcW w:w="1972" w:type="dxa"/>
          </w:tcPr>
          <w:p w:rsidR="00826C60" w:rsidRPr="00ED336A" w:rsidRDefault="00826C60" w:rsidP="00CD4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ED336A">
              <w:rPr>
                <w:rFonts w:ascii="Cambria" w:hAnsi="Cambria"/>
                <w:sz w:val="20"/>
                <w:szCs w:val="20"/>
              </w:rPr>
              <w:t xml:space="preserve">Antibody-associated phenotypes should be interpreted considering BBB/BTB status, vascular leak, and </w:t>
            </w:r>
            <w:proofErr w:type="spellStart"/>
            <w:r w:rsidRPr="00ED336A">
              <w:rPr>
                <w:rFonts w:ascii="Cambria" w:hAnsi="Cambria"/>
                <w:sz w:val="20"/>
                <w:szCs w:val="20"/>
              </w:rPr>
              <w:t>intratumoral</w:t>
            </w:r>
            <w:proofErr w:type="spellEnd"/>
            <w:r w:rsidRPr="00ED336A">
              <w:rPr>
                <w:rFonts w:ascii="Cambria" w:hAnsi="Cambria"/>
                <w:sz w:val="20"/>
                <w:szCs w:val="20"/>
              </w:rPr>
              <w:t xml:space="preserve"> B/plasma-cell burden.</w:t>
            </w:r>
          </w:p>
        </w:tc>
      </w:tr>
    </w:tbl>
    <w:p w:rsidR="000A6DA2" w:rsidRDefault="000A6DA2">
      <w:bookmarkStart w:id="0" w:name="_GoBack"/>
      <w:bookmarkEnd w:id="0"/>
    </w:p>
    <w:sectPr w:rsidR="000A6D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60"/>
    <w:rsid w:val="000A6DA2"/>
    <w:rsid w:val="0082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CE8CCB-3A77-4314-9222-119AC961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6C60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1">
    <w:name w:val="Grid Table 4 Accent 1"/>
    <w:basedOn w:val="TableNormal"/>
    <w:uiPriority w:val="49"/>
    <w:rsid w:val="00826C60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Pawan Singh Chauhan</dc:creator>
  <cp:keywords/>
  <dc:description/>
  <cp:lastModifiedBy>Pawan Singh Chauhan</cp:lastModifiedBy>
  <cp:revision>1</cp:revision>
  <dcterms:created xsi:type="dcterms:W3CDTF">2026-06-27T13:31:00Z</dcterms:created>
  <dcterms:modified xsi:type="dcterms:W3CDTF">2026-06-27T13:31:00Z</dcterms:modified>
</cp:coreProperties>
</file>